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5F475D">
      <w:pPr>
        <w:rPr>
          <w:rFonts w:ascii="仿宋_GB2312" w:hAnsi="仿宋_GB2312" w:eastAsia="仿宋_GB2312" w:cs="仿宋_GB2312"/>
          <w:color w:val="auto"/>
          <w:sz w:val="36"/>
          <w:szCs w:val="36"/>
        </w:rPr>
      </w:pPr>
    </w:p>
    <w:p w14:paraId="026038DB">
      <w:pPr>
        <w:rPr>
          <w:rFonts w:ascii="仿宋_GB2312" w:hAnsi="仿宋_GB2312" w:eastAsia="仿宋_GB2312" w:cs="仿宋_GB2312"/>
          <w:color w:val="auto"/>
          <w:sz w:val="36"/>
          <w:szCs w:val="36"/>
        </w:rPr>
      </w:pPr>
    </w:p>
    <w:p w14:paraId="0ADD6993">
      <w:pPr>
        <w:rPr>
          <w:rFonts w:ascii="仿宋_GB2312" w:hAnsi="仿宋_GB2312" w:eastAsia="仿宋_GB2312" w:cs="仿宋_GB2312"/>
          <w:color w:val="auto"/>
          <w:sz w:val="36"/>
          <w:szCs w:val="36"/>
        </w:rPr>
      </w:pPr>
    </w:p>
    <w:p w14:paraId="37DAFA54">
      <w:pPr>
        <w:rPr>
          <w:rFonts w:ascii="仿宋_GB2312" w:hAnsi="仿宋_GB2312" w:eastAsia="仿宋_GB2312" w:cs="仿宋_GB2312"/>
          <w:color w:val="auto"/>
          <w:sz w:val="36"/>
          <w:szCs w:val="36"/>
        </w:rPr>
      </w:pPr>
    </w:p>
    <w:p w14:paraId="518DEC2A">
      <w:pPr>
        <w:adjustRightInd w:val="0"/>
        <w:snapToGrid w:val="0"/>
        <w:jc w:val="center"/>
        <w:outlineLvl w:val="0"/>
        <w:rPr>
          <w:rFonts w:ascii="方正小标宋_GBK" w:eastAsia="方正小标宋_GBK"/>
          <w:bCs/>
          <w:color w:val="auto"/>
          <w:sz w:val="72"/>
          <w:szCs w:val="72"/>
        </w:rPr>
      </w:pPr>
      <w:bookmarkStart w:id="0" w:name="_Toc69399385"/>
      <w:r>
        <w:rPr>
          <w:rFonts w:hint="eastAsia" w:ascii="方正小标宋_GBK" w:eastAsia="方正小标宋_GBK"/>
          <w:bCs/>
          <w:color w:val="auto"/>
          <w:sz w:val="72"/>
          <w:szCs w:val="72"/>
        </w:rPr>
        <w:t>建设项目环境影响报告表</w:t>
      </w:r>
      <w:bookmarkEnd w:id="0"/>
    </w:p>
    <w:p w14:paraId="3CEC8039">
      <w:pPr>
        <w:adjustRightInd w:val="0"/>
        <w:snapToGrid w:val="0"/>
        <w:spacing w:before="192" w:beforeLines="80"/>
        <w:jc w:val="center"/>
        <w:rPr>
          <w:rFonts w:ascii="楷体_GB2312" w:eastAsia="楷体_GB2312"/>
          <w:bCs/>
          <w:color w:val="auto"/>
          <w:sz w:val="48"/>
          <w:szCs w:val="48"/>
        </w:rPr>
      </w:pPr>
      <w:r>
        <w:rPr>
          <w:rFonts w:hint="eastAsia" w:ascii="楷体_GB2312" w:eastAsia="楷体_GB2312"/>
          <w:bCs/>
          <w:color w:val="auto"/>
          <w:sz w:val="48"/>
          <w:szCs w:val="48"/>
        </w:rPr>
        <w:t>（污染影响类）</w:t>
      </w:r>
    </w:p>
    <w:p w14:paraId="23649D3D">
      <w:pPr>
        <w:adjustRightInd w:val="0"/>
        <w:snapToGrid w:val="0"/>
        <w:spacing w:before="192" w:beforeLines="80"/>
        <w:jc w:val="center"/>
        <w:rPr>
          <w:rFonts w:ascii="楷体_GB2312" w:eastAsia="楷体_GB2312"/>
          <w:bCs/>
          <w:color w:val="auto"/>
          <w:sz w:val="48"/>
          <w:szCs w:val="48"/>
        </w:rPr>
      </w:pPr>
    </w:p>
    <w:p w14:paraId="0BEE310A">
      <w:pPr>
        <w:rPr>
          <w:color w:val="auto"/>
        </w:rPr>
      </w:pPr>
    </w:p>
    <w:p w14:paraId="284AD68D">
      <w:pPr>
        <w:pStyle w:val="23"/>
        <w:rPr>
          <w:color w:val="auto"/>
        </w:rPr>
      </w:pPr>
    </w:p>
    <w:p w14:paraId="38D02248">
      <w:pPr>
        <w:pStyle w:val="16"/>
        <w:rPr>
          <w:color w:val="auto"/>
        </w:rPr>
      </w:pPr>
    </w:p>
    <w:p w14:paraId="2BEA4F11">
      <w:pPr>
        <w:rPr>
          <w:color w:val="auto"/>
        </w:rPr>
      </w:pPr>
    </w:p>
    <w:p w14:paraId="1C686C3F">
      <w:pPr>
        <w:pStyle w:val="23"/>
        <w:rPr>
          <w:color w:val="auto"/>
        </w:rPr>
      </w:pPr>
    </w:p>
    <w:p w14:paraId="6650A4DF">
      <w:pPr>
        <w:pStyle w:val="16"/>
        <w:rPr>
          <w:color w:val="auto"/>
        </w:rPr>
      </w:pPr>
    </w:p>
    <w:p w14:paraId="0CD75D5E">
      <w:pPr>
        <w:rPr>
          <w:color w:val="auto"/>
        </w:rPr>
      </w:pPr>
    </w:p>
    <w:p w14:paraId="7E0F750F">
      <w:pPr>
        <w:pStyle w:val="23"/>
        <w:rPr>
          <w:color w:val="auto"/>
        </w:rPr>
      </w:pPr>
    </w:p>
    <w:p w14:paraId="17FE293B">
      <w:pPr>
        <w:rPr>
          <w:color w:val="auto"/>
        </w:rPr>
      </w:pPr>
    </w:p>
    <w:p w14:paraId="32C9E6DB">
      <w:pPr>
        <w:rPr>
          <w:color w:val="auto"/>
        </w:rPr>
      </w:pPr>
    </w:p>
    <w:p w14:paraId="3B08193D">
      <w:pPr>
        <w:rPr>
          <w:color w:val="auto"/>
        </w:rPr>
      </w:pPr>
    </w:p>
    <w:p w14:paraId="6E73C3D0">
      <w:pPr>
        <w:rPr>
          <w:color w:val="auto"/>
        </w:rPr>
      </w:pPr>
    </w:p>
    <w:p w14:paraId="442D28A5">
      <w:pPr>
        <w:rPr>
          <w:color w:val="auto"/>
        </w:rPr>
      </w:pPr>
    </w:p>
    <w:p w14:paraId="6F8AEB7B">
      <w:pPr>
        <w:adjustRightInd w:val="0"/>
        <w:snapToGrid w:val="0"/>
        <w:spacing w:line="300" w:lineRule="auto"/>
        <w:ind w:left="1584" w:leftChars="152" w:hanging="1280" w:hangingChars="400"/>
        <w:jc w:val="left"/>
        <w:rPr>
          <w:rFonts w:hint="eastAsia" w:eastAsia="宋体"/>
          <w:color w:val="auto"/>
          <w:sz w:val="32"/>
          <w:szCs w:val="32"/>
          <w:u w:val="single"/>
          <w:lang w:eastAsia="zh-CN"/>
        </w:rPr>
      </w:pPr>
      <w:r>
        <w:rPr>
          <w:rFonts w:ascii="宋体" w:hAnsi="宋体"/>
          <w:color w:val="auto"/>
          <w:sz w:val="32"/>
          <w:szCs w:val="32"/>
        </w:rPr>
        <w:t>项目名称：</w:t>
      </w:r>
      <w:r>
        <w:rPr>
          <w:rFonts w:ascii="宋体" w:hAnsi="宋体"/>
          <w:color w:val="auto"/>
          <w:sz w:val="32"/>
          <w:szCs w:val="32"/>
          <w:u w:val="single"/>
        </w:rPr>
        <w:t xml:space="preserve"> </w:t>
      </w:r>
      <w:r>
        <w:rPr>
          <w:rFonts w:hint="eastAsia" w:ascii="宋体" w:hAnsi="宋体"/>
          <w:color w:val="auto"/>
          <w:sz w:val="32"/>
          <w:szCs w:val="32"/>
          <w:u w:val="single"/>
        </w:rPr>
        <w:t xml:space="preserve"> </w:t>
      </w:r>
      <w:r>
        <w:rPr>
          <w:color w:val="auto"/>
          <w:sz w:val="32"/>
          <w:szCs w:val="32"/>
          <w:u w:val="single"/>
        </w:rPr>
        <w:t xml:space="preserve">  </w:t>
      </w:r>
      <w:r>
        <w:rPr>
          <w:rFonts w:hint="eastAsia"/>
          <w:color w:val="auto"/>
          <w:sz w:val="32"/>
          <w:szCs w:val="32"/>
          <w:u w:val="single"/>
          <w:lang w:eastAsia="zh-CN"/>
        </w:rPr>
        <w:t>云南常青树化工有限公司磷石膏综合利用改扩建项目</w:t>
      </w:r>
    </w:p>
    <w:p w14:paraId="435FDEA0">
      <w:pPr>
        <w:adjustRightInd w:val="0"/>
        <w:snapToGrid w:val="0"/>
        <w:spacing w:line="300" w:lineRule="auto"/>
        <w:ind w:firstLine="320" w:firstLineChars="100"/>
        <w:rPr>
          <w:rFonts w:ascii="宋体" w:hAnsi="宋体"/>
          <w:color w:val="auto"/>
          <w:sz w:val="32"/>
          <w:szCs w:val="32"/>
          <w:u w:val="single"/>
        </w:rPr>
      </w:pPr>
      <w:r>
        <w:rPr>
          <w:rFonts w:ascii="宋体" w:hAnsi="宋体"/>
          <w:color w:val="auto"/>
          <w:sz w:val="32"/>
          <w:szCs w:val="32"/>
        </w:rPr>
        <w:t>建设单位（盖章）：</w:t>
      </w:r>
      <w:r>
        <w:rPr>
          <w:rFonts w:ascii="宋体" w:hAnsi="宋体"/>
          <w:color w:val="auto"/>
          <w:sz w:val="32"/>
          <w:szCs w:val="32"/>
          <w:u w:val="single"/>
        </w:rPr>
        <w:t xml:space="preserve">    </w:t>
      </w:r>
      <w:r>
        <w:rPr>
          <w:rFonts w:hint="eastAsia" w:ascii="宋体" w:hAnsi="宋体"/>
          <w:color w:val="auto"/>
          <w:sz w:val="32"/>
          <w:szCs w:val="32"/>
          <w:u w:val="single"/>
          <w:lang w:eastAsia="zh-CN"/>
        </w:rPr>
        <w:t>云南常青树化工有限公司</w:t>
      </w:r>
      <w:r>
        <w:rPr>
          <w:rFonts w:hint="eastAsia" w:ascii="宋体" w:hAnsi="宋体"/>
          <w:color w:val="auto"/>
          <w:sz w:val="32"/>
          <w:szCs w:val="32"/>
          <w:u w:val="single"/>
        </w:rPr>
        <w:t xml:space="preserve">  </w:t>
      </w:r>
      <w:r>
        <w:rPr>
          <w:rFonts w:ascii="宋体" w:hAnsi="宋体"/>
          <w:color w:val="auto"/>
          <w:sz w:val="32"/>
          <w:szCs w:val="32"/>
          <w:u w:val="single"/>
        </w:rPr>
        <w:t xml:space="preserve">  </w:t>
      </w:r>
      <w:r>
        <w:rPr>
          <w:rFonts w:hint="eastAsia" w:ascii="宋体" w:hAnsi="宋体"/>
          <w:color w:val="auto"/>
          <w:sz w:val="32"/>
          <w:szCs w:val="32"/>
          <w:u w:val="single"/>
        </w:rPr>
        <w:t xml:space="preserve">  </w:t>
      </w:r>
      <w:r>
        <w:rPr>
          <w:rFonts w:ascii="宋体" w:hAnsi="宋体"/>
          <w:color w:val="auto"/>
          <w:sz w:val="32"/>
          <w:szCs w:val="32"/>
          <w:u w:val="single"/>
        </w:rPr>
        <w:t xml:space="preserve">  </w:t>
      </w:r>
    </w:p>
    <w:p w14:paraId="661FFD9E">
      <w:pPr>
        <w:adjustRightInd w:val="0"/>
        <w:snapToGrid w:val="0"/>
        <w:spacing w:line="300" w:lineRule="auto"/>
        <w:ind w:firstLine="320" w:firstLineChars="100"/>
        <w:rPr>
          <w:rFonts w:ascii="仿宋_GB2312" w:eastAsia="仿宋_GB2312"/>
          <w:color w:val="auto"/>
          <w:sz w:val="36"/>
          <w:szCs w:val="36"/>
          <w:u w:val="single"/>
        </w:rPr>
      </w:pPr>
      <w:r>
        <w:rPr>
          <w:rFonts w:ascii="宋体" w:hAnsi="宋体"/>
          <w:color w:val="auto"/>
          <w:sz w:val="32"/>
          <w:szCs w:val="32"/>
        </w:rPr>
        <w:t>编制日期：</w:t>
      </w:r>
      <w:r>
        <w:rPr>
          <w:rFonts w:ascii="宋体" w:hAnsi="宋体"/>
          <w:color w:val="auto"/>
          <w:sz w:val="32"/>
          <w:szCs w:val="32"/>
          <w:u w:val="single"/>
        </w:rPr>
        <w:t xml:space="preserve">            </w:t>
      </w:r>
      <w:r>
        <w:rPr>
          <w:color w:val="auto"/>
          <w:sz w:val="32"/>
          <w:szCs w:val="32"/>
          <w:u w:val="single"/>
        </w:rPr>
        <w:t>202</w:t>
      </w:r>
      <w:r>
        <w:rPr>
          <w:rFonts w:hint="eastAsia"/>
          <w:color w:val="auto"/>
          <w:sz w:val="32"/>
          <w:szCs w:val="32"/>
          <w:u w:val="single"/>
          <w:lang w:val="en-US" w:eastAsia="zh-CN"/>
        </w:rPr>
        <w:t>4</w:t>
      </w:r>
      <w:r>
        <w:rPr>
          <w:rFonts w:hAnsi="宋体"/>
          <w:color w:val="auto"/>
          <w:sz w:val="32"/>
          <w:szCs w:val="32"/>
          <w:u w:val="single"/>
        </w:rPr>
        <w:t>年</w:t>
      </w:r>
      <w:r>
        <w:rPr>
          <w:rFonts w:hint="eastAsia" w:hAnsi="宋体"/>
          <w:color w:val="auto"/>
          <w:sz w:val="32"/>
          <w:szCs w:val="32"/>
          <w:u w:val="single"/>
          <w:lang w:val="en-US" w:eastAsia="zh-CN"/>
        </w:rPr>
        <w:t>12</w:t>
      </w:r>
      <w:r>
        <w:rPr>
          <w:rFonts w:hAnsi="宋体"/>
          <w:color w:val="auto"/>
          <w:sz w:val="32"/>
          <w:szCs w:val="32"/>
          <w:u w:val="single"/>
        </w:rPr>
        <w:t>月</w:t>
      </w:r>
      <w:r>
        <w:rPr>
          <w:rFonts w:ascii="宋体" w:hAnsi="宋体"/>
          <w:color w:val="auto"/>
          <w:sz w:val="32"/>
          <w:szCs w:val="32"/>
          <w:u w:val="single"/>
        </w:rPr>
        <w:t xml:space="preserve">               </w:t>
      </w:r>
      <w:r>
        <w:rPr>
          <w:rFonts w:eastAsia="仿宋_GB2312"/>
          <w:color w:val="auto"/>
          <w:sz w:val="36"/>
          <w:szCs w:val="36"/>
          <w:u w:val="single"/>
        </w:rPr>
        <w:t xml:space="preserve"> </w:t>
      </w:r>
      <w:r>
        <w:rPr>
          <w:rFonts w:hint="eastAsia" w:ascii="仿宋_GB2312" w:eastAsia="仿宋_GB2312"/>
          <w:color w:val="auto"/>
          <w:sz w:val="36"/>
          <w:szCs w:val="36"/>
          <w:u w:val="single"/>
        </w:rPr>
        <w:t xml:space="preserve">    </w:t>
      </w:r>
    </w:p>
    <w:p w14:paraId="09E62EDD">
      <w:pPr>
        <w:adjustRightInd w:val="0"/>
        <w:snapToGrid w:val="0"/>
        <w:spacing w:line="288" w:lineRule="auto"/>
        <w:ind w:firstLine="1040"/>
        <w:rPr>
          <w:rFonts w:ascii="仿宋_GB2312" w:eastAsia="仿宋_GB2312"/>
          <w:color w:val="auto"/>
          <w:sz w:val="36"/>
          <w:szCs w:val="36"/>
          <w:u w:val="single"/>
        </w:rPr>
      </w:pPr>
      <w:bookmarkStart w:id="1" w:name="_Hlk57884087"/>
    </w:p>
    <w:p w14:paraId="47B63AF1">
      <w:pPr>
        <w:adjustRightInd w:val="0"/>
        <w:snapToGrid w:val="0"/>
        <w:spacing w:line="288" w:lineRule="auto"/>
        <w:ind w:firstLine="1040"/>
        <w:rPr>
          <w:rFonts w:ascii="仿宋_GB2312" w:eastAsia="仿宋_GB2312"/>
          <w:color w:val="auto"/>
          <w:sz w:val="36"/>
          <w:szCs w:val="36"/>
        </w:rPr>
      </w:pPr>
    </w:p>
    <w:p w14:paraId="63A147A3">
      <w:pPr>
        <w:adjustRightInd w:val="0"/>
        <w:snapToGrid w:val="0"/>
        <w:spacing w:line="288" w:lineRule="auto"/>
        <w:ind w:firstLine="1040"/>
        <w:rPr>
          <w:rFonts w:ascii="仿宋_GB2312" w:eastAsia="仿宋_GB2312"/>
          <w:color w:val="auto"/>
          <w:sz w:val="36"/>
          <w:szCs w:val="36"/>
        </w:rPr>
      </w:pPr>
    </w:p>
    <w:p w14:paraId="229D07F4">
      <w:pPr>
        <w:adjustRightInd w:val="0"/>
        <w:snapToGrid w:val="0"/>
        <w:spacing w:line="288" w:lineRule="auto"/>
        <w:ind w:firstLine="1040"/>
        <w:rPr>
          <w:rFonts w:ascii="仿宋_GB2312" w:eastAsia="仿宋_GB2312"/>
          <w:color w:val="auto"/>
          <w:sz w:val="36"/>
          <w:szCs w:val="36"/>
        </w:rPr>
      </w:pPr>
    </w:p>
    <w:bookmarkEnd w:id="1"/>
    <w:p w14:paraId="14674962">
      <w:pPr>
        <w:adjustRightInd w:val="0"/>
        <w:snapToGrid w:val="0"/>
        <w:spacing w:line="360" w:lineRule="auto"/>
        <w:jc w:val="center"/>
        <w:rPr>
          <w:rFonts w:ascii="楷体_GB2312" w:eastAsia="楷体_GB2312"/>
          <w:color w:val="auto"/>
          <w:sz w:val="36"/>
          <w:szCs w:val="36"/>
        </w:rPr>
      </w:pPr>
      <w:r>
        <w:rPr>
          <w:rFonts w:hint="eastAsia" w:ascii="楷体_GB2312" w:eastAsia="楷体_GB2312"/>
          <w:color w:val="auto"/>
          <w:sz w:val="36"/>
          <w:szCs w:val="36"/>
        </w:rPr>
        <w:t>中华人民共和国生态环境部制</w:t>
      </w:r>
    </w:p>
    <w:p w14:paraId="37C93FB5">
      <w:pPr>
        <w:adjustRightInd w:val="0"/>
        <w:snapToGrid w:val="0"/>
        <w:spacing w:line="288" w:lineRule="auto"/>
        <w:ind w:firstLine="1040"/>
        <w:rPr>
          <w:rFonts w:ascii="仿宋_GB2312" w:eastAsia="仿宋_GB2312"/>
          <w:color w:val="auto"/>
          <w:sz w:val="36"/>
          <w:szCs w:val="36"/>
        </w:rPr>
        <w:sectPr>
          <w:headerReference r:id="rId3" w:type="default"/>
          <w:footerReference r:id="rId4" w:type="default"/>
          <w:footerReference r:id="rId5"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6D9FC76E">
      <w:pPr>
        <w:pStyle w:val="81"/>
        <w:ind w:firstLine="0"/>
        <w:jc w:val="center"/>
        <w:rPr>
          <w:b/>
          <w:bCs/>
          <w:color w:val="auto"/>
          <w:sz w:val="30"/>
          <w:szCs w:val="30"/>
        </w:rPr>
      </w:pPr>
    </w:p>
    <w:p w14:paraId="51E85CAB">
      <w:pPr>
        <w:spacing w:line="360" w:lineRule="auto"/>
        <w:jc w:val="center"/>
        <w:rPr>
          <w:rFonts w:hAnsi="宋体"/>
          <w:b/>
          <w:color w:val="auto"/>
          <w:sz w:val="24"/>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2D539D02">
      <w:pPr>
        <w:spacing w:line="360" w:lineRule="auto"/>
        <w:jc w:val="center"/>
        <w:rPr>
          <w:b/>
          <w:color w:val="auto"/>
          <w:sz w:val="24"/>
        </w:rPr>
      </w:pPr>
      <w:r>
        <w:rPr>
          <w:rFonts w:hAnsi="宋体"/>
          <w:b/>
          <w:color w:val="auto"/>
          <w:sz w:val="24"/>
        </w:rPr>
        <w:t>目录</w:t>
      </w:r>
    </w:p>
    <w:p w14:paraId="5614E197">
      <w:pPr>
        <w:pStyle w:val="31"/>
        <w:tabs>
          <w:tab w:val="right" w:leader="dot" w:pos="8834"/>
        </w:tabs>
        <w:spacing w:line="480" w:lineRule="auto"/>
        <w:rPr>
          <w:b/>
          <w:color w:val="auto"/>
          <w:sz w:val="24"/>
          <w:szCs w:val="24"/>
        </w:rPr>
      </w:pPr>
      <w:r>
        <w:rPr>
          <w:rFonts w:ascii="Times New Roman" w:hAnsi="Times New Roman"/>
          <w:b/>
          <w:color w:val="auto"/>
          <w:sz w:val="24"/>
          <w:szCs w:val="24"/>
        </w:rPr>
        <w:fldChar w:fldCharType="begin"/>
      </w:r>
      <w:r>
        <w:rPr>
          <w:rFonts w:ascii="Times New Roman" w:hAnsi="Times New Roman"/>
          <w:b/>
          <w:color w:val="auto"/>
          <w:sz w:val="24"/>
          <w:szCs w:val="24"/>
        </w:rPr>
        <w:instrText xml:space="preserve"> TOC \o "1-3" \h \z \u </w:instrText>
      </w:r>
      <w:r>
        <w:rPr>
          <w:rFonts w:ascii="Times New Roman" w:hAnsi="Times New Roman"/>
          <w:b/>
          <w:color w:val="auto"/>
          <w:sz w:val="24"/>
          <w:szCs w:val="24"/>
        </w:rPr>
        <w:fldChar w:fldCharType="separate"/>
      </w:r>
    </w:p>
    <w:p w14:paraId="66B0E265">
      <w:pPr>
        <w:pStyle w:val="31"/>
        <w:tabs>
          <w:tab w:val="right" w:leader="dot" w:pos="8834"/>
        </w:tabs>
        <w:spacing w:line="480" w:lineRule="auto"/>
        <w:rPr>
          <w:rFonts w:hint="eastAsia" w:ascii="Times New Roman" w:hAnsi="Times New Roman" w:eastAsia="宋体"/>
          <w:b/>
          <w:color w:val="auto"/>
          <w:sz w:val="24"/>
          <w:szCs w:val="24"/>
          <w:lang w:val="en-US" w:eastAsia="zh-CN"/>
        </w:rPr>
      </w:pPr>
      <w:r>
        <w:rPr>
          <w:color w:val="auto"/>
        </w:rPr>
        <w:fldChar w:fldCharType="begin"/>
      </w:r>
      <w:r>
        <w:rPr>
          <w:color w:val="auto"/>
        </w:rPr>
        <w:instrText xml:space="preserve"> HYPERLINK \l "_Toc69399386" </w:instrText>
      </w:r>
      <w:r>
        <w:rPr>
          <w:color w:val="auto"/>
        </w:rPr>
        <w:fldChar w:fldCharType="separate"/>
      </w:r>
      <w:r>
        <w:rPr>
          <w:rStyle w:val="55"/>
          <w:rFonts w:ascii="Times New Roman"/>
          <w:b/>
          <w:snapToGrid w:val="0"/>
          <w:color w:val="auto"/>
          <w:sz w:val="24"/>
          <w:szCs w:val="24"/>
        </w:rPr>
        <w:t>一、建设项目基本情况</w:t>
      </w:r>
      <w:r>
        <w:rPr>
          <w:rFonts w:ascii="Times New Roman" w:hAnsi="Times New Roman"/>
          <w:b/>
          <w:color w:val="auto"/>
          <w:sz w:val="24"/>
          <w:szCs w:val="24"/>
        </w:rPr>
        <w:tab/>
      </w:r>
      <w:r>
        <w:rPr>
          <w:rFonts w:hint="eastAsia" w:ascii="Times New Roman" w:hAnsi="Times New Roman"/>
          <w:b/>
          <w:color w:val="auto"/>
          <w:sz w:val="24"/>
          <w:szCs w:val="24"/>
          <w:lang w:val="en-US" w:eastAsia="zh-CN"/>
        </w:rPr>
        <w:t>-</w:t>
      </w:r>
      <w:r>
        <w:rPr>
          <w:rFonts w:ascii="Times New Roman" w:hAnsi="Times New Roman"/>
          <w:b/>
          <w:color w:val="auto"/>
          <w:sz w:val="24"/>
          <w:szCs w:val="24"/>
        </w:rPr>
        <w:fldChar w:fldCharType="begin"/>
      </w:r>
      <w:r>
        <w:rPr>
          <w:rFonts w:ascii="Times New Roman" w:hAnsi="Times New Roman"/>
          <w:b/>
          <w:color w:val="auto"/>
          <w:sz w:val="24"/>
          <w:szCs w:val="24"/>
        </w:rPr>
        <w:instrText xml:space="preserve"> PAGEREF _Toc69399386 \h </w:instrText>
      </w:r>
      <w:r>
        <w:rPr>
          <w:rFonts w:ascii="Times New Roman" w:hAnsi="Times New Roman"/>
          <w:b/>
          <w:color w:val="auto"/>
          <w:sz w:val="24"/>
          <w:szCs w:val="24"/>
        </w:rPr>
        <w:fldChar w:fldCharType="separate"/>
      </w:r>
      <w:r>
        <w:rPr>
          <w:rFonts w:ascii="Times New Roman" w:hAnsi="Times New Roman"/>
          <w:b/>
          <w:color w:val="auto"/>
          <w:sz w:val="24"/>
          <w:szCs w:val="24"/>
        </w:rPr>
        <w:t>1</w:t>
      </w:r>
      <w:r>
        <w:rPr>
          <w:rFonts w:ascii="Times New Roman" w:hAnsi="Times New Roman"/>
          <w:b/>
          <w:color w:val="auto"/>
          <w:sz w:val="24"/>
          <w:szCs w:val="24"/>
        </w:rPr>
        <w:fldChar w:fldCharType="end"/>
      </w:r>
      <w:r>
        <w:rPr>
          <w:rFonts w:ascii="Times New Roman" w:hAnsi="Times New Roman"/>
          <w:b/>
          <w:color w:val="auto"/>
          <w:sz w:val="24"/>
          <w:szCs w:val="24"/>
        </w:rPr>
        <w:fldChar w:fldCharType="end"/>
      </w:r>
      <w:r>
        <w:rPr>
          <w:rFonts w:hint="eastAsia" w:ascii="Times New Roman" w:hAnsi="Times New Roman"/>
          <w:b/>
          <w:color w:val="auto"/>
          <w:sz w:val="24"/>
          <w:szCs w:val="24"/>
          <w:lang w:val="en-US" w:eastAsia="zh-CN"/>
        </w:rPr>
        <w:t>-</w:t>
      </w:r>
    </w:p>
    <w:p w14:paraId="2292090E">
      <w:pPr>
        <w:pStyle w:val="31"/>
        <w:tabs>
          <w:tab w:val="right" w:leader="dot" w:pos="8834"/>
        </w:tabs>
        <w:spacing w:line="480" w:lineRule="auto"/>
        <w:rPr>
          <w:rFonts w:hint="default" w:ascii="Times New Roman" w:hAnsi="Times New Roman" w:eastAsia="宋体"/>
          <w:b/>
          <w:color w:val="auto"/>
          <w:sz w:val="24"/>
          <w:szCs w:val="24"/>
          <w:lang w:val="en-US" w:eastAsia="zh-CN"/>
        </w:rPr>
      </w:pPr>
      <w:r>
        <w:rPr>
          <w:color w:val="auto"/>
        </w:rPr>
        <w:fldChar w:fldCharType="begin"/>
      </w:r>
      <w:r>
        <w:rPr>
          <w:color w:val="auto"/>
        </w:rPr>
        <w:instrText xml:space="preserve"> HYPERLINK \l "_Toc69399387" </w:instrText>
      </w:r>
      <w:r>
        <w:rPr>
          <w:color w:val="auto"/>
        </w:rPr>
        <w:fldChar w:fldCharType="separate"/>
      </w:r>
      <w:r>
        <w:rPr>
          <w:rStyle w:val="55"/>
          <w:rFonts w:ascii="Times New Roman"/>
          <w:b/>
          <w:snapToGrid w:val="0"/>
          <w:color w:val="auto"/>
          <w:sz w:val="24"/>
          <w:szCs w:val="24"/>
        </w:rPr>
        <w:t>二、建设项目工程分析</w:t>
      </w:r>
      <w:r>
        <w:rPr>
          <w:rFonts w:ascii="Times New Roman" w:hAnsi="Times New Roman"/>
          <w:b/>
          <w:color w:val="auto"/>
          <w:sz w:val="24"/>
          <w:szCs w:val="24"/>
        </w:rPr>
        <w:tab/>
      </w:r>
      <w:r>
        <w:rPr>
          <w:rFonts w:hint="eastAsia" w:ascii="Times New Roman" w:hAnsi="Times New Roman"/>
          <w:b/>
          <w:color w:val="auto"/>
          <w:sz w:val="24"/>
          <w:szCs w:val="24"/>
          <w:lang w:val="en-US" w:eastAsia="zh-CN"/>
        </w:rPr>
        <w:t>-3</w:t>
      </w:r>
      <w:r>
        <w:rPr>
          <w:rFonts w:ascii="Times New Roman" w:hAnsi="Times New Roman"/>
          <w:b/>
          <w:color w:val="auto"/>
          <w:sz w:val="24"/>
          <w:szCs w:val="24"/>
        </w:rPr>
        <w:fldChar w:fldCharType="end"/>
      </w:r>
      <w:r>
        <w:rPr>
          <w:rFonts w:hint="eastAsia" w:ascii="Times New Roman" w:hAnsi="Times New Roman"/>
          <w:b/>
          <w:color w:val="auto"/>
          <w:sz w:val="24"/>
          <w:szCs w:val="24"/>
          <w:lang w:val="en-US" w:eastAsia="zh-CN"/>
        </w:rPr>
        <w:t>0-</w:t>
      </w:r>
    </w:p>
    <w:p w14:paraId="52BEA46C">
      <w:pPr>
        <w:pStyle w:val="31"/>
        <w:tabs>
          <w:tab w:val="right" w:leader="dot" w:pos="8834"/>
        </w:tabs>
        <w:spacing w:line="480" w:lineRule="auto"/>
        <w:rPr>
          <w:rFonts w:ascii="Times New Roman" w:hAnsi="Times New Roman"/>
          <w:b/>
          <w:color w:val="auto"/>
          <w:sz w:val="24"/>
          <w:szCs w:val="24"/>
        </w:rPr>
      </w:pPr>
      <w:r>
        <w:rPr>
          <w:color w:val="auto"/>
        </w:rPr>
        <w:fldChar w:fldCharType="begin"/>
      </w:r>
      <w:r>
        <w:rPr>
          <w:color w:val="auto"/>
        </w:rPr>
        <w:instrText xml:space="preserve"> HYPERLINK \l "_Toc69399388" </w:instrText>
      </w:r>
      <w:r>
        <w:rPr>
          <w:color w:val="auto"/>
        </w:rPr>
        <w:fldChar w:fldCharType="separate"/>
      </w:r>
      <w:r>
        <w:rPr>
          <w:rStyle w:val="55"/>
          <w:rFonts w:ascii="Times New Roman"/>
          <w:b/>
          <w:snapToGrid w:val="0"/>
          <w:color w:val="auto"/>
          <w:sz w:val="24"/>
          <w:szCs w:val="24"/>
        </w:rPr>
        <w:t>三、区域环境质量现状、环境保护目标及评价标准</w:t>
      </w:r>
      <w:r>
        <w:rPr>
          <w:rFonts w:ascii="Times New Roman" w:hAnsi="Times New Roman"/>
          <w:b/>
          <w:color w:val="auto"/>
          <w:sz w:val="24"/>
          <w:szCs w:val="24"/>
        </w:rPr>
        <w:tab/>
      </w:r>
      <w:r>
        <w:rPr>
          <w:rFonts w:ascii="Times New Roman" w:hAnsi="Times New Roman"/>
          <w:b/>
          <w:color w:val="auto"/>
          <w:sz w:val="24"/>
          <w:szCs w:val="24"/>
        </w:rPr>
        <w:fldChar w:fldCharType="begin"/>
      </w:r>
      <w:r>
        <w:rPr>
          <w:rFonts w:ascii="Times New Roman" w:hAnsi="Times New Roman"/>
          <w:b/>
          <w:color w:val="auto"/>
          <w:sz w:val="24"/>
          <w:szCs w:val="24"/>
        </w:rPr>
        <w:instrText xml:space="preserve"> PAGEREF _Toc69399388 \h </w:instrText>
      </w:r>
      <w:r>
        <w:rPr>
          <w:rFonts w:ascii="Times New Roman" w:hAnsi="Times New Roman"/>
          <w:b/>
          <w:color w:val="auto"/>
          <w:sz w:val="24"/>
          <w:szCs w:val="24"/>
        </w:rPr>
        <w:fldChar w:fldCharType="separate"/>
      </w:r>
      <w:r>
        <w:rPr>
          <w:rFonts w:ascii="Times New Roman" w:hAnsi="Times New Roman"/>
          <w:b/>
          <w:color w:val="auto"/>
          <w:sz w:val="24"/>
          <w:szCs w:val="24"/>
        </w:rPr>
        <w:t>- 50 -</w:t>
      </w:r>
      <w:r>
        <w:rPr>
          <w:rFonts w:ascii="Times New Roman" w:hAnsi="Times New Roman"/>
          <w:b/>
          <w:color w:val="auto"/>
          <w:sz w:val="24"/>
          <w:szCs w:val="24"/>
        </w:rPr>
        <w:fldChar w:fldCharType="end"/>
      </w:r>
      <w:r>
        <w:rPr>
          <w:rFonts w:ascii="Times New Roman" w:hAnsi="Times New Roman"/>
          <w:b/>
          <w:color w:val="auto"/>
          <w:sz w:val="24"/>
          <w:szCs w:val="24"/>
        </w:rPr>
        <w:fldChar w:fldCharType="end"/>
      </w:r>
    </w:p>
    <w:p w14:paraId="68961CB4">
      <w:pPr>
        <w:pStyle w:val="31"/>
        <w:tabs>
          <w:tab w:val="right" w:leader="dot" w:pos="8834"/>
        </w:tabs>
        <w:spacing w:line="480" w:lineRule="auto"/>
        <w:rPr>
          <w:rFonts w:ascii="Times New Roman" w:hAnsi="Times New Roman"/>
          <w:b/>
          <w:color w:val="auto"/>
          <w:sz w:val="24"/>
          <w:szCs w:val="24"/>
        </w:rPr>
      </w:pPr>
      <w:r>
        <w:rPr>
          <w:color w:val="auto"/>
        </w:rPr>
        <w:fldChar w:fldCharType="begin"/>
      </w:r>
      <w:r>
        <w:rPr>
          <w:color w:val="auto"/>
        </w:rPr>
        <w:instrText xml:space="preserve"> HYPERLINK \l "_Toc69399390" </w:instrText>
      </w:r>
      <w:r>
        <w:rPr>
          <w:color w:val="auto"/>
        </w:rPr>
        <w:fldChar w:fldCharType="separate"/>
      </w:r>
      <w:r>
        <w:rPr>
          <w:rStyle w:val="55"/>
          <w:rFonts w:ascii="Times New Roman"/>
          <w:b/>
          <w:snapToGrid w:val="0"/>
          <w:color w:val="auto"/>
          <w:sz w:val="24"/>
          <w:szCs w:val="24"/>
        </w:rPr>
        <w:t>四、主要环境影响和保护措施</w:t>
      </w:r>
      <w:r>
        <w:rPr>
          <w:rFonts w:ascii="Times New Roman" w:hAnsi="Times New Roman"/>
          <w:b/>
          <w:color w:val="auto"/>
          <w:sz w:val="24"/>
          <w:szCs w:val="24"/>
        </w:rPr>
        <w:tab/>
      </w:r>
      <w:r>
        <w:rPr>
          <w:rFonts w:ascii="Times New Roman" w:hAnsi="Times New Roman"/>
          <w:b/>
          <w:color w:val="auto"/>
          <w:sz w:val="24"/>
          <w:szCs w:val="24"/>
        </w:rPr>
        <w:fldChar w:fldCharType="begin"/>
      </w:r>
      <w:r>
        <w:rPr>
          <w:rFonts w:ascii="Times New Roman" w:hAnsi="Times New Roman"/>
          <w:b/>
          <w:color w:val="auto"/>
          <w:sz w:val="24"/>
          <w:szCs w:val="24"/>
        </w:rPr>
        <w:instrText xml:space="preserve"> PAGEREF _Toc69399390 \h </w:instrText>
      </w:r>
      <w:r>
        <w:rPr>
          <w:rFonts w:ascii="Times New Roman" w:hAnsi="Times New Roman"/>
          <w:b/>
          <w:color w:val="auto"/>
          <w:sz w:val="24"/>
          <w:szCs w:val="24"/>
        </w:rPr>
        <w:fldChar w:fldCharType="separate"/>
      </w:r>
      <w:r>
        <w:rPr>
          <w:rFonts w:ascii="Times New Roman" w:hAnsi="Times New Roman"/>
          <w:b/>
          <w:color w:val="auto"/>
          <w:sz w:val="24"/>
          <w:szCs w:val="24"/>
        </w:rPr>
        <w:t>- 84 -</w:t>
      </w:r>
      <w:r>
        <w:rPr>
          <w:rFonts w:ascii="Times New Roman" w:hAnsi="Times New Roman"/>
          <w:b/>
          <w:color w:val="auto"/>
          <w:sz w:val="24"/>
          <w:szCs w:val="24"/>
        </w:rPr>
        <w:fldChar w:fldCharType="end"/>
      </w:r>
      <w:r>
        <w:rPr>
          <w:rFonts w:ascii="Times New Roman" w:hAnsi="Times New Roman"/>
          <w:b/>
          <w:color w:val="auto"/>
          <w:sz w:val="24"/>
          <w:szCs w:val="24"/>
        </w:rPr>
        <w:fldChar w:fldCharType="end"/>
      </w:r>
    </w:p>
    <w:p w14:paraId="6798884C">
      <w:pPr>
        <w:pStyle w:val="31"/>
        <w:tabs>
          <w:tab w:val="right" w:leader="dot" w:pos="8834"/>
        </w:tabs>
        <w:spacing w:line="480" w:lineRule="auto"/>
        <w:rPr>
          <w:rFonts w:ascii="Times New Roman" w:hAnsi="Times New Roman"/>
          <w:b/>
          <w:color w:val="auto"/>
          <w:sz w:val="24"/>
          <w:szCs w:val="24"/>
        </w:rPr>
      </w:pPr>
      <w:r>
        <w:rPr>
          <w:color w:val="auto"/>
        </w:rPr>
        <w:fldChar w:fldCharType="begin"/>
      </w:r>
      <w:r>
        <w:rPr>
          <w:color w:val="auto"/>
        </w:rPr>
        <w:instrText xml:space="preserve"> HYPERLINK \l "_Toc69399406" </w:instrText>
      </w:r>
      <w:r>
        <w:rPr>
          <w:color w:val="auto"/>
        </w:rPr>
        <w:fldChar w:fldCharType="separate"/>
      </w:r>
      <w:r>
        <w:rPr>
          <w:rStyle w:val="55"/>
          <w:rFonts w:ascii="Times New Roman"/>
          <w:b/>
          <w:snapToGrid w:val="0"/>
          <w:color w:val="auto"/>
          <w:sz w:val="24"/>
          <w:szCs w:val="24"/>
        </w:rPr>
        <w:t>五、环境保护措施监督检查清单</w:t>
      </w:r>
      <w:r>
        <w:rPr>
          <w:rFonts w:ascii="Times New Roman" w:hAnsi="Times New Roman"/>
          <w:b/>
          <w:color w:val="auto"/>
          <w:sz w:val="24"/>
          <w:szCs w:val="24"/>
        </w:rPr>
        <w:tab/>
      </w:r>
      <w:r>
        <w:rPr>
          <w:rFonts w:ascii="Times New Roman" w:hAnsi="Times New Roman"/>
          <w:b/>
          <w:color w:val="auto"/>
          <w:sz w:val="24"/>
          <w:szCs w:val="24"/>
        </w:rPr>
        <w:fldChar w:fldCharType="begin"/>
      </w:r>
      <w:r>
        <w:rPr>
          <w:rFonts w:ascii="Times New Roman" w:hAnsi="Times New Roman"/>
          <w:b/>
          <w:color w:val="auto"/>
          <w:sz w:val="24"/>
          <w:szCs w:val="24"/>
        </w:rPr>
        <w:instrText xml:space="preserve"> PAGEREF _Toc69399406 \h </w:instrText>
      </w:r>
      <w:r>
        <w:rPr>
          <w:rFonts w:ascii="Times New Roman" w:hAnsi="Times New Roman"/>
          <w:b/>
          <w:color w:val="auto"/>
          <w:sz w:val="24"/>
          <w:szCs w:val="24"/>
        </w:rPr>
        <w:fldChar w:fldCharType="separate"/>
      </w:r>
      <w:r>
        <w:rPr>
          <w:rFonts w:ascii="Times New Roman" w:hAnsi="Times New Roman"/>
          <w:b/>
          <w:color w:val="auto"/>
          <w:sz w:val="24"/>
          <w:szCs w:val="24"/>
        </w:rPr>
        <w:t>- 115 -</w:t>
      </w:r>
      <w:r>
        <w:rPr>
          <w:rFonts w:ascii="Times New Roman" w:hAnsi="Times New Roman"/>
          <w:b/>
          <w:color w:val="auto"/>
          <w:sz w:val="24"/>
          <w:szCs w:val="24"/>
        </w:rPr>
        <w:fldChar w:fldCharType="end"/>
      </w:r>
      <w:r>
        <w:rPr>
          <w:rFonts w:ascii="Times New Roman" w:hAnsi="Times New Roman"/>
          <w:b/>
          <w:color w:val="auto"/>
          <w:sz w:val="24"/>
          <w:szCs w:val="24"/>
        </w:rPr>
        <w:fldChar w:fldCharType="end"/>
      </w:r>
    </w:p>
    <w:p w14:paraId="1D6871D8">
      <w:pPr>
        <w:pStyle w:val="31"/>
        <w:tabs>
          <w:tab w:val="right" w:leader="dot" w:pos="8834"/>
        </w:tabs>
        <w:spacing w:line="480" w:lineRule="auto"/>
        <w:rPr>
          <w:rFonts w:ascii="Times New Roman" w:hAnsi="Times New Roman"/>
          <w:b/>
          <w:color w:val="auto"/>
          <w:sz w:val="24"/>
          <w:szCs w:val="24"/>
        </w:rPr>
      </w:pPr>
      <w:r>
        <w:rPr>
          <w:color w:val="auto"/>
        </w:rPr>
        <w:fldChar w:fldCharType="begin"/>
      </w:r>
      <w:r>
        <w:rPr>
          <w:color w:val="auto"/>
        </w:rPr>
        <w:instrText xml:space="preserve"> HYPERLINK \l "_Toc69399407" </w:instrText>
      </w:r>
      <w:r>
        <w:rPr>
          <w:color w:val="auto"/>
        </w:rPr>
        <w:fldChar w:fldCharType="separate"/>
      </w:r>
      <w:r>
        <w:rPr>
          <w:rStyle w:val="55"/>
          <w:rFonts w:ascii="Times New Roman"/>
          <w:b/>
          <w:snapToGrid w:val="0"/>
          <w:color w:val="auto"/>
          <w:sz w:val="24"/>
          <w:szCs w:val="24"/>
        </w:rPr>
        <w:t>六、结论</w:t>
      </w:r>
      <w:r>
        <w:rPr>
          <w:rFonts w:ascii="Times New Roman" w:hAnsi="Times New Roman"/>
          <w:b/>
          <w:color w:val="auto"/>
          <w:sz w:val="24"/>
          <w:szCs w:val="24"/>
        </w:rPr>
        <w:tab/>
      </w:r>
      <w:r>
        <w:rPr>
          <w:rFonts w:ascii="Times New Roman" w:hAnsi="Times New Roman"/>
          <w:b/>
          <w:color w:val="auto"/>
          <w:sz w:val="24"/>
          <w:szCs w:val="24"/>
        </w:rPr>
        <w:fldChar w:fldCharType="begin"/>
      </w:r>
      <w:r>
        <w:rPr>
          <w:rFonts w:ascii="Times New Roman" w:hAnsi="Times New Roman"/>
          <w:b/>
          <w:color w:val="auto"/>
          <w:sz w:val="24"/>
          <w:szCs w:val="24"/>
        </w:rPr>
        <w:instrText xml:space="preserve"> PAGEREF _Toc69399407 \h </w:instrText>
      </w:r>
      <w:r>
        <w:rPr>
          <w:rFonts w:ascii="Times New Roman" w:hAnsi="Times New Roman"/>
          <w:b/>
          <w:color w:val="auto"/>
          <w:sz w:val="24"/>
          <w:szCs w:val="24"/>
        </w:rPr>
        <w:fldChar w:fldCharType="separate"/>
      </w:r>
      <w:r>
        <w:rPr>
          <w:rFonts w:ascii="Times New Roman" w:hAnsi="Times New Roman"/>
          <w:b/>
          <w:color w:val="auto"/>
          <w:sz w:val="24"/>
          <w:szCs w:val="24"/>
        </w:rPr>
        <w:t>- 117 -</w:t>
      </w:r>
      <w:r>
        <w:rPr>
          <w:rFonts w:ascii="Times New Roman" w:hAnsi="Times New Roman"/>
          <w:b/>
          <w:color w:val="auto"/>
          <w:sz w:val="24"/>
          <w:szCs w:val="24"/>
        </w:rPr>
        <w:fldChar w:fldCharType="end"/>
      </w:r>
      <w:r>
        <w:rPr>
          <w:rFonts w:ascii="Times New Roman" w:hAnsi="Times New Roman"/>
          <w:b/>
          <w:color w:val="auto"/>
          <w:sz w:val="24"/>
          <w:szCs w:val="24"/>
        </w:rPr>
        <w:fldChar w:fldCharType="end"/>
      </w:r>
    </w:p>
    <w:p w14:paraId="5DDED50D">
      <w:pPr>
        <w:spacing w:line="480" w:lineRule="auto"/>
        <w:rPr>
          <w:b/>
          <w:color w:val="auto"/>
          <w:sz w:val="24"/>
        </w:rPr>
      </w:pPr>
      <w:r>
        <w:rPr>
          <w:b/>
          <w:color w:val="auto"/>
          <w:sz w:val="24"/>
        </w:rPr>
        <w:fldChar w:fldCharType="end"/>
      </w:r>
      <w:bookmarkStart w:id="2" w:name="_Toc327197886"/>
    </w:p>
    <w:p w14:paraId="72A60FD5">
      <w:pPr>
        <w:spacing w:line="276" w:lineRule="auto"/>
        <w:rPr>
          <w:b/>
          <w:color w:val="auto"/>
          <w:sz w:val="24"/>
        </w:rPr>
      </w:pPr>
      <w:r>
        <w:rPr>
          <w:b/>
          <w:color w:val="auto"/>
          <w:sz w:val="24"/>
        </w:rPr>
        <w:br w:type="page"/>
      </w:r>
      <w:bookmarkEnd w:id="2"/>
      <w:bookmarkStart w:id="3" w:name="_Toc327197887"/>
      <w:r>
        <w:rPr>
          <w:rFonts w:hAnsi="宋体"/>
          <w:b/>
          <w:color w:val="auto"/>
          <w:sz w:val="24"/>
        </w:rPr>
        <w:t>附件</w:t>
      </w:r>
    </w:p>
    <w:bookmarkEnd w:id="3"/>
    <w:p w14:paraId="379F0A08">
      <w:pPr>
        <w:spacing w:line="360" w:lineRule="auto"/>
        <w:rPr>
          <w:rFonts w:hint="default" w:eastAsia="宋体"/>
          <w:bCs/>
          <w:caps/>
          <w:color w:val="auto"/>
          <w:sz w:val="24"/>
          <w:szCs w:val="28"/>
          <w:lang w:val="en-US" w:eastAsia="zh-CN"/>
        </w:rPr>
      </w:pPr>
      <w:r>
        <w:rPr>
          <w:rFonts w:hAnsi="宋体"/>
          <w:bCs/>
          <w:caps/>
          <w:color w:val="auto"/>
          <w:sz w:val="24"/>
          <w:szCs w:val="28"/>
        </w:rPr>
        <w:t>附件</w:t>
      </w:r>
      <w:r>
        <w:rPr>
          <w:bCs/>
          <w:caps/>
          <w:color w:val="auto"/>
          <w:sz w:val="24"/>
          <w:szCs w:val="28"/>
        </w:rPr>
        <w:t>1</w:t>
      </w:r>
      <w:r>
        <w:rPr>
          <w:rFonts w:hint="eastAsia"/>
          <w:bCs/>
          <w:caps/>
          <w:color w:val="auto"/>
          <w:sz w:val="24"/>
          <w:szCs w:val="28"/>
        </w:rPr>
        <w:t>：</w:t>
      </w:r>
      <w:r>
        <w:rPr>
          <w:bCs/>
          <w:caps/>
          <w:color w:val="auto"/>
          <w:sz w:val="24"/>
          <w:szCs w:val="28"/>
        </w:rPr>
        <w:t>委托书</w:t>
      </w:r>
      <w:r>
        <w:rPr>
          <w:rFonts w:hint="eastAsia"/>
          <w:bCs/>
          <w:caps/>
          <w:color w:val="auto"/>
          <w:sz w:val="24"/>
          <w:szCs w:val="28"/>
          <w:lang w:val="en-US" w:eastAsia="zh-CN"/>
        </w:rPr>
        <w:t>及委托合同</w:t>
      </w:r>
    </w:p>
    <w:p w14:paraId="5D1B3432">
      <w:pPr>
        <w:spacing w:line="360" w:lineRule="auto"/>
        <w:rPr>
          <w:bCs/>
          <w:caps/>
          <w:color w:val="auto"/>
          <w:sz w:val="24"/>
          <w:szCs w:val="28"/>
        </w:rPr>
      </w:pPr>
      <w:r>
        <w:rPr>
          <w:rFonts w:hAnsi="宋体"/>
          <w:bCs/>
          <w:caps/>
          <w:color w:val="auto"/>
          <w:sz w:val="24"/>
          <w:szCs w:val="28"/>
        </w:rPr>
        <w:t>附件</w:t>
      </w:r>
      <w:r>
        <w:rPr>
          <w:rFonts w:hint="eastAsia"/>
          <w:bCs/>
          <w:caps/>
          <w:color w:val="auto"/>
          <w:sz w:val="24"/>
          <w:szCs w:val="28"/>
        </w:rPr>
        <w:t>2：</w:t>
      </w:r>
      <w:r>
        <w:rPr>
          <w:rFonts w:hAnsi="宋体"/>
          <w:bCs/>
          <w:caps/>
          <w:color w:val="auto"/>
          <w:sz w:val="24"/>
          <w:szCs w:val="28"/>
        </w:rPr>
        <w:t>投资项目备案证</w:t>
      </w:r>
    </w:p>
    <w:p w14:paraId="2C753FA1">
      <w:pPr>
        <w:spacing w:line="360" w:lineRule="auto"/>
        <w:rPr>
          <w:rFonts w:hAnsi="宋体"/>
          <w:bCs/>
          <w:caps/>
          <w:color w:val="auto"/>
          <w:sz w:val="24"/>
          <w:szCs w:val="28"/>
          <w:highlight w:val="yellow"/>
        </w:rPr>
      </w:pPr>
      <w:r>
        <w:rPr>
          <w:rFonts w:hAnsi="宋体"/>
          <w:bCs/>
          <w:color w:val="auto"/>
          <w:sz w:val="24"/>
        </w:rPr>
        <w:t>附件</w:t>
      </w:r>
      <w:r>
        <w:rPr>
          <w:rFonts w:hint="eastAsia"/>
          <w:bCs/>
          <w:color w:val="auto"/>
          <w:sz w:val="24"/>
        </w:rPr>
        <w:t>3：</w:t>
      </w:r>
      <w:r>
        <w:rPr>
          <w:rFonts w:hint="eastAsia" w:hAnsi="宋体"/>
          <w:bCs/>
          <w:caps/>
          <w:color w:val="auto"/>
          <w:sz w:val="24"/>
          <w:szCs w:val="28"/>
          <w:lang w:eastAsia="zh-CN"/>
        </w:rPr>
        <w:t>云南常青树化工有限公司</w:t>
      </w:r>
      <w:r>
        <w:rPr>
          <w:rFonts w:hAnsi="宋体"/>
          <w:bCs/>
          <w:caps/>
          <w:color w:val="auto"/>
          <w:sz w:val="24"/>
          <w:szCs w:val="28"/>
        </w:rPr>
        <w:t>土地使用证</w:t>
      </w:r>
    </w:p>
    <w:p w14:paraId="7F15FC0F">
      <w:pPr>
        <w:spacing w:line="360" w:lineRule="auto"/>
        <w:rPr>
          <w:rFonts w:hint="default" w:hAnsi="宋体" w:eastAsia="宋体"/>
          <w:bCs/>
          <w:color w:val="auto"/>
          <w:sz w:val="24"/>
          <w:lang w:val="en-US" w:eastAsia="zh-CN"/>
        </w:rPr>
      </w:pPr>
      <w:r>
        <w:rPr>
          <w:rFonts w:hint="eastAsia" w:hAnsi="宋体"/>
          <w:bCs/>
          <w:color w:val="auto"/>
          <w:sz w:val="24"/>
        </w:rPr>
        <w:t>附件4：</w:t>
      </w:r>
      <w:r>
        <w:rPr>
          <w:rFonts w:hint="eastAsia" w:hAnsi="宋体"/>
          <w:bCs/>
          <w:color w:val="auto"/>
          <w:sz w:val="24"/>
          <w:lang w:val="en-US" w:eastAsia="zh-CN"/>
        </w:rPr>
        <w:t>项目用地是否涉及生态红线和城镇开发边界查询文件</w:t>
      </w:r>
    </w:p>
    <w:p w14:paraId="4F2941B3">
      <w:pPr>
        <w:spacing w:line="360" w:lineRule="auto"/>
        <w:rPr>
          <w:rFonts w:hint="default" w:hAnsi="宋体"/>
          <w:bCs/>
          <w:color w:val="auto"/>
          <w:sz w:val="24"/>
          <w:highlight w:val="yellow"/>
          <w:lang w:val="en-US"/>
        </w:rPr>
      </w:pPr>
      <w:r>
        <w:rPr>
          <w:rFonts w:hint="eastAsia" w:hAnsi="宋体"/>
          <w:bCs/>
          <w:color w:val="auto"/>
          <w:sz w:val="24"/>
          <w:highlight w:val="none"/>
        </w:rPr>
        <w:t>附件5：</w:t>
      </w:r>
      <w:r>
        <w:rPr>
          <w:rFonts w:hint="eastAsia" w:hAnsi="宋体"/>
          <w:bCs/>
          <w:color w:val="auto"/>
          <w:sz w:val="24"/>
          <w:highlight w:val="none"/>
          <w:lang w:val="en-US" w:eastAsia="zh-CN"/>
        </w:rPr>
        <w:t>项目用地是否涉及基本农田查询文件</w:t>
      </w:r>
    </w:p>
    <w:p w14:paraId="55897CB2">
      <w:pPr>
        <w:spacing w:line="360" w:lineRule="auto"/>
        <w:rPr>
          <w:rFonts w:hint="default" w:hAnsi="宋体" w:eastAsia="宋体"/>
          <w:bCs/>
          <w:color w:val="auto"/>
          <w:sz w:val="24"/>
          <w:highlight w:val="none"/>
          <w:lang w:val="en-US" w:eastAsia="zh-CN"/>
        </w:rPr>
      </w:pPr>
      <w:r>
        <w:rPr>
          <w:rFonts w:hAnsi="宋体"/>
          <w:bCs/>
          <w:color w:val="auto"/>
          <w:sz w:val="24"/>
          <w:highlight w:val="none"/>
        </w:rPr>
        <w:t>附件</w:t>
      </w:r>
      <w:r>
        <w:rPr>
          <w:rFonts w:hint="eastAsia" w:hAnsi="宋体"/>
          <w:bCs/>
          <w:color w:val="auto"/>
          <w:sz w:val="24"/>
          <w:highlight w:val="none"/>
        </w:rPr>
        <w:t>6：</w:t>
      </w:r>
      <w:r>
        <w:rPr>
          <w:rFonts w:hint="eastAsia" w:hAnsi="宋体"/>
          <w:bCs/>
          <w:color w:val="auto"/>
          <w:sz w:val="24"/>
          <w:highlight w:val="none"/>
          <w:lang w:eastAsia="zh-CN"/>
        </w:rPr>
        <w:t>涉及生态环境分区管控情况</w:t>
      </w:r>
      <w:r>
        <w:rPr>
          <w:rFonts w:hint="eastAsia" w:hAnsi="宋体"/>
          <w:bCs/>
          <w:color w:val="auto"/>
          <w:sz w:val="24"/>
          <w:highlight w:val="none"/>
          <w:lang w:val="en-US" w:eastAsia="zh-CN"/>
        </w:rPr>
        <w:t>查询文件</w:t>
      </w:r>
    </w:p>
    <w:p w14:paraId="7229EA71">
      <w:pPr>
        <w:spacing w:line="360" w:lineRule="auto"/>
        <w:rPr>
          <w:rFonts w:hint="default" w:hAnsi="宋体" w:eastAsia="宋体"/>
          <w:bCs/>
          <w:color w:val="auto"/>
          <w:sz w:val="24"/>
          <w:lang w:val="en-US" w:eastAsia="zh-CN"/>
        </w:rPr>
      </w:pPr>
      <w:r>
        <w:rPr>
          <w:rFonts w:hint="eastAsia" w:hAnsi="宋体"/>
          <w:bCs/>
          <w:color w:val="auto"/>
          <w:sz w:val="24"/>
          <w:lang w:val="en-US" w:eastAsia="zh-CN"/>
        </w:rPr>
        <w:t>附件7：排污许可证</w:t>
      </w:r>
    </w:p>
    <w:p w14:paraId="040D7836">
      <w:pPr>
        <w:spacing w:line="360" w:lineRule="auto"/>
        <w:rPr>
          <w:rFonts w:hint="default" w:hAnsi="宋体" w:eastAsia="宋体"/>
          <w:bCs/>
          <w:color w:val="auto"/>
          <w:sz w:val="24"/>
          <w:lang w:val="en-US" w:eastAsia="zh-CN"/>
        </w:rPr>
      </w:pPr>
      <w:r>
        <w:rPr>
          <w:rFonts w:hint="eastAsia" w:hAnsi="宋体"/>
          <w:bCs/>
          <w:color w:val="auto"/>
          <w:sz w:val="24"/>
          <w:lang w:val="en-US" w:eastAsia="zh-CN"/>
        </w:rPr>
        <w:t>附件8：突发环境事件应急预案备案表</w:t>
      </w:r>
    </w:p>
    <w:p w14:paraId="6B0C8AA7">
      <w:pPr>
        <w:spacing w:line="360" w:lineRule="auto"/>
        <w:rPr>
          <w:rFonts w:hint="default" w:hAnsi="宋体" w:eastAsia="宋体"/>
          <w:bCs/>
          <w:color w:val="auto"/>
          <w:sz w:val="24"/>
          <w:lang w:val="en-US" w:eastAsia="zh-CN"/>
        </w:rPr>
      </w:pPr>
      <w:r>
        <w:rPr>
          <w:rFonts w:hint="eastAsia" w:hAnsi="宋体"/>
          <w:bCs/>
          <w:color w:val="auto"/>
          <w:sz w:val="24"/>
          <w:lang w:val="en-US" w:eastAsia="zh-CN"/>
        </w:rPr>
        <w:t>附件9：</w:t>
      </w:r>
      <w:r>
        <w:rPr>
          <w:rFonts w:hint="eastAsia" w:hAnsi="宋体"/>
          <w:bCs/>
          <w:color w:val="auto"/>
          <w:sz w:val="24"/>
          <w:highlight w:val="none"/>
          <w:lang w:val="en-US" w:eastAsia="zh-CN"/>
        </w:rPr>
        <w:t>危废协议</w:t>
      </w:r>
      <w:r>
        <w:rPr>
          <w:rFonts w:hint="eastAsia" w:hAnsi="宋体"/>
          <w:bCs/>
          <w:color w:val="auto"/>
          <w:sz w:val="24"/>
          <w:lang w:val="en-US" w:eastAsia="zh-CN"/>
        </w:rPr>
        <w:t>及转移联单</w:t>
      </w:r>
    </w:p>
    <w:p w14:paraId="4B82C859">
      <w:pPr>
        <w:spacing w:line="360" w:lineRule="auto"/>
        <w:rPr>
          <w:rFonts w:hint="default" w:hAnsi="宋体" w:eastAsia="宋体"/>
          <w:bCs/>
          <w:color w:val="auto"/>
          <w:sz w:val="24"/>
          <w:lang w:val="en-US" w:eastAsia="zh-CN"/>
        </w:rPr>
      </w:pPr>
      <w:r>
        <w:rPr>
          <w:rFonts w:hint="eastAsia" w:hAnsi="宋体"/>
          <w:bCs/>
          <w:color w:val="auto"/>
          <w:sz w:val="24"/>
          <w:lang w:val="en-US" w:eastAsia="zh-CN"/>
        </w:rPr>
        <w:t>附件10：原项目环评批复及验收意见</w:t>
      </w:r>
    </w:p>
    <w:p w14:paraId="567E93DB">
      <w:pPr>
        <w:spacing w:line="360" w:lineRule="auto"/>
        <w:rPr>
          <w:rFonts w:hint="default" w:hAnsi="宋体"/>
          <w:bCs/>
          <w:color w:val="auto"/>
          <w:sz w:val="24"/>
          <w:highlight w:val="yellow"/>
          <w:lang w:val="en-US" w:eastAsia="zh-CN"/>
        </w:rPr>
      </w:pPr>
      <w:r>
        <w:rPr>
          <w:rFonts w:hint="eastAsia" w:hAnsi="宋体"/>
          <w:bCs/>
          <w:color w:val="auto"/>
          <w:sz w:val="24"/>
          <w:highlight w:val="none"/>
          <w:lang w:val="en-US" w:eastAsia="zh-CN"/>
        </w:rPr>
        <w:t>附件11：磷石膏、电石渣属性鉴别及生态修复材料产品检测报告</w:t>
      </w:r>
    </w:p>
    <w:p w14:paraId="0F14C320">
      <w:pPr>
        <w:spacing w:line="360" w:lineRule="auto"/>
        <w:rPr>
          <w:rFonts w:hint="default" w:hAnsi="宋体"/>
          <w:bCs/>
          <w:color w:val="auto"/>
          <w:sz w:val="24"/>
          <w:highlight w:val="none"/>
          <w:lang w:val="en-US" w:eastAsia="zh-CN"/>
        </w:rPr>
      </w:pPr>
      <w:r>
        <w:rPr>
          <w:rFonts w:hint="eastAsia" w:hAnsi="宋体"/>
          <w:bCs/>
          <w:color w:val="auto"/>
          <w:sz w:val="24"/>
          <w:highlight w:val="none"/>
          <w:lang w:val="en-US" w:eastAsia="zh-CN"/>
        </w:rPr>
        <w:t>附件12：土壤改良剂、路基材料产品检测报告</w:t>
      </w:r>
    </w:p>
    <w:p w14:paraId="5F7EF958">
      <w:pPr>
        <w:spacing w:line="360" w:lineRule="auto"/>
        <w:rPr>
          <w:rFonts w:hint="default" w:hAnsi="宋体"/>
          <w:bCs/>
          <w:color w:val="auto"/>
          <w:sz w:val="24"/>
          <w:highlight w:val="cyan"/>
          <w:lang w:val="en-US" w:eastAsia="zh-CN"/>
        </w:rPr>
      </w:pPr>
      <w:r>
        <w:rPr>
          <w:rFonts w:hint="eastAsia" w:hAnsi="宋体"/>
          <w:bCs/>
          <w:color w:val="auto"/>
          <w:sz w:val="24"/>
          <w:highlight w:val="none"/>
          <w:lang w:val="en-US" w:eastAsia="zh-CN"/>
        </w:rPr>
        <w:t>附件13：自行监测报告</w:t>
      </w:r>
    </w:p>
    <w:p w14:paraId="2337F289">
      <w:pPr>
        <w:spacing w:line="360" w:lineRule="auto"/>
        <w:rPr>
          <w:rFonts w:hint="default" w:hAnsi="宋体"/>
          <w:bCs/>
          <w:color w:val="auto"/>
          <w:sz w:val="24"/>
          <w:lang w:val="en-US" w:eastAsia="zh-CN"/>
        </w:rPr>
      </w:pPr>
      <w:r>
        <w:rPr>
          <w:rFonts w:hint="eastAsia" w:hAnsi="宋体"/>
          <w:bCs/>
          <w:color w:val="auto"/>
          <w:sz w:val="24"/>
          <w:lang w:val="en-US" w:eastAsia="zh-CN"/>
        </w:rPr>
        <w:t>附件14：50吨锅炉尾气排气筒自动监测设施联网传输稳定性测试报告（昆环监控联网〔2021〕-109号）</w:t>
      </w:r>
    </w:p>
    <w:p w14:paraId="61DF3D7E">
      <w:pPr>
        <w:spacing w:line="360" w:lineRule="auto"/>
        <w:rPr>
          <w:rFonts w:hint="default" w:hAnsi="宋体"/>
          <w:bCs/>
          <w:color w:val="auto"/>
          <w:sz w:val="24"/>
          <w:highlight w:val="none"/>
          <w:lang w:val="en-US" w:eastAsia="zh-CN"/>
        </w:rPr>
      </w:pPr>
      <w:r>
        <w:rPr>
          <w:rFonts w:hint="eastAsia" w:hAnsi="宋体"/>
          <w:bCs/>
          <w:color w:val="auto"/>
          <w:sz w:val="24"/>
          <w:highlight w:val="none"/>
          <w:lang w:val="en-US" w:eastAsia="zh-CN"/>
        </w:rPr>
        <w:t>附件15：引用现状监测报告</w:t>
      </w:r>
    </w:p>
    <w:p w14:paraId="0D636FD3">
      <w:pPr>
        <w:spacing w:line="360" w:lineRule="auto"/>
        <w:rPr>
          <w:rFonts w:hint="default" w:hAnsi="宋体" w:eastAsia="宋体"/>
          <w:bCs/>
          <w:color w:val="auto"/>
          <w:sz w:val="24"/>
          <w:lang w:val="en-US" w:eastAsia="zh-CN"/>
        </w:rPr>
      </w:pPr>
      <w:r>
        <w:rPr>
          <w:rFonts w:hint="eastAsia" w:hAnsi="宋体"/>
          <w:bCs/>
          <w:color w:val="auto"/>
          <w:sz w:val="24"/>
          <w:lang w:val="en-US" w:eastAsia="zh-CN"/>
        </w:rPr>
        <w:t>附件16：</w:t>
      </w:r>
      <w:r>
        <w:rPr>
          <w:rFonts w:hAnsi="宋体"/>
          <w:bCs/>
          <w:color w:val="auto"/>
          <w:sz w:val="24"/>
        </w:rPr>
        <w:t>营业执照</w:t>
      </w:r>
    </w:p>
    <w:p w14:paraId="3A8942CF">
      <w:pPr>
        <w:spacing w:line="360" w:lineRule="auto"/>
        <w:rPr>
          <w:rFonts w:hint="default" w:hAnsi="宋体" w:eastAsia="宋体"/>
          <w:bCs/>
          <w:color w:val="auto"/>
          <w:sz w:val="24"/>
          <w:highlight w:val="yellow"/>
          <w:lang w:val="en-US" w:eastAsia="zh-CN"/>
        </w:rPr>
      </w:pPr>
      <w:r>
        <w:rPr>
          <w:rFonts w:hint="eastAsia" w:hAnsi="宋体"/>
          <w:bCs/>
          <w:color w:val="auto"/>
          <w:sz w:val="24"/>
          <w:highlight w:val="none"/>
          <w:lang w:val="en-US" w:eastAsia="zh-CN"/>
        </w:rPr>
        <w:t>附件17：检查及整改报告</w:t>
      </w:r>
    </w:p>
    <w:p w14:paraId="59F5832D">
      <w:pPr>
        <w:spacing w:line="360" w:lineRule="auto"/>
        <w:rPr>
          <w:rFonts w:hAnsi="宋体"/>
          <w:bCs/>
          <w:color w:val="auto"/>
          <w:sz w:val="24"/>
          <w:highlight w:val="none"/>
        </w:rPr>
      </w:pPr>
      <w:r>
        <w:rPr>
          <w:rFonts w:hint="eastAsia" w:hAnsi="宋体"/>
          <w:bCs/>
          <w:color w:val="auto"/>
          <w:sz w:val="24"/>
          <w:highlight w:val="none"/>
        </w:rPr>
        <w:t>附件</w:t>
      </w:r>
      <w:r>
        <w:rPr>
          <w:rFonts w:hint="eastAsia" w:hAnsi="宋体"/>
          <w:bCs/>
          <w:color w:val="auto"/>
          <w:sz w:val="24"/>
          <w:highlight w:val="none"/>
          <w:lang w:val="en-US" w:eastAsia="zh-CN"/>
        </w:rPr>
        <w:t>18</w:t>
      </w:r>
      <w:r>
        <w:rPr>
          <w:rFonts w:hint="eastAsia" w:hAnsi="宋体"/>
          <w:bCs/>
          <w:color w:val="auto"/>
          <w:sz w:val="24"/>
          <w:highlight w:val="none"/>
        </w:rPr>
        <w:t>：</w:t>
      </w:r>
      <w:r>
        <w:rPr>
          <w:rFonts w:hAnsi="宋体"/>
          <w:bCs/>
          <w:color w:val="auto"/>
          <w:sz w:val="24"/>
          <w:highlight w:val="none"/>
        </w:rPr>
        <w:t>项目工作进度表</w:t>
      </w:r>
    </w:p>
    <w:p w14:paraId="063DEFF0">
      <w:pPr>
        <w:spacing w:line="360" w:lineRule="auto"/>
        <w:rPr>
          <w:rFonts w:hAnsi="宋体"/>
          <w:color w:val="auto"/>
          <w:sz w:val="24"/>
          <w:highlight w:val="yellow"/>
        </w:rPr>
      </w:pPr>
      <w:r>
        <w:rPr>
          <w:rFonts w:hint="eastAsia" w:hAnsi="宋体"/>
          <w:bCs/>
          <w:color w:val="auto"/>
          <w:sz w:val="24"/>
          <w:highlight w:val="none"/>
        </w:rPr>
        <w:t>附件</w:t>
      </w:r>
      <w:r>
        <w:rPr>
          <w:rFonts w:hint="eastAsia" w:hAnsi="宋体"/>
          <w:bCs/>
          <w:color w:val="auto"/>
          <w:sz w:val="24"/>
          <w:highlight w:val="none"/>
          <w:lang w:val="en-US" w:eastAsia="zh-CN"/>
        </w:rPr>
        <w:t>19</w:t>
      </w:r>
      <w:r>
        <w:rPr>
          <w:rFonts w:hint="eastAsia" w:hAnsi="宋体"/>
          <w:bCs/>
          <w:color w:val="auto"/>
          <w:sz w:val="24"/>
          <w:highlight w:val="none"/>
        </w:rPr>
        <w:t>：</w:t>
      </w:r>
      <w:r>
        <w:rPr>
          <w:rFonts w:hAnsi="宋体"/>
          <w:bCs/>
          <w:color w:val="auto"/>
          <w:sz w:val="24"/>
          <w:highlight w:val="none"/>
        </w:rPr>
        <w:t>内部审核记录表</w:t>
      </w:r>
    </w:p>
    <w:p w14:paraId="60077E25">
      <w:pPr>
        <w:spacing w:line="360" w:lineRule="auto"/>
        <w:rPr>
          <w:rFonts w:hAnsi="宋体"/>
          <w:bCs/>
          <w:color w:val="auto"/>
          <w:sz w:val="24"/>
          <w:highlight w:val="yellow"/>
        </w:rPr>
      </w:pPr>
      <w:r>
        <w:rPr>
          <w:rFonts w:hint="eastAsia" w:hAnsi="宋体"/>
          <w:bCs/>
          <w:color w:val="auto"/>
          <w:sz w:val="24"/>
          <w:highlight w:val="none"/>
        </w:rPr>
        <w:t>附件</w:t>
      </w:r>
      <w:r>
        <w:rPr>
          <w:rFonts w:hint="eastAsia" w:hAnsi="宋体"/>
          <w:bCs/>
          <w:color w:val="auto"/>
          <w:sz w:val="24"/>
          <w:highlight w:val="none"/>
          <w:lang w:val="en-US" w:eastAsia="zh-CN"/>
        </w:rPr>
        <w:t>20</w:t>
      </w:r>
      <w:r>
        <w:rPr>
          <w:rFonts w:hint="eastAsia" w:hAnsi="宋体"/>
          <w:bCs/>
          <w:color w:val="auto"/>
          <w:sz w:val="24"/>
          <w:highlight w:val="none"/>
        </w:rPr>
        <w:t>：公示信息</w:t>
      </w:r>
    </w:p>
    <w:p w14:paraId="156B9BC4">
      <w:pPr>
        <w:spacing w:line="360" w:lineRule="auto"/>
        <w:rPr>
          <w:rFonts w:hAnsi="宋体"/>
          <w:color w:val="auto"/>
          <w:sz w:val="24"/>
        </w:rPr>
      </w:pPr>
    </w:p>
    <w:p w14:paraId="65913F04">
      <w:pPr>
        <w:spacing w:line="276" w:lineRule="auto"/>
        <w:rPr>
          <w:b/>
          <w:color w:val="auto"/>
          <w:sz w:val="24"/>
        </w:rPr>
      </w:pPr>
      <w:r>
        <w:rPr>
          <w:rFonts w:hAnsi="宋体"/>
          <w:b/>
          <w:color w:val="auto"/>
          <w:sz w:val="24"/>
        </w:rPr>
        <w:t>附图</w:t>
      </w:r>
    </w:p>
    <w:p w14:paraId="45D34B4C">
      <w:pPr>
        <w:spacing w:line="360" w:lineRule="auto"/>
        <w:rPr>
          <w:color w:val="auto"/>
          <w:sz w:val="24"/>
        </w:rPr>
      </w:pPr>
      <w:r>
        <w:rPr>
          <w:rFonts w:hAnsi="宋体"/>
          <w:color w:val="auto"/>
          <w:sz w:val="24"/>
        </w:rPr>
        <w:t>附图</w:t>
      </w:r>
      <w:r>
        <w:rPr>
          <w:color w:val="auto"/>
          <w:sz w:val="24"/>
        </w:rPr>
        <w:t>1</w:t>
      </w:r>
      <w:r>
        <w:rPr>
          <w:rFonts w:hint="eastAsia"/>
          <w:color w:val="auto"/>
          <w:sz w:val="24"/>
        </w:rPr>
        <w:t>：</w:t>
      </w:r>
      <w:r>
        <w:rPr>
          <w:rFonts w:hAnsi="宋体"/>
          <w:color w:val="auto"/>
          <w:sz w:val="24"/>
        </w:rPr>
        <w:t>项目地理位置图</w:t>
      </w:r>
    </w:p>
    <w:p w14:paraId="428EB85D">
      <w:pPr>
        <w:spacing w:line="360" w:lineRule="auto"/>
        <w:rPr>
          <w:color w:val="auto"/>
          <w:sz w:val="24"/>
        </w:rPr>
      </w:pPr>
      <w:r>
        <w:rPr>
          <w:rFonts w:hAnsi="宋体"/>
          <w:color w:val="auto"/>
          <w:sz w:val="24"/>
        </w:rPr>
        <w:t>附图</w:t>
      </w:r>
      <w:r>
        <w:rPr>
          <w:color w:val="auto"/>
          <w:sz w:val="24"/>
        </w:rPr>
        <w:t>2</w:t>
      </w:r>
      <w:r>
        <w:rPr>
          <w:rFonts w:hint="eastAsia"/>
          <w:color w:val="auto"/>
          <w:sz w:val="24"/>
        </w:rPr>
        <w:t>：</w:t>
      </w:r>
      <w:r>
        <w:rPr>
          <w:rFonts w:hAnsi="宋体"/>
          <w:color w:val="auto"/>
          <w:sz w:val="24"/>
        </w:rPr>
        <w:t>项目区域水系图</w:t>
      </w:r>
    </w:p>
    <w:p w14:paraId="63CC3B1D">
      <w:pPr>
        <w:spacing w:line="360" w:lineRule="auto"/>
        <w:rPr>
          <w:color w:val="auto"/>
          <w:sz w:val="24"/>
        </w:rPr>
      </w:pPr>
      <w:r>
        <w:rPr>
          <w:rFonts w:hAnsi="宋体"/>
          <w:color w:val="auto"/>
          <w:sz w:val="24"/>
        </w:rPr>
        <w:t>附图</w:t>
      </w:r>
      <w:r>
        <w:rPr>
          <w:color w:val="auto"/>
          <w:sz w:val="24"/>
        </w:rPr>
        <w:t>3</w:t>
      </w:r>
      <w:r>
        <w:rPr>
          <w:rFonts w:hint="eastAsia"/>
          <w:color w:val="auto"/>
          <w:sz w:val="24"/>
        </w:rPr>
        <w:t>：</w:t>
      </w:r>
      <w:r>
        <w:rPr>
          <w:rFonts w:hAnsi="宋体"/>
          <w:color w:val="auto"/>
          <w:sz w:val="24"/>
        </w:rPr>
        <w:t>项目周边关系示意图</w:t>
      </w:r>
    </w:p>
    <w:p w14:paraId="2E8321A9">
      <w:pPr>
        <w:spacing w:line="360" w:lineRule="auto"/>
        <w:rPr>
          <w:rFonts w:hAnsi="宋体"/>
          <w:color w:val="auto"/>
          <w:sz w:val="24"/>
        </w:rPr>
      </w:pPr>
      <w:r>
        <w:rPr>
          <w:rFonts w:hint="eastAsia" w:hAnsi="宋体"/>
          <w:color w:val="auto"/>
          <w:sz w:val="24"/>
        </w:rPr>
        <w:t>附图</w:t>
      </w:r>
      <w:r>
        <w:rPr>
          <w:rFonts w:hint="eastAsia" w:hAnsi="宋体"/>
          <w:color w:val="auto"/>
          <w:sz w:val="24"/>
          <w:lang w:val="en-US" w:eastAsia="zh-CN"/>
        </w:rPr>
        <w:t>4</w:t>
      </w:r>
      <w:r>
        <w:rPr>
          <w:rFonts w:hint="eastAsia" w:hAnsi="宋体"/>
          <w:color w:val="auto"/>
          <w:sz w:val="24"/>
        </w:rPr>
        <w:t>：</w:t>
      </w:r>
      <w:r>
        <w:rPr>
          <w:rFonts w:hAnsi="宋体"/>
          <w:color w:val="auto"/>
          <w:sz w:val="24"/>
        </w:rPr>
        <w:t>项目在</w:t>
      </w:r>
      <w:r>
        <w:rPr>
          <w:rFonts w:hint="eastAsia" w:hAnsi="宋体"/>
          <w:color w:val="auto"/>
          <w:sz w:val="24"/>
          <w:lang w:eastAsia="zh-CN"/>
        </w:rPr>
        <w:t>云南常青树化工有限公司</w:t>
      </w:r>
      <w:r>
        <w:rPr>
          <w:rFonts w:hAnsi="宋体"/>
          <w:color w:val="auto"/>
          <w:sz w:val="24"/>
        </w:rPr>
        <w:t>内的关系位置图</w:t>
      </w:r>
    </w:p>
    <w:p w14:paraId="1239F499">
      <w:pPr>
        <w:spacing w:line="360" w:lineRule="auto"/>
        <w:rPr>
          <w:rFonts w:hAnsi="宋体"/>
          <w:color w:val="auto"/>
          <w:sz w:val="24"/>
        </w:rPr>
      </w:pPr>
      <w:r>
        <w:rPr>
          <w:rFonts w:hint="eastAsia" w:hAnsi="宋体"/>
          <w:color w:val="auto"/>
          <w:sz w:val="24"/>
        </w:rPr>
        <w:t>附图</w:t>
      </w:r>
      <w:r>
        <w:rPr>
          <w:rFonts w:hint="eastAsia" w:hAnsi="宋体"/>
          <w:color w:val="auto"/>
          <w:sz w:val="24"/>
          <w:lang w:val="en-US" w:eastAsia="zh-CN"/>
        </w:rPr>
        <w:t>5</w:t>
      </w:r>
      <w:r>
        <w:rPr>
          <w:rFonts w:hint="eastAsia" w:hAnsi="宋体"/>
          <w:color w:val="auto"/>
          <w:sz w:val="24"/>
        </w:rPr>
        <w:t>：</w:t>
      </w:r>
      <w:r>
        <w:rPr>
          <w:rFonts w:hAnsi="宋体"/>
          <w:color w:val="auto"/>
          <w:sz w:val="24"/>
        </w:rPr>
        <w:t>项目总平面布置图</w:t>
      </w:r>
    </w:p>
    <w:p w14:paraId="2F04EC36">
      <w:pPr>
        <w:spacing w:line="360" w:lineRule="auto"/>
        <w:rPr>
          <w:color w:val="auto"/>
          <w:sz w:val="24"/>
        </w:rPr>
      </w:pPr>
      <w:r>
        <w:rPr>
          <w:rFonts w:hAnsi="宋体"/>
          <w:color w:val="auto"/>
          <w:sz w:val="24"/>
        </w:rPr>
        <w:t>附图</w:t>
      </w:r>
      <w:r>
        <w:rPr>
          <w:rFonts w:hint="eastAsia"/>
          <w:color w:val="auto"/>
          <w:sz w:val="24"/>
          <w:lang w:val="en-US" w:eastAsia="zh-CN"/>
        </w:rPr>
        <w:t>6</w:t>
      </w:r>
      <w:r>
        <w:rPr>
          <w:rFonts w:hint="eastAsia"/>
          <w:color w:val="auto"/>
          <w:sz w:val="24"/>
        </w:rPr>
        <w:t>：</w:t>
      </w:r>
      <w:r>
        <w:rPr>
          <w:rFonts w:hint="eastAsia" w:hAnsi="宋体"/>
          <w:color w:val="auto"/>
          <w:sz w:val="24"/>
        </w:rPr>
        <w:t>项目与牛栏江水系环境规划关系图</w:t>
      </w:r>
    </w:p>
    <w:p w14:paraId="5FD26A8F">
      <w:pPr>
        <w:spacing w:line="360" w:lineRule="auto"/>
        <w:rPr>
          <w:rFonts w:hAnsi="宋体"/>
          <w:color w:val="auto"/>
          <w:sz w:val="24"/>
        </w:rPr>
      </w:pPr>
      <w:r>
        <w:rPr>
          <w:rFonts w:hint="eastAsia" w:hAnsi="宋体"/>
          <w:color w:val="auto"/>
          <w:sz w:val="24"/>
        </w:rPr>
        <w:t>附图7：项目与昆明市环境管控单元位置关系图</w:t>
      </w:r>
    </w:p>
    <w:p w14:paraId="2C64D8FD">
      <w:pPr>
        <w:spacing w:line="360" w:lineRule="auto"/>
        <w:rPr>
          <w:rFonts w:hAnsi="宋体"/>
          <w:color w:val="auto"/>
          <w:sz w:val="24"/>
          <w:highlight w:val="yellow"/>
        </w:rPr>
      </w:pPr>
      <w:r>
        <w:rPr>
          <w:rFonts w:hint="eastAsia" w:hAnsi="宋体"/>
          <w:color w:val="auto"/>
          <w:sz w:val="24"/>
          <w:highlight w:val="none"/>
        </w:rPr>
        <w:t>附图8：</w:t>
      </w:r>
      <w:r>
        <w:rPr>
          <w:rFonts w:hAnsi="宋体"/>
          <w:color w:val="auto"/>
          <w:sz w:val="24"/>
          <w:highlight w:val="none"/>
        </w:rPr>
        <w:t>项目</w:t>
      </w:r>
      <w:r>
        <w:rPr>
          <w:rFonts w:hint="eastAsia" w:hAnsi="宋体"/>
          <w:color w:val="auto"/>
          <w:sz w:val="24"/>
          <w:highlight w:val="none"/>
        </w:rPr>
        <w:t>引用</w:t>
      </w:r>
      <w:r>
        <w:rPr>
          <w:rFonts w:hAnsi="宋体"/>
          <w:color w:val="auto"/>
          <w:sz w:val="24"/>
          <w:highlight w:val="none"/>
        </w:rPr>
        <w:t>监测点位布置图</w:t>
      </w:r>
    </w:p>
    <w:p w14:paraId="3C54EDF5">
      <w:pPr>
        <w:spacing w:line="360" w:lineRule="auto"/>
        <w:rPr>
          <w:rFonts w:hint="default" w:hAnsi="宋体" w:eastAsia="宋体"/>
          <w:color w:val="auto"/>
          <w:sz w:val="24"/>
          <w:highlight w:val="yellow"/>
          <w:lang w:val="en-US" w:eastAsia="zh-CN"/>
        </w:rPr>
      </w:pPr>
      <w:r>
        <w:rPr>
          <w:rFonts w:hint="eastAsia" w:hAnsi="宋体"/>
          <w:color w:val="auto"/>
          <w:sz w:val="24"/>
          <w:highlight w:val="none"/>
          <w:lang w:val="en-US" w:eastAsia="zh-CN"/>
        </w:rPr>
        <w:t>附图9：水文地质图</w:t>
      </w:r>
    </w:p>
    <w:p w14:paraId="7C6AF20F">
      <w:pPr>
        <w:spacing w:line="360" w:lineRule="auto"/>
        <w:rPr>
          <w:rFonts w:hAnsi="宋体"/>
          <w:color w:val="auto"/>
          <w:sz w:val="24"/>
        </w:rPr>
      </w:pPr>
    </w:p>
    <w:p w14:paraId="24C617E5">
      <w:pPr>
        <w:spacing w:line="360" w:lineRule="auto"/>
        <w:rPr>
          <w:rFonts w:hAnsi="宋体"/>
          <w:color w:val="auto"/>
          <w:sz w:val="24"/>
        </w:rPr>
        <w:sectPr>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75AEB3B4">
      <w:pPr>
        <w:pStyle w:val="41"/>
        <w:spacing w:before="0" w:beforeAutospacing="0" w:after="0" w:afterAutospacing="0"/>
        <w:jc w:val="center"/>
        <w:outlineLvl w:val="0"/>
        <w:rPr>
          <w:b/>
          <w:snapToGrid w:val="0"/>
          <w:color w:val="auto"/>
          <w:sz w:val="30"/>
          <w:szCs w:val="30"/>
        </w:rPr>
      </w:pPr>
      <w:bookmarkStart w:id="4" w:name="_Toc69399386"/>
      <w:r>
        <w:rPr>
          <w:rFonts w:hint="eastAsia"/>
          <w:b/>
          <w:snapToGrid w:val="0"/>
          <w:color w:val="auto"/>
          <w:sz w:val="30"/>
          <w:szCs w:val="30"/>
        </w:rPr>
        <w:t>一、建设项目基本情况</w:t>
      </w:r>
      <w:bookmarkEnd w:id="4"/>
    </w:p>
    <w:tbl>
      <w:tblPr>
        <w:tblStyle w:val="45"/>
        <w:tblW w:w="932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21"/>
        <w:gridCol w:w="2469"/>
        <w:gridCol w:w="1841"/>
        <w:gridCol w:w="3094"/>
      </w:tblGrid>
      <w:tr w14:paraId="1FCF56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1" w:type="dxa"/>
            <w:tcMar>
              <w:top w:w="16" w:type="dxa"/>
              <w:left w:w="16" w:type="dxa"/>
              <w:right w:w="16" w:type="dxa"/>
            </w:tcMar>
            <w:vAlign w:val="center"/>
          </w:tcPr>
          <w:p w14:paraId="6914FF29">
            <w:pPr>
              <w:adjustRightInd w:val="0"/>
              <w:snapToGrid w:val="0"/>
              <w:spacing w:line="276" w:lineRule="auto"/>
              <w:jc w:val="center"/>
              <w:rPr>
                <w:color w:val="auto"/>
                <w:sz w:val="24"/>
              </w:rPr>
            </w:pPr>
            <w:r>
              <w:rPr>
                <w:color w:val="auto"/>
                <w:sz w:val="24"/>
              </w:rPr>
              <w:t>建设项目名称</w:t>
            </w:r>
          </w:p>
        </w:tc>
        <w:tc>
          <w:tcPr>
            <w:tcW w:w="7404" w:type="dxa"/>
            <w:gridSpan w:val="3"/>
            <w:vAlign w:val="center"/>
          </w:tcPr>
          <w:p w14:paraId="38BFCB6A">
            <w:pPr>
              <w:adjustRightInd w:val="0"/>
              <w:snapToGrid w:val="0"/>
              <w:spacing w:line="276" w:lineRule="auto"/>
              <w:jc w:val="center"/>
              <w:rPr>
                <w:rFonts w:hint="eastAsia" w:eastAsia="宋体"/>
                <w:color w:val="auto"/>
                <w:sz w:val="24"/>
                <w:lang w:eastAsia="zh-CN"/>
              </w:rPr>
            </w:pPr>
            <w:r>
              <w:rPr>
                <w:rFonts w:hint="eastAsia"/>
                <w:color w:val="auto"/>
                <w:sz w:val="24"/>
                <w:lang w:eastAsia="zh-CN"/>
              </w:rPr>
              <w:t>云南常青树化工有限公司磷石膏综合利用改扩建项目</w:t>
            </w:r>
          </w:p>
        </w:tc>
      </w:tr>
      <w:tr w14:paraId="5CFF34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1" w:type="dxa"/>
            <w:tcMar>
              <w:top w:w="16" w:type="dxa"/>
              <w:left w:w="16" w:type="dxa"/>
              <w:right w:w="16" w:type="dxa"/>
            </w:tcMar>
            <w:vAlign w:val="center"/>
          </w:tcPr>
          <w:p w14:paraId="5801BC99">
            <w:pPr>
              <w:adjustRightInd w:val="0"/>
              <w:snapToGrid w:val="0"/>
              <w:spacing w:line="276" w:lineRule="auto"/>
              <w:jc w:val="center"/>
              <w:rPr>
                <w:color w:val="auto"/>
                <w:sz w:val="24"/>
              </w:rPr>
            </w:pPr>
            <w:r>
              <w:rPr>
                <w:color w:val="auto"/>
                <w:sz w:val="24"/>
              </w:rPr>
              <w:t>项目代码</w:t>
            </w:r>
          </w:p>
        </w:tc>
        <w:tc>
          <w:tcPr>
            <w:tcW w:w="7404" w:type="dxa"/>
            <w:gridSpan w:val="3"/>
            <w:vAlign w:val="center"/>
          </w:tcPr>
          <w:p w14:paraId="1B8A981F">
            <w:pPr>
              <w:adjustRightInd w:val="0"/>
              <w:snapToGrid w:val="0"/>
              <w:spacing w:line="276" w:lineRule="auto"/>
              <w:jc w:val="center"/>
              <w:rPr>
                <w:rFonts w:hint="default" w:eastAsia="宋体"/>
                <w:color w:val="auto"/>
                <w:sz w:val="24"/>
                <w:lang w:val="en-US" w:eastAsia="zh-CN"/>
              </w:rPr>
            </w:pPr>
            <w:r>
              <w:rPr>
                <w:rFonts w:hint="eastAsia"/>
                <w:color w:val="auto"/>
                <w:sz w:val="24"/>
                <w:lang w:val="en-US" w:eastAsia="zh-CN"/>
              </w:rPr>
              <w:t>2402-530129-04-01-272598</w:t>
            </w:r>
          </w:p>
        </w:tc>
      </w:tr>
      <w:tr w14:paraId="5478BE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1" w:type="dxa"/>
            <w:tcMar>
              <w:top w:w="16" w:type="dxa"/>
              <w:left w:w="16" w:type="dxa"/>
              <w:right w:w="16" w:type="dxa"/>
            </w:tcMar>
            <w:vAlign w:val="center"/>
          </w:tcPr>
          <w:p w14:paraId="12E989D2">
            <w:pPr>
              <w:adjustRightInd w:val="0"/>
              <w:snapToGrid w:val="0"/>
              <w:spacing w:line="276" w:lineRule="auto"/>
              <w:jc w:val="center"/>
              <w:rPr>
                <w:color w:val="auto"/>
                <w:sz w:val="24"/>
              </w:rPr>
            </w:pPr>
            <w:r>
              <w:rPr>
                <w:color w:val="auto"/>
                <w:sz w:val="24"/>
              </w:rPr>
              <w:t>建设单位联系人</w:t>
            </w:r>
          </w:p>
        </w:tc>
        <w:tc>
          <w:tcPr>
            <w:tcW w:w="2469" w:type="dxa"/>
            <w:vAlign w:val="center"/>
          </w:tcPr>
          <w:p w14:paraId="374211A8">
            <w:pPr>
              <w:adjustRightInd w:val="0"/>
              <w:snapToGrid w:val="0"/>
              <w:spacing w:line="276" w:lineRule="auto"/>
              <w:jc w:val="center"/>
              <w:rPr>
                <w:rFonts w:hint="eastAsia" w:eastAsia="宋体"/>
                <w:color w:val="auto"/>
                <w:sz w:val="24"/>
                <w:lang w:eastAsia="zh-CN"/>
              </w:rPr>
            </w:pPr>
          </w:p>
        </w:tc>
        <w:tc>
          <w:tcPr>
            <w:tcW w:w="1841" w:type="dxa"/>
            <w:vAlign w:val="center"/>
          </w:tcPr>
          <w:p w14:paraId="6BABE475">
            <w:pPr>
              <w:adjustRightInd w:val="0"/>
              <w:snapToGrid w:val="0"/>
              <w:spacing w:line="276" w:lineRule="auto"/>
              <w:jc w:val="center"/>
              <w:rPr>
                <w:color w:val="auto"/>
                <w:sz w:val="24"/>
              </w:rPr>
            </w:pPr>
            <w:r>
              <w:rPr>
                <w:color w:val="auto"/>
                <w:sz w:val="24"/>
              </w:rPr>
              <w:t>联系方式</w:t>
            </w:r>
          </w:p>
        </w:tc>
        <w:tc>
          <w:tcPr>
            <w:tcW w:w="3094" w:type="dxa"/>
            <w:vAlign w:val="center"/>
          </w:tcPr>
          <w:p w14:paraId="450E8F6A">
            <w:pPr>
              <w:adjustRightInd w:val="0"/>
              <w:snapToGrid w:val="0"/>
              <w:spacing w:line="276" w:lineRule="auto"/>
              <w:jc w:val="center"/>
              <w:rPr>
                <w:rFonts w:hint="default" w:eastAsia="宋体"/>
                <w:color w:val="auto"/>
                <w:sz w:val="24"/>
                <w:lang w:val="en-US" w:eastAsia="zh-CN"/>
              </w:rPr>
            </w:pPr>
            <w:bookmarkStart w:id="14" w:name="_GoBack"/>
            <w:bookmarkEnd w:id="14"/>
          </w:p>
        </w:tc>
      </w:tr>
      <w:tr w14:paraId="00AFD1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1" w:type="dxa"/>
            <w:tcMar>
              <w:top w:w="16" w:type="dxa"/>
              <w:left w:w="16" w:type="dxa"/>
              <w:right w:w="16" w:type="dxa"/>
            </w:tcMar>
            <w:vAlign w:val="center"/>
          </w:tcPr>
          <w:p w14:paraId="26BB73F9">
            <w:pPr>
              <w:adjustRightInd w:val="0"/>
              <w:snapToGrid w:val="0"/>
              <w:spacing w:line="276" w:lineRule="auto"/>
              <w:jc w:val="center"/>
              <w:rPr>
                <w:color w:val="auto"/>
                <w:sz w:val="24"/>
              </w:rPr>
            </w:pPr>
            <w:r>
              <w:rPr>
                <w:color w:val="auto"/>
                <w:sz w:val="24"/>
              </w:rPr>
              <w:t>建设地点</w:t>
            </w:r>
          </w:p>
        </w:tc>
        <w:tc>
          <w:tcPr>
            <w:tcW w:w="7404" w:type="dxa"/>
            <w:gridSpan w:val="3"/>
            <w:vAlign w:val="center"/>
          </w:tcPr>
          <w:p w14:paraId="16E0EB57">
            <w:pPr>
              <w:adjustRightInd w:val="0"/>
              <w:snapToGrid w:val="0"/>
              <w:spacing w:line="276" w:lineRule="auto"/>
              <w:jc w:val="center"/>
              <w:rPr>
                <w:color w:val="auto"/>
                <w:sz w:val="24"/>
              </w:rPr>
            </w:pPr>
            <w:r>
              <w:rPr>
                <w:rFonts w:hint="eastAsia" w:cs="宋体"/>
                <w:color w:val="auto"/>
                <w:sz w:val="24"/>
                <w:szCs w:val="21"/>
                <w:u w:val="single"/>
              </w:rPr>
              <w:t>云南</w:t>
            </w:r>
            <w:r>
              <w:rPr>
                <w:rFonts w:hint="eastAsia" w:cs="宋体"/>
                <w:color w:val="auto"/>
                <w:sz w:val="24"/>
                <w:szCs w:val="21"/>
              </w:rPr>
              <w:t>省（自治区）</w:t>
            </w:r>
            <w:r>
              <w:rPr>
                <w:rFonts w:hint="eastAsia" w:cs="宋体"/>
                <w:color w:val="auto"/>
                <w:sz w:val="24"/>
                <w:szCs w:val="21"/>
                <w:u w:val="single"/>
              </w:rPr>
              <w:t>昆明</w:t>
            </w:r>
            <w:r>
              <w:rPr>
                <w:rFonts w:hint="eastAsia" w:cs="宋体"/>
                <w:color w:val="auto"/>
                <w:sz w:val="24"/>
                <w:szCs w:val="21"/>
              </w:rPr>
              <w:t>市</w:t>
            </w:r>
            <w:r>
              <w:rPr>
                <w:rFonts w:hint="eastAsia" w:cs="宋体"/>
                <w:color w:val="auto"/>
                <w:sz w:val="24"/>
                <w:szCs w:val="21"/>
                <w:u w:val="single"/>
              </w:rPr>
              <w:t>寻甸</w:t>
            </w:r>
            <w:r>
              <w:rPr>
                <w:rFonts w:hint="eastAsia" w:cs="宋体"/>
                <w:color w:val="auto"/>
                <w:sz w:val="24"/>
                <w:szCs w:val="21"/>
              </w:rPr>
              <w:t>县（区）</w:t>
            </w:r>
            <w:r>
              <w:rPr>
                <w:rFonts w:hint="eastAsia" w:cs="宋体"/>
                <w:color w:val="auto"/>
                <w:sz w:val="24"/>
                <w:szCs w:val="21"/>
                <w:u w:val="single"/>
                <w:lang w:val="en-US" w:eastAsia="zh-CN"/>
              </w:rPr>
              <w:t>塘子</w:t>
            </w:r>
            <w:r>
              <w:rPr>
                <w:rFonts w:hint="eastAsia" w:cs="宋体"/>
                <w:color w:val="auto"/>
                <w:sz w:val="24"/>
                <w:szCs w:val="21"/>
              </w:rPr>
              <w:t>乡（街道）</w:t>
            </w:r>
            <w:r>
              <w:rPr>
                <w:rFonts w:hint="eastAsia"/>
                <w:color w:val="auto"/>
                <w:sz w:val="24"/>
                <w:u w:val="single"/>
                <w:lang w:eastAsia="zh-CN"/>
              </w:rPr>
              <w:t>云南常青树化工有限公司</w:t>
            </w:r>
            <w:r>
              <w:rPr>
                <w:rFonts w:hint="eastAsia" w:hAnsi="宋体"/>
                <w:color w:val="auto"/>
                <w:sz w:val="24"/>
                <w:u w:val="single"/>
              </w:rPr>
              <w:t>内</w:t>
            </w:r>
          </w:p>
        </w:tc>
      </w:tr>
      <w:tr w14:paraId="189C26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1" w:type="dxa"/>
            <w:tcMar>
              <w:top w:w="16" w:type="dxa"/>
              <w:left w:w="16" w:type="dxa"/>
              <w:right w:w="16" w:type="dxa"/>
            </w:tcMar>
            <w:vAlign w:val="center"/>
          </w:tcPr>
          <w:p w14:paraId="78FFE75D">
            <w:pPr>
              <w:adjustRightInd w:val="0"/>
              <w:snapToGrid w:val="0"/>
              <w:spacing w:line="276" w:lineRule="auto"/>
              <w:jc w:val="center"/>
              <w:rPr>
                <w:color w:val="auto"/>
                <w:sz w:val="24"/>
              </w:rPr>
            </w:pPr>
            <w:r>
              <w:rPr>
                <w:color w:val="auto"/>
                <w:sz w:val="24"/>
              </w:rPr>
              <w:t>地理坐标</w:t>
            </w:r>
          </w:p>
        </w:tc>
        <w:tc>
          <w:tcPr>
            <w:tcW w:w="7404" w:type="dxa"/>
            <w:gridSpan w:val="3"/>
            <w:vAlign w:val="center"/>
          </w:tcPr>
          <w:p w14:paraId="2665083C">
            <w:pPr>
              <w:spacing w:line="276" w:lineRule="auto"/>
              <w:jc w:val="center"/>
              <w:rPr>
                <w:color w:val="auto"/>
                <w:sz w:val="24"/>
              </w:rPr>
            </w:pPr>
            <w:r>
              <w:rPr>
                <w:color w:val="auto"/>
                <w:sz w:val="24"/>
              </w:rPr>
              <w:t>（</w:t>
            </w:r>
            <w:r>
              <w:rPr>
                <w:rFonts w:hint="eastAsia"/>
                <w:color w:val="auto"/>
                <w:sz w:val="24"/>
                <w:u w:val="single"/>
              </w:rPr>
              <w:t>103</w:t>
            </w:r>
            <w:r>
              <w:rPr>
                <w:color w:val="auto"/>
                <w:sz w:val="24"/>
              </w:rPr>
              <w:t>度</w:t>
            </w:r>
            <w:r>
              <w:rPr>
                <w:rFonts w:hint="eastAsia"/>
                <w:color w:val="auto"/>
                <w:sz w:val="24"/>
                <w:u w:val="single"/>
                <w:lang w:val="en-US" w:eastAsia="zh-CN"/>
              </w:rPr>
              <w:t>15</w:t>
            </w:r>
            <w:r>
              <w:rPr>
                <w:color w:val="auto"/>
                <w:sz w:val="24"/>
              </w:rPr>
              <w:t>分</w:t>
            </w:r>
            <w:r>
              <w:rPr>
                <w:rFonts w:hint="eastAsia"/>
                <w:color w:val="auto"/>
                <w:sz w:val="24"/>
                <w:u w:val="single"/>
                <w:lang w:val="en-US" w:eastAsia="zh-CN"/>
              </w:rPr>
              <w:t>48.989</w:t>
            </w:r>
            <w:r>
              <w:rPr>
                <w:color w:val="auto"/>
                <w:sz w:val="24"/>
              </w:rPr>
              <w:t>秒，</w:t>
            </w:r>
            <w:r>
              <w:rPr>
                <w:rFonts w:hint="eastAsia"/>
                <w:color w:val="auto"/>
                <w:sz w:val="24"/>
                <w:u w:val="single"/>
              </w:rPr>
              <w:t>25</w:t>
            </w:r>
            <w:r>
              <w:rPr>
                <w:color w:val="auto"/>
                <w:sz w:val="24"/>
              </w:rPr>
              <w:t>度</w:t>
            </w:r>
            <w:r>
              <w:rPr>
                <w:rFonts w:hint="eastAsia"/>
                <w:color w:val="auto"/>
                <w:sz w:val="24"/>
                <w:u w:val="single"/>
                <w:lang w:val="en-US" w:eastAsia="zh-CN"/>
              </w:rPr>
              <w:t>25</w:t>
            </w:r>
            <w:r>
              <w:rPr>
                <w:color w:val="auto"/>
                <w:sz w:val="24"/>
              </w:rPr>
              <w:t>分</w:t>
            </w:r>
            <w:r>
              <w:rPr>
                <w:rFonts w:hint="eastAsia"/>
                <w:color w:val="auto"/>
                <w:sz w:val="24"/>
                <w:u w:val="single"/>
              </w:rPr>
              <w:t>3</w:t>
            </w:r>
            <w:r>
              <w:rPr>
                <w:rFonts w:hint="eastAsia"/>
                <w:color w:val="auto"/>
                <w:sz w:val="24"/>
                <w:u w:val="single"/>
                <w:lang w:val="en-US" w:eastAsia="zh-CN"/>
              </w:rPr>
              <w:t>7.498</w:t>
            </w:r>
            <w:r>
              <w:rPr>
                <w:color w:val="auto"/>
                <w:sz w:val="24"/>
              </w:rPr>
              <w:t>秒）</w:t>
            </w:r>
          </w:p>
        </w:tc>
      </w:tr>
      <w:tr w14:paraId="2D0BDA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921" w:type="dxa"/>
            <w:tcMar>
              <w:top w:w="16" w:type="dxa"/>
              <w:left w:w="16" w:type="dxa"/>
              <w:right w:w="16" w:type="dxa"/>
            </w:tcMar>
            <w:vAlign w:val="center"/>
          </w:tcPr>
          <w:p w14:paraId="074BF4BD">
            <w:pPr>
              <w:adjustRightInd w:val="0"/>
              <w:snapToGrid w:val="0"/>
              <w:spacing w:line="276" w:lineRule="auto"/>
              <w:jc w:val="center"/>
              <w:rPr>
                <w:color w:val="auto"/>
                <w:sz w:val="24"/>
              </w:rPr>
            </w:pPr>
            <w:r>
              <w:rPr>
                <w:color w:val="auto"/>
                <w:sz w:val="24"/>
              </w:rPr>
              <w:t>国民经济</w:t>
            </w:r>
          </w:p>
          <w:p w14:paraId="11ADBC06">
            <w:pPr>
              <w:adjustRightInd w:val="0"/>
              <w:snapToGrid w:val="0"/>
              <w:spacing w:line="276" w:lineRule="auto"/>
              <w:jc w:val="center"/>
              <w:rPr>
                <w:color w:val="auto"/>
                <w:sz w:val="24"/>
              </w:rPr>
            </w:pPr>
            <w:r>
              <w:rPr>
                <w:color w:val="auto"/>
                <w:sz w:val="24"/>
              </w:rPr>
              <w:t>行业类别</w:t>
            </w:r>
          </w:p>
        </w:tc>
        <w:tc>
          <w:tcPr>
            <w:tcW w:w="2469" w:type="dxa"/>
            <w:vAlign w:val="center"/>
          </w:tcPr>
          <w:p w14:paraId="32064919">
            <w:pPr>
              <w:adjustRightInd w:val="0"/>
              <w:snapToGrid w:val="0"/>
              <w:spacing w:line="276" w:lineRule="auto"/>
              <w:jc w:val="center"/>
              <w:rPr>
                <w:color w:val="auto"/>
                <w:sz w:val="24"/>
              </w:rPr>
            </w:pPr>
            <w:r>
              <w:rPr>
                <w:rFonts w:hint="eastAsia"/>
                <w:color w:val="auto"/>
                <w:sz w:val="24"/>
              </w:rPr>
              <w:t>固体废物治理（N7723）</w:t>
            </w:r>
          </w:p>
        </w:tc>
        <w:tc>
          <w:tcPr>
            <w:tcW w:w="1841" w:type="dxa"/>
            <w:vAlign w:val="center"/>
          </w:tcPr>
          <w:p w14:paraId="28B63857">
            <w:pPr>
              <w:adjustRightInd w:val="0"/>
              <w:snapToGrid w:val="0"/>
              <w:spacing w:line="276" w:lineRule="auto"/>
              <w:jc w:val="center"/>
              <w:rPr>
                <w:color w:val="auto"/>
                <w:sz w:val="24"/>
              </w:rPr>
            </w:pPr>
            <w:bookmarkStart w:id="5" w:name="_Hlk49843745"/>
            <w:r>
              <w:rPr>
                <w:color w:val="auto"/>
                <w:sz w:val="24"/>
              </w:rPr>
              <w:t>建设项目</w:t>
            </w:r>
          </w:p>
          <w:p w14:paraId="78749848">
            <w:pPr>
              <w:adjustRightInd w:val="0"/>
              <w:snapToGrid w:val="0"/>
              <w:spacing w:line="276" w:lineRule="auto"/>
              <w:jc w:val="center"/>
              <w:rPr>
                <w:color w:val="auto"/>
                <w:sz w:val="24"/>
              </w:rPr>
            </w:pPr>
            <w:r>
              <w:rPr>
                <w:color w:val="auto"/>
                <w:sz w:val="24"/>
              </w:rPr>
              <w:t>行业类别</w:t>
            </w:r>
            <w:bookmarkEnd w:id="5"/>
          </w:p>
        </w:tc>
        <w:tc>
          <w:tcPr>
            <w:tcW w:w="3094" w:type="dxa"/>
            <w:vAlign w:val="center"/>
          </w:tcPr>
          <w:p w14:paraId="4D24DB1F">
            <w:pPr>
              <w:adjustRightInd w:val="0"/>
              <w:snapToGrid w:val="0"/>
              <w:spacing w:line="276" w:lineRule="auto"/>
              <w:jc w:val="center"/>
              <w:rPr>
                <w:color w:val="auto"/>
                <w:sz w:val="24"/>
              </w:rPr>
            </w:pPr>
            <w:r>
              <w:rPr>
                <w:rFonts w:hint="eastAsia"/>
                <w:color w:val="auto"/>
                <w:sz w:val="24"/>
              </w:rPr>
              <w:t>四十七、生态保护和环境治理业103一般工业固体废物（含污水处理淤泥）、建筑施工废弃物处置及综合利用</w:t>
            </w:r>
          </w:p>
        </w:tc>
      </w:tr>
      <w:tr w14:paraId="7D7CFD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21" w:type="dxa"/>
            <w:tcMar>
              <w:top w:w="16" w:type="dxa"/>
              <w:left w:w="16" w:type="dxa"/>
              <w:right w:w="16" w:type="dxa"/>
            </w:tcMar>
            <w:vAlign w:val="center"/>
          </w:tcPr>
          <w:p w14:paraId="01C102FC">
            <w:pPr>
              <w:adjustRightInd w:val="0"/>
              <w:snapToGrid w:val="0"/>
              <w:spacing w:line="276" w:lineRule="auto"/>
              <w:jc w:val="center"/>
              <w:rPr>
                <w:color w:val="auto"/>
                <w:sz w:val="24"/>
              </w:rPr>
            </w:pPr>
            <w:r>
              <w:rPr>
                <w:color w:val="auto"/>
                <w:sz w:val="24"/>
              </w:rPr>
              <w:t>建设性质</w:t>
            </w:r>
          </w:p>
        </w:tc>
        <w:tc>
          <w:tcPr>
            <w:tcW w:w="2469" w:type="dxa"/>
            <w:vAlign w:val="center"/>
          </w:tcPr>
          <w:p w14:paraId="1C94CF95">
            <w:pPr>
              <w:spacing w:line="276" w:lineRule="auto"/>
              <w:jc w:val="left"/>
              <w:rPr>
                <w:color w:val="auto"/>
                <w:sz w:val="24"/>
              </w:rPr>
            </w:pPr>
            <w:r>
              <w:rPr>
                <w:color w:val="auto"/>
                <w:sz w:val="24"/>
              </w:rPr>
              <w:sym w:font="Wingdings 2" w:char="00A3"/>
            </w:r>
            <w:r>
              <w:rPr>
                <w:color w:val="auto"/>
                <w:sz w:val="24"/>
              </w:rPr>
              <w:t>新建（迁建）</w:t>
            </w:r>
          </w:p>
          <w:p w14:paraId="42FD01BD">
            <w:pPr>
              <w:spacing w:line="276" w:lineRule="auto"/>
              <w:jc w:val="left"/>
              <w:rPr>
                <w:color w:val="auto"/>
                <w:sz w:val="24"/>
              </w:rPr>
            </w:pPr>
            <w:r>
              <w:rPr>
                <w:color w:val="auto"/>
                <w:sz w:val="24"/>
              </w:rPr>
              <w:sym w:font="Wingdings 2" w:char="00A3"/>
            </w:r>
            <w:r>
              <w:rPr>
                <w:color w:val="auto"/>
                <w:sz w:val="24"/>
              </w:rPr>
              <w:t>改建</w:t>
            </w:r>
          </w:p>
          <w:p w14:paraId="4C8A1220">
            <w:pPr>
              <w:spacing w:line="276" w:lineRule="auto"/>
              <w:jc w:val="left"/>
              <w:rPr>
                <w:color w:val="auto"/>
                <w:sz w:val="24"/>
              </w:rPr>
            </w:pPr>
            <w:r>
              <w:rPr>
                <w:color w:val="auto"/>
                <w:sz w:val="24"/>
              </w:rPr>
              <w:sym w:font="Wingdings 2" w:char="0052"/>
            </w:r>
            <w:r>
              <w:rPr>
                <w:color w:val="auto"/>
                <w:sz w:val="24"/>
              </w:rPr>
              <w:t>扩建</w:t>
            </w:r>
          </w:p>
          <w:p w14:paraId="7F83C425">
            <w:pPr>
              <w:spacing w:line="276" w:lineRule="auto"/>
              <w:jc w:val="left"/>
              <w:rPr>
                <w:color w:val="auto"/>
                <w:sz w:val="24"/>
              </w:rPr>
            </w:pPr>
            <w:r>
              <w:rPr>
                <w:color w:val="auto"/>
                <w:sz w:val="24"/>
              </w:rPr>
              <w:sym w:font="Wingdings 2" w:char="00A3"/>
            </w:r>
            <w:r>
              <w:rPr>
                <w:color w:val="auto"/>
                <w:sz w:val="24"/>
              </w:rPr>
              <w:t>技术改造</w:t>
            </w:r>
          </w:p>
        </w:tc>
        <w:tc>
          <w:tcPr>
            <w:tcW w:w="1841" w:type="dxa"/>
            <w:vAlign w:val="center"/>
          </w:tcPr>
          <w:p w14:paraId="06E8EF3C">
            <w:pPr>
              <w:adjustRightInd w:val="0"/>
              <w:snapToGrid w:val="0"/>
              <w:spacing w:line="276" w:lineRule="auto"/>
              <w:jc w:val="center"/>
              <w:rPr>
                <w:color w:val="auto"/>
                <w:sz w:val="24"/>
              </w:rPr>
            </w:pPr>
            <w:r>
              <w:rPr>
                <w:color w:val="auto"/>
                <w:sz w:val="24"/>
              </w:rPr>
              <w:t>建设项目</w:t>
            </w:r>
          </w:p>
          <w:p w14:paraId="594EC245">
            <w:pPr>
              <w:adjustRightInd w:val="0"/>
              <w:snapToGrid w:val="0"/>
              <w:spacing w:line="276" w:lineRule="auto"/>
              <w:jc w:val="center"/>
              <w:rPr>
                <w:color w:val="auto"/>
                <w:sz w:val="24"/>
              </w:rPr>
            </w:pPr>
            <w:r>
              <w:rPr>
                <w:color w:val="auto"/>
                <w:sz w:val="24"/>
              </w:rPr>
              <w:t>申报情形</w:t>
            </w:r>
          </w:p>
        </w:tc>
        <w:tc>
          <w:tcPr>
            <w:tcW w:w="3094" w:type="dxa"/>
            <w:vAlign w:val="center"/>
          </w:tcPr>
          <w:p w14:paraId="0B71D0CF">
            <w:pPr>
              <w:spacing w:line="276" w:lineRule="auto"/>
              <w:jc w:val="left"/>
              <w:rPr>
                <w:color w:val="auto"/>
                <w:sz w:val="24"/>
              </w:rPr>
            </w:pPr>
            <w:r>
              <w:rPr>
                <w:color w:val="auto"/>
                <w:sz w:val="24"/>
              </w:rPr>
              <w:sym w:font="Wingdings 2" w:char="0052"/>
            </w:r>
            <w:r>
              <w:rPr>
                <w:color w:val="auto"/>
                <w:sz w:val="24"/>
              </w:rPr>
              <w:t xml:space="preserve">首次申报项目             </w:t>
            </w:r>
          </w:p>
          <w:p w14:paraId="00E985F2">
            <w:pPr>
              <w:spacing w:line="276" w:lineRule="auto"/>
              <w:jc w:val="left"/>
              <w:rPr>
                <w:color w:val="auto"/>
                <w:sz w:val="24"/>
              </w:rPr>
            </w:pPr>
            <w:r>
              <w:rPr>
                <w:color w:val="auto"/>
                <w:sz w:val="24"/>
              </w:rPr>
              <w:sym w:font="Wingdings 2" w:char="00A3"/>
            </w:r>
            <w:r>
              <w:rPr>
                <w:color w:val="auto"/>
                <w:sz w:val="24"/>
              </w:rPr>
              <w:t>不予批准后再次申报项目</w:t>
            </w:r>
          </w:p>
          <w:p w14:paraId="7EC6D39D">
            <w:pPr>
              <w:spacing w:line="276" w:lineRule="auto"/>
              <w:jc w:val="left"/>
              <w:rPr>
                <w:color w:val="auto"/>
                <w:sz w:val="24"/>
              </w:rPr>
            </w:pPr>
            <w:r>
              <w:rPr>
                <w:color w:val="auto"/>
                <w:sz w:val="24"/>
              </w:rPr>
              <w:sym w:font="Wingdings 2" w:char="00A3"/>
            </w:r>
            <w:r>
              <w:rPr>
                <w:color w:val="auto"/>
                <w:sz w:val="24"/>
              </w:rPr>
              <w:t xml:space="preserve">超五年重新审核项目     </w:t>
            </w:r>
          </w:p>
          <w:p w14:paraId="7D7F1CFF">
            <w:pPr>
              <w:spacing w:line="276" w:lineRule="auto"/>
              <w:jc w:val="left"/>
              <w:rPr>
                <w:color w:val="auto"/>
                <w:sz w:val="24"/>
              </w:rPr>
            </w:pPr>
            <w:r>
              <w:rPr>
                <w:color w:val="auto"/>
                <w:sz w:val="24"/>
              </w:rPr>
              <w:sym w:font="Wingdings 2" w:char="00A3"/>
            </w:r>
            <w:r>
              <w:rPr>
                <w:color w:val="auto"/>
                <w:sz w:val="24"/>
              </w:rPr>
              <w:t>重大变动重新报批项目</w:t>
            </w:r>
          </w:p>
        </w:tc>
      </w:tr>
      <w:tr w14:paraId="7AFA8C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921" w:type="dxa"/>
            <w:tcMar>
              <w:top w:w="16" w:type="dxa"/>
              <w:left w:w="16" w:type="dxa"/>
              <w:right w:w="16" w:type="dxa"/>
            </w:tcMar>
            <w:vAlign w:val="center"/>
          </w:tcPr>
          <w:p w14:paraId="0CED245A">
            <w:pPr>
              <w:adjustRightInd w:val="0"/>
              <w:snapToGrid w:val="0"/>
              <w:spacing w:line="276" w:lineRule="auto"/>
              <w:jc w:val="center"/>
              <w:rPr>
                <w:color w:val="auto"/>
                <w:sz w:val="24"/>
              </w:rPr>
            </w:pPr>
            <w:r>
              <w:rPr>
                <w:color w:val="auto"/>
                <w:sz w:val="24"/>
              </w:rPr>
              <w:t>项目审批（核准/备案）部门（选填）</w:t>
            </w:r>
          </w:p>
        </w:tc>
        <w:tc>
          <w:tcPr>
            <w:tcW w:w="2469" w:type="dxa"/>
            <w:vAlign w:val="center"/>
          </w:tcPr>
          <w:p w14:paraId="143D882B">
            <w:pPr>
              <w:adjustRightInd w:val="0"/>
              <w:snapToGrid w:val="0"/>
              <w:spacing w:line="276" w:lineRule="auto"/>
              <w:jc w:val="center"/>
              <w:rPr>
                <w:color w:val="auto"/>
                <w:sz w:val="24"/>
              </w:rPr>
            </w:pPr>
            <w:r>
              <w:rPr>
                <w:rFonts w:hint="eastAsia"/>
                <w:color w:val="auto"/>
                <w:sz w:val="24"/>
              </w:rPr>
              <w:t>寻甸回族彝族自治县发展和改革局</w:t>
            </w:r>
          </w:p>
        </w:tc>
        <w:tc>
          <w:tcPr>
            <w:tcW w:w="1841" w:type="dxa"/>
            <w:vAlign w:val="center"/>
          </w:tcPr>
          <w:p w14:paraId="24A401A6">
            <w:pPr>
              <w:adjustRightInd w:val="0"/>
              <w:snapToGrid w:val="0"/>
              <w:spacing w:line="276" w:lineRule="auto"/>
              <w:jc w:val="center"/>
              <w:rPr>
                <w:color w:val="auto"/>
                <w:sz w:val="24"/>
              </w:rPr>
            </w:pPr>
            <w:r>
              <w:rPr>
                <w:color w:val="auto"/>
                <w:sz w:val="24"/>
              </w:rPr>
              <w:t>项目审批（核准/</w:t>
            </w:r>
          </w:p>
          <w:p w14:paraId="33A7AA43">
            <w:pPr>
              <w:adjustRightInd w:val="0"/>
              <w:snapToGrid w:val="0"/>
              <w:spacing w:line="276" w:lineRule="auto"/>
              <w:jc w:val="center"/>
              <w:rPr>
                <w:color w:val="auto"/>
                <w:sz w:val="24"/>
              </w:rPr>
            </w:pPr>
            <w:r>
              <w:rPr>
                <w:color w:val="auto"/>
                <w:sz w:val="24"/>
              </w:rPr>
              <w:t>备案）文号（选填）</w:t>
            </w:r>
          </w:p>
        </w:tc>
        <w:tc>
          <w:tcPr>
            <w:tcW w:w="3094" w:type="dxa"/>
            <w:vAlign w:val="center"/>
          </w:tcPr>
          <w:p w14:paraId="7EB71D1D">
            <w:pPr>
              <w:pStyle w:val="23"/>
              <w:jc w:val="center"/>
              <w:rPr>
                <w:color w:val="auto"/>
              </w:rPr>
            </w:pPr>
            <w:r>
              <w:rPr>
                <w:rFonts w:hint="eastAsia"/>
                <w:color w:val="auto"/>
              </w:rPr>
              <w:t>/</w:t>
            </w:r>
          </w:p>
        </w:tc>
      </w:tr>
      <w:tr w14:paraId="605F88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1" w:type="dxa"/>
            <w:tcMar>
              <w:top w:w="16" w:type="dxa"/>
              <w:left w:w="16" w:type="dxa"/>
              <w:right w:w="16" w:type="dxa"/>
            </w:tcMar>
            <w:vAlign w:val="center"/>
          </w:tcPr>
          <w:p w14:paraId="18329F00">
            <w:pPr>
              <w:adjustRightInd w:val="0"/>
              <w:snapToGrid w:val="0"/>
              <w:spacing w:line="276" w:lineRule="auto"/>
              <w:jc w:val="center"/>
              <w:rPr>
                <w:color w:val="auto"/>
                <w:sz w:val="24"/>
              </w:rPr>
            </w:pPr>
            <w:r>
              <w:rPr>
                <w:color w:val="auto"/>
                <w:sz w:val="24"/>
              </w:rPr>
              <w:t>总投资（万元）</w:t>
            </w:r>
          </w:p>
        </w:tc>
        <w:tc>
          <w:tcPr>
            <w:tcW w:w="2469" w:type="dxa"/>
            <w:vAlign w:val="center"/>
          </w:tcPr>
          <w:p w14:paraId="5015A931">
            <w:pPr>
              <w:adjustRightInd w:val="0"/>
              <w:snapToGrid w:val="0"/>
              <w:spacing w:line="276" w:lineRule="auto"/>
              <w:jc w:val="center"/>
              <w:rPr>
                <w:rFonts w:hint="default" w:eastAsia="宋体"/>
                <w:color w:val="auto"/>
                <w:sz w:val="24"/>
                <w:lang w:val="en-US" w:eastAsia="zh-CN"/>
              </w:rPr>
            </w:pPr>
            <w:r>
              <w:rPr>
                <w:rFonts w:hint="eastAsia"/>
                <w:color w:val="auto"/>
                <w:sz w:val="24"/>
                <w:lang w:val="en-US" w:eastAsia="zh-CN"/>
              </w:rPr>
              <w:t>503.61</w:t>
            </w:r>
          </w:p>
        </w:tc>
        <w:tc>
          <w:tcPr>
            <w:tcW w:w="1841" w:type="dxa"/>
            <w:tcMar>
              <w:top w:w="16" w:type="dxa"/>
              <w:left w:w="16" w:type="dxa"/>
              <w:right w:w="16" w:type="dxa"/>
            </w:tcMar>
            <w:vAlign w:val="center"/>
          </w:tcPr>
          <w:p w14:paraId="39D2570B">
            <w:pPr>
              <w:adjustRightInd w:val="0"/>
              <w:snapToGrid w:val="0"/>
              <w:spacing w:line="276" w:lineRule="auto"/>
              <w:jc w:val="center"/>
              <w:rPr>
                <w:color w:val="auto"/>
                <w:sz w:val="24"/>
              </w:rPr>
            </w:pPr>
            <w:r>
              <w:rPr>
                <w:color w:val="auto"/>
                <w:sz w:val="24"/>
                <w:highlight w:val="none"/>
              </w:rPr>
              <w:t>环保投资（万元）</w:t>
            </w:r>
          </w:p>
        </w:tc>
        <w:tc>
          <w:tcPr>
            <w:tcW w:w="3094" w:type="dxa"/>
            <w:vAlign w:val="center"/>
          </w:tcPr>
          <w:p w14:paraId="3DB96C9A">
            <w:pPr>
              <w:adjustRightInd w:val="0"/>
              <w:snapToGrid w:val="0"/>
              <w:spacing w:line="276" w:lineRule="auto"/>
              <w:jc w:val="center"/>
              <w:rPr>
                <w:rFonts w:hint="default" w:eastAsia="宋体"/>
                <w:color w:val="auto"/>
                <w:sz w:val="24"/>
                <w:lang w:val="en-US" w:eastAsia="zh-CN"/>
              </w:rPr>
            </w:pPr>
            <w:r>
              <w:rPr>
                <w:rFonts w:hint="eastAsia"/>
                <w:color w:val="auto"/>
                <w:sz w:val="24"/>
                <w:lang w:val="en-US" w:eastAsia="zh-CN"/>
              </w:rPr>
              <w:t>23.3</w:t>
            </w:r>
          </w:p>
        </w:tc>
      </w:tr>
      <w:tr w14:paraId="227C03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1" w:type="dxa"/>
            <w:tcMar>
              <w:top w:w="16" w:type="dxa"/>
              <w:left w:w="16" w:type="dxa"/>
              <w:right w:w="16" w:type="dxa"/>
            </w:tcMar>
            <w:vAlign w:val="center"/>
          </w:tcPr>
          <w:p w14:paraId="672E1925">
            <w:pPr>
              <w:adjustRightInd w:val="0"/>
              <w:snapToGrid w:val="0"/>
              <w:spacing w:line="276" w:lineRule="auto"/>
              <w:jc w:val="center"/>
              <w:rPr>
                <w:color w:val="auto"/>
                <w:sz w:val="24"/>
              </w:rPr>
            </w:pPr>
            <w:r>
              <w:rPr>
                <w:color w:val="auto"/>
                <w:sz w:val="24"/>
                <w:highlight w:val="none"/>
              </w:rPr>
              <w:t>环保投资占比（%）</w:t>
            </w:r>
          </w:p>
        </w:tc>
        <w:tc>
          <w:tcPr>
            <w:tcW w:w="2469" w:type="dxa"/>
            <w:vAlign w:val="center"/>
          </w:tcPr>
          <w:p w14:paraId="57A04C1A">
            <w:pPr>
              <w:adjustRightInd w:val="0"/>
              <w:snapToGrid w:val="0"/>
              <w:spacing w:line="276" w:lineRule="auto"/>
              <w:jc w:val="center"/>
              <w:rPr>
                <w:rFonts w:hint="default" w:eastAsia="宋体"/>
                <w:color w:val="auto"/>
                <w:sz w:val="24"/>
                <w:lang w:val="en-US" w:eastAsia="zh-CN"/>
              </w:rPr>
            </w:pPr>
            <w:r>
              <w:rPr>
                <w:rFonts w:hint="eastAsia"/>
                <w:color w:val="auto"/>
                <w:sz w:val="24"/>
                <w:lang w:val="en-US" w:eastAsia="zh-CN"/>
              </w:rPr>
              <w:t>4.63</w:t>
            </w:r>
          </w:p>
        </w:tc>
        <w:tc>
          <w:tcPr>
            <w:tcW w:w="1841" w:type="dxa"/>
            <w:tcMar>
              <w:top w:w="16" w:type="dxa"/>
              <w:left w:w="16" w:type="dxa"/>
              <w:right w:w="16" w:type="dxa"/>
            </w:tcMar>
            <w:vAlign w:val="center"/>
          </w:tcPr>
          <w:p w14:paraId="63FB4E63">
            <w:pPr>
              <w:adjustRightInd w:val="0"/>
              <w:snapToGrid w:val="0"/>
              <w:spacing w:line="276" w:lineRule="auto"/>
              <w:jc w:val="center"/>
              <w:rPr>
                <w:color w:val="auto"/>
                <w:sz w:val="24"/>
              </w:rPr>
            </w:pPr>
            <w:r>
              <w:rPr>
                <w:color w:val="auto"/>
                <w:sz w:val="24"/>
              </w:rPr>
              <w:t>施工工期</w:t>
            </w:r>
          </w:p>
        </w:tc>
        <w:tc>
          <w:tcPr>
            <w:tcW w:w="3094" w:type="dxa"/>
            <w:vAlign w:val="center"/>
          </w:tcPr>
          <w:p w14:paraId="25E7D61C">
            <w:pPr>
              <w:adjustRightInd w:val="0"/>
              <w:snapToGrid w:val="0"/>
              <w:spacing w:line="276" w:lineRule="auto"/>
              <w:jc w:val="center"/>
              <w:rPr>
                <w:color w:val="auto"/>
                <w:sz w:val="24"/>
              </w:rPr>
            </w:pPr>
            <w:r>
              <w:rPr>
                <w:rFonts w:hint="eastAsia"/>
                <w:color w:val="auto"/>
                <w:sz w:val="24"/>
                <w:lang w:val="en-US" w:eastAsia="zh-CN"/>
              </w:rPr>
              <w:t>1</w:t>
            </w:r>
            <w:r>
              <w:rPr>
                <w:rFonts w:hint="eastAsia"/>
                <w:color w:val="auto"/>
                <w:sz w:val="24"/>
              </w:rPr>
              <w:t>个月</w:t>
            </w:r>
          </w:p>
        </w:tc>
      </w:tr>
      <w:tr w14:paraId="34D750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1" w:type="dxa"/>
            <w:tcMar>
              <w:top w:w="16" w:type="dxa"/>
              <w:left w:w="16" w:type="dxa"/>
              <w:right w:w="16" w:type="dxa"/>
            </w:tcMar>
            <w:vAlign w:val="center"/>
          </w:tcPr>
          <w:p w14:paraId="70A10607">
            <w:pPr>
              <w:adjustRightInd w:val="0"/>
              <w:snapToGrid w:val="0"/>
              <w:spacing w:line="276" w:lineRule="auto"/>
              <w:jc w:val="center"/>
              <w:rPr>
                <w:color w:val="auto"/>
                <w:sz w:val="24"/>
              </w:rPr>
            </w:pPr>
            <w:r>
              <w:rPr>
                <w:color w:val="auto"/>
                <w:sz w:val="24"/>
              </w:rPr>
              <w:t>是否开工建设</w:t>
            </w:r>
          </w:p>
        </w:tc>
        <w:tc>
          <w:tcPr>
            <w:tcW w:w="2469" w:type="dxa"/>
            <w:vAlign w:val="center"/>
          </w:tcPr>
          <w:p w14:paraId="6D68B63A">
            <w:pPr>
              <w:adjustRightInd w:val="0"/>
              <w:snapToGrid w:val="0"/>
              <w:spacing w:line="276" w:lineRule="auto"/>
              <w:rPr>
                <w:color w:val="auto"/>
                <w:sz w:val="24"/>
              </w:rPr>
            </w:pPr>
            <w:r>
              <w:rPr>
                <w:color w:val="auto"/>
                <w:sz w:val="24"/>
              </w:rPr>
              <w:sym w:font="Wingdings 2" w:char="0052"/>
            </w:r>
            <w:r>
              <w:rPr>
                <w:color w:val="auto"/>
                <w:sz w:val="24"/>
              </w:rPr>
              <w:t>否</w:t>
            </w:r>
          </w:p>
          <w:p w14:paraId="73F8856B">
            <w:pPr>
              <w:adjustRightInd w:val="0"/>
              <w:snapToGrid w:val="0"/>
              <w:spacing w:line="276" w:lineRule="auto"/>
              <w:rPr>
                <w:color w:val="auto"/>
                <w:sz w:val="24"/>
              </w:rPr>
            </w:pPr>
            <w:r>
              <w:rPr>
                <w:color w:val="auto"/>
                <w:sz w:val="24"/>
              </w:rPr>
              <w:sym w:font="Wingdings 2" w:char="00A3"/>
            </w:r>
            <w:r>
              <w:rPr>
                <w:color w:val="auto"/>
                <w:sz w:val="24"/>
              </w:rPr>
              <w:t>是：</w:t>
            </w:r>
            <w:r>
              <w:rPr>
                <w:color w:val="auto"/>
                <w:sz w:val="24"/>
                <w:u w:val="single"/>
              </w:rPr>
              <w:t xml:space="preserve">             </w:t>
            </w:r>
          </w:p>
        </w:tc>
        <w:tc>
          <w:tcPr>
            <w:tcW w:w="1841" w:type="dxa"/>
            <w:tcMar>
              <w:top w:w="16" w:type="dxa"/>
              <w:left w:w="16" w:type="dxa"/>
              <w:right w:w="16" w:type="dxa"/>
            </w:tcMar>
            <w:vAlign w:val="center"/>
          </w:tcPr>
          <w:p w14:paraId="665478B1">
            <w:pPr>
              <w:adjustRightInd w:val="0"/>
              <w:snapToGrid w:val="0"/>
              <w:spacing w:line="276" w:lineRule="auto"/>
              <w:jc w:val="center"/>
              <w:rPr>
                <w:color w:val="auto"/>
                <w:spacing w:val="-6"/>
                <w:sz w:val="24"/>
              </w:rPr>
            </w:pPr>
            <w:r>
              <w:rPr>
                <w:color w:val="auto"/>
                <w:spacing w:val="-6"/>
                <w:sz w:val="24"/>
              </w:rPr>
              <w:t>用地（用海）</w:t>
            </w:r>
          </w:p>
          <w:p w14:paraId="11746759">
            <w:pPr>
              <w:adjustRightInd w:val="0"/>
              <w:snapToGrid w:val="0"/>
              <w:spacing w:line="276" w:lineRule="auto"/>
              <w:jc w:val="center"/>
              <w:rPr>
                <w:color w:val="auto"/>
                <w:sz w:val="24"/>
              </w:rPr>
            </w:pPr>
            <w:r>
              <w:rPr>
                <w:color w:val="auto"/>
                <w:spacing w:val="-6"/>
                <w:sz w:val="24"/>
              </w:rPr>
              <w:t>面积（m</w:t>
            </w:r>
            <w:r>
              <w:rPr>
                <w:color w:val="auto"/>
                <w:spacing w:val="-6"/>
                <w:sz w:val="24"/>
                <w:vertAlign w:val="superscript"/>
              </w:rPr>
              <w:t>2</w:t>
            </w:r>
            <w:r>
              <w:rPr>
                <w:color w:val="auto"/>
                <w:spacing w:val="-6"/>
                <w:sz w:val="24"/>
              </w:rPr>
              <w:t>）</w:t>
            </w:r>
          </w:p>
        </w:tc>
        <w:tc>
          <w:tcPr>
            <w:tcW w:w="3094" w:type="dxa"/>
            <w:vAlign w:val="center"/>
          </w:tcPr>
          <w:p w14:paraId="32427BDA">
            <w:pPr>
              <w:adjustRightInd w:val="0"/>
              <w:snapToGrid w:val="0"/>
              <w:spacing w:line="276" w:lineRule="auto"/>
              <w:jc w:val="center"/>
              <w:rPr>
                <w:rFonts w:hint="default" w:eastAsia="宋体"/>
                <w:color w:val="auto"/>
                <w:sz w:val="24"/>
                <w:lang w:val="en-US" w:eastAsia="zh-CN"/>
              </w:rPr>
            </w:pPr>
            <w:r>
              <w:rPr>
                <w:rFonts w:hint="eastAsia"/>
                <w:color w:val="auto"/>
                <w:sz w:val="24"/>
                <w:lang w:val="en-US" w:eastAsia="zh-CN"/>
              </w:rPr>
              <w:t>17000</w:t>
            </w:r>
          </w:p>
        </w:tc>
      </w:tr>
      <w:tr w14:paraId="68A0F0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921" w:type="dxa"/>
            <w:vAlign w:val="center"/>
          </w:tcPr>
          <w:p w14:paraId="463A98C9">
            <w:pPr>
              <w:autoSpaceDE w:val="0"/>
              <w:autoSpaceDN w:val="0"/>
              <w:adjustRightInd w:val="0"/>
              <w:snapToGrid w:val="0"/>
              <w:jc w:val="center"/>
              <w:rPr>
                <w:color w:val="auto"/>
                <w:sz w:val="24"/>
              </w:rPr>
            </w:pPr>
            <w:r>
              <w:rPr>
                <w:color w:val="auto"/>
                <w:sz w:val="24"/>
              </w:rPr>
              <w:t>专项评价</w:t>
            </w:r>
          </w:p>
          <w:p w14:paraId="405D473D">
            <w:pPr>
              <w:autoSpaceDE w:val="0"/>
              <w:autoSpaceDN w:val="0"/>
              <w:adjustRightInd w:val="0"/>
              <w:snapToGrid w:val="0"/>
              <w:jc w:val="center"/>
              <w:rPr>
                <w:color w:val="auto"/>
                <w:sz w:val="24"/>
              </w:rPr>
            </w:pPr>
            <w:r>
              <w:rPr>
                <w:color w:val="auto"/>
                <w:sz w:val="24"/>
              </w:rPr>
              <w:t>设置情况</w:t>
            </w:r>
          </w:p>
        </w:tc>
        <w:tc>
          <w:tcPr>
            <w:tcW w:w="7404" w:type="dxa"/>
            <w:gridSpan w:val="3"/>
            <w:vAlign w:val="center"/>
          </w:tcPr>
          <w:p w14:paraId="091E8947">
            <w:pPr>
              <w:autoSpaceDE w:val="0"/>
              <w:autoSpaceDN w:val="0"/>
              <w:adjustRightInd w:val="0"/>
              <w:snapToGrid w:val="0"/>
              <w:spacing w:line="360" w:lineRule="auto"/>
              <w:ind w:firstLine="480" w:firstLineChars="200"/>
              <w:rPr>
                <w:color w:val="auto"/>
                <w:sz w:val="24"/>
              </w:rPr>
            </w:pPr>
            <w:r>
              <w:rPr>
                <w:color w:val="auto"/>
                <w:sz w:val="24"/>
              </w:rPr>
              <w:t>根据《建设环境影响评价报告表编制技术指南》（污染影响类）“表1 专项评价设置原则表”，判断本项目是否设置专项评价。</w:t>
            </w:r>
          </w:p>
          <w:p w14:paraId="36D68393">
            <w:pPr>
              <w:autoSpaceDE w:val="0"/>
              <w:autoSpaceDN w:val="0"/>
              <w:adjustRightInd w:val="0"/>
              <w:snapToGrid w:val="0"/>
              <w:jc w:val="center"/>
              <w:rPr>
                <w:b/>
                <w:bCs/>
                <w:color w:val="auto"/>
                <w:sz w:val="24"/>
                <w:highlight w:val="yellow"/>
              </w:rPr>
            </w:pPr>
            <w:r>
              <w:rPr>
                <w:rFonts w:hint="eastAsia"/>
                <w:b/>
                <w:bCs/>
                <w:color w:val="auto"/>
                <w:sz w:val="24"/>
              </w:rPr>
              <w:t>表1-1  专项评价设置分析对照表</w:t>
            </w:r>
          </w:p>
          <w:tbl>
            <w:tblPr>
              <w:tblStyle w:val="45"/>
              <w:tblW w:w="7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2470"/>
              <w:gridCol w:w="2915"/>
              <w:gridCol w:w="679"/>
            </w:tblGrid>
            <w:tr w14:paraId="7FF85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4" w:type="dxa"/>
                  <w:vAlign w:val="center"/>
                </w:tcPr>
                <w:p w14:paraId="3FA4A781">
                  <w:pPr>
                    <w:autoSpaceDE w:val="0"/>
                    <w:autoSpaceDN w:val="0"/>
                    <w:jc w:val="center"/>
                    <w:rPr>
                      <w:color w:val="auto"/>
                      <w:sz w:val="21"/>
                      <w:szCs w:val="21"/>
                    </w:rPr>
                  </w:pPr>
                  <w:r>
                    <w:rPr>
                      <w:rFonts w:hint="eastAsia"/>
                      <w:color w:val="auto"/>
                      <w:sz w:val="21"/>
                      <w:szCs w:val="21"/>
                    </w:rPr>
                    <w:t>专项评价类别</w:t>
                  </w:r>
                </w:p>
              </w:tc>
              <w:tc>
                <w:tcPr>
                  <w:tcW w:w="2470" w:type="dxa"/>
                  <w:vAlign w:val="center"/>
                </w:tcPr>
                <w:p w14:paraId="28C9F3AF">
                  <w:pPr>
                    <w:autoSpaceDE w:val="0"/>
                    <w:autoSpaceDN w:val="0"/>
                    <w:jc w:val="center"/>
                    <w:rPr>
                      <w:color w:val="auto"/>
                      <w:sz w:val="21"/>
                      <w:szCs w:val="21"/>
                    </w:rPr>
                  </w:pPr>
                  <w:r>
                    <w:rPr>
                      <w:rFonts w:hint="eastAsia"/>
                      <w:color w:val="auto"/>
                      <w:sz w:val="21"/>
                      <w:szCs w:val="21"/>
                    </w:rPr>
                    <w:t>设置原则</w:t>
                  </w:r>
                </w:p>
              </w:tc>
              <w:tc>
                <w:tcPr>
                  <w:tcW w:w="2915" w:type="dxa"/>
                  <w:vAlign w:val="center"/>
                </w:tcPr>
                <w:p w14:paraId="28A4C3DB">
                  <w:pPr>
                    <w:autoSpaceDE w:val="0"/>
                    <w:autoSpaceDN w:val="0"/>
                    <w:jc w:val="center"/>
                    <w:rPr>
                      <w:color w:val="auto"/>
                      <w:sz w:val="21"/>
                      <w:szCs w:val="21"/>
                    </w:rPr>
                  </w:pPr>
                  <w:r>
                    <w:rPr>
                      <w:rFonts w:hint="eastAsia"/>
                      <w:color w:val="auto"/>
                      <w:sz w:val="21"/>
                      <w:szCs w:val="21"/>
                    </w:rPr>
                    <w:t>项目情况</w:t>
                  </w:r>
                </w:p>
              </w:tc>
              <w:tc>
                <w:tcPr>
                  <w:tcW w:w="679" w:type="dxa"/>
                  <w:vAlign w:val="center"/>
                </w:tcPr>
                <w:p w14:paraId="27A18F63">
                  <w:pPr>
                    <w:autoSpaceDE w:val="0"/>
                    <w:autoSpaceDN w:val="0"/>
                    <w:jc w:val="center"/>
                    <w:rPr>
                      <w:color w:val="auto"/>
                      <w:sz w:val="21"/>
                      <w:szCs w:val="21"/>
                    </w:rPr>
                  </w:pPr>
                  <w:r>
                    <w:rPr>
                      <w:rFonts w:hint="eastAsia"/>
                      <w:color w:val="auto"/>
                      <w:sz w:val="21"/>
                      <w:szCs w:val="21"/>
                    </w:rPr>
                    <w:t>是否设置</w:t>
                  </w:r>
                </w:p>
              </w:tc>
            </w:tr>
            <w:tr w14:paraId="4B5B6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4" w:type="dxa"/>
                  <w:vAlign w:val="center"/>
                </w:tcPr>
                <w:p w14:paraId="2232BBD4">
                  <w:pPr>
                    <w:autoSpaceDE w:val="0"/>
                    <w:autoSpaceDN w:val="0"/>
                    <w:jc w:val="center"/>
                    <w:rPr>
                      <w:color w:val="auto"/>
                      <w:sz w:val="21"/>
                      <w:szCs w:val="21"/>
                    </w:rPr>
                  </w:pPr>
                  <w:r>
                    <w:rPr>
                      <w:rFonts w:hint="eastAsia"/>
                      <w:color w:val="auto"/>
                      <w:sz w:val="21"/>
                      <w:szCs w:val="21"/>
                    </w:rPr>
                    <w:t>大气</w:t>
                  </w:r>
                </w:p>
              </w:tc>
              <w:tc>
                <w:tcPr>
                  <w:tcW w:w="2470" w:type="dxa"/>
                  <w:vAlign w:val="center"/>
                </w:tcPr>
                <w:p w14:paraId="2F52DEE5">
                  <w:pPr>
                    <w:autoSpaceDE w:val="0"/>
                    <w:autoSpaceDN w:val="0"/>
                    <w:jc w:val="center"/>
                    <w:rPr>
                      <w:color w:val="auto"/>
                      <w:sz w:val="21"/>
                      <w:szCs w:val="21"/>
                    </w:rPr>
                  </w:pPr>
                  <w:r>
                    <w:rPr>
                      <w:rFonts w:hint="eastAsia"/>
                      <w:color w:val="auto"/>
                      <w:sz w:val="21"/>
                      <w:szCs w:val="21"/>
                    </w:rPr>
                    <w:t>排放废气含有毒有害污染物</w:t>
                  </w:r>
                  <w:r>
                    <w:rPr>
                      <w:rFonts w:hint="eastAsia"/>
                      <w:color w:val="auto"/>
                      <w:sz w:val="21"/>
                      <w:szCs w:val="21"/>
                      <w:vertAlign w:val="superscript"/>
                    </w:rPr>
                    <w:t>1</w:t>
                  </w:r>
                  <w:r>
                    <w:rPr>
                      <w:rFonts w:hint="eastAsia"/>
                      <w:color w:val="auto"/>
                      <w:sz w:val="21"/>
                      <w:szCs w:val="21"/>
                    </w:rPr>
                    <w:t>、二噁英、苯并[a]芘、氰化物、氯气且厂界外500米范围内有环境空气保护目标</w:t>
                  </w:r>
                  <w:r>
                    <w:rPr>
                      <w:rFonts w:hint="eastAsia"/>
                      <w:color w:val="auto"/>
                      <w:sz w:val="21"/>
                      <w:szCs w:val="21"/>
                      <w:vertAlign w:val="superscript"/>
                    </w:rPr>
                    <w:t>2</w:t>
                  </w:r>
                  <w:r>
                    <w:rPr>
                      <w:rFonts w:hint="eastAsia"/>
                      <w:color w:val="auto"/>
                      <w:sz w:val="21"/>
                      <w:szCs w:val="21"/>
                    </w:rPr>
                    <w:t>的建设项目</w:t>
                  </w:r>
                </w:p>
              </w:tc>
              <w:tc>
                <w:tcPr>
                  <w:tcW w:w="2915" w:type="dxa"/>
                  <w:vAlign w:val="center"/>
                </w:tcPr>
                <w:p w14:paraId="543F0F39">
                  <w:pPr>
                    <w:autoSpaceDE w:val="0"/>
                    <w:autoSpaceDN w:val="0"/>
                    <w:jc w:val="center"/>
                    <w:rPr>
                      <w:color w:val="auto"/>
                      <w:sz w:val="21"/>
                      <w:szCs w:val="21"/>
                    </w:rPr>
                  </w:pPr>
                  <w:r>
                    <w:rPr>
                      <w:color w:val="auto"/>
                      <w:sz w:val="21"/>
                      <w:szCs w:val="21"/>
                    </w:rPr>
                    <w:t>本项目废气排放中仅涉及颗粒物，</w:t>
                  </w:r>
                  <w:r>
                    <w:rPr>
                      <w:rFonts w:hint="eastAsia"/>
                      <w:color w:val="auto"/>
                      <w:sz w:val="21"/>
                      <w:szCs w:val="21"/>
                    </w:rPr>
                    <w:t>不含有毒有害污染物，也不含二噁英、苯并[a]芘、氰化物、氯气</w:t>
                  </w:r>
                </w:p>
              </w:tc>
              <w:tc>
                <w:tcPr>
                  <w:tcW w:w="679" w:type="dxa"/>
                  <w:vAlign w:val="center"/>
                </w:tcPr>
                <w:p w14:paraId="268A6185">
                  <w:pPr>
                    <w:autoSpaceDE w:val="0"/>
                    <w:autoSpaceDN w:val="0"/>
                    <w:jc w:val="center"/>
                    <w:rPr>
                      <w:color w:val="auto"/>
                      <w:sz w:val="21"/>
                      <w:szCs w:val="21"/>
                    </w:rPr>
                  </w:pPr>
                  <w:r>
                    <w:rPr>
                      <w:rFonts w:hint="eastAsia"/>
                      <w:color w:val="auto"/>
                      <w:sz w:val="21"/>
                      <w:szCs w:val="21"/>
                    </w:rPr>
                    <w:t>否</w:t>
                  </w:r>
                </w:p>
              </w:tc>
            </w:tr>
            <w:tr w14:paraId="42B13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4" w:type="dxa"/>
                  <w:vAlign w:val="center"/>
                </w:tcPr>
                <w:p w14:paraId="38B9A329">
                  <w:pPr>
                    <w:autoSpaceDE w:val="0"/>
                    <w:autoSpaceDN w:val="0"/>
                    <w:jc w:val="center"/>
                    <w:rPr>
                      <w:color w:val="auto"/>
                      <w:sz w:val="21"/>
                      <w:szCs w:val="21"/>
                    </w:rPr>
                  </w:pPr>
                  <w:r>
                    <w:rPr>
                      <w:rFonts w:hint="eastAsia"/>
                      <w:color w:val="auto"/>
                      <w:sz w:val="21"/>
                      <w:szCs w:val="21"/>
                    </w:rPr>
                    <w:t>地表水</w:t>
                  </w:r>
                </w:p>
              </w:tc>
              <w:tc>
                <w:tcPr>
                  <w:tcW w:w="2470" w:type="dxa"/>
                  <w:vAlign w:val="center"/>
                </w:tcPr>
                <w:p w14:paraId="3B0DFA72">
                  <w:pPr>
                    <w:autoSpaceDE w:val="0"/>
                    <w:autoSpaceDN w:val="0"/>
                    <w:jc w:val="center"/>
                    <w:rPr>
                      <w:color w:val="auto"/>
                      <w:sz w:val="21"/>
                      <w:szCs w:val="21"/>
                    </w:rPr>
                  </w:pPr>
                  <w:r>
                    <w:rPr>
                      <w:rFonts w:hint="eastAsia"/>
                      <w:color w:val="auto"/>
                      <w:sz w:val="21"/>
                      <w:szCs w:val="21"/>
                    </w:rPr>
                    <w:t>新增工业废水直排建设项目（槽罐车外送污水处理厂的除外）；新增废水直排的污水集中处理厂</w:t>
                  </w:r>
                </w:p>
              </w:tc>
              <w:tc>
                <w:tcPr>
                  <w:tcW w:w="2915" w:type="dxa"/>
                  <w:vAlign w:val="center"/>
                </w:tcPr>
                <w:p w14:paraId="23134F96">
                  <w:pPr>
                    <w:autoSpaceDE w:val="0"/>
                    <w:autoSpaceDN w:val="0"/>
                    <w:jc w:val="center"/>
                    <w:rPr>
                      <w:color w:val="auto"/>
                      <w:sz w:val="21"/>
                      <w:szCs w:val="21"/>
                    </w:rPr>
                  </w:pPr>
                  <w:r>
                    <w:rPr>
                      <w:rFonts w:hint="eastAsia"/>
                      <w:color w:val="auto"/>
                      <w:sz w:val="21"/>
                      <w:szCs w:val="21"/>
                      <w:lang w:val="en-US" w:eastAsia="zh-CN"/>
                    </w:rPr>
                    <w:t>项目改扩建工程没有新增生活污水，且无生产废水产生。</w:t>
                  </w:r>
                </w:p>
              </w:tc>
              <w:tc>
                <w:tcPr>
                  <w:tcW w:w="679" w:type="dxa"/>
                  <w:vAlign w:val="center"/>
                </w:tcPr>
                <w:p w14:paraId="6382D682">
                  <w:pPr>
                    <w:autoSpaceDE w:val="0"/>
                    <w:autoSpaceDN w:val="0"/>
                    <w:jc w:val="center"/>
                    <w:rPr>
                      <w:color w:val="auto"/>
                      <w:sz w:val="21"/>
                      <w:szCs w:val="21"/>
                    </w:rPr>
                  </w:pPr>
                  <w:r>
                    <w:rPr>
                      <w:rFonts w:hint="eastAsia"/>
                      <w:color w:val="auto"/>
                      <w:sz w:val="21"/>
                      <w:szCs w:val="21"/>
                    </w:rPr>
                    <w:t>否</w:t>
                  </w:r>
                </w:p>
              </w:tc>
            </w:tr>
            <w:tr w14:paraId="2DED6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4" w:type="dxa"/>
                  <w:vAlign w:val="center"/>
                </w:tcPr>
                <w:p w14:paraId="6C2200DF">
                  <w:pPr>
                    <w:autoSpaceDE w:val="0"/>
                    <w:autoSpaceDN w:val="0"/>
                    <w:jc w:val="center"/>
                    <w:rPr>
                      <w:color w:val="auto"/>
                      <w:sz w:val="21"/>
                      <w:szCs w:val="21"/>
                    </w:rPr>
                  </w:pPr>
                  <w:r>
                    <w:rPr>
                      <w:rFonts w:hint="eastAsia"/>
                      <w:color w:val="auto"/>
                      <w:sz w:val="21"/>
                      <w:szCs w:val="21"/>
                    </w:rPr>
                    <w:t>环境风险</w:t>
                  </w:r>
                </w:p>
              </w:tc>
              <w:tc>
                <w:tcPr>
                  <w:tcW w:w="2470" w:type="dxa"/>
                  <w:vAlign w:val="center"/>
                </w:tcPr>
                <w:p w14:paraId="683E29AD">
                  <w:pPr>
                    <w:autoSpaceDE w:val="0"/>
                    <w:autoSpaceDN w:val="0"/>
                    <w:jc w:val="center"/>
                    <w:rPr>
                      <w:color w:val="auto"/>
                      <w:sz w:val="21"/>
                      <w:szCs w:val="21"/>
                    </w:rPr>
                  </w:pPr>
                  <w:r>
                    <w:rPr>
                      <w:rFonts w:hint="eastAsia"/>
                      <w:color w:val="auto"/>
                      <w:sz w:val="21"/>
                      <w:szCs w:val="21"/>
                    </w:rPr>
                    <w:t>有毒有害和易燃易爆危险物质存储量超过临界量</w:t>
                  </w:r>
                  <w:r>
                    <w:rPr>
                      <w:rFonts w:hint="eastAsia"/>
                      <w:color w:val="auto"/>
                      <w:sz w:val="21"/>
                      <w:szCs w:val="21"/>
                      <w:vertAlign w:val="superscript"/>
                    </w:rPr>
                    <w:t>3</w:t>
                  </w:r>
                  <w:r>
                    <w:rPr>
                      <w:rFonts w:hint="eastAsia"/>
                      <w:color w:val="auto"/>
                      <w:sz w:val="21"/>
                      <w:szCs w:val="21"/>
                    </w:rPr>
                    <w:t>的建设项目</w:t>
                  </w:r>
                </w:p>
              </w:tc>
              <w:tc>
                <w:tcPr>
                  <w:tcW w:w="2915" w:type="dxa"/>
                  <w:vAlign w:val="center"/>
                </w:tcPr>
                <w:p w14:paraId="350B9CC1">
                  <w:pPr>
                    <w:autoSpaceDE w:val="0"/>
                    <w:autoSpaceDN w:val="0"/>
                    <w:jc w:val="center"/>
                    <w:rPr>
                      <w:color w:val="auto"/>
                      <w:sz w:val="21"/>
                      <w:szCs w:val="21"/>
                    </w:rPr>
                  </w:pPr>
                  <w:r>
                    <w:rPr>
                      <w:rFonts w:hAnsi="宋体"/>
                      <w:color w:val="auto"/>
                      <w:sz w:val="21"/>
                      <w:szCs w:val="21"/>
                    </w:rPr>
                    <w:t>本项目不储存有毒有害和易燃易爆危险物质</w:t>
                  </w:r>
                </w:p>
              </w:tc>
              <w:tc>
                <w:tcPr>
                  <w:tcW w:w="679" w:type="dxa"/>
                  <w:vAlign w:val="center"/>
                </w:tcPr>
                <w:p w14:paraId="305B1803">
                  <w:pPr>
                    <w:autoSpaceDE w:val="0"/>
                    <w:autoSpaceDN w:val="0"/>
                    <w:jc w:val="center"/>
                    <w:rPr>
                      <w:color w:val="auto"/>
                      <w:sz w:val="21"/>
                      <w:szCs w:val="21"/>
                    </w:rPr>
                  </w:pPr>
                  <w:r>
                    <w:rPr>
                      <w:rFonts w:hint="eastAsia"/>
                      <w:color w:val="auto"/>
                      <w:sz w:val="21"/>
                      <w:szCs w:val="21"/>
                    </w:rPr>
                    <w:t>否</w:t>
                  </w:r>
                </w:p>
              </w:tc>
            </w:tr>
            <w:tr w14:paraId="51F7D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4" w:type="dxa"/>
                  <w:vAlign w:val="center"/>
                </w:tcPr>
                <w:p w14:paraId="670142F8">
                  <w:pPr>
                    <w:autoSpaceDE w:val="0"/>
                    <w:autoSpaceDN w:val="0"/>
                    <w:jc w:val="center"/>
                    <w:rPr>
                      <w:color w:val="auto"/>
                      <w:sz w:val="21"/>
                      <w:szCs w:val="21"/>
                    </w:rPr>
                  </w:pPr>
                  <w:r>
                    <w:rPr>
                      <w:rFonts w:hint="eastAsia"/>
                      <w:color w:val="auto"/>
                      <w:sz w:val="21"/>
                      <w:szCs w:val="21"/>
                    </w:rPr>
                    <w:t>生态</w:t>
                  </w:r>
                </w:p>
              </w:tc>
              <w:tc>
                <w:tcPr>
                  <w:tcW w:w="2470" w:type="dxa"/>
                  <w:vAlign w:val="center"/>
                </w:tcPr>
                <w:p w14:paraId="4A8F78E1">
                  <w:pPr>
                    <w:autoSpaceDE w:val="0"/>
                    <w:autoSpaceDN w:val="0"/>
                    <w:jc w:val="center"/>
                    <w:rPr>
                      <w:color w:val="auto"/>
                      <w:sz w:val="21"/>
                      <w:szCs w:val="21"/>
                    </w:rPr>
                  </w:pPr>
                  <w:r>
                    <w:rPr>
                      <w:rFonts w:hint="eastAsia"/>
                      <w:color w:val="auto"/>
                      <w:sz w:val="21"/>
                      <w:szCs w:val="21"/>
                    </w:rPr>
                    <w:t>取水口下游500米范围内有重要水生生物的自然产卵场、索饵场、越冬场和洄游通道的新增河道取水的污染类建设项目</w:t>
                  </w:r>
                </w:p>
              </w:tc>
              <w:tc>
                <w:tcPr>
                  <w:tcW w:w="2915" w:type="dxa"/>
                  <w:vAlign w:val="center"/>
                </w:tcPr>
                <w:p w14:paraId="3C26F9F1">
                  <w:pPr>
                    <w:autoSpaceDE w:val="0"/>
                    <w:autoSpaceDN w:val="0"/>
                    <w:jc w:val="center"/>
                    <w:rPr>
                      <w:color w:val="auto"/>
                      <w:sz w:val="21"/>
                      <w:szCs w:val="21"/>
                    </w:rPr>
                  </w:pPr>
                  <w:r>
                    <w:rPr>
                      <w:rFonts w:hint="eastAsia"/>
                      <w:color w:val="auto"/>
                      <w:sz w:val="21"/>
                      <w:szCs w:val="21"/>
                    </w:rPr>
                    <w:t>本项目</w:t>
                  </w:r>
                  <w:r>
                    <w:rPr>
                      <w:color w:val="auto"/>
                      <w:sz w:val="21"/>
                      <w:szCs w:val="21"/>
                    </w:rPr>
                    <w:t>生活供水水源可依托</w:t>
                  </w:r>
                  <w:r>
                    <w:rPr>
                      <w:rFonts w:hint="eastAsia"/>
                      <w:color w:val="auto"/>
                      <w:sz w:val="21"/>
                      <w:szCs w:val="21"/>
                      <w:lang w:eastAsia="zh-CN"/>
                    </w:rPr>
                    <w:t>云南常青树化工有限公司</w:t>
                  </w:r>
                  <w:r>
                    <w:rPr>
                      <w:color w:val="auto"/>
                      <w:sz w:val="21"/>
                      <w:szCs w:val="21"/>
                    </w:rPr>
                    <w:t>现有设置</w:t>
                  </w:r>
                  <w:r>
                    <w:rPr>
                      <w:rFonts w:hint="eastAsia"/>
                      <w:color w:val="auto"/>
                      <w:sz w:val="21"/>
                      <w:szCs w:val="21"/>
                    </w:rPr>
                    <w:t>，不涉及河道取水</w:t>
                  </w:r>
                </w:p>
              </w:tc>
              <w:tc>
                <w:tcPr>
                  <w:tcW w:w="679" w:type="dxa"/>
                  <w:vAlign w:val="center"/>
                </w:tcPr>
                <w:p w14:paraId="12081D34">
                  <w:pPr>
                    <w:autoSpaceDE w:val="0"/>
                    <w:autoSpaceDN w:val="0"/>
                    <w:jc w:val="center"/>
                    <w:rPr>
                      <w:color w:val="auto"/>
                      <w:sz w:val="21"/>
                      <w:szCs w:val="21"/>
                    </w:rPr>
                  </w:pPr>
                  <w:r>
                    <w:rPr>
                      <w:rFonts w:hint="eastAsia"/>
                      <w:color w:val="auto"/>
                      <w:sz w:val="21"/>
                      <w:szCs w:val="21"/>
                    </w:rPr>
                    <w:t>否</w:t>
                  </w:r>
                </w:p>
              </w:tc>
            </w:tr>
            <w:tr w14:paraId="5EAFB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4" w:type="dxa"/>
                  <w:vAlign w:val="center"/>
                </w:tcPr>
                <w:p w14:paraId="0F422834">
                  <w:pPr>
                    <w:autoSpaceDE w:val="0"/>
                    <w:autoSpaceDN w:val="0"/>
                    <w:jc w:val="center"/>
                    <w:rPr>
                      <w:color w:val="auto"/>
                      <w:sz w:val="21"/>
                      <w:szCs w:val="21"/>
                    </w:rPr>
                  </w:pPr>
                  <w:r>
                    <w:rPr>
                      <w:rFonts w:hint="eastAsia"/>
                      <w:color w:val="auto"/>
                      <w:sz w:val="21"/>
                      <w:szCs w:val="21"/>
                    </w:rPr>
                    <w:t>海洋</w:t>
                  </w:r>
                </w:p>
              </w:tc>
              <w:tc>
                <w:tcPr>
                  <w:tcW w:w="2470" w:type="dxa"/>
                  <w:vAlign w:val="center"/>
                </w:tcPr>
                <w:p w14:paraId="67C578A6">
                  <w:pPr>
                    <w:autoSpaceDE w:val="0"/>
                    <w:autoSpaceDN w:val="0"/>
                    <w:jc w:val="center"/>
                    <w:rPr>
                      <w:color w:val="auto"/>
                      <w:sz w:val="21"/>
                      <w:szCs w:val="21"/>
                    </w:rPr>
                  </w:pPr>
                  <w:r>
                    <w:rPr>
                      <w:rFonts w:hint="eastAsia"/>
                      <w:color w:val="auto"/>
                      <w:sz w:val="21"/>
                      <w:szCs w:val="21"/>
                    </w:rPr>
                    <w:t>直接向海排放污染物的海洋工程建设项目</w:t>
                  </w:r>
                </w:p>
              </w:tc>
              <w:tc>
                <w:tcPr>
                  <w:tcW w:w="2915" w:type="dxa"/>
                  <w:vAlign w:val="center"/>
                </w:tcPr>
                <w:p w14:paraId="58AE07B5">
                  <w:pPr>
                    <w:autoSpaceDE w:val="0"/>
                    <w:autoSpaceDN w:val="0"/>
                    <w:jc w:val="center"/>
                    <w:rPr>
                      <w:color w:val="auto"/>
                      <w:sz w:val="21"/>
                      <w:szCs w:val="21"/>
                    </w:rPr>
                  </w:pPr>
                  <w:r>
                    <w:rPr>
                      <w:rFonts w:hint="eastAsia"/>
                      <w:color w:val="auto"/>
                      <w:sz w:val="21"/>
                      <w:szCs w:val="21"/>
                    </w:rPr>
                    <w:t>本项目不涉及海洋工程建设项目</w:t>
                  </w:r>
                </w:p>
              </w:tc>
              <w:tc>
                <w:tcPr>
                  <w:tcW w:w="679" w:type="dxa"/>
                  <w:vAlign w:val="center"/>
                </w:tcPr>
                <w:p w14:paraId="6E000E99">
                  <w:pPr>
                    <w:autoSpaceDE w:val="0"/>
                    <w:autoSpaceDN w:val="0"/>
                    <w:jc w:val="center"/>
                    <w:rPr>
                      <w:color w:val="auto"/>
                      <w:sz w:val="21"/>
                      <w:szCs w:val="21"/>
                    </w:rPr>
                  </w:pPr>
                  <w:r>
                    <w:rPr>
                      <w:rFonts w:hint="eastAsia"/>
                      <w:color w:val="auto"/>
                      <w:sz w:val="21"/>
                      <w:szCs w:val="21"/>
                    </w:rPr>
                    <w:t>否</w:t>
                  </w:r>
                </w:p>
              </w:tc>
            </w:tr>
          </w:tbl>
          <w:p w14:paraId="31ECDD45">
            <w:pPr>
              <w:autoSpaceDE w:val="0"/>
              <w:autoSpaceDN w:val="0"/>
              <w:adjustRightInd w:val="0"/>
              <w:snapToGrid w:val="0"/>
              <w:spacing w:line="360" w:lineRule="auto"/>
              <w:jc w:val="left"/>
              <w:rPr>
                <w:color w:val="auto"/>
                <w:sz w:val="21"/>
                <w:szCs w:val="21"/>
              </w:rPr>
            </w:pPr>
            <w:r>
              <w:rPr>
                <w:color w:val="auto"/>
                <w:sz w:val="21"/>
                <w:szCs w:val="21"/>
              </w:rPr>
              <w:t xml:space="preserve">注：1.废气中有毒有害污染物指纳入《有毒有害大气污染物名录》的污染物（不包括无排放标准的污染物）。 </w:t>
            </w:r>
          </w:p>
          <w:p w14:paraId="13AB90CA">
            <w:pPr>
              <w:autoSpaceDE w:val="0"/>
              <w:autoSpaceDN w:val="0"/>
              <w:adjustRightInd w:val="0"/>
              <w:snapToGrid w:val="0"/>
              <w:spacing w:line="360" w:lineRule="auto"/>
              <w:ind w:firstLine="420" w:firstLineChars="200"/>
              <w:jc w:val="left"/>
              <w:rPr>
                <w:color w:val="auto"/>
                <w:sz w:val="21"/>
                <w:szCs w:val="21"/>
              </w:rPr>
            </w:pPr>
            <w:r>
              <w:rPr>
                <w:color w:val="auto"/>
                <w:sz w:val="21"/>
                <w:szCs w:val="21"/>
              </w:rPr>
              <w:t xml:space="preserve">2.环境空气保护目标指自然保护区、风景名胜区、居住区、文化区和农村地区中人群较集中的区域。 </w:t>
            </w:r>
          </w:p>
          <w:p w14:paraId="229E79AD">
            <w:pPr>
              <w:autoSpaceDE w:val="0"/>
              <w:autoSpaceDN w:val="0"/>
              <w:adjustRightInd w:val="0"/>
              <w:snapToGrid w:val="0"/>
              <w:spacing w:line="360" w:lineRule="auto"/>
              <w:ind w:firstLine="420" w:firstLineChars="200"/>
              <w:jc w:val="left"/>
              <w:rPr>
                <w:color w:val="auto"/>
                <w:sz w:val="21"/>
                <w:szCs w:val="21"/>
              </w:rPr>
            </w:pPr>
            <w:r>
              <w:rPr>
                <w:color w:val="auto"/>
                <w:sz w:val="21"/>
                <w:szCs w:val="21"/>
              </w:rPr>
              <w:t>3.临界量及其计算方法可参考《建设项目环境风险评价技术导则》（HJ 169）附录B、附录C。</w:t>
            </w:r>
          </w:p>
          <w:p w14:paraId="796DA6B2">
            <w:pPr>
              <w:pStyle w:val="2"/>
              <w:spacing w:before="0" w:after="0" w:line="360" w:lineRule="auto"/>
              <w:ind w:left="200" w:leftChars="100" w:firstLine="480" w:firstLineChars="200"/>
              <w:rPr>
                <w:rFonts w:ascii="宋体" w:hAnsi="宋体" w:eastAsia="宋体"/>
                <w:b w:val="0"/>
                <w:color w:val="auto"/>
                <w:sz w:val="24"/>
                <w:szCs w:val="24"/>
              </w:rPr>
            </w:pPr>
            <w:r>
              <w:rPr>
                <w:rFonts w:hint="eastAsia" w:ascii="宋体" w:hAnsi="宋体" w:eastAsia="宋体"/>
                <w:b w:val="0"/>
                <w:color w:val="auto"/>
                <w:sz w:val="24"/>
                <w:szCs w:val="24"/>
              </w:rPr>
              <w:t>根据上表，本项目不需要设置专项评价。</w:t>
            </w:r>
          </w:p>
        </w:tc>
      </w:tr>
      <w:tr w14:paraId="59A8DF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921" w:type="dxa"/>
            <w:vAlign w:val="center"/>
          </w:tcPr>
          <w:p w14:paraId="3BAC951F">
            <w:pPr>
              <w:autoSpaceDE w:val="0"/>
              <w:autoSpaceDN w:val="0"/>
              <w:adjustRightInd w:val="0"/>
              <w:snapToGrid w:val="0"/>
              <w:spacing w:line="360" w:lineRule="auto"/>
              <w:jc w:val="center"/>
              <w:rPr>
                <w:color w:val="auto"/>
                <w:sz w:val="24"/>
              </w:rPr>
            </w:pPr>
            <w:r>
              <w:rPr>
                <w:color w:val="auto"/>
                <w:sz w:val="24"/>
              </w:rPr>
              <w:t>规划情况</w:t>
            </w:r>
          </w:p>
        </w:tc>
        <w:tc>
          <w:tcPr>
            <w:tcW w:w="7404" w:type="dxa"/>
            <w:gridSpan w:val="3"/>
            <w:vAlign w:val="center"/>
          </w:tcPr>
          <w:p w14:paraId="434915E8">
            <w:pPr>
              <w:autoSpaceDE w:val="0"/>
              <w:autoSpaceDN w:val="0"/>
              <w:adjustRightInd w:val="0"/>
              <w:snapToGrid w:val="0"/>
              <w:spacing w:line="360" w:lineRule="auto"/>
              <w:jc w:val="center"/>
              <w:rPr>
                <w:color w:val="auto"/>
                <w:sz w:val="24"/>
              </w:rPr>
            </w:pPr>
            <w:r>
              <w:rPr>
                <w:rFonts w:hint="eastAsia"/>
                <w:color w:val="auto"/>
                <w:sz w:val="24"/>
              </w:rPr>
              <w:t>无</w:t>
            </w:r>
          </w:p>
        </w:tc>
      </w:tr>
      <w:tr w14:paraId="2B0407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921" w:type="dxa"/>
            <w:vAlign w:val="center"/>
          </w:tcPr>
          <w:p w14:paraId="4F168698">
            <w:pPr>
              <w:adjustRightInd w:val="0"/>
              <w:snapToGrid w:val="0"/>
              <w:jc w:val="center"/>
              <w:rPr>
                <w:color w:val="auto"/>
                <w:sz w:val="24"/>
              </w:rPr>
            </w:pPr>
            <w:r>
              <w:rPr>
                <w:color w:val="auto"/>
                <w:sz w:val="24"/>
              </w:rPr>
              <w:t>规划环境影响</w:t>
            </w:r>
          </w:p>
          <w:p w14:paraId="2291AD48">
            <w:pPr>
              <w:adjustRightInd w:val="0"/>
              <w:snapToGrid w:val="0"/>
              <w:jc w:val="center"/>
              <w:rPr>
                <w:color w:val="auto"/>
                <w:sz w:val="24"/>
              </w:rPr>
            </w:pPr>
            <w:r>
              <w:rPr>
                <w:color w:val="auto"/>
                <w:sz w:val="24"/>
              </w:rPr>
              <w:t>评价情况</w:t>
            </w:r>
          </w:p>
        </w:tc>
        <w:tc>
          <w:tcPr>
            <w:tcW w:w="7404" w:type="dxa"/>
            <w:gridSpan w:val="3"/>
            <w:vAlign w:val="center"/>
          </w:tcPr>
          <w:p w14:paraId="3B31EC99">
            <w:pPr>
              <w:autoSpaceDE w:val="0"/>
              <w:autoSpaceDN w:val="0"/>
              <w:adjustRightInd w:val="0"/>
              <w:snapToGrid w:val="0"/>
              <w:spacing w:line="360" w:lineRule="auto"/>
              <w:jc w:val="center"/>
              <w:rPr>
                <w:color w:val="auto"/>
                <w:sz w:val="24"/>
              </w:rPr>
            </w:pPr>
            <w:r>
              <w:rPr>
                <w:rFonts w:hint="eastAsia"/>
                <w:color w:val="auto"/>
                <w:sz w:val="24"/>
              </w:rPr>
              <w:t>无</w:t>
            </w:r>
          </w:p>
        </w:tc>
      </w:tr>
      <w:tr w14:paraId="6FF883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921" w:type="dxa"/>
            <w:vAlign w:val="center"/>
          </w:tcPr>
          <w:p w14:paraId="0FD159D0">
            <w:pPr>
              <w:autoSpaceDE w:val="0"/>
              <w:autoSpaceDN w:val="0"/>
              <w:adjustRightInd w:val="0"/>
              <w:snapToGrid w:val="0"/>
              <w:jc w:val="center"/>
              <w:rPr>
                <w:color w:val="auto"/>
                <w:sz w:val="24"/>
              </w:rPr>
            </w:pPr>
            <w:r>
              <w:rPr>
                <w:color w:val="auto"/>
                <w:sz w:val="24"/>
              </w:rPr>
              <w:t>规划及规划环境</w:t>
            </w:r>
          </w:p>
          <w:p w14:paraId="753D9A18">
            <w:pPr>
              <w:autoSpaceDE w:val="0"/>
              <w:autoSpaceDN w:val="0"/>
              <w:adjustRightInd w:val="0"/>
              <w:snapToGrid w:val="0"/>
              <w:jc w:val="center"/>
              <w:rPr>
                <w:color w:val="auto"/>
                <w:sz w:val="24"/>
              </w:rPr>
            </w:pPr>
            <w:r>
              <w:rPr>
                <w:color w:val="auto"/>
                <w:sz w:val="24"/>
              </w:rPr>
              <w:t>影响评价符合性分析</w:t>
            </w:r>
          </w:p>
        </w:tc>
        <w:tc>
          <w:tcPr>
            <w:tcW w:w="7404" w:type="dxa"/>
            <w:gridSpan w:val="3"/>
            <w:vAlign w:val="center"/>
          </w:tcPr>
          <w:p w14:paraId="27CE1BF5">
            <w:pPr>
              <w:spacing w:line="360" w:lineRule="auto"/>
              <w:jc w:val="center"/>
              <w:rPr>
                <w:rFonts w:hAnsi="宋体"/>
                <w:color w:val="auto"/>
                <w:sz w:val="24"/>
              </w:rPr>
            </w:pPr>
            <w:r>
              <w:rPr>
                <w:rFonts w:hint="eastAsia"/>
                <w:color w:val="auto"/>
                <w:sz w:val="24"/>
              </w:rPr>
              <w:t>无</w:t>
            </w:r>
          </w:p>
        </w:tc>
      </w:tr>
      <w:tr w14:paraId="658376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1921" w:type="dxa"/>
            <w:vAlign w:val="center"/>
          </w:tcPr>
          <w:p w14:paraId="6B78F1F9">
            <w:pPr>
              <w:autoSpaceDE w:val="0"/>
              <w:autoSpaceDN w:val="0"/>
              <w:adjustRightInd w:val="0"/>
              <w:snapToGrid w:val="0"/>
              <w:jc w:val="center"/>
              <w:rPr>
                <w:color w:val="auto"/>
                <w:sz w:val="24"/>
              </w:rPr>
            </w:pPr>
            <w:r>
              <w:rPr>
                <w:color w:val="auto"/>
                <w:sz w:val="24"/>
              </w:rPr>
              <w:t>其他符合性分析</w:t>
            </w:r>
          </w:p>
        </w:tc>
        <w:tc>
          <w:tcPr>
            <w:tcW w:w="7404" w:type="dxa"/>
            <w:gridSpan w:val="3"/>
            <w:vAlign w:val="center"/>
          </w:tcPr>
          <w:p w14:paraId="11FB8C89">
            <w:pPr>
              <w:spacing w:line="360" w:lineRule="auto"/>
              <w:ind w:firstLine="482" w:firstLineChars="200"/>
              <w:rPr>
                <w:b/>
                <w:color w:val="auto"/>
                <w:sz w:val="24"/>
                <w:szCs w:val="28"/>
              </w:rPr>
            </w:pPr>
            <w:r>
              <w:rPr>
                <w:rFonts w:hint="eastAsia" w:hAnsi="宋体"/>
                <w:b/>
                <w:color w:val="auto"/>
                <w:sz w:val="24"/>
                <w:szCs w:val="28"/>
              </w:rPr>
              <w:t>1、</w:t>
            </w:r>
            <w:r>
              <w:rPr>
                <w:rFonts w:hAnsi="宋体"/>
                <w:b/>
                <w:color w:val="auto"/>
                <w:sz w:val="24"/>
                <w:szCs w:val="28"/>
              </w:rPr>
              <w:t>产业政策</w:t>
            </w:r>
          </w:p>
          <w:p w14:paraId="3431D33C">
            <w:pPr>
              <w:topLinePunct/>
              <w:spacing w:line="360" w:lineRule="auto"/>
              <w:ind w:firstLine="480" w:firstLineChars="200"/>
              <w:jc w:val="both"/>
              <w:rPr>
                <w:rFonts w:hAnsi="宋体"/>
                <w:color w:val="auto"/>
                <w:sz w:val="24"/>
              </w:rPr>
            </w:pPr>
            <w:r>
              <w:rPr>
                <w:rFonts w:hAnsi="宋体"/>
                <w:color w:val="auto"/>
                <w:sz w:val="24"/>
                <w:lang w:val="zh-CN"/>
              </w:rPr>
              <w:t>本项目</w:t>
            </w:r>
            <w:r>
              <w:rPr>
                <w:rFonts w:hint="eastAsia" w:hAnsi="宋体"/>
                <w:color w:val="auto"/>
                <w:sz w:val="24"/>
              </w:rPr>
              <w:t>为N7723固体废物治理，采用以磷石膏为原料进行</w:t>
            </w:r>
            <w:r>
              <w:rPr>
                <w:rFonts w:hAnsi="宋体"/>
                <w:color w:val="auto"/>
                <w:sz w:val="24"/>
              </w:rPr>
              <w:t>土壤</w:t>
            </w:r>
            <w:r>
              <w:rPr>
                <w:rFonts w:hint="eastAsia" w:hAnsi="宋体"/>
                <w:color w:val="auto"/>
                <w:sz w:val="24"/>
                <w:lang w:val="en-US" w:eastAsia="zh-CN"/>
              </w:rPr>
              <w:t>改良</w:t>
            </w:r>
            <w:r>
              <w:rPr>
                <w:rFonts w:hAnsi="宋体"/>
                <w:color w:val="auto"/>
                <w:sz w:val="24"/>
              </w:rPr>
              <w:t>剂、路基材料、生态修复材料</w:t>
            </w:r>
            <w:r>
              <w:rPr>
                <w:rFonts w:hint="eastAsia" w:hAnsi="宋体"/>
                <w:color w:val="auto"/>
                <w:sz w:val="24"/>
              </w:rPr>
              <w:t>的生产，</w:t>
            </w:r>
            <w:r>
              <w:rPr>
                <w:rFonts w:hAnsi="宋体"/>
                <w:color w:val="auto"/>
                <w:sz w:val="24"/>
              </w:rPr>
              <w:t>对照国家发展和改革委员会《产业结构调整指导目录（</w:t>
            </w:r>
            <w:r>
              <w:rPr>
                <w:color w:val="auto"/>
                <w:sz w:val="24"/>
              </w:rPr>
              <w:t>20</w:t>
            </w:r>
            <w:r>
              <w:rPr>
                <w:rFonts w:hint="eastAsia"/>
                <w:color w:val="auto"/>
                <w:sz w:val="24"/>
                <w:lang w:val="en-US" w:eastAsia="zh-CN"/>
              </w:rPr>
              <w:t>24</w:t>
            </w:r>
            <w:r>
              <w:rPr>
                <w:rFonts w:hAnsi="宋体"/>
                <w:color w:val="auto"/>
                <w:sz w:val="24"/>
              </w:rPr>
              <w:t>年本）》，</w:t>
            </w:r>
            <w:r>
              <w:rPr>
                <w:rFonts w:hint="eastAsia" w:hAnsi="宋体"/>
                <w:color w:val="auto"/>
                <w:sz w:val="24"/>
              </w:rPr>
              <w:t>本项目属于鼓励类“</w:t>
            </w:r>
            <w:r>
              <w:rPr>
                <w:rFonts w:hAnsi="宋体"/>
                <w:color w:val="auto"/>
                <w:sz w:val="24"/>
              </w:rPr>
              <w:t>四十</w:t>
            </w:r>
            <w:r>
              <w:rPr>
                <w:rFonts w:hint="eastAsia" w:hAnsi="宋体"/>
                <w:color w:val="auto"/>
                <w:sz w:val="24"/>
                <w:lang w:val="en-US" w:eastAsia="zh-CN"/>
              </w:rPr>
              <w:t>二</w:t>
            </w:r>
            <w:r>
              <w:rPr>
                <w:rFonts w:hAnsi="宋体"/>
                <w:color w:val="auto"/>
                <w:sz w:val="24"/>
              </w:rPr>
              <w:t>、环境保护与资源节约综合利用”中“1</w:t>
            </w:r>
            <w:r>
              <w:rPr>
                <w:rFonts w:hint="eastAsia" w:hAnsi="宋体"/>
                <w:color w:val="auto"/>
                <w:sz w:val="24"/>
                <w:lang w:val="en-US" w:eastAsia="zh-CN"/>
              </w:rPr>
              <w:t>0</w:t>
            </w:r>
            <w:r>
              <w:rPr>
                <w:rFonts w:hAnsi="宋体"/>
                <w:color w:val="auto"/>
                <w:sz w:val="24"/>
              </w:rPr>
              <w:t>、“三废”综合利用与治理技术、装备和工程”</w:t>
            </w:r>
            <w:r>
              <w:rPr>
                <w:rFonts w:hint="eastAsia" w:hAnsi="宋体"/>
                <w:color w:val="auto"/>
                <w:sz w:val="24"/>
              </w:rPr>
              <w:t>项目。同时，项目已于202</w:t>
            </w:r>
            <w:r>
              <w:rPr>
                <w:rFonts w:hint="eastAsia" w:hAnsi="宋体"/>
                <w:color w:val="auto"/>
                <w:sz w:val="24"/>
                <w:lang w:val="en-US" w:eastAsia="zh-CN"/>
              </w:rPr>
              <w:t>4</w:t>
            </w:r>
            <w:r>
              <w:rPr>
                <w:rFonts w:hint="eastAsia" w:hAnsi="宋体"/>
                <w:color w:val="auto"/>
                <w:sz w:val="24"/>
              </w:rPr>
              <w:t>年0</w:t>
            </w:r>
            <w:r>
              <w:rPr>
                <w:rFonts w:hint="eastAsia" w:hAnsi="宋体"/>
                <w:color w:val="auto"/>
                <w:sz w:val="24"/>
                <w:lang w:val="en-US" w:eastAsia="zh-CN"/>
              </w:rPr>
              <w:t>2</w:t>
            </w:r>
            <w:r>
              <w:rPr>
                <w:rFonts w:hint="eastAsia" w:hAnsi="宋体"/>
                <w:color w:val="auto"/>
                <w:sz w:val="24"/>
              </w:rPr>
              <w:t>月</w:t>
            </w:r>
            <w:r>
              <w:rPr>
                <w:rFonts w:hint="eastAsia" w:hAnsi="宋体"/>
                <w:color w:val="auto"/>
                <w:sz w:val="24"/>
                <w:lang w:val="en-US" w:eastAsia="zh-CN"/>
              </w:rPr>
              <w:t>0</w:t>
            </w:r>
            <w:r>
              <w:rPr>
                <w:rFonts w:hint="eastAsia" w:hAnsi="宋体"/>
                <w:color w:val="auto"/>
                <w:sz w:val="24"/>
              </w:rPr>
              <w:t>6日取得寻甸回族彝族自治县</w:t>
            </w:r>
            <w:r>
              <w:rPr>
                <w:rFonts w:hAnsi="宋体"/>
                <w:bCs/>
                <w:color w:val="auto"/>
                <w:sz w:val="24"/>
              </w:rPr>
              <w:t>发展和改革局关于项目的投资项目备案证（</w:t>
            </w:r>
            <w:r>
              <w:rPr>
                <w:rFonts w:hint="eastAsia"/>
                <w:color w:val="auto"/>
                <w:sz w:val="24"/>
                <w:lang w:val="en-US" w:eastAsia="zh-CN"/>
              </w:rPr>
              <w:t>2402-530129-04-01-272598</w:t>
            </w:r>
            <w:r>
              <w:rPr>
                <w:rFonts w:hAnsi="宋体"/>
                <w:bCs/>
                <w:color w:val="auto"/>
                <w:sz w:val="24"/>
              </w:rPr>
              <w:t>）</w:t>
            </w:r>
            <w:r>
              <w:rPr>
                <w:rFonts w:hAnsi="宋体"/>
                <w:color w:val="auto"/>
                <w:sz w:val="24"/>
              </w:rPr>
              <w:t>。</w:t>
            </w:r>
          </w:p>
          <w:p w14:paraId="22F67250">
            <w:pPr>
              <w:spacing w:line="360" w:lineRule="auto"/>
              <w:ind w:firstLine="480" w:firstLineChars="200"/>
              <w:rPr>
                <w:color w:val="auto"/>
                <w:kern w:val="52"/>
                <w:sz w:val="24"/>
              </w:rPr>
            </w:pPr>
            <w:r>
              <w:rPr>
                <w:rFonts w:hAnsi="宋体"/>
                <w:color w:val="auto"/>
                <w:sz w:val="24"/>
              </w:rPr>
              <w:t>因此，本项目的建设符合国家及地方产业政策。</w:t>
            </w:r>
          </w:p>
          <w:p w14:paraId="51F93BBC">
            <w:pPr>
              <w:spacing w:line="360" w:lineRule="auto"/>
              <w:ind w:firstLine="482" w:firstLineChars="200"/>
              <w:rPr>
                <w:rFonts w:hint="eastAsia"/>
                <w:b/>
                <w:bCs/>
                <w:color w:val="auto"/>
                <w:sz w:val="24"/>
              </w:rPr>
            </w:pPr>
          </w:p>
          <w:p w14:paraId="4C152F06">
            <w:pPr>
              <w:spacing w:line="360" w:lineRule="auto"/>
              <w:ind w:firstLine="482" w:firstLineChars="200"/>
              <w:rPr>
                <w:b/>
                <w:bCs/>
                <w:color w:val="auto"/>
                <w:sz w:val="24"/>
              </w:rPr>
            </w:pPr>
            <w:r>
              <w:rPr>
                <w:rFonts w:hint="eastAsia"/>
                <w:b/>
                <w:bCs/>
                <w:color w:val="auto"/>
                <w:sz w:val="24"/>
              </w:rPr>
              <w:t>2、项目与昆明市</w:t>
            </w:r>
            <w:r>
              <w:rPr>
                <w:rFonts w:hint="eastAsia" w:ascii="Times New Roman" w:hAnsi="Times New Roman" w:eastAsia="宋体" w:cs="Times New Roman"/>
                <w:b/>
                <w:bCs/>
                <w:color w:val="auto"/>
                <w:kern w:val="2"/>
                <w:sz w:val="24"/>
                <w:szCs w:val="20"/>
                <w:lang w:val="en-US" w:eastAsia="zh-CN" w:bidi="ar-SA"/>
              </w:rPr>
              <w:t>生态环境分区管控</w:t>
            </w:r>
            <w:r>
              <w:rPr>
                <w:rFonts w:hint="default" w:ascii="Times New Roman" w:hAnsi="Times New Roman" w:eastAsia="宋体" w:cs="Times New Roman"/>
                <w:b/>
                <w:bCs/>
                <w:color w:val="auto"/>
                <w:kern w:val="2"/>
                <w:sz w:val="24"/>
                <w:szCs w:val="20"/>
                <w:lang w:val="en-US" w:eastAsia="zh-CN" w:bidi="ar-SA"/>
              </w:rPr>
              <w:t>符合性分析</w:t>
            </w:r>
          </w:p>
          <w:p w14:paraId="39552F33">
            <w:pPr>
              <w:autoSpaceDE w:val="0"/>
              <w:autoSpaceDN w:val="0"/>
              <w:adjustRightInd w:val="0"/>
              <w:snapToGrid w:val="0"/>
              <w:spacing w:line="360" w:lineRule="auto"/>
              <w:ind w:firstLine="480" w:firstLineChars="200"/>
              <w:rPr>
                <w:rFonts w:hint="eastAsia" w:cs="Times New Roman"/>
                <w:color w:val="auto"/>
                <w:sz w:val="24"/>
                <w:lang w:val="en-US" w:eastAsia="zh-CN"/>
              </w:rPr>
            </w:pPr>
            <w:r>
              <w:rPr>
                <w:rFonts w:hint="eastAsia" w:ascii="Times New Roman" w:hAnsi="Times New Roman" w:eastAsia="宋体" w:cs="Times New Roman"/>
                <w:color w:val="auto"/>
                <w:sz w:val="24"/>
                <w:lang w:val="en-US" w:eastAsia="zh-CN"/>
              </w:rPr>
              <w:t>《昆明市生态环境分区管控动态更新方案</w:t>
            </w:r>
            <w:r>
              <w:rPr>
                <w:rFonts w:hint="eastAsia" w:cs="Times New Roman"/>
                <w:color w:val="auto"/>
                <w:sz w:val="24"/>
                <w:lang w:val="en-US" w:eastAsia="zh-CN"/>
              </w:rPr>
              <w:t>（2023年）</w:t>
            </w:r>
            <w:r>
              <w:rPr>
                <w:rFonts w:hint="eastAsia" w:ascii="Times New Roman" w:hAnsi="Times New Roman" w:eastAsia="宋体" w:cs="Times New Roman"/>
                <w:color w:val="auto"/>
                <w:sz w:val="24"/>
                <w:lang w:val="en-US" w:eastAsia="zh-CN"/>
              </w:rPr>
              <w:t>》于2024年</w:t>
            </w:r>
            <w:r>
              <w:rPr>
                <w:rFonts w:hint="eastAsia" w:cs="Times New Roman"/>
                <w:color w:val="auto"/>
                <w:sz w:val="24"/>
                <w:lang w:val="en-US" w:eastAsia="zh-CN"/>
              </w:rPr>
              <w:t>11</w:t>
            </w:r>
            <w:r>
              <w:rPr>
                <w:rFonts w:hint="eastAsia" w:ascii="Times New Roman" w:hAnsi="Times New Roman" w:eastAsia="宋体" w:cs="Times New Roman"/>
                <w:color w:val="auto"/>
                <w:sz w:val="24"/>
                <w:lang w:val="en-US" w:eastAsia="zh-CN"/>
              </w:rPr>
              <w:t>月</w:t>
            </w:r>
            <w:r>
              <w:rPr>
                <w:rFonts w:hint="eastAsia" w:cs="Times New Roman"/>
                <w:color w:val="auto"/>
                <w:sz w:val="24"/>
                <w:lang w:val="en-US" w:eastAsia="zh-CN"/>
              </w:rPr>
              <w:t>12</w:t>
            </w:r>
            <w:r>
              <w:rPr>
                <w:rFonts w:hint="eastAsia" w:ascii="Times New Roman" w:hAnsi="Times New Roman" w:eastAsia="宋体" w:cs="Times New Roman"/>
                <w:color w:val="auto"/>
                <w:sz w:val="24"/>
                <w:lang w:val="en-US" w:eastAsia="zh-CN"/>
              </w:rPr>
              <w:t>日</w:t>
            </w:r>
            <w:r>
              <w:rPr>
                <w:rFonts w:hint="eastAsia" w:cs="Times New Roman"/>
                <w:color w:val="auto"/>
                <w:sz w:val="24"/>
                <w:lang w:val="en-US" w:eastAsia="zh-CN"/>
              </w:rPr>
              <w:t>由昆明市生态环境局印发，更新后，全市环境管控单元数量由原有的129个调整为132个。</w:t>
            </w:r>
          </w:p>
          <w:p w14:paraId="7E932717">
            <w:pPr>
              <w:autoSpaceDE w:val="0"/>
              <w:autoSpaceDN w:val="0"/>
              <w:adjustRightInd w:val="0"/>
              <w:snapToGrid w:val="0"/>
              <w:spacing w:line="360" w:lineRule="auto"/>
              <w:ind w:firstLine="482" w:firstLineChars="200"/>
              <w:rPr>
                <w:b/>
                <w:bCs/>
                <w:color w:val="auto"/>
                <w:sz w:val="24"/>
              </w:rPr>
            </w:pPr>
            <w:r>
              <w:rPr>
                <w:b/>
                <w:bCs/>
                <w:color w:val="auto"/>
                <w:sz w:val="24"/>
              </w:rPr>
              <w:t>（1）</w:t>
            </w:r>
            <w:r>
              <w:rPr>
                <w:rFonts w:hint="eastAsia"/>
                <w:b/>
                <w:bCs/>
                <w:color w:val="auto"/>
                <w:sz w:val="24"/>
              </w:rPr>
              <w:t>生态保护红线和一般生态空间</w:t>
            </w:r>
          </w:p>
          <w:p w14:paraId="48CB6DCB">
            <w:pPr>
              <w:autoSpaceDE w:val="0"/>
              <w:autoSpaceDN w:val="0"/>
              <w:adjustRightInd w:val="0"/>
              <w:snapToGrid w:val="0"/>
              <w:spacing w:line="360" w:lineRule="auto"/>
              <w:ind w:firstLine="480" w:firstLineChars="200"/>
              <w:rPr>
                <w:rFonts w:hint="eastAsia" w:cs="Times New Roman"/>
                <w:color w:val="auto"/>
                <w:sz w:val="24"/>
                <w:lang w:val="en-US" w:eastAsia="zh-CN"/>
              </w:rPr>
            </w:pPr>
            <w:r>
              <w:rPr>
                <w:rFonts w:hint="eastAsia" w:cs="Times New Roman"/>
                <w:color w:val="auto"/>
                <w:sz w:val="24"/>
                <w:lang w:val="en-US" w:eastAsia="zh-CN"/>
              </w:rPr>
              <w:t>更新后，生态保护红线全面与《昆明市国土空间总体规划（2021—2035年）》衔接，全市生态保护红线面积4274.70平方公里，占全市国土面积的20.34%，较原有面积占比减少1.85%。全市一般生态空间面积5151.56平方公里，占国土空间面积的24.37%，较原有面积占比增加2.45%。</w:t>
            </w:r>
          </w:p>
          <w:p w14:paraId="5850A1A6">
            <w:pPr>
              <w:spacing w:line="360" w:lineRule="auto"/>
              <w:ind w:firstLine="480" w:firstLineChars="200"/>
              <w:rPr>
                <w:b/>
                <w:bCs/>
                <w:color w:val="auto"/>
                <w:sz w:val="24"/>
              </w:rPr>
            </w:pPr>
            <w:r>
              <w:rPr>
                <w:rFonts w:hint="eastAsia" w:ascii="Times New Roman" w:hAnsi="Times New Roman" w:eastAsia="宋体"/>
                <w:color w:val="auto"/>
                <w:sz w:val="24"/>
                <w:szCs w:val="24"/>
                <w:highlight w:val="none"/>
              </w:rPr>
              <w:t>本项目在现有</w:t>
            </w:r>
            <w:r>
              <w:rPr>
                <w:rFonts w:hint="eastAsia" w:ascii="Times New Roman" w:hAnsi="Times New Roman"/>
                <w:color w:val="auto"/>
                <w:sz w:val="24"/>
                <w:szCs w:val="24"/>
                <w:highlight w:val="none"/>
                <w:lang w:val="en-US" w:eastAsia="zh-CN"/>
              </w:rPr>
              <w:t>球状水泥缓凝剂生产线基础上进行改扩建，</w:t>
            </w:r>
            <w:r>
              <w:rPr>
                <w:color w:val="auto"/>
                <w:sz w:val="24"/>
                <w:szCs w:val="21"/>
              </w:rPr>
              <w:t>项目</w:t>
            </w:r>
            <w:r>
              <w:rPr>
                <w:color w:val="auto"/>
                <w:sz w:val="24"/>
              </w:rPr>
              <w:t>位于</w:t>
            </w:r>
            <w:r>
              <w:rPr>
                <w:rFonts w:hint="eastAsia"/>
                <w:color w:val="auto"/>
                <w:sz w:val="24"/>
                <w:lang w:eastAsia="zh-CN"/>
              </w:rPr>
              <w:t>昆明市寻甸县塘子镇云南国能化工有限公司厂区内</w:t>
            </w:r>
            <w:r>
              <w:rPr>
                <w:rFonts w:hint="eastAsia"/>
                <w:color w:val="auto"/>
                <w:sz w:val="24"/>
              </w:rPr>
              <w:t>，</w:t>
            </w:r>
            <w:r>
              <w:rPr>
                <w:rFonts w:hint="eastAsia" w:ascii="宋体" w:hAnsi="宋体"/>
                <w:color w:val="auto"/>
                <w:sz w:val="24"/>
              </w:rPr>
              <w:t>项目评价范围内无名胜古迹、风景区、自然保护区、饮用水源保护区等生态保护目标，不取用地下水，</w:t>
            </w:r>
            <w:r>
              <w:rPr>
                <w:rFonts w:hint="default" w:ascii="Times New Roman" w:hAnsi="Times New Roman" w:cs="Times New Roman"/>
                <w:color w:val="auto"/>
                <w:sz w:val="24"/>
                <w:lang w:val="en-US" w:eastAsia="zh-CN"/>
              </w:rPr>
              <w:t>根据“关于</w:t>
            </w:r>
            <w:r>
              <w:rPr>
                <w:rFonts w:hint="eastAsia" w:cs="Times New Roman"/>
                <w:color w:val="auto"/>
                <w:sz w:val="24"/>
                <w:lang w:val="en-US" w:eastAsia="zh-CN"/>
              </w:rPr>
              <w:t>云南常青树化工有限公司磷石膏综合利用改扩建项目用地</w:t>
            </w:r>
            <w:r>
              <w:rPr>
                <w:rFonts w:hint="default" w:ascii="Times New Roman" w:hAnsi="Times New Roman" w:cs="Times New Roman"/>
                <w:color w:val="auto"/>
                <w:sz w:val="24"/>
                <w:lang w:val="en-US" w:eastAsia="zh-CN"/>
              </w:rPr>
              <w:t>范围是否涉及生态保护红线及城镇开发边界的情况说明”</w:t>
            </w:r>
            <w:r>
              <w:rPr>
                <w:rFonts w:hint="eastAsia" w:cs="Times New Roman"/>
                <w:color w:val="auto"/>
                <w:sz w:val="24"/>
                <w:lang w:val="en-US" w:eastAsia="zh-CN"/>
              </w:rPr>
              <w:t>（详见附件4）</w:t>
            </w:r>
            <w:r>
              <w:rPr>
                <w:rFonts w:hint="default" w:ascii="Times New Roman" w:hAnsi="Times New Roman" w:cs="Times New Roman"/>
                <w:color w:val="auto"/>
                <w:sz w:val="24"/>
                <w:lang w:val="en-US" w:eastAsia="zh-CN"/>
              </w:rPr>
              <w:t>和“关于</w:t>
            </w:r>
            <w:r>
              <w:rPr>
                <w:rFonts w:hint="eastAsia" w:cs="Times New Roman"/>
                <w:color w:val="auto"/>
                <w:sz w:val="24"/>
                <w:lang w:val="en-US" w:eastAsia="zh-CN"/>
              </w:rPr>
              <w:t>云南常青树化工有限公司磷石膏综合利用改扩建项目</w:t>
            </w:r>
            <w:r>
              <w:rPr>
                <w:rFonts w:hint="default" w:ascii="Times New Roman" w:hAnsi="Times New Roman" w:cs="Times New Roman"/>
                <w:color w:val="auto"/>
                <w:sz w:val="24"/>
                <w:lang w:val="en-US" w:eastAsia="zh-CN"/>
              </w:rPr>
              <w:t>范围是否涉及永久基本农田的说明”（详见附件</w:t>
            </w:r>
            <w:r>
              <w:rPr>
                <w:rFonts w:hint="eastAsia" w:cs="Times New Roman"/>
                <w:color w:val="auto"/>
                <w:sz w:val="24"/>
                <w:lang w:val="en-US" w:eastAsia="zh-CN"/>
              </w:rPr>
              <w:t>5</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项目不</w:t>
            </w:r>
            <w:r>
              <w:rPr>
                <w:rFonts w:hint="eastAsia" w:ascii="宋体" w:hAnsi="宋体"/>
                <w:color w:val="auto"/>
                <w:sz w:val="24"/>
              </w:rPr>
              <w:t>涉及基本农田，不在禁止开发区域，不在生态保护红线范围内。</w:t>
            </w:r>
          </w:p>
          <w:p w14:paraId="344B2725">
            <w:pPr>
              <w:autoSpaceDE w:val="0"/>
              <w:autoSpaceDN w:val="0"/>
              <w:adjustRightInd w:val="0"/>
              <w:snapToGrid w:val="0"/>
              <w:spacing w:line="360" w:lineRule="auto"/>
              <w:ind w:firstLine="482" w:firstLineChars="200"/>
              <w:rPr>
                <w:b/>
                <w:bCs/>
                <w:color w:val="auto"/>
                <w:sz w:val="24"/>
              </w:rPr>
            </w:pPr>
            <w:r>
              <w:rPr>
                <w:b/>
                <w:bCs/>
                <w:color w:val="auto"/>
                <w:sz w:val="24"/>
              </w:rPr>
              <w:t>（2）环境质量底线</w:t>
            </w:r>
          </w:p>
          <w:p w14:paraId="4087CB2D">
            <w:pPr>
              <w:autoSpaceDE w:val="0"/>
              <w:autoSpaceDN w:val="0"/>
              <w:adjustRightInd w:val="0"/>
              <w:snapToGrid w:val="0"/>
              <w:spacing w:line="360" w:lineRule="auto"/>
              <w:ind w:firstLine="480" w:firstLineChars="200"/>
              <w:rPr>
                <w:rFonts w:hint="eastAsia" w:cs="Times New Roman"/>
                <w:color w:val="auto"/>
                <w:sz w:val="24"/>
                <w:lang w:val="en-US" w:eastAsia="zh-CN"/>
              </w:rPr>
            </w:pPr>
            <w:r>
              <w:rPr>
                <w:rFonts w:hint="eastAsia" w:cs="Times New Roman"/>
                <w:color w:val="auto"/>
                <w:sz w:val="24"/>
                <w:lang w:val="en-US" w:eastAsia="zh-CN"/>
              </w:rPr>
              <w:t>到2025年，昆明市地表水国控断面达到或好于Ⅲ类水体比例应达到81.5%，45个省控断面达到或好于Ⅲ类水体比例应达到80%，劣V类水体全面消除，县级及以上集中式饮用水水源地水质达标率100%；空气质量优良天数比率达99.1%，细颗粒物（PM</w:t>
            </w:r>
            <w:r>
              <w:rPr>
                <w:rFonts w:hint="eastAsia" w:cs="Times New Roman"/>
                <w:color w:val="auto"/>
                <w:sz w:val="24"/>
                <w:vertAlign w:val="subscript"/>
                <w:lang w:val="en-US" w:eastAsia="zh-CN"/>
              </w:rPr>
              <w:t>2.5</w:t>
            </w:r>
            <w:r>
              <w:rPr>
                <w:rFonts w:hint="eastAsia" w:cs="Times New Roman"/>
                <w:color w:val="auto"/>
                <w:sz w:val="24"/>
                <w:lang w:val="en-US" w:eastAsia="zh-CN"/>
              </w:rPr>
              <w:t>）浓度不高于24微克/立方米，重污染天数为0；全市土壤环境质量总体保持稳定，局部稳中向好，受污染耕地安全利用率不低于90%，重点建设用地安全利用得到有效保障。</w:t>
            </w:r>
          </w:p>
          <w:p w14:paraId="29B08537">
            <w:pPr>
              <w:spacing w:line="360" w:lineRule="auto"/>
              <w:ind w:firstLine="480" w:firstLineChars="200"/>
              <w:rPr>
                <w:rFonts w:ascii="宋体" w:hAnsi="宋体"/>
                <w:color w:val="auto"/>
                <w:sz w:val="24"/>
              </w:rPr>
            </w:pPr>
            <w:r>
              <w:rPr>
                <w:color w:val="auto"/>
                <w:sz w:val="24"/>
              </w:rPr>
              <w:t>项目评价区域内</w:t>
            </w:r>
            <w:r>
              <w:rPr>
                <w:rFonts w:hint="eastAsia"/>
                <w:color w:val="auto"/>
                <w:sz w:val="24"/>
              </w:rPr>
              <w:t>空气质量</w:t>
            </w:r>
            <w:r>
              <w:rPr>
                <w:color w:val="auto"/>
                <w:sz w:val="24"/>
              </w:rPr>
              <w:t>满足《环境空气质量标准》（GB3095-2012）二级标准。项目区声环境质量现状能够达到</w:t>
            </w:r>
            <w:r>
              <w:rPr>
                <w:rFonts w:hint="eastAsia"/>
                <w:bCs/>
                <w:color w:val="auto"/>
                <w:sz w:val="24"/>
              </w:rPr>
              <w:t>《</w:t>
            </w:r>
            <w:r>
              <w:rPr>
                <w:rFonts w:cs="宋体"/>
                <w:color w:val="auto"/>
                <w:sz w:val="24"/>
                <w:szCs w:val="22"/>
              </w:rPr>
              <w:t>声环境质量标准</w:t>
            </w:r>
            <w:r>
              <w:rPr>
                <w:rFonts w:hint="eastAsia"/>
                <w:bCs/>
                <w:color w:val="auto"/>
                <w:sz w:val="24"/>
              </w:rPr>
              <w:t>》(</w:t>
            </w:r>
            <w:r>
              <w:rPr>
                <w:rFonts w:cs="宋体"/>
                <w:color w:val="auto"/>
                <w:sz w:val="24"/>
                <w:szCs w:val="22"/>
              </w:rPr>
              <w:t>GB</w:t>
            </w:r>
            <w:r>
              <w:rPr>
                <w:rFonts w:hint="eastAsia" w:cs="宋体"/>
                <w:color w:val="auto"/>
                <w:sz w:val="24"/>
                <w:szCs w:val="22"/>
              </w:rPr>
              <w:t xml:space="preserve"> </w:t>
            </w:r>
            <w:r>
              <w:rPr>
                <w:rFonts w:cs="宋体"/>
                <w:color w:val="auto"/>
                <w:sz w:val="24"/>
                <w:szCs w:val="22"/>
              </w:rPr>
              <w:t>3096-2008</w:t>
            </w:r>
            <w:r>
              <w:rPr>
                <w:rFonts w:hint="eastAsia"/>
                <w:bCs/>
                <w:color w:val="auto"/>
                <w:sz w:val="24"/>
              </w:rPr>
              <w:t>)中</w:t>
            </w:r>
            <w:r>
              <w:rPr>
                <w:rFonts w:hint="eastAsia"/>
                <w:bCs/>
                <w:color w:val="auto"/>
                <w:sz w:val="24"/>
                <w:lang w:val="en-US" w:eastAsia="zh-CN"/>
              </w:rPr>
              <w:t>2</w:t>
            </w:r>
            <w:r>
              <w:rPr>
                <w:rFonts w:hint="eastAsia"/>
                <w:bCs/>
                <w:color w:val="auto"/>
                <w:sz w:val="24"/>
              </w:rPr>
              <w:t>类区标准</w:t>
            </w:r>
            <w:r>
              <w:rPr>
                <w:color w:val="auto"/>
                <w:sz w:val="24"/>
              </w:rPr>
              <w:t>。</w:t>
            </w:r>
            <w:r>
              <w:rPr>
                <w:rFonts w:hint="eastAsia" w:cs="宋体"/>
                <w:color w:val="auto"/>
                <w:sz w:val="24"/>
                <w:szCs w:val="22"/>
              </w:rPr>
              <w:t>项目周边声环境敏感点声环境质量可以达到《声环境质量标准》（GB 3096-2008）2类区标准要求。</w:t>
            </w:r>
            <w:r>
              <w:rPr>
                <w:rFonts w:cs="宋体"/>
                <w:color w:val="auto"/>
                <w:sz w:val="24"/>
                <w:szCs w:val="22"/>
                <w:highlight w:val="none"/>
              </w:rPr>
              <w:t>本项目采取</w:t>
            </w:r>
            <w:r>
              <w:rPr>
                <w:rFonts w:hint="eastAsia" w:cs="宋体"/>
                <w:bCs/>
                <w:color w:val="auto"/>
                <w:sz w:val="24"/>
                <w:szCs w:val="22"/>
                <w:highlight w:val="none"/>
              </w:rPr>
              <w:t>厂房</w:t>
            </w:r>
            <w:r>
              <w:rPr>
                <w:rFonts w:hint="eastAsia" w:cs="宋体"/>
                <w:color w:val="auto"/>
                <w:sz w:val="24"/>
                <w:szCs w:val="22"/>
                <w:highlight w:val="none"/>
              </w:rPr>
              <w:t>三面封闭</w:t>
            </w:r>
            <w:r>
              <w:rPr>
                <w:rFonts w:hint="eastAsia" w:cs="宋体"/>
                <w:bCs/>
                <w:color w:val="auto"/>
                <w:sz w:val="24"/>
                <w:szCs w:val="22"/>
                <w:highlight w:val="none"/>
              </w:rPr>
              <w:t>，仅在厂房一侧留有出入口，且</w:t>
            </w:r>
            <w:r>
              <w:rPr>
                <w:rFonts w:hint="eastAsia" w:cs="宋体"/>
                <w:color w:val="auto"/>
                <w:sz w:val="24"/>
                <w:szCs w:val="22"/>
                <w:highlight w:val="none"/>
              </w:rPr>
              <w:t>整套双轴搅拌机设备机身为封闭式，下料口连接皮带输送系统；所有皮带运输、计量系统设备采用彩钢瓦全封闭；</w:t>
            </w:r>
            <w:r>
              <w:rPr>
                <w:rFonts w:cs="宋体"/>
                <w:color w:val="auto"/>
                <w:sz w:val="24"/>
                <w:szCs w:val="22"/>
                <w:highlight w:val="none"/>
              </w:rPr>
              <w:t>运输道路洒水降尘等措施控制项目区无组织粉尘</w:t>
            </w:r>
            <w:r>
              <w:rPr>
                <w:rFonts w:hint="eastAsia" w:cs="宋体"/>
                <w:color w:val="auto"/>
                <w:sz w:val="24"/>
                <w:szCs w:val="22"/>
                <w:highlight w:val="none"/>
              </w:rPr>
              <w:t>。</w:t>
            </w:r>
            <w:r>
              <w:rPr>
                <w:rFonts w:hint="eastAsia" w:cs="宋体"/>
                <w:color w:val="auto"/>
                <w:sz w:val="24"/>
                <w:szCs w:val="22"/>
                <w:highlight w:val="none"/>
                <w:lang w:val="en-US" w:eastAsia="zh-CN"/>
              </w:rPr>
              <w:t>电石渣筛分</w:t>
            </w:r>
            <w:r>
              <w:rPr>
                <w:rFonts w:hint="eastAsia" w:cs="宋体"/>
                <w:color w:val="auto"/>
                <w:sz w:val="24"/>
                <w:szCs w:val="22"/>
                <w:highlight w:val="none"/>
              </w:rPr>
              <w:t>产生的粉尘经集气罩收集后同</w:t>
            </w:r>
            <w:r>
              <w:rPr>
                <w:rFonts w:hint="eastAsia" w:cs="宋体"/>
                <w:color w:val="auto"/>
                <w:sz w:val="24"/>
                <w:szCs w:val="22"/>
                <w:highlight w:val="none"/>
                <w:lang w:val="en-US" w:eastAsia="zh-CN"/>
              </w:rPr>
              <w:t>经仓顶除尘器处理后的</w:t>
            </w:r>
            <w:r>
              <w:rPr>
                <w:rFonts w:hint="eastAsia" w:cs="宋体"/>
                <w:color w:val="auto"/>
                <w:sz w:val="24"/>
                <w:szCs w:val="22"/>
                <w:highlight w:val="none"/>
              </w:rPr>
              <w:t>生石灰筒仓进料产生的粉尘进</w:t>
            </w:r>
            <w:r>
              <w:rPr>
                <w:rFonts w:hint="eastAsia" w:cs="宋体"/>
                <w:bCs/>
                <w:color w:val="auto"/>
                <w:sz w:val="24"/>
                <w:szCs w:val="22"/>
                <w:highlight w:val="none"/>
              </w:rPr>
              <w:t>入一套布袋除尘器处理后，经1个排气筒DA0</w:t>
            </w:r>
            <w:r>
              <w:rPr>
                <w:rFonts w:hint="eastAsia" w:cs="宋体"/>
                <w:bCs/>
                <w:color w:val="auto"/>
                <w:sz w:val="24"/>
                <w:szCs w:val="22"/>
                <w:highlight w:val="none"/>
                <w:lang w:val="en-US" w:eastAsia="zh-CN"/>
              </w:rPr>
              <w:t>08</w:t>
            </w:r>
            <w:r>
              <w:rPr>
                <w:rFonts w:hint="eastAsia" w:cs="宋体"/>
                <w:bCs/>
                <w:color w:val="auto"/>
                <w:sz w:val="24"/>
                <w:szCs w:val="22"/>
                <w:highlight w:val="none"/>
              </w:rPr>
              <w:t>（</w:t>
            </w:r>
            <w:r>
              <w:rPr>
                <w:rFonts w:hint="eastAsia" w:cs="宋体"/>
                <w:color w:val="auto"/>
                <w:sz w:val="24"/>
                <w:szCs w:val="22"/>
                <w:highlight w:val="none"/>
              </w:rPr>
              <w:t>φ0.5m×15m</w:t>
            </w:r>
            <w:r>
              <w:rPr>
                <w:rFonts w:hint="eastAsia" w:cs="宋体"/>
                <w:bCs/>
                <w:color w:val="auto"/>
                <w:sz w:val="24"/>
                <w:szCs w:val="22"/>
                <w:highlight w:val="none"/>
              </w:rPr>
              <w:t>）有组织排放</w:t>
            </w:r>
            <w:r>
              <w:rPr>
                <w:rFonts w:hint="eastAsia" w:cs="宋体"/>
                <w:color w:val="auto"/>
                <w:sz w:val="24"/>
                <w:szCs w:val="22"/>
              </w:rPr>
              <w:t>。</w:t>
            </w:r>
            <w:r>
              <w:rPr>
                <w:rFonts w:hint="eastAsia" w:cs="宋体"/>
                <w:color w:val="auto"/>
                <w:sz w:val="24"/>
                <w:szCs w:val="24"/>
              </w:rPr>
              <w:t>采取</w:t>
            </w:r>
            <w:r>
              <w:rPr>
                <w:color w:val="auto"/>
                <w:sz w:val="24"/>
                <w:szCs w:val="24"/>
              </w:rPr>
              <w:t>在</w:t>
            </w:r>
            <w:r>
              <w:rPr>
                <w:color w:val="auto"/>
                <w:sz w:val="24"/>
              </w:rPr>
              <w:t>安装设备时</w:t>
            </w:r>
            <w:r>
              <w:rPr>
                <w:rFonts w:hint="eastAsia"/>
                <w:color w:val="auto"/>
                <w:sz w:val="24"/>
              </w:rPr>
              <w:t>在设备选型上尽量选用低噪音设备；加强维护、定期检修，保持设备运行正常，避免因设备的非正常运转造成设备噪声增大；对设备采用减震基础、使用柔性管道链接等降噪措施来有效减小噪声声强。</w:t>
            </w:r>
            <w:r>
              <w:rPr>
                <w:rFonts w:hint="eastAsia" w:ascii="宋体" w:hAnsi="宋体"/>
                <w:color w:val="auto"/>
                <w:sz w:val="24"/>
              </w:rPr>
              <w:t>项目产生的废气、噪声在严格采取本次评价提出措施后可达标排放。</w:t>
            </w:r>
          </w:p>
          <w:p w14:paraId="0077791F">
            <w:pPr>
              <w:spacing w:line="360" w:lineRule="auto"/>
              <w:ind w:firstLine="480" w:firstLineChars="200"/>
              <w:rPr>
                <w:rFonts w:ascii="宋体" w:hAnsi="宋体"/>
                <w:bCs/>
                <w:color w:val="auto"/>
                <w:sz w:val="24"/>
              </w:rPr>
            </w:pPr>
            <w:r>
              <w:rPr>
                <w:rFonts w:hint="eastAsia"/>
                <w:color w:val="auto"/>
                <w:sz w:val="24"/>
                <w:szCs w:val="24"/>
                <w:lang w:val="en-US" w:eastAsia="zh-CN"/>
              </w:rPr>
              <w:t>项目改扩建工程没有新增生活污水，且无生产废水产生。</w:t>
            </w:r>
            <w:r>
              <w:rPr>
                <w:color w:val="auto"/>
                <w:sz w:val="24"/>
                <w:szCs w:val="24"/>
              </w:rPr>
              <w:t>项目</w:t>
            </w:r>
            <w:r>
              <w:rPr>
                <w:color w:val="auto"/>
                <w:sz w:val="24"/>
              </w:rPr>
              <w:t>固废处置可达100%，根据分析，项目建设不会改变区域环境功能区划的要求，故本项目</w:t>
            </w:r>
            <w:r>
              <w:rPr>
                <w:rFonts w:hint="eastAsia" w:ascii="宋体" w:hAnsi="宋体"/>
                <w:color w:val="auto"/>
                <w:sz w:val="24"/>
              </w:rPr>
              <w:t>的实施不会影响环境质量底线。</w:t>
            </w:r>
          </w:p>
          <w:p w14:paraId="0C82C890">
            <w:pPr>
              <w:spacing w:line="360" w:lineRule="auto"/>
              <w:ind w:firstLine="482" w:firstLineChars="200"/>
              <w:rPr>
                <w:b/>
                <w:bCs/>
                <w:color w:val="auto"/>
                <w:sz w:val="24"/>
              </w:rPr>
            </w:pPr>
            <w:r>
              <w:rPr>
                <w:b/>
                <w:bCs/>
                <w:color w:val="auto"/>
                <w:sz w:val="24"/>
              </w:rPr>
              <w:t>（3）资源利用上线</w:t>
            </w:r>
          </w:p>
          <w:p w14:paraId="7A792199">
            <w:pPr>
              <w:autoSpaceDE w:val="0"/>
              <w:autoSpaceDN w:val="0"/>
              <w:adjustRightInd w:val="0"/>
              <w:snapToGrid w:val="0"/>
              <w:spacing w:line="360" w:lineRule="auto"/>
              <w:ind w:firstLine="480" w:firstLineChars="200"/>
              <w:rPr>
                <w:rFonts w:hint="eastAsia" w:cs="Times New Roman"/>
                <w:color w:val="auto"/>
                <w:sz w:val="24"/>
                <w:lang w:val="en-US" w:eastAsia="zh-CN"/>
              </w:rPr>
            </w:pPr>
            <w:r>
              <w:rPr>
                <w:rFonts w:hint="eastAsia" w:cs="Times New Roman"/>
                <w:color w:val="auto"/>
                <w:sz w:val="24"/>
                <w:lang w:val="en-US" w:eastAsia="zh-CN"/>
              </w:rPr>
              <w:t>到2025年，按照国家、省、市有关要求和规划，按时完成全市用水总量、用水效率、限制纳污“三条红线”水资源上限控制指标；按时完成耕地保有量、基本农田保护面积、建设用地总规模等土地资源利用上限控制指标；按时完成单位GDP能耗下降率、能源消费总量等能源控制指标；矿产资源开采与保护达到预期目标；河湖岸线资源管控达到相关要求。</w:t>
            </w:r>
          </w:p>
          <w:p w14:paraId="2FB38908">
            <w:pPr>
              <w:spacing w:line="360" w:lineRule="auto"/>
              <w:ind w:firstLine="480" w:firstLineChars="200"/>
              <w:rPr>
                <w:rFonts w:ascii="宋体" w:hAnsi="宋体"/>
                <w:color w:val="auto"/>
                <w:sz w:val="24"/>
              </w:rPr>
            </w:pPr>
            <w:r>
              <w:rPr>
                <w:rFonts w:hint="eastAsia"/>
                <w:color w:val="auto"/>
                <w:sz w:val="24"/>
                <w:lang w:val="en-US" w:eastAsia="zh-CN"/>
              </w:rPr>
              <w:t>本项目在现有工程厂区内进行改扩建，不新增占地，且项目用地性质为工业用地。</w:t>
            </w:r>
            <w:r>
              <w:rPr>
                <w:rFonts w:hint="eastAsia" w:ascii="宋体" w:hAnsi="宋体"/>
                <w:color w:val="auto"/>
                <w:sz w:val="24"/>
              </w:rPr>
              <w:t>项目利用固废进行生产、生产工艺满足节能降耗要求，项目实施进步提升资源利用效率。项目供水、供电依托</w:t>
            </w:r>
            <w:r>
              <w:rPr>
                <w:rFonts w:hint="eastAsia" w:ascii="宋体" w:hAnsi="宋体"/>
                <w:color w:val="auto"/>
                <w:sz w:val="24"/>
                <w:lang w:eastAsia="zh-CN"/>
              </w:rPr>
              <w:t>云南常青树化工有限公司</w:t>
            </w:r>
            <w:r>
              <w:rPr>
                <w:rFonts w:hint="eastAsia" w:ascii="宋体" w:hAnsi="宋体"/>
                <w:color w:val="auto"/>
                <w:sz w:val="24"/>
              </w:rPr>
              <w:t>现有设置解决，项目通过内部管理、设备选择、原辅材料的选用和管理、废物回收利用和污染治理等多方面采取合理可行的防治措施，以“节能、降耗、减污”为目标，项目所在地不属于资源、能源紧缺区域，项目占地不属于耕地、基本农田及建设用地，项目运营期间水、电、土地资源等用量不会超过资源利用上线。</w:t>
            </w:r>
          </w:p>
          <w:p w14:paraId="40425AFD">
            <w:pPr>
              <w:autoSpaceDE w:val="0"/>
              <w:autoSpaceDN w:val="0"/>
              <w:adjustRightInd w:val="0"/>
              <w:snapToGrid w:val="0"/>
              <w:spacing w:line="360" w:lineRule="auto"/>
              <w:ind w:firstLine="482" w:firstLineChars="200"/>
              <w:rPr>
                <w:b/>
                <w:bCs/>
                <w:color w:val="auto"/>
                <w:sz w:val="24"/>
              </w:rPr>
            </w:pPr>
            <w:r>
              <w:rPr>
                <w:rFonts w:hint="eastAsia" w:ascii="宋体" w:hAnsi="宋体"/>
                <w:b/>
                <w:bCs/>
                <w:color w:val="auto"/>
                <w:sz w:val="24"/>
              </w:rPr>
              <w:t>（</w:t>
            </w:r>
            <w:r>
              <w:rPr>
                <w:b/>
                <w:bCs/>
                <w:color w:val="auto"/>
                <w:sz w:val="24"/>
              </w:rPr>
              <w:t>4）环境准入负面清单</w:t>
            </w:r>
          </w:p>
          <w:p w14:paraId="47EB9149">
            <w:pPr>
              <w:spacing w:line="360" w:lineRule="auto"/>
              <w:ind w:firstLine="480" w:firstLineChars="200"/>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项目与昆明市生态环境管控总体准入要求符合性见表1-2。</w:t>
            </w:r>
          </w:p>
          <w:p w14:paraId="0E4C4F6E">
            <w:pPr>
              <w:autoSpaceDE w:val="0"/>
              <w:autoSpaceDN w:val="0"/>
              <w:adjustRightInd w:val="0"/>
              <w:snapToGrid w:val="0"/>
              <w:jc w:val="center"/>
              <w:rPr>
                <w:rFonts w:ascii="宋体" w:hAnsi="宋体"/>
                <w:b/>
                <w:color w:val="auto"/>
                <w:sz w:val="24"/>
              </w:rPr>
            </w:pPr>
            <w:r>
              <w:rPr>
                <w:rFonts w:hint="eastAsia" w:ascii="宋体" w:hAnsi="宋体"/>
                <w:b/>
                <w:color w:val="auto"/>
                <w:sz w:val="24"/>
              </w:rPr>
              <w:t>表</w:t>
            </w:r>
            <w:r>
              <w:rPr>
                <w:rFonts w:hint="eastAsia"/>
                <w:b/>
                <w:color w:val="auto"/>
                <w:sz w:val="24"/>
              </w:rPr>
              <w:t>1-</w:t>
            </w:r>
            <w:r>
              <w:rPr>
                <w:rFonts w:hint="eastAsia"/>
                <w:b/>
                <w:color w:val="auto"/>
                <w:sz w:val="24"/>
                <w:lang w:val="en-US" w:eastAsia="zh-CN"/>
              </w:rPr>
              <w:t>2</w:t>
            </w:r>
            <w:r>
              <w:rPr>
                <w:rFonts w:hint="eastAsia"/>
                <w:b/>
                <w:color w:val="auto"/>
                <w:sz w:val="24"/>
              </w:rPr>
              <w:t xml:space="preserve">  </w:t>
            </w:r>
            <w:r>
              <w:rPr>
                <w:rFonts w:hint="eastAsia" w:ascii="宋体" w:hAnsi="宋体"/>
                <w:b/>
                <w:color w:val="auto"/>
                <w:sz w:val="24"/>
              </w:rPr>
              <w:t>与</w:t>
            </w:r>
            <w:r>
              <w:rPr>
                <w:rFonts w:hint="eastAsia" w:cs="Times New Roman"/>
                <w:b/>
                <w:bCs/>
                <w:color w:val="auto"/>
                <w:sz w:val="24"/>
                <w:lang w:val="en-US" w:eastAsia="zh-CN"/>
              </w:rPr>
              <w:t>昆明市生态环境管控总体准入要求</w:t>
            </w:r>
            <w:r>
              <w:rPr>
                <w:rFonts w:hint="eastAsia" w:ascii="宋体" w:hAnsi="宋体"/>
                <w:b/>
                <w:color w:val="auto"/>
                <w:sz w:val="24"/>
              </w:rPr>
              <w:t>的符合性分析</w:t>
            </w:r>
          </w:p>
          <w:tbl>
            <w:tblPr>
              <w:tblStyle w:val="45"/>
              <w:tblW w:w="72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3866"/>
              <w:gridCol w:w="2117"/>
              <w:gridCol w:w="599"/>
            </w:tblGrid>
            <w:tr w14:paraId="70CC2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tcBorders>
                    <w:top w:val="single" w:color="auto" w:sz="4" w:space="0"/>
                    <w:left w:val="single" w:color="auto" w:sz="4" w:space="0"/>
                    <w:bottom w:val="single" w:color="auto" w:sz="4" w:space="0"/>
                    <w:right w:val="single" w:color="auto" w:sz="4" w:space="0"/>
                  </w:tcBorders>
                  <w:vAlign w:val="center"/>
                </w:tcPr>
                <w:p w14:paraId="584BA272">
                  <w:pPr>
                    <w:adjustRightInd w:val="0"/>
                    <w:jc w:val="center"/>
                    <w:rPr>
                      <w:rFonts w:hint="eastAsia" w:eastAsia="宋体"/>
                      <w:b/>
                      <w:bCs/>
                      <w:color w:val="auto"/>
                      <w:sz w:val="21"/>
                      <w:szCs w:val="21"/>
                      <w:lang w:eastAsia="zh-CN"/>
                    </w:rPr>
                  </w:pPr>
                  <w:r>
                    <w:rPr>
                      <w:rFonts w:hint="eastAsia" w:ascii="宋体" w:hAnsi="宋体"/>
                      <w:b/>
                      <w:bCs/>
                      <w:color w:val="auto"/>
                      <w:sz w:val="21"/>
                      <w:szCs w:val="21"/>
                      <w:lang w:val="en-US" w:eastAsia="zh-CN"/>
                    </w:rPr>
                    <w:t>管控领域</w:t>
                  </w:r>
                </w:p>
              </w:tc>
              <w:tc>
                <w:tcPr>
                  <w:tcW w:w="3866" w:type="dxa"/>
                  <w:tcBorders>
                    <w:top w:val="single" w:color="auto" w:sz="4" w:space="0"/>
                    <w:left w:val="single" w:color="auto" w:sz="4" w:space="0"/>
                    <w:bottom w:val="single" w:color="auto" w:sz="4" w:space="0"/>
                    <w:right w:val="single" w:color="auto" w:sz="4" w:space="0"/>
                  </w:tcBorders>
                  <w:vAlign w:val="center"/>
                </w:tcPr>
                <w:p w14:paraId="1A08F4A8">
                  <w:pPr>
                    <w:adjustRightInd w:val="0"/>
                    <w:jc w:val="center"/>
                    <w:rPr>
                      <w:b/>
                      <w:bCs/>
                      <w:color w:val="auto"/>
                      <w:sz w:val="21"/>
                      <w:szCs w:val="21"/>
                    </w:rPr>
                  </w:pPr>
                  <w:r>
                    <w:rPr>
                      <w:rFonts w:hint="eastAsia" w:ascii="宋体" w:hAnsi="宋体"/>
                      <w:b/>
                      <w:bCs/>
                      <w:color w:val="auto"/>
                      <w:sz w:val="21"/>
                      <w:szCs w:val="21"/>
                    </w:rPr>
                    <w:t>管控要求</w:t>
                  </w:r>
                </w:p>
              </w:tc>
              <w:tc>
                <w:tcPr>
                  <w:tcW w:w="2117" w:type="dxa"/>
                  <w:tcBorders>
                    <w:top w:val="single" w:color="auto" w:sz="4" w:space="0"/>
                    <w:left w:val="single" w:color="auto" w:sz="4" w:space="0"/>
                    <w:bottom w:val="single" w:color="auto" w:sz="4" w:space="0"/>
                    <w:right w:val="single" w:color="auto" w:sz="4" w:space="0"/>
                  </w:tcBorders>
                  <w:vAlign w:val="center"/>
                </w:tcPr>
                <w:p w14:paraId="47FF2ABF">
                  <w:pPr>
                    <w:adjustRightInd w:val="0"/>
                    <w:jc w:val="center"/>
                    <w:rPr>
                      <w:b/>
                      <w:bCs/>
                      <w:color w:val="auto"/>
                      <w:sz w:val="21"/>
                      <w:szCs w:val="21"/>
                    </w:rPr>
                  </w:pPr>
                  <w:r>
                    <w:rPr>
                      <w:rFonts w:hint="eastAsia" w:ascii="宋体" w:hAnsi="宋体"/>
                      <w:b/>
                      <w:bCs/>
                      <w:color w:val="auto"/>
                      <w:sz w:val="21"/>
                      <w:szCs w:val="21"/>
                    </w:rPr>
                    <w:t>本项目情况</w:t>
                  </w:r>
                </w:p>
              </w:tc>
              <w:tc>
                <w:tcPr>
                  <w:tcW w:w="599" w:type="dxa"/>
                  <w:tcBorders>
                    <w:top w:val="single" w:color="auto" w:sz="4" w:space="0"/>
                    <w:left w:val="single" w:color="auto" w:sz="4" w:space="0"/>
                    <w:bottom w:val="single" w:color="auto" w:sz="4" w:space="0"/>
                    <w:right w:val="single" w:color="auto" w:sz="4" w:space="0"/>
                  </w:tcBorders>
                  <w:vAlign w:val="center"/>
                </w:tcPr>
                <w:p w14:paraId="4D67F536">
                  <w:pPr>
                    <w:adjustRightInd w:val="0"/>
                    <w:jc w:val="center"/>
                    <w:rPr>
                      <w:rFonts w:ascii="宋体" w:hAnsi="宋体"/>
                      <w:b/>
                      <w:bCs/>
                      <w:color w:val="auto"/>
                      <w:sz w:val="21"/>
                      <w:szCs w:val="21"/>
                    </w:rPr>
                  </w:pPr>
                  <w:r>
                    <w:rPr>
                      <w:rFonts w:hint="eastAsia" w:ascii="宋体" w:hAnsi="宋体"/>
                      <w:b/>
                      <w:bCs/>
                      <w:color w:val="auto"/>
                      <w:sz w:val="21"/>
                      <w:szCs w:val="21"/>
                    </w:rPr>
                    <w:t>符合性</w:t>
                  </w:r>
                </w:p>
              </w:tc>
            </w:tr>
            <w:tr w14:paraId="7B198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tcBorders>
                    <w:top w:val="single" w:color="auto" w:sz="4" w:space="0"/>
                    <w:left w:val="single" w:color="auto" w:sz="4" w:space="0"/>
                    <w:bottom w:val="single" w:color="auto" w:sz="4" w:space="0"/>
                    <w:right w:val="single" w:color="auto" w:sz="4" w:space="0"/>
                  </w:tcBorders>
                  <w:vAlign w:val="center"/>
                </w:tcPr>
                <w:p w14:paraId="62977A78">
                  <w:pPr>
                    <w:adjustRightInd w:val="0"/>
                    <w:jc w:val="center"/>
                    <w:rPr>
                      <w:rFonts w:hint="eastAsia" w:ascii="宋体" w:hAnsi="宋体"/>
                      <w:b/>
                      <w:bCs/>
                      <w:color w:val="auto"/>
                      <w:sz w:val="21"/>
                      <w:szCs w:val="21"/>
                    </w:rPr>
                  </w:pPr>
                  <w:r>
                    <w:rPr>
                      <w:rFonts w:hint="eastAsia"/>
                      <w:color w:val="auto"/>
                    </w:rPr>
                    <w:t>空间布局约束</w:t>
                  </w:r>
                </w:p>
              </w:tc>
              <w:tc>
                <w:tcPr>
                  <w:tcW w:w="3866" w:type="dxa"/>
                  <w:tcBorders>
                    <w:top w:val="single" w:color="auto" w:sz="4" w:space="0"/>
                    <w:left w:val="single" w:color="auto" w:sz="4" w:space="0"/>
                    <w:bottom w:val="single" w:color="auto" w:sz="4" w:space="0"/>
                    <w:right w:val="single" w:color="auto" w:sz="4" w:space="0"/>
                  </w:tcBorders>
                  <w:vAlign w:val="center"/>
                </w:tcPr>
                <w:p w14:paraId="0DE4DE51">
                  <w:pPr>
                    <w:adjustRightInd w:val="0"/>
                    <w:jc w:val="left"/>
                    <w:rPr>
                      <w:rFonts w:hint="eastAsia"/>
                      <w:color w:val="auto"/>
                    </w:rPr>
                  </w:pPr>
                  <w:r>
                    <w:rPr>
                      <w:rFonts w:hint="eastAsia"/>
                      <w:color w:val="auto"/>
                    </w:rPr>
                    <w:t>1.根据《昆明市国土空间总体规划（2021—2035年）》进行空间管控。</w:t>
                  </w:r>
                </w:p>
                <w:p w14:paraId="5CB7688A">
                  <w:pPr>
                    <w:adjustRightInd w:val="0"/>
                    <w:jc w:val="left"/>
                    <w:rPr>
                      <w:rFonts w:hint="eastAsia"/>
                      <w:color w:val="auto"/>
                    </w:rPr>
                  </w:pPr>
                  <w:r>
                    <w:rPr>
                      <w:rFonts w:hint="eastAsia"/>
                      <w:color w:val="auto"/>
                    </w:rPr>
                    <w:t>2.牛栏江流域内，严格按照《云南省牛栏江保护条例》相关要求对水环境进行分区管控。</w:t>
                  </w:r>
                </w:p>
                <w:p w14:paraId="0E541066">
                  <w:pPr>
                    <w:adjustRightInd w:val="0"/>
                    <w:jc w:val="left"/>
                    <w:rPr>
                      <w:rFonts w:hint="eastAsia"/>
                      <w:color w:val="auto"/>
                    </w:rPr>
                  </w:pPr>
                  <w:r>
                    <w:rPr>
                      <w:rFonts w:hint="eastAsia"/>
                      <w:color w:val="auto"/>
                    </w:rPr>
                    <w:t>3.滇池流域内，严格按照《云南省滇池湖滨生态红线及湖泊生态黄线“两线”划定方案》相关要求进行分区管控。</w:t>
                  </w:r>
                </w:p>
                <w:p w14:paraId="79677962">
                  <w:pPr>
                    <w:adjustRightInd w:val="0"/>
                    <w:jc w:val="left"/>
                    <w:rPr>
                      <w:rFonts w:hint="eastAsia" w:ascii="宋体" w:hAnsi="宋体"/>
                      <w:b/>
                      <w:bCs/>
                      <w:color w:val="auto"/>
                      <w:sz w:val="21"/>
                      <w:szCs w:val="21"/>
                    </w:rPr>
                  </w:pPr>
                  <w:r>
                    <w:rPr>
                      <w:rFonts w:hint="eastAsia"/>
                      <w:color w:val="auto"/>
                    </w:rPr>
                    <w:t>4.阳宗海流域内，严格按照《云南省阳宗海湖滨生态红线及湖泊生态黄线“两线”划定方案》相关要求进行分区管控。</w:t>
                  </w:r>
                </w:p>
              </w:tc>
              <w:tc>
                <w:tcPr>
                  <w:tcW w:w="2117" w:type="dxa"/>
                  <w:tcBorders>
                    <w:top w:val="single" w:color="auto" w:sz="4" w:space="0"/>
                    <w:left w:val="single" w:color="auto" w:sz="4" w:space="0"/>
                    <w:bottom w:val="single" w:color="auto" w:sz="4" w:space="0"/>
                    <w:right w:val="single" w:color="auto" w:sz="4" w:space="0"/>
                  </w:tcBorders>
                  <w:vAlign w:val="center"/>
                </w:tcPr>
                <w:p w14:paraId="775EBA50">
                  <w:pPr>
                    <w:adjustRightInd w:val="0"/>
                    <w:jc w:val="left"/>
                    <w:rPr>
                      <w:rFonts w:hint="default" w:ascii="Times New Roman" w:hAnsi="Times New Roman" w:cs="Times New Roman"/>
                      <w:color w:val="auto"/>
                    </w:rPr>
                  </w:pPr>
                  <w:r>
                    <w:rPr>
                      <w:rFonts w:hint="default" w:ascii="Times New Roman" w:hAnsi="Times New Roman" w:cs="Times New Roman"/>
                      <w:b w:val="0"/>
                      <w:bCs w:val="0"/>
                      <w:color w:val="auto"/>
                      <w:sz w:val="21"/>
                      <w:szCs w:val="21"/>
                      <w:lang w:val="en-US" w:eastAsia="zh-CN"/>
                    </w:rPr>
                    <w:t>1、项</w:t>
                  </w:r>
                  <w:r>
                    <w:rPr>
                      <w:rFonts w:hint="default" w:ascii="Times New Roman" w:hAnsi="Times New Roman" w:eastAsia="宋体" w:cs="Times New Roman"/>
                      <w:color w:val="auto"/>
                      <w:lang w:val="en-US" w:eastAsia="zh-CN"/>
                    </w:rPr>
                    <w:t>目在现有工程厂区内进行改扩建，不新增占地，不占用基本农田等，属于工业用地</w:t>
                  </w:r>
                  <w:r>
                    <w:rPr>
                      <w:rFonts w:hint="default" w:ascii="Times New Roman" w:hAnsi="Times New Roman" w:eastAsia="宋体" w:cs="Times New Roman"/>
                      <w:color w:val="auto"/>
                    </w:rPr>
                    <w:t>。</w:t>
                  </w:r>
                </w:p>
                <w:p w14:paraId="09F66C51">
                  <w:pPr>
                    <w:adjustRightInd w:val="0"/>
                    <w:jc w:val="left"/>
                    <w:rPr>
                      <w:rFonts w:hint="eastAsia" w:ascii="Times New Roman" w:hAnsi="Times New Roman" w:eastAsia="宋体" w:cs="Times New Roman"/>
                      <w:color w:val="auto"/>
                      <w:lang w:eastAsia="zh-CN"/>
                    </w:rPr>
                  </w:pPr>
                  <w:r>
                    <w:rPr>
                      <w:rFonts w:hint="eastAsia"/>
                      <w:color w:val="auto"/>
                      <w:lang w:val="en-US" w:eastAsia="zh-CN"/>
                    </w:rPr>
                    <w:t>2、</w:t>
                  </w:r>
                  <w:r>
                    <w:rPr>
                      <w:rFonts w:hint="eastAsia" w:ascii="Times New Roman" w:hAnsi="Times New Roman" w:eastAsia="宋体" w:cs="Times New Roman"/>
                      <w:color w:val="auto"/>
                    </w:rPr>
                    <w:t>根据牛栏江水系环境规划图可知本项目属于《云南省牛栏江保护条例》中的</w:t>
                  </w:r>
                  <w:r>
                    <w:rPr>
                      <w:rFonts w:hint="eastAsia" w:ascii="Times New Roman" w:hAnsi="Times New Roman" w:eastAsia="宋体" w:cs="Times New Roman"/>
                      <w:color w:val="auto"/>
                      <w:lang w:val="en-US" w:eastAsia="zh-CN"/>
                    </w:rPr>
                    <w:t>水源涵养区，且符合</w:t>
                  </w:r>
                  <w:r>
                    <w:rPr>
                      <w:rFonts w:hint="eastAsia" w:ascii="Times New Roman" w:hAnsi="Times New Roman" w:eastAsia="宋体" w:cs="Times New Roman"/>
                      <w:color w:val="auto"/>
                    </w:rPr>
                    <w:t>《云南省牛栏江保护条例》相关要求</w:t>
                  </w:r>
                  <w:r>
                    <w:rPr>
                      <w:rFonts w:hint="eastAsia" w:ascii="Times New Roman" w:hAnsi="Times New Roman" w:eastAsia="宋体" w:cs="Times New Roman"/>
                      <w:color w:val="auto"/>
                      <w:lang w:eastAsia="zh-CN"/>
                    </w:rPr>
                    <w:t>。</w:t>
                  </w:r>
                </w:p>
                <w:p w14:paraId="304D01FD">
                  <w:pPr>
                    <w:adjustRightInd w:val="0"/>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3、项目不在滇池流域内。</w:t>
                  </w:r>
                </w:p>
                <w:p w14:paraId="706CE8F7">
                  <w:pPr>
                    <w:adjustRightInd w:val="0"/>
                    <w:jc w:val="left"/>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4、项目不在阳宗海流域内。</w:t>
                  </w:r>
                </w:p>
              </w:tc>
              <w:tc>
                <w:tcPr>
                  <w:tcW w:w="599" w:type="dxa"/>
                  <w:tcBorders>
                    <w:top w:val="single" w:color="auto" w:sz="4" w:space="0"/>
                    <w:left w:val="single" w:color="auto" w:sz="4" w:space="0"/>
                    <w:bottom w:val="single" w:color="auto" w:sz="4" w:space="0"/>
                    <w:right w:val="single" w:color="auto" w:sz="4" w:space="0"/>
                  </w:tcBorders>
                  <w:vAlign w:val="center"/>
                </w:tcPr>
                <w:p w14:paraId="5AD2D4D4">
                  <w:pPr>
                    <w:adjustRightInd w:val="0"/>
                    <w:jc w:val="center"/>
                    <w:rPr>
                      <w:rFonts w:hint="eastAsia" w:ascii="宋体" w:hAnsi="宋体" w:eastAsia="宋体"/>
                      <w:b w:val="0"/>
                      <w:bCs w:val="0"/>
                      <w:color w:val="auto"/>
                      <w:sz w:val="21"/>
                      <w:szCs w:val="21"/>
                      <w:lang w:val="en-US" w:eastAsia="zh-CN"/>
                    </w:rPr>
                  </w:pPr>
                  <w:r>
                    <w:rPr>
                      <w:rFonts w:hint="eastAsia" w:ascii="宋体" w:hAnsi="宋体"/>
                      <w:b w:val="0"/>
                      <w:bCs w:val="0"/>
                      <w:color w:val="auto"/>
                      <w:sz w:val="21"/>
                      <w:szCs w:val="21"/>
                      <w:lang w:val="en-US" w:eastAsia="zh-CN"/>
                    </w:rPr>
                    <w:t>符合</w:t>
                  </w:r>
                </w:p>
              </w:tc>
            </w:tr>
            <w:tr w14:paraId="6FDAE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tcBorders>
                    <w:top w:val="single" w:color="auto" w:sz="4" w:space="0"/>
                    <w:left w:val="single" w:color="auto" w:sz="4" w:space="0"/>
                    <w:bottom w:val="single" w:color="auto" w:sz="4" w:space="0"/>
                    <w:right w:val="single" w:color="auto" w:sz="4" w:space="0"/>
                  </w:tcBorders>
                  <w:vAlign w:val="center"/>
                </w:tcPr>
                <w:p w14:paraId="6C34CF1F">
                  <w:pPr>
                    <w:adjustRightInd w:val="0"/>
                    <w:jc w:val="center"/>
                    <w:rPr>
                      <w:rFonts w:hint="eastAsia" w:ascii="宋体" w:hAnsi="宋体"/>
                      <w:b/>
                      <w:bCs/>
                      <w:color w:val="auto"/>
                      <w:sz w:val="21"/>
                      <w:szCs w:val="21"/>
                    </w:rPr>
                  </w:pPr>
                  <w:r>
                    <w:rPr>
                      <w:rFonts w:hint="eastAsia"/>
                      <w:color w:val="auto"/>
                    </w:rPr>
                    <w:t>污染物排放管控</w:t>
                  </w:r>
                </w:p>
              </w:tc>
              <w:tc>
                <w:tcPr>
                  <w:tcW w:w="3866" w:type="dxa"/>
                  <w:tcBorders>
                    <w:top w:val="single" w:color="auto" w:sz="4" w:space="0"/>
                    <w:left w:val="single" w:color="auto" w:sz="4" w:space="0"/>
                    <w:bottom w:val="single" w:color="auto" w:sz="4" w:space="0"/>
                    <w:right w:val="single" w:color="auto" w:sz="4" w:space="0"/>
                  </w:tcBorders>
                  <w:vAlign w:val="center"/>
                </w:tcPr>
                <w:p w14:paraId="66A34E2B">
                  <w:pPr>
                    <w:pageBreakBefore w:val="0"/>
                    <w:kinsoku/>
                    <w:wordWrap/>
                    <w:overflowPunct/>
                    <w:topLinePunct w:val="0"/>
                    <w:autoSpaceDE/>
                    <w:autoSpaceDN/>
                    <w:bidi w:val="0"/>
                    <w:spacing w:line="240" w:lineRule="auto"/>
                    <w:jc w:val="left"/>
                    <w:rPr>
                      <w:rFonts w:hint="eastAsia"/>
                      <w:color w:val="auto"/>
                    </w:rPr>
                  </w:pPr>
                  <w:r>
                    <w:rPr>
                      <w:rFonts w:hint="eastAsia"/>
                      <w:color w:val="auto"/>
                    </w:rPr>
                    <w:t>1.到2025 年，</w:t>
                  </w:r>
                  <w:r>
                    <w:rPr>
                      <w:rFonts w:hint="eastAsia"/>
                      <w:color w:val="auto"/>
                      <w:lang w:eastAsia="zh-CN"/>
                    </w:rPr>
                    <w:t>昆明市地表水国控断面达到或好于</w:t>
                  </w:r>
                  <w:r>
                    <w:rPr>
                      <w:rFonts w:hint="eastAsia"/>
                      <w:color w:val="auto"/>
                    </w:rPr>
                    <w:t>Ⅲ类</w:t>
                  </w:r>
                  <w:r>
                    <w:rPr>
                      <w:rFonts w:hint="eastAsia"/>
                      <w:color w:val="auto"/>
                      <w:lang w:eastAsia="zh-CN"/>
                    </w:rPr>
                    <w:t>水体比例应达到</w:t>
                  </w:r>
                  <w:r>
                    <w:rPr>
                      <w:rFonts w:hint="eastAsia"/>
                      <w:color w:val="auto"/>
                    </w:rPr>
                    <w:t>81.5%，45个省控断面达到或</w:t>
                  </w:r>
                  <w:r>
                    <w:rPr>
                      <w:rFonts w:hint="eastAsia"/>
                      <w:color w:val="auto"/>
                      <w:lang w:eastAsia="zh-CN"/>
                    </w:rPr>
                    <w:t>好</w:t>
                  </w:r>
                  <w:r>
                    <w:rPr>
                      <w:rFonts w:hint="eastAsia"/>
                      <w:color w:val="auto"/>
                    </w:rPr>
                    <w:t>于Ⅲ类</w:t>
                  </w:r>
                  <w:r>
                    <w:rPr>
                      <w:rFonts w:hint="eastAsia"/>
                      <w:color w:val="auto"/>
                      <w:lang w:eastAsia="zh-CN"/>
                    </w:rPr>
                    <w:t>水体</w:t>
                  </w:r>
                  <w:r>
                    <w:rPr>
                      <w:rFonts w:hint="eastAsia"/>
                      <w:color w:val="auto"/>
                    </w:rPr>
                    <w:t>比例</w:t>
                  </w:r>
                  <w:r>
                    <w:rPr>
                      <w:rFonts w:hint="eastAsia"/>
                      <w:color w:val="auto"/>
                      <w:lang w:eastAsia="zh-CN"/>
                    </w:rPr>
                    <w:t>应</w:t>
                  </w:r>
                  <w:r>
                    <w:rPr>
                      <w:rFonts w:hint="eastAsia"/>
                      <w:color w:val="auto"/>
                    </w:rPr>
                    <w:t>达到80%，劣</w:t>
                  </w:r>
                  <w:r>
                    <w:rPr>
                      <w:rFonts w:hint="eastAsia"/>
                      <w:color w:val="auto"/>
                    </w:rPr>
                    <w:fldChar w:fldCharType="begin"/>
                  </w:r>
                  <w:r>
                    <w:rPr>
                      <w:rFonts w:hint="eastAsia"/>
                      <w:color w:val="auto"/>
                    </w:rPr>
                    <w:instrText xml:space="preserve"> = 5 \* ROMAN </w:instrText>
                  </w:r>
                  <w:r>
                    <w:rPr>
                      <w:rFonts w:hint="eastAsia"/>
                      <w:color w:val="auto"/>
                    </w:rPr>
                    <w:fldChar w:fldCharType="separate"/>
                  </w:r>
                  <w:r>
                    <w:rPr>
                      <w:rFonts w:hint="eastAsia"/>
                      <w:color w:val="auto"/>
                    </w:rPr>
                    <w:t>V</w:t>
                  </w:r>
                  <w:r>
                    <w:rPr>
                      <w:rFonts w:hint="eastAsia"/>
                      <w:color w:val="auto"/>
                    </w:rPr>
                    <w:fldChar w:fldCharType="end"/>
                  </w:r>
                  <w:r>
                    <w:rPr>
                      <w:rFonts w:hint="eastAsia"/>
                      <w:color w:val="auto"/>
                    </w:rPr>
                    <w:t>类水体全面消除，县级</w:t>
                  </w:r>
                  <w:r>
                    <w:rPr>
                      <w:rFonts w:hint="eastAsia"/>
                      <w:color w:val="auto"/>
                      <w:lang w:eastAsia="zh-CN"/>
                    </w:rPr>
                    <w:t>及</w:t>
                  </w:r>
                  <w:r>
                    <w:rPr>
                      <w:rFonts w:hint="eastAsia"/>
                      <w:color w:val="auto"/>
                    </w:rPr>
                    <w:t>以上集中式饮用水水源</w:t>
                  </w:r>
                  <w:r>
                    <w:rPr>
                      <w:rFonts w:hint="eastAsia"/>
                      <w:color w:val="auto"/>
                      <w:lang w:eastAsia="zh-CN"/>
                    </w:rPr>
                    <w:t>地水质达标率</w:t>
                  </w:r>
                  <w:r>
                    <w:rPr>
                      <w:rFonts w:hint="eastAsia"/>
                      <w:color w:val="auto"/>
                    </w:rPr>
                    <w:t>100%；滇池草海水质稳定达到IV类、外海水质达到IV类（COD≤40mg/L），阳宗海水质稳定达到Ⅲ类水标准，县级及以上集中式饮用水水源地水质达标率100%。化学需氧量重点工程减排量10243t，氨氮重点工程减排量1009t。</w:t>
                  </w:r>
                </w:p>
                <w:p w14:paraId="50C007C5">
                  <w:pPr>
                    <w:pageBreakBefore w:val="0"/>
                    <w:kinsoku/>
                    <w:wordWrap/>
                    <w:overflowPunct/>
                    <w:topLinePunct w:val="0"/>
                    <w:autoSpaceDE/>
                    <w:autoSpaceDN/>
                    <w:bidi w:val="0"/>
                    <w:spacing w:line="240" w:lineRule="auto"/>
                    <w:jc w:val="left"/>
                    <w:rPr>
                      <w:rFonts w:hint="eastAsia"/>
                      <w:color w:val="auto"/>
                    </w:rPr>
                  </w:pPr>
                  <w:r>
                    <w:rPr>
                      <w:rFonts w:hint="eastAsia"/>
                      <w:color w:val="auto"/>
                    </w:rPr>
                    <w:t>2.到2025年，昆明市环境空气质量优良天数比例应达到99.1%，城市细颗粒物（PM</w:t>
                  </w:r>
                  <w:r>
                    <w:rPr>
                      <w:rFonts w:hint="eastAsia"/>
                      <w:color w:val="auto"/>
                      <w:vertAlign w:val="subscript"/>
                    </w:rPr>
                    <w:t>2.5</w:t>
                  </w:r>
                  <w:r>
                    <w:rPr>
                      <w:rFonts w:hint="eastAsia"/>
                      <w:color w:val="auto"/>
                    </w:rPr>
                    <w:t>）平均浓度应达到24μg/m³；氮氧化物重点工程减排量2237t，挥发性有机物重点工程减排量1684t。</w:t>
                  </w:r>
                </w:p>
                <w:p w14:paraId="5AA5390B">
                  <w:pPr>
                    <w:pageBreakBefore w:val="0"/>
                    <w:kinsoku/>
                    <w:wordWrap/>
                    <w:overflowPunct/>
                    <w:topLinePunct w:val="0"/>
                    <w:autoSpaceDE/>
                    <w:autoSpaceDN/>
                    <w:bidi w:val="0"/>
                    <w:spacing w:line="240" w:lineRule="auto"/>
                    <w:jc w:val="left"/>
                    <w:rPr>
                      <w:rFonts w:hint="eastAsia"/>
                      <w:color w:val="auto"/>
                    </w:rPr>
                  </w:pPr>
                  <w:r>
                    <w:rPr>
                      <w:rFonts w:hint="eastAsia"/>
                      <w:color w:val="auto"/>
                    </w:rPr>
                    <w:t>3.2025年底前，全面完成钢铁企业超低排放改造。持续开展燃煤锅炉整治，推进每小时65蒸吨以上的燃煤锅炉超低排放改造。燃气锅炉推行低氮燃烧，氮氧化物排放浓度不高于50毫克/立方米。重点涉气排放企业逐步取消烟气旁路，因安全生产无法取消的，安装在线监管系统。</w:t>
                  </w:r>
                </w:p>
                <w:p w14:paraId="53B3020D">
                  <w:pPr>
                    <w:pageBreakBefore w:val="0"/>
                    <w:kinsoku/>
                    <w:wordWrap/>
                    <w:overflowPunct/>
                    <w:topLinePunct w:val="0"/>
                    <w:autoSpaceDE/>
                    <w:autoSpaceDN/>
                    <w:bidi w:val="0"/>
                    <w:spacing w:line="240" w:lineRule="auto"/>
                    <w:jc w:val="left"/>
                    <w:rPr>
                      <w:rFonts w:hint="eastAsia"/>
                      <w:color w:val="auto"/>
                    </w:rPr>
                  </w:pPr>
                  <w:r>
                    <w:rPr>
                      <w:rFonts w:hint="eastAsia"/>
                      <w:color w:val="auto"/>
                    </w:rPr>
                    <w:t>4.建立完善源头、过程和末端的VOCs全过程控制体系，实施VOCs排放总量控制。</w:t>
                  </w:r>
                </w:p>
                <w:p w14:paraId="6B3C0F5A">
                  <w:pPr>
                    <w:pageBreakBefore w:val="0"/>
                    <w:kinsoku/>
                    <w:wordWrap/>
                    <w:overflowPunct/>
                    <w:topLinePunct w:val="0"/>
                    <w:autoSpaceDE/>
                    <w:autoSpaceDN/>
                    <w:bidi w:val="0"/>
                    <w:spacing w:line="240" w:lineRule="auto"/>
                    <w:jc w:val="left"/>
                    <w:rPr>
                      <w:rFonts w:hint="eastAsia"/>
                      <w:color w:val="auto"/>
                    </w:rPr>
                  </w:pPr>
                  <w:r>
                    <w:rPr>
                      <w:rFonts w:hint="eastAsia"/>
                      <w:color w:val="auto"/>
                    </w:rPr>
                    <w:t>5.推进农业废弃物综合利用，2025年底前综合利用率达90%以上。</w:t>
                  </w:r>
                </w:p>
                <w:p w14:paraId="47C54DAF">
                  <w:pPr>
                    <w:pageBreakBefore w:val="0"/>
                    <w:kinsoku/>
                    <w:wordWrap/>
                    <w:overflowPunct/>
                    <w:topLinePunct w:val="0"/>
                    <w:autoSpaceDE/>
                    <w:autoSpaceDN/>
                    <w:bidi w:val="0"/>
                    <w:spacing w:line="240" w:lineRule="auto"/>
                    <w:jc w:val="left"/>
                    <w:rPr>
                      <w:rFonts w:hint="eastAsia"/>
                      <w:color w:val="auto"/>
                    </w:rPr>
                  </w:pPr>
                  <w:r>
                    <w:rPr>
                      <w:rFonts w:hint="eastAsia"/>
                      <w:color w:val="auto"/>
                    </w:rPr>
                    <w:t>6.滇池流域：2025年底前，完成流域内城镇雨污分流改造，城镇污水收集率达95％以上，农村生活污水收集处理率达75％以上，畜禽粪污综合利用率达90％以上，城市生活垃圾处理率达97％以上，实现农村生活垃圾分类投放、统一运输、集中处理。</w:t>
                  </w:r>
                </w:p>
                <w:p w14:paraId="2A35C457">
                  <w:pPr>
                    <w:pageBreakBefore w:val="0"/>
                    <w:kinsoku/>
                    <w:wordWrap/>
                    <w:overflowPunct/>
                    <w:topLinePunct w:val="0"/>
                    <w:autoSpaceDE/>
                    <w:autoSpaceDN/>
                    <w:bidi w:val="0"/>
                    <w:spacing w:line="240" w:lineRule="auto"/>
                    <w:jc w:val="left"/>
                    <w:rPr>
                      <w:rFonts w:hint="eastAsia"/>
                      <w:color w:val="auto"/>
                    </w:rPr>
                  </w:pPr>
                  <w:r>
                    <w:rPr>
                      <w:rFonts w:hint="eastAsia"/>
                      <w:color w:val="auto"/>
                    </w:rPr>
                    <w:t>7.阳宗海流域：推进农业废弃物综合利用，2025年底前农作物综合利用率达90%以上，畜禽粪污综合利用率达96%以上，农膜回收利用率达85%以上。2025年底前，完成流域内城镇雨污分流改造，城镇污水收集率达95%以上，农村生活污水收集处理率达75%以上，畜禽粪污综合利用率达90%以上，城镇生活垃圾处理率达97%以上，实现农村生活垃圾分类投放、统一运输、集中处理。</w:t>
                  </w:r>
                </w:p>
                <w:p w14:paraId="1BC29F2C">
                  <w:pPr>
                    <w:pageBreakBefore w:val="0"/>
                    <w:kinsoku/>
                    <w:wordWrap/>
                    <w:overflowPunct/>
                    <w:topLinePunct w:val="0"/>
                    <w:autoSpaceDE/>
                    <w:autoSpaceDN/>
                    <w:bidi w:val="0"/>
                    <w:spacing w:line="240" w:lineRule="auto"/>
                    <w:jc w:val="left"/>
                    <w:rPr>
                      <w:rFonts w:hint="eastAsia"/>
                      <w:color w:val="auto"/>
                    </w:rPr>
                  </w:pPr>
                  <w:r>
                    <w:rPr>
                      <w:rFonts w:hint="eastAsia"/>
                      <w:color w:val="auto"/>
                    </w:rPr>
                    <w:t>8.督促指导磷石膏产生企业配套建设（或委托建设）相应能力的磷石膏无害化处理设施，采用水洗、焙烧、浮选、中和等技术对磷石膏进行无害化处理，确保在2025年新产生磷石膏实现100%无害化处理，从根本上降低磷石膏污染隐患。无害化处理后暂时不能利用的磷石膏，应当按生态环境、应急管理要求依法依规安全环保分类存放。</w:t>
                  </w:r>
                </w:p>
                <w:p w14:paraId="74666554">
                  <w:pPr>
                    <w:adjustRightInd w:val="0"/>
                    <w:jc w:val="left"/>
                    <w:rPr>
                      <w:rFonts w:hint="eastAsia" w:ascii="宋体" w:hAnsi="宋体"/>
                      <w:b/>
                      <w:bCs/>
                      <w:color w:val="auto"/>
                      <w:sz w:val="21"/>
                      <w:szCs w:val="21"/>
                    </w:rPr>
                  </w:pPr>
                  <w:r>
                    <w:rPr>
                      <w:rFonts w:hint="eastAsia"/>
                      <w:color w:val="auto"/>
                    </w:rPr>
                    <w:t>9.推动昆明市磷石膏综合利用率2023年达到52%，2024年达到64%，2025年确保达到73%，力争达到75%；到2025年底，中心城区污泥无害化处置率达到95%以上，县城污泥无害化处置率达到90%以上。</w:t>
                  </w:r>
                </w:p>
              </w:tc>
              <w:tc>
                <w:tcPr>
                  <w:tcW w:w="2117" w:type="dxa"/>
                  <w:tcBorders>
                    <w:top w:val="single" w:color="auto" w:sz="4" w:space="0"/>
                    <w:left w:val="single" w:color="auto" w:sz="4" w:space="0"/>
                    <w:bottom w:val="single" w:color="auto" w:sz="4" w:space="0"/>
                    <w:right w:val="single" w:color="auto" w:sz="4" w:space="0"/>
                  </w:tcBorders>
                  <w:vAlign w:val="center"/>
                </w:tcPr>
                <w:p w14:paraId="5E465480">
                  <w:pPr>
                    <w:adjustRightInd w:val="0"/>
                    <w:jc w:val="left"/>
                    <w:rPr>
                      <w:rFonts w:hint="eastAsia"/>
                      <w:color w:val="auto"/>
                      <w:lang w:val="en-US" w:eastAsia="zh-CN"/>
                    </w:rPr>
                  </w:pPr>
                  <w:r>
                    <w:rPr>
                      <w:rFonts w:hint="eastAsia" w:ascii="宋体" w:hAnsi="宋体"/>
                      <w:b w:val="0"/>
                      <w:bCs w:val="0"/>
                      <w:color w:val="auto"/>
                      <w:sz w:val="21"/>
                      <w:szCs w:val="21"/>
                      <w:lang w:val="en-US" w:eastAsia="zh-CN"/>
                    </w:rPr>
                    <w:t>1、项目改扩建工程</w:t>
                  </w:r>
                  <w:r>
                    <w:rPr>
                      <w:rFonts w:hint="eastAsia"/>
                      <w:color w:val="auto"/>
                      <w:lang w:val="en-US" w:eastAsia="zh-CN"/>
                    </w:rPr>
                    <w:t>没有新增生活污水且没有生产废水产生，对地表水影响较小。</w:t>
                  </w:r>
                </w:p>
                <w:p w14:paraId="177DBECD">
                  <w:pPr>
                    <w:adjustRightInd w:val="0"/>
                    <w:jc w:val="both"/>
                    <w:rPr>
                      <w:rFonts w:hint="eastAsia" w:ascii="Times New Roman" w:hAnsi="Times New Roman" w:eastAsia="宋体" w:cs="Times New Roman"/>
                      <w:color w:val="auto"/>
                      <w:lang w:val="en-US" w:eastAsia="zh-CN"/>
                    </w:rPr>
                  </w:pPr>
                  <w:r>
                    <w:rPr>
                      <w:rFonts w:hint="eastAsia"/>
                      <w:color w:val="auto"/>
                      <w:lang w:val="en-US" w:eastAsia="zh-CN"/>
                    </w:rPr>
                    <w:t>2</w:t>
                  </w:r>
                  <w:r>
                    <w:rPr>
                      <w:rFonts w:hint="eastAsia" w:ascii="Times New Roman" w:hAnsi="Times New Roman" w:eastAsia="宋体" w:cs="Times New Roman"/>
                      <w:color w:val="auto"/>
                      <w:lang w:val="en-US" w:eastAsia="zh-CN"/>
                    </w:rPr>
                    <w:t>、项目评价区域内空气质量满足《环境空气质量标准》（GB3095-2012）二级标准。且本项目采取厂房三面封闭，仅在厂房一侧留有出入口，</w:t>
                  </w:r>
                  <w:r>
                    <w:rPr>
                      <w:rFonts w:hint="eastAsia" w:ascii="Times New Roman" w:hAnsi="Times New Roman" w:cs="Times New Roman"/>
                      <w:color w:val="auto"/>
                      <w:sz w:val="21"/>
                      <w:szCs w:val="21"/>
                      <w:lang w:val="en-US" w:eastAsia="zh-CN"/>
                    </w:rPr>
                    <w:t>物料编织覆盖，</w:t>
                  </w:r>
                  <w:r>
                    <w:rPr>
                      <w:rFonts w:hint="eastAsia" w:ascii="Times New Roman" w:hAnsi="Times New Roman" w:eastAsia="宋体" w:cs="Times New Roman"/>
                      <w:color w:val="auto"/>
                      <w:lang w:val="en-US" w:eastAsia="zh-CN"/>
                    </w:rPr>
                    <w:t>且整套双轴搅拌机设备机身为封闭式，下料口连接皮带输送系统；所有皮带运输、计量系统设备采用彩钢瓦全封闭；运输道路洒水降尘等措施控制项目区无组织粉尘。电石渣筛分产生的粉尘经集气罩收集后同经仓顶除尘器处理后的生石灰筒仓进料产生的粉尘进入一套布袋除尘器处理后，经1个排气筒DA008（φ0.5m×15m）有组织排放。</w:t>
                  </w:r>
                </w:p>
                <w:p w14:paraId="756F480B">
                  <w:pPr>
                    <w:adjustRightInd w:val="0"/>
                    <w:jc w:val="left"/>
                    <w:rPr>
                      <w:rFonts w:hint="eastAsia" w:ascii="Times New Roman" w:hAnsi="Times New Roman"/>
                      <w:color w:val="auto"/>
                      <w:sz w:val="21"/>
                      <w:szCs w:val="21"/>
                      <w:highlight w:val="none"/>
                      <w:lang w:val="en-US" w:eastAsia="zh-CN"/>
                    </w:rPr>
                  </w:pPr>
                  <w:r>
                    <w:rPr>
                      <w:rFonts w:hint="eastAsia" w:ascii="Times New Roman" w:hAnsi="Times New Roman" w:eastAsia="宋体" w:cs="Times New Roman"/>
                      <w:color w:val="auto"/>
                      <w:lang w:val="en-US" w:eastAsia="zh-CN"/>
                    </w:rPr>
                    <w:t>3、</w:t>
                  </w:r>
                  <w:r>
                    <w:rPr>
                      <w:rFonts w:hint="eastAsia" w:ascii="Times New Roman" w:hAnsi="Times New Roman" w:eastAsia="宋体"/>
                      <w:color w:val="auto"/>
                      <w:sz w:val="21"/>
                      <w:szCs w:val="21"/>
                      <w:highlight w:val="none"/>
                    </w:rPr>
                    <w:t>本项目在现有</w:t>
                  </w:r>
                  <w:r>
                    <w:rPr>
                      <w:rFonts w:hint="eastAsia" w:ascii="Times New Roman" w:hAnsi="Times New Roman"/>
                      <w:color w:val="auto"/>
                      <w:sz w:val="21"/>
                      <w:szCs w:val="21"/>
                      <w:highlight w:val="none"/>
                      <w:lang w:val="en-US" w:eastAsia="zh-CN"/>
                    </w:rPr>
                    <w:t>球状水泥缓凝剂生产线基础上进行改扩建，不属于钢铁行业，也不涉及燃煤锅炉。</w:t>
                  </w:r>
                </w:p>
                <w:p w14:paraId="49FA8583">
                  <w:pPr>
                    <w:adjustRightInd w:val="0"/>
                    <w:jc w:val="left"/>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4、项目不涉及VOCs的产生和排放。</w:t>
                  </w:r>
                </w:p>
                <w:p w14:paraId="0A1D6A99">
                  <w:pPr>
                    <w:adjustRightInd w:val="0"/>
                    <w:jc w:val="left"/>
                    <w:rPr>
                      <w:rFonts w:hint="eastAsia"/>
                      <w:color w:val="auto"/>
                      <w:lang w:eastAsia="zh-CN"/>
                    </w:rPr>
                  </w:pPr>
                  <w:r>
                    <w:rPr>
                      <w:rFonts w:hint="eastAsia" w:ascii="Times New Roman" w:hAnsi="Times New Roman"/>
                      <w:color w:val="auto"/>
                      <w:sz w:val="21"/>
                      <w:szCs w:val="21"/>
                      <w:highlight w:val="none"/>
                      <w:lang w:val="en-US" w:eastAsia="zh-CN"/>
                    </w:rPr>
                    <w:t>5、本项目不涉及</w:t>
                  </w:r>
                  <w:r>
                    <w:rPr>
                      <w:rFonts w:hint="eastAsia"/>
                      <w:color w:val="auto"/>
                    </w:rPr>
                    <w:t>农业废弃物综合利用</w:t>
                  </w:r>
                  <w:r>
                    <w:rPr>
                      <w:rFonts w:hint="eastAsia"/>
                      <w:color w:val="auto"/>
                      <w:lang w:eastAsia="zh-CN"/>
                    </w:rPr>
                    <w:t>。</w:t>
                  </w:r>
                </w:p>
                <w:p w14:paraId="7D3C3671">
                  <w:pPr>
                    <w:adjustRightInd w:val="0"/>
                    <w:jc w:val="left"/>
                    <w:rPr>
                      <w:rFonts w:hint="eastAsia"/>
                      <w:color w:val="auto"/>
                      <w:lang w:val="en-US" w:eastAsia="zh-CN"/>
                    </w:rPr>
                  </w:pPr>
                  <w:r>
                    <w:rPr>
                      <w:rFonts w:hint="eastAsia"/>
                      <w:color w:val="auto"/>
                      <w:lang w:val="en-US" w:eastAsia="zh-CN"/>
                    </w:rPr>
                    <w:t>6、项目不在滇池流域内。</w:t>
                  </w:r>
                </w:p>
                <w:p w14:paraId="02EC56CA">
                  <w:pPr>
                    <w:adjustRightInd w:val="0"/>
                    <w:jc w:val="left"/>
                    <w:rPr>
                      <w:rFonts w:hint="eastAsia"/>
                      <w:color w:val="auto"/>
                      <w:lang w:val="en-US" w:eastAsia="zh-CN"/>
                    </w:rPr>
                  </w:pPr>
                  <w:r>
                    <w:rPr>
                      <w:rFonts w:hint="eastAsia"/>
                      <w:color w:val="auto"/>
                      <w:lang w:val="en-US" w:eastAsia="zh-CN"/>
                    </w:rPr>
                    <w:t>7、项目不在阳宗海流域内。</w:t>
                  </w:r>
                </w:p>
                <w:p w14:paraId="44B784E1">
                  <w:pPr>
                    <w:adjustRightInd w:val="0"/>
                    <w:jc w:val="left"/>
                    <w:rPr>
                      <w:rFonts w:hint="default" w:eastAsia="宋体"/>
                      <w:color w:val="auto"/>
                      <w:lang w:val="en-US" w:eastAsia="zh-CN"/>
                    </w:rPr>
                  </w:pPr>
                  <w:r>
                    <w:rPr>
                      <w:rFonts w:hint="eastAsia"/>
                      <w:color w:val="auto"/>
                      <w:lang w:val="en-US" w:eastAsia="zh-CN"/>
                    </w:rPr>
                    <w:t>8、</w:t>
                  </w:r>
                  <w:r>
                    <w:rPr>
                      <w:rFonts w:ascii="宋体" w:hAnsi="宋体"/>
                      <w:color w:val="auto"/>
                      <w:sz w:val="21"/>
                      <w:szCs w:val="21"/>
                    </w:rPr>
                    <w:t>该</w:t>
                  </w:r>
                  <w:r>
                    <w:rPr>
                      <w:rFonts w:hint="eastAsia" w:ascii="宋体" w:hAnsi="宋体"/>
                      <w:color w:val="auto"/>
                      <w:sz w:val="21"/>
                      <w:szCs w:val="21"/>
                    </w:rPr>
                    <w:t>项目</w:t>
                  </w:r>
                  <w:r>
                    <w:rPr>
                      <w:rFonts w:hint="eastAsia"/>
                      <w:color w:val="auto"/>
                      <w:szCs w:val="32"/>
                    </w:rPr>
                    <w:t>属于工业固体废物的磷石膏、电石渣进行综合利用</w:t>
                  </w:r>
                  <w:r>
                    <w:rPr>
                      <w:rFonts w:hint="eastAsia" w:ascii="宋体" w:hAnsi="宋体"/>
                      <w:color w:val="auto"/>
                      <w:sz w:val="21"/>
                      <w:szCs w:val="21"/>
                    </w:rPr>
                    <w:t>，利用</w:t>
                  </w:r>
                  <w:r>
                    <w:rPr>
                      <w:rFonts w:ascii="宋体" w:hAnsi="宋体"/>
                      <w:color w:val="auto"/>
                      <w:sz w:val="21"/>
                      <w:szCs w:val="21"/>
                    </w:rPr>
                    <w:t>磷石膏</w:t>
                  </w:r>
                  <w:r>
                    <w:rPr>
                      <w:rFonts w:hint="eastAsia" w:ascii="宋体" w:hAnsi="宋体"/>
                      <w:color w:val="auto"/>
                      <w:sz w:val="21"/>
                      <w:szCs w:val="21"/>
                    </w:rPr>
                    <w:t>和</w:t>
                  </w:r>
                  <w:r>
                    <w:rPr>
                      <w:rFonts w:ascii="宋体" w:hAnsi="宋体"/>
                      <w:color w:val="auto"/>
                      <w:sz w:val="21"/>
                      <w:szCs w:val="21"/>
                    </w:rPr>
                    <w:t>电石渣进行土壤</w:t>
                  </w:r>
                  <w:r>
                    <w:rPr>
                      <w:rFonts w:hint="eastAsia" w:ascii="Times New Roman" w:hAnsi="Times New Roman"/>
                      <w:color w:val="auto"/>
                      <w:kern w:val="2"/>
                      <w:sz w:val="21"/>
                      <w:szCs w:val="21"/>
                      <w:lang w:val="en-US" w:eastAsia="zh-CN"/>
                    </w:rPr>
                    <w:t>改良</w:t>
                  </w:r>
                  <w:r>
                    <w:rPr>
                      <w:rFonts w:ascii="宋体" w:hAnsi="宋体"/>
                      <w:color w:val="auto"/>
                      <w:sz w:val="21"/>
                      <w:szCs w:val="21"/>
                    </w:rPr>
                    <w:t>剂、路基材料、生态修复材料的</w:t>
                  </w:r>
                  <w:r>
                    <w:rPr>
                      <w:color w:val="auto"/>
                      <w:sz w:val="21"/>
                      <w:szCs w:val="21"/>
                    </w:rPr>
                    <w:t>生产</w:t>
                  </w:r>
                  <w:r>
                    <w:rPr>
                      <w:rFonts w:hint="eastAsia"/>
                      <w:color w:val="auto"/>
                      <w:sz w:val="21"/>
                      <w:szCs w:val="21"/>
                      <w:lang w:eastAsia="zh-CN"/>
                    </w:rPr>
                    <w:t>，</w:t>
                  </w:r>
                  <w:r>
                    <w:rPr>
                      <w:rFonts w:hint="eastAsia"/>
                      <w:color w:val="auto"/>
                      <w:sz w:val="21"/>
                      <w:szCs w:val="21"/>
                      <w:lang w:val="en-US" w:eastAsia="zh-CN"/>
                    </w:rPr>
                    <w:t>采用中和技术对厂内磷酸生产线产生的磷石膏进行无害化处理。</w:t>
                  </w:r>
                </w:p>
              </w:tc>
              <w:tc>
                <w:tcPr>
                  <w:tcW w:w="599" w:type="dxa"/>
                  <w:tcBorders>
                    <w:top w:val="single" w:color="auto" w:sz="4" w:space="0"/>
                    <w:left w:val="single" w:color="auto" w:sz="4" w:space="0"/>
                    <w:bottom w:val="single" w:color="auto" w:sz="4" w:space="0"/>
                    <w:right w:val="single" w:color="auto" w:sz="4" w:space="0"/>
                  </w:tcBorders>
                  <w:vAlign w:val="center"/>
                </w:tcPr>
                <w:p w14:paraId="74120A9D">
                  <w:pPr>
                    <w:adjustRightInd w:val="0"/>
                    <w:jc w:val="center"/>
                    <w:rPr>
                      <w:rFonts w:hint="eastAsia" w:ascii="宋体" w:hAnsi="宋体" w:eastAsia="宋体"/>
                      <w:b/>
                      <w:bCs/>
                      <w:color w:val="auto"/>
                      <w:sz w:val="21"/>
                      <w:szCs w:val="21"/>
                      <w:lang w:val="en-US" w:eastAsia="zh-CN"/>
                    </w:rPr>
                  </w:pPr>
                  <w:r>
                    <w:rPr>
                      <w:rFonts w:hint="eastAsia" w:ascii="宋体" w:hAnsi="宋体"/>
                      <w:b w:val="0"/>
                      <w:bCs w:val="0"/>
                      <w:color w:val="auto"/>
                      <w:sz w:val="21"/>
                      <w:szCs w:val="21"/>
                      <w:lang w:val="en-US" w:eastAsia="zh-CN"/>
                    </w:rPr>
                    <w:t>符合</w:t>
                  </w:r>
                </w:p>
              </w:tc>
            </w:tr>
            <w:tr w14:paraId="77550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tcBorders>
                    <w:top w:val="single" w:color="auto" w:sz="4" w:space="0"/>
                    <w:left w:val="single" w:color="auto" w:sz="4" w:space="0"/>
                    <w:bottom w:val="single" w:color="auto" w:sz="4" w:space="0"/>
                    <w:right w:val="single" w:color="auto" w:sz="4" w:space="0"/>
                  </w:tcBorders>
                  <w:vAlign w:val="center"/>
                </w:tcPr>
                <w:p w14:paraId="11BF3AD1">
                  <w:pPr>
                    <w:adjustRightInd w:val="0"/>
                    <w:jc w:val="center"/>
                    <w:rPr>
                      <w:rFonts w:hint="eastAsia"/>
                      <w:color w:val="auto"/>
                    </w:rPr>
                  </w:pPr>
                  <w:r>
                    <w:rPr>
                      <w:rFonts w:hint="eastAsia"/>
                      <w:color w:val="auto"/>
                    </w:rPr>
                    <w:t>环境风险防控</w:t>
                  </w:r>
                </w:p>
              </w:tc>
              <w:tc>
                <w:tcPr>
                  <w:tcW w:w="3866" w:type="dxa"/>
                  <w:tcBorders>
                    <w:top w:val="single" w:color="auto" w:sz="4" w:space="0"/>
                    <w:left w:val="single" w:color="auto" w:sz="4" w:space="0"/>
                    <w:bottom w:val="single" w:color="auto" w:sz="4" w:space="0"/>
                    <w:right w:val="single" w:color="auto" w:sz="4" w:space="0"/>
                  </w:tcBorders>
                  <w:vAlign w:val="center"/>
                </w:tcPr>
                <w:p w14:paraId="591C33E4">
                  <w:pPr>
                    <w:pageBreakBefore w:val="0"/>
                    <w:kinsoku/>
                    <w:wordWrap/>
                    <w:overflowPunct/>
                    <w:topLinePunct w:val="0"/>
                    <w:autoSpaceDE/>
                    <w:autoSpaceDN/>
                    <w:bidi w:val="0"/>
                    <w:spacing w:line="240" w:lineRule="auto"/>
                    <w:rPr>
                      <w:rFonts w:hint="eastAsia"/>
                      <w:color w:val="auto"/>
                    </w:rPr>
                  </w:pPr>
                  <w:r>
                    <w:rPr>
                      <w:rFonts w:hint="eastAsia"/>
                      <w:color w:val="auto"/>
                    </w:rPr>
                    <w:t>1.加大放射性物质、电磁辐射、危险废物、医疗废物、尾矿库渣场、危险化学品、重金属等风险要素防控力度，全过程监控风险要素产生、使用、储存、运输、处理处置，实现智能化预警与报警，有效降低各类环境风险。</w:t>
                  </w:r>
                </w:p>
                <w:p w14:paraId="4D0BB748">
                  <w:pPr>
                    <w:pageBreakBefore w:val="0"/>
                    <w:kinsoku/>
                    <w:wordWrap/>
                    <w:overflowPunct/>
                    <w:topLinePunct w:val="0"/>
                    <w:autoSpaceDE/>
                    <w:autoSpaceDN/>
                    <w:bidi w:val="0"/>
                    <w:spacing w:line="240" w:lineRule="auto"/>
                    <w:rPr>
                      <w:rFonts w:hint="eastAsia"/>
                      <w:color w:val="auto"/>
                    </w:rPr>
                  </w:pPr>
                  <w:r>
                    <w:rPr>
                      <w:rFonts w:hint="eastAsia"/>
                      <w:color w:val="auto"/>
                    </w:rPr>
                    <w:t>2.针对持久性有机污染物、内分泌干扰物等新污染物，制定实施新污染物治理行动方案，开展新污染物筛查与评估，建立清单，开展化学物质生产使用信息调查，实施调查监测和环境风险评估。</w:t>
                  </w:r>
                </w:p>
                <w:p w14:paraId="799DFD3D">
                  <w:pPr>
                    <w:pageBreakBefore w:val="0"/>
                    <w:kinsoku/>
                    <w:wordWrap/>
                    <w:overflowPunct/>
                    <w:topLinePunct w:val="0"/>
                    <w:autoSpaceDE/>
                    <w:autoSpaceDN/>
                    <w:bidi w:val="0"/>
                    <w:spacing w:line="240" w:lineRule="auto"/>
                    <w:rPr>
                      <w:rFonts w:hint="eastAsia"/>
                      <w:color w:val="auto"/>
                    </w:rPr>
                  </w:pPr>
                  <w:r>
                    <w:rPr>
                      <w:rFonts w:hint="eastAsia"/>
                      <w:color w:val="auto"/>
                    </w:rPr>
                    <w:t>3.开展重点区域、重点领域环境风险调查评估，加强源头预防、过程管控、末端治理；建设环境应急技术库和物资库，推动各地更新扩充应急物资和防护装备，提升环境应急指挥信息化水平，完善环境应急管理体系。</w:t>
                  </w:r>
                </w:p>
                <w:p w14:paraId="10E421A9">
                  <w:pPr>
                    <w:pageBreakBefore w:val="0"/>
                    <w:kinsoku/>
                    <w:wordWrap/>
                    <w:overflowPunct/>
                    <w:topLinePunct w:val="0"/>
                    <w:autoSpaceDE/>
                    <w:autoSpaceDN/>
                    <w:bidi w:val="0"/>
                    <w:spacing w:line="240" w:lineRule="auto"/>
                    <w:rPr>
                      <w:rFonts w:hint="eastAsia"/>
                      <w:color w:val="auto"/>
                    </w:rPr>
                  </w:pPr>
                  <w:r>
                    <w:rPr>
                      <w:rFonts w:hint="eastAsia"/>
                      <w:color w:val="auto"/>
                    </w:rPr>
                    <w:t>4.开展“千吨万人”农村饮用水水源保护区环境风险排查整治，加强农村水源水质监测。</w:t>
                  </w:r>
                </w:p>
                <w:p w14:paraId="1BA6BA39">
                  <w:pPr>
                    <w:pageBreakBefore w:val="0"/>
                    <w:kinsoku/>
                    <w:wordWrap/>
                    <w:overflowPunct/>
                    <w:topLinePunct w:val="0"/>
                    <w:autoSpaceDE/>
                    <w:autoSpaceDN/>
                    <w:bidi w:val="0"/>
                    <w:spacing w:line="240" w:lineRule="auto"/>
                    <w:rPr>
                      <w:rFonts w:hint="eastAsia"/>
                      <w:color w:val="auto"/>
                    </w:rPr>
                  </w:pPr>
                  <w:r>
                    <w:rPr>
                      <w:rFonts w:hint="eastAsia"/>
                      <w:color w:val="auto"/>
                    </w:rPr>
                    <w:t>5.以涉危险废物、涉重金属企业为重点，合理布设生产设施，强化应急导流槽、事故调蓄池、雨污总排口应急闸坝等事故排水收集截留设施，以及传输泵、配套管线、应急发电等事故水输送设施等建设，合理设置消防事故水池和雨水监测池。</w:t>
                  </w:r>
                </w:p>
                <w:p w14:paraId="7DBA5C4B">
                  <w:pPr>
                    <w:adjustRightInd w:val="0"/>
                    <w:jc w:val="left"/>
                    <w:rPr>
                      <w:rFonts w:hint="eastAsia"/>
                      <w:color w:val="auto"/>
                    </w:rPr>
                  </w:pPr>
                  <w:r>
                    <w:rPr>
                      <w:rFonts w:hint="eastAsia"/>
                      <w:color w:val="auto"/>
                    </w:rPr>
                    <w:t>6.严格新（改、扩）建尾矿库环境准入，健全尾矿库环境监管清单，加强尾矿库分类分级环境监管。严格落实《云南省尾矿库专项整治工作实施方案》。</w:t>
                  </w:r>
                </w:p>
              </w:tc>
              <w:tc>
                <w:tcPr>
                  <w:tcW w:w="2117" w:type="dxa"/>
                  <w:tcBorders>
                    <w:top w:val="single" w:color="auto" w:sz="4" w:space="0"/>
                    <w:left w:val="single" w:color="auto" w:sz="4" w:space="0"/>
                    <w:bottom w:val="single" w:color="auto" w:sz="4" w:space="0"/>
                    <w:right w:val="single" w:color="auto" w:sz="4" w:space="0"/>
                  </w:tcBorders>
                  <w:vAlign w:val="center"/>
                </w:tcPr>
                <w:p w14:paraId="35DFFDA4">
                  <w:pPr>
                    <w:adjustRightInd w:val="0"/>
                    <w:jc w:val="left"/>
                    <w:rPr>
                      <w:rFonts w:hint="eastAsia"/>
                      <w:color w:val="auto"/>
                      <w:lang w:eastAsia="zh-CN"/>
                    </w:rPr>
                  </w:pPr>
                  <w:r>
                    <w:rPr>
                      <w:rFonts w:hint="eastAsia" w:ascii="宋体" w:hAnsi="宋体"/>
                      <w:b w:val="0"/>
                      <w:bCs w:val="0"/>
                      <w:color w:val="auto"/>
                      <w:sz w:val="21"/>
                      <w:szCs w:val="21"/>
                      <w:lang w:val="en-US" w:eastAsia="zh-CN"/>
                    </w:rPr>
                    <w:t>1、项目不涉及</w:t>
                  </w:r>
                  <w:r>
                    <w:rPr>
                      <w:rFonts w:hint="eastAsia"/>
                      <w:color w:val="auto"/>
                    </w:rPr>
                    <w:t>放射性物质、电磁辐射、危险废物、医疗废物、尾矿库渣场、危险化学品、重金属等风险要素</w:t>
                  </w:r>
                  <w:r>
                    <w:rPr>
                      <w:rFonts w:hint="eastAsia"/>
                      <w:color w:val="auto"/>
                      <w:lang w:eastAsia="zh-CN"/>
                    </w:rPr>
                    <w:t>。</w:t>
                  </w:r>
                </w:p>
                <w:p w14:paraId="3EDB6499">
                  <w:pPr>
                    <w:adjustRightInd w:val="0"/>
                    <w:jc w:val="left"/>
                    <w:rPr>
                      <w:rFonts w:hint="eastAsia"/>
                      <w:color w:val="auto"/>
                      <w:lang w:eastAsia="zh-CN"/>
                    </w:rPr>
                  </w:pPr>
                  <w:r>
                    <w:rPr>
                      <w:rFonts w:hint="eastAsia"/>
                      <w:color w:val="auto"/>
                      <w:lang w:val="en-US" w:eastAsia="zh-CN"/>
                    </w:rPr>
                    <w:t>2、 项目不涉及</w:t>
                  </w:r>
                  <w:r>
                    <w:rPr>
                      <w:rFonts w:hint="eastAsia"/>
                      <w:color w:val="auto"/>
                    </w:rPr>
                    <w:t>持久性有机污染物、内分泌干扰物等新污染物</w:t>
                  </w:r>
                  <w:r>
                    <w:rPr>
                      <w:rFonts w:hint="eastAsia"/>
                      <w:color w:val="auto"/>
                      <w:lang w:eastAsia="zh-CN"/>
                    </w:rPr>
                    <w:t>。</w:t>
                  </w:r>
                </w:p>
                <w:p w14:paraId="2BC9A2B7">
                  <w:pPr>
                    <w:adjustRightInd w:val="0"/>
                    <w:jc w:val="left"/>
                    <w:rPr>
                      <w:rFonts w:hint="eastAsia" w:ascii="Times New Roman" w:hAnsi="Times New Roman" w:eastAsia="宋体" w:cs="Times New Roman"/>
                      <w:color w:val="auto"/>
                      <w:lang w:val="en-US" w:eastAsia="zh-CN"/>
                    </w:rPr>
                  </w:pPr>
                  <w:r>
                    <w:rPr>
                      <w:rFonts w:hint="eastAsia"/>
                      <w:color w:val="auto"/>
                      <w:lang w:val="en-US" w:eastAsia="zh-CN"/>
                    </w:rPr>
                    <w:t>3</w:t>
                  </w:r>
                  <w:r>
                    <w:rPr>
                      <w:rFonts w:hint="eastAsia" w:ascii="Times New Roman" w:hAnsi="Times New Roman" w:eastAsia="宋体" w:cs="Times New Roman"/>
                      <w:color w:val="auto"/>
                      <w:lang w:val="en-US" w:eastAsia="zh-CN"/>
                    </w:rPr>
                    <w:t>、云南常青树化工有限公司的突发环境事件应急预案备案文件已于2023年8月3日备案，备案编号为530-129-2023-038-H，</w:t>
                  </w:r>
                  <w:r>
                    <w:rPr>
                      <w:rFonts w:hint="eastAsia"/>
                      <w:color w:val="auto"/>
                      <w:lang w:val="en-US" w:eastAsia="zh-CN"/>
                    </w:rPr>
                    <w:t>并定期进行应急演练，提升突发环境应急管理水平</w:t>
                  </w:r>
                  <w:r>
                    <w:rPr>
                      <w:rFonts w:hint="eastAsia" w:ascii="Times New Roman" w:hAnsi="Times New Roman" w:eastAsia="宋体" w:cs="Times New Roman"/>
                      <w:color w:val="auto"/>
                      <w:lang w:val="en-US" w:eastAsia="zh-CN"/>
                    </w:rPr>
                    <w:t>。</w:t>
                  </w:r>
                </w:p>
                <w:p w14:paraId="37BAAC12">
                  <w:pPr>
                    <w:adjustRightInd w:val="0"/>
                    <w:jc w:val="left"/>
                    <w:rPr>
                      <w:rFonts w:hint="eastAsia"/>
                      <w:color w:val="auto"/>
                      <w:lang w:eastAsia="zh-CN"/>
                    </w:rPr>
                  </w:pPr>
                  <w:r>
                    <w:rPr>
                      <w:rFonts w:hint="eastAsia" w:ascii="Times New Roman" w:hAnsi="Times New Roman" w:eastAsia="宋体" w:cs="Times New Roman"/>
                      <w:color w:val="auto"/>
                      <w:lang w:val="en-US" w:eastAsia="zh-CN"/>
                    </w:rPr>
                    <w:t>4、项目不涉及</w:t>
                  </w:r>
                  <w:r>
                    <w:rPr>
                      <w:rFonts w:hint="eastAsia"/>
                      <w:color w:val="auto"/>
                    </w:rPr>
                    <w:t>“千吨万人”农村饮用水水源保护区</w:t>
                  </w:r>
                  <w:r>
                    <w:rPr>
                      <w:rFonts w:hint="eastAsia"/>
                      <w:color w:val="auto"/>
                      <w:lang w:eastAsia="zh-CN"/>
                    </w:rPr>
                    <w:t>。</w:t>
                  </w:r>
                </w:p>
                <w:p w14:paraId="3904CF4F">
                  <w:pPr>
                    <w:adjustRightInd w:val="0"/>
                    <w:jc w:val="left"/>
                    <w:rPr>
                      <w:rFonts w:hint="eastAsia"/>
                      <w:color w:val="auto"/>
                      <w:sz w:val="21"/>
                      <w:szCs w:val="21"/>
                      <w:lang w:val="en-US" w:eastAsia="zh-CN"/>
                    </w:rPr>
                  </w:pPr>
                  <w:r>
                    <w:rPr>
                      <w:rFonts w:hint="eastAsia"/>
                      <w:color w:val="auto"/>
                      <w:lang w:val="en-US" w:eastAsia="zh-CN"/>
                    </w:rPr>
                    <w:t>5、</w:t>
                  </w:r>
                  <w:r>
                    <w:rPr>
                      <w:rFonts w:hint="eastAsia"/>
                      <w:color w:val="auto"/>
                      <w:sz w:val="21"/>
                      <w:szCs w:val="21"/>
                      <w:lang w:val="en-US" w:eastAsia="zh-CN"/>
                    </w:rPr>
                    <w:t>设备维修产生的废机油依托厂区内现有危废暂存间，云南协快再生资源回收有限公司签订了处置协议。</w:t>
                  </w:r>
                </w:p>
                <w:p w14:paraId="5992F5B4">
                  <w:pPr>
                    <w:adjustRightInd w:val="0"/>
                    <w:jc w:val="left"/>
                    <w:rPr>
                      <w:rFonts w:hint="default"/>
                      <w:color w:val="auto"/>
                      <w:sz w:val="21"/>
                      <w:szCs w:val="21"/>
                      <w:lang w:val="en-US" w:eastAsia="zh-CN"/>
                    </w:rPr>
                  </w:pPr>
                  <w:r>
                    <w:rPr>
                      <w:rFonts w:hint="eastAsia"/>
                      <w:color w:val="auto"/>
                      <w:sz w:val="21"/>
                      <w:szCs w:val="21"/>
                      <w:lang w:val="en-US" w:eastAsia="zh-CN"/>
                    </w:rPr>
                    <w:t>6、项目不涉及尾矿库。</w:t>
                  </w:r>
                </w:p>
              </w:tc>
              <w:tc>
                <w:tcPr>
                  <w:tcW w:w="599" w:type="dxa"/>
                  <w:tcBorders>
                    <w:top w:val="single" w:color="auto" w:sz="4" w:space="0"/>
                    <w:left w:val="single" w:color="auto" w:sz="4" w:space="0"/>
                    <w:bottom w:val="single" w:color="auto" w:sz="4" w:space="0"/>
                    <w:right w:val="single" w:color="auto" w:sz="4" w:space="0"/>
                  </w:tcBorders>
                  <w:vAlign w:val="center"/>
                </w:tcPr>
                <w:p w14:paraId="596EB0A3">
                  <w:pPr>
                    <w:adjustRightInd w:val="0"/>
                    <w:jc w:val="center"/>
                    <w:rPr>
                      <w:rFonts w:hint="default" w:ascii="宋体" w:hAnsi="宋体" w:eastAsia="宋体"/>
                      <w:b w:val="0"/>
                      <w:bCs w:val="0"/>
                      <w:color w:val="auto"/>
                      <w:sz w:val="21"/>
                      <w:szCs w:val="21"/>
                      <w:lang w:val="en-US" w:eastAsia="zh-CN"/>
                    </w:rPr>
                  </w:pPr>
                  <w:r>
                    <w:rPr>
                      <w:rFonts w:hint="eastAsia" w:ascii="宋体" w:hAnsi="宋体"/>
                      <w:b w:val="0"/>
                      <w:bCs w:val="0"/>
                      <w:color w:val="auto"/>
                      <w:sz w:val="21"/>
                      <w:szCs w:val="21"/>
                      <w:lang w:val="en-US" w:eastAsia="zh-CN"/>
                    </w:rPr>
                    <w:t>符合</w:t>
                  </w:r>
                </w:p>
              </w:tc>
            </w:tr>
            <w:tr w14:paraId="76923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tcBorders>
                    <w:top w:val="single" w:color="auto" w:sz="4" w:space="0"/>
                    <w:left w:val="single" w:color="auto" w:sz="4" w:space="0"/>
                    <w:bottom w:val="single" w:color="auto" w:sz="4" w:space="0"/>
                    <w:right w:val="single" w:color="auto" w:sz="4" w:space="0"/>
                  </w:tcBorders>
                  <w:vAlign w:val="center"/>
                </w:tcPr>
                <w:p w14:paraId="0AD3C09B">
                  <w:pPr>
                    <w:adjustRightInd w:val="0"/>
                    <w:jc w:val="center"/>
                    <w:rPr>
                      <w:rFonts w:hint="eastAsia"/>
                      <w:color w:val="auto"/>
                    </w:rPr>
                  </w:pPr>
                  <w:r>
                    <w:rPr>
                      <w:rFonts w:hint="eastAsia"/>
                      <w:color w:val="auto"/>
                    </w:rPr>
                    <w:t>资源开发利用效率</w:t>
                  </w:r>
                </w:p>
              </w:tc>
              <w:tc>
                <w:tcPr>
                  <w:tcW w:w="3866" w:type="dxa"/>
                  <w:tcBorders>
                    <w:top w:val="single" w:color="auto" w:sz="4" w:space="0"/>
                    <w:left w:val="single" w:color="auto" w:sz="4" w:space="0"/>
                    <w:bottom w:val="single" w:color="auto" w:sz="4" w:space="0"/>
                    <w:right w:val="single" w:color="auto" w:sz="4" w:space="0"/>
                  </w:tcBorders>
                  <w:vAlign w:val="center"/>
                </w:tcPr>
                <w:p w14:paraId="54C94E4D">
                  <w:pPr>
                    <w:pageBreakBefore w:val="0"/>
                    <w:kinsoku/>
                    <w:wordWrap/>
                    <w:overflowPunct/>
                    <w:topLinePunct w:val="0"/>
                    <w:autoSpaceDE/>
                    <w:autoSpaceDN/>
                    <w:bidi w:val="0"/>
                    <w:spacing w:line="240" w:lineRule="auto"/>
                    <w:rPr>
                      <w:rFonts w:hint="eastAsia"/>
                      <w:color w:val="auto"/>
                    </w:rPr>
                  </w:pPr>
                  <w:r>
                    <w:rPr>
                      <w:rFonts w:hint="eastAsia"/>
                      <w:color w:val="auto"/>
                    </w:rPr>
                    <w:t>1.到2025年，基本建成与经济社会高质量发展和生态文明建设要求相适应、与由全面建成小康社会向基本实现现代化迈进起步期相协同的水安全保障体系。</w:t>
                  </w:r>
                </w:p>
                <w:p w14:paraId="09356510">
                  <w:pPr>
                    <w:pageBreakBefore w:val="0"/>
                    <w:kinsoku/>
                    <w:wordWrap/>
                    <w:overflowPunct/>
                    <w:topLinePunct w:val="0"/>
                    <w:autoSpaceDE/>
                    <w:autoSpaceDN/>
                    <w:bidi w:val="0"/>
                    <w:spacing w:line="240" w:lineRule="auto"/>
                    <w:rPr>
                      <w:rFonts w:hint="eastAsia"/>
                      <w:color w:val="auto"/>
                    </w:rPr>
                  </w:pPr>
                  <w:r>
                    <w:rPr>
                      <w:rFonts w:hint="eastAsia"/>
                      <w:color w:val="auto"/>
                    </w:rPr>
                    <w:t>2.节水型生产和生活方式初步建立，用水效率和效益显著提高，全社会节水意识明显增强，新时代节水型社会基本建成。全市用水总量控制在35.48亿m</w:t>
                  </w:r>
                  <w:r>
                    <w:rPr>
                      <w:rFonts w:hint="eastAsia"/>
                      <w:color w:val="auto"/>
                      <w:vertAlign w:val="superscript"/>
                    </w:rPr>
                    <w:t>3</w:t>
                  </w:r>
                  <w:r>
                    <w:rPr>
                      <w:rFonts w:hint="eastAsia"/>
                      <w:color w:val="auto"/>
                    </w:rPr>
                    <w:t>以内，万元GDP用水量较2020年下降10%，万元工业增加值用水量较2020年下降10%，农田灌溉水有效利用系数提高到0.55以上。</w:t>
                  </w:r>
                </w:p>
                <w:p w14:paraId="3EB3190C">
                  <w:pPr>
                    <w:pageBreakBefore w:val="0"/>
                    <w:kinsoku/>
                    <w:wordWrap/>
                    <w:overflowPunct/>
                    <w:topLinePunct w:val="0"/>
                    <w:autoSpaceDE/>
                    <w:autoSpaceDN/>
                    <w:bidi w:val="0"/>
                    <w:spacing w:line="240" w:lineRule="auto"/>
                    <w:rPr>
                      <w:rFonts w:hint="eastAsia"/>
                      <w:color w:val="auto"/>
                    </w:rPr>
                  </w:pPr>
                  <w:r>
                    <w:rPr>
                      <w:rFonts w:hint="eastAsia"/>
                      <w:color w:val="auto"/>
                    </w:rPr>
                    <w:t>3.万元工业增加值用水量≤30（立方米/万元）。</w:t>
                  </w:r>
                </w:p>
                <w:p w14:paraId="5E4F7226">
                  <w:pPr>
                    <w:pageBreakBefore w:val="0"/>
                    <w:kinsoku/>
                    <w:wordWrap/>
                    <w:overflowPunct/>
                    <w:topLinePunct w:val="0"/>
                    <w:autoSpaceDE/>
                    <w:autoSpaceDN/>
                    <w:bidi w:val="0"/>
                    <w:spacing w:line="240" w:lineRule="auto"/>
                    <w:rPr>
                      <w:rFonts w:hint="eastAsia"/>
                      <w:color w:val="auto"/>
                    </w:rPr>
                  </w:pPr>
                  <w:r>
                    <w:rPr>
                      <w:color w:val="auto"/>
                    </w:rPr>
                    <w:t>4</w:t>
                  </w:r>
                  <w:r>
                    <w:rPr>
                      <w:rFonts w:hint="eastAsia"/>
                      <w:color w:val="auto"/>
                    </w:rPr>
                    <w:t>.2025年底前，全市单位地区生产总值能源消耗较2020年下降14%，能源消费总量得到合理控制。</w:t>
                  </w:r>
                </w:p>
                <w:p w14:paraId="65B15133">
                  <w:pPr>
                    <w:pageBreakBefore w:val="0"/>
                    <w:kinsoku/>
                    <w:wordWrap/>
                    <w:overflowPunct/>
                    <w:topLinePunct w:val="0"/>
                    <w:autoSpaceDE/>
                    <w:autoSpaceDN/>
                    <w:bidi w:val="0"/>
                    <w:spacing w:line="240" w:lineRule="auto"/>
                    <w:rPr>
                      <w:rFonts w:hint="eastAsia"/>
                      <w:color w:val="auto"/>
                    </w:rPr>
                  </w:pPr>
                  <w:r>
                    <w:rPr>
                      <w:color w:val="auto"/>
                    </w:rPr>
                    <w:t>5</w:t>
                  </w:r>
                  <w:r>
                    <w:rPr>
                      <w:rFonts w:hint="eastAsia"/>
                      <w:color w:val="auto"/>
                    </w:rPr>
                    <w:t>.单位GDP能源消耗累计下降23.6%，不低于省级下达目标。</w:t>
                  </w:r>
                </w:p>
                <w:p w14:paraId="69C0ED6E">
                  <w:pPr>
                    <w:pageBreakBefore w:val="0"/>
                    <w:kinsoku/>
                    <w:wordWrap/>
                    <w:overflowPunct/>
                    <w:topLinePunct w:val="0"/>
                    <w:autoSpaceDE/>
                    <w:autoSpaceDN/>
                    <w:bidi w:val="0"/>
                    <w:spacing w:line="240" w:lineRule="auto"/>
                    <w:rPr>
                      <w:rFonts w:hint="eastAsia"/>
                      <w:color w:val="auto"/>
                    </w:rPr>
                  </w:pPr>
                  <w:r>
                    <w:rPr>
                      <w:color w:val="auto"/>
                    </w:rPr>
                    <w:t>6</w:t>
                  </w:r>
                  <w:r>
                    <w:rPr>
                      <w:rFonts w:hint="eastAsia"/>
                      <w:color w:val="auto"/>
                    </w:rPr>
                    <w:t>.对照国家有关高耗能行业重点领域能效标杆水平，实施钢铁、有色金属、冶炼等17个高耗能行业节能降碳改造升级，加快提升重点行业、企业能效水平。</w:t>
                  </w:r>
                </w:p>
                <w:p w14:paraId="2AAEDB87">
                  <w:pPr>
                    <w:pageBreakBefore w:val="0"/>
                    <w:kinsoku/>
                    <w:wordWrap/>
                    <w:overflowPunct/>
                    <w:topLinePunct w:val="0"/>
                    <w:autoSpaceDE/>
                    <w:autoSpaceDN/>
                    <w:bidi w:val="0"/>
                    <w:spacing w:line="240" w:lineRule="auto"/>
                    <w:rPr>
                      <w:rFonts w:hint="eastAsia"/>
                      <w:color w:val="auto"/>
                    </w:rPr>
                  </w:pPr>
                  <w:r>
                    <w:rPr>
                      <w:color w:val="auto"/>
                    </w:rPr>
                    <w:t>7</w:t>
                  </w:r>
                  <w:r>
                    <w:rPr>
                      <w:rFonts w:hint="eastAsia"/>
                      <w:color w:val="auto"/>
                    </w:rPr>
                    <w:t>.加强节能监察和探索用能预算管理，实施电机、变压器等重点用能设备能效提升三年行动，推广先进节能技术。</w:t>
                  </w:r>
                </w:p>
                <w:p w14:paraId="13349CFD">
                  <w:pPr>
                    <w:pageBreakBefore w:val="0"/>
                    <w:kinsoku/>
                    <w:wordWrap/>
                    <w:overflowPunct/>
                    <w:topLinePunct w:val="0"/>
                    <w:autoSpaceDE/>
                    <w:autoSpaceDN/>
                    <w:bidi w:val="0"/>
                    <w:spacing w:line="240" w:lineRule="auto"/>
                    <w:rPr>
                      <w:rFonts w:hint="eastAsia"/>
                      <w:color w:val="auto"/>
                    </w:rPr>
                  </w:pPr>
                  <w:r>
                    <w:rPr>
                      <w:color w:val="auto"/>
                    </w:rPr>
                    <w:t>8</w:t>
                  </w:r>
                  <w:r>
                    <w:rPr>
                      <w:rFonts w:hint="eastAsia"/>
                      <w:color w:val="auto"/>
                    </w:rPr>
                    <w:t>.到2025年，钢铁行业全面完成超低排放改造。</w:t>
                  </w:r>
                </w:p>
                <w:p w14:paraId="5BCC8F95">
                  <w:pPr>
                    <w:pageBreakBefore w:val="0"/>
                    <w:kinsoku/>
                    <w:wordWrap/>
                    <w:overflowPunct/>
                    <w:topLinePunct w:val="0"/>
                    <w:autoSpaceDE/>
                    <w:autoSpaceDN/>
                    <w:bidi w:val="0"/>
                    <w:spacing w:line="240" w:lineRule="auto"/>
                    <w:rPr>
                      <w:rFonts w:hint="eastAsia"/>
                      <w:color w:val="auto"/>
                    </w:rPr>
                  </w:pPr>
                  <w:r>
                    <w:rPr>
                      <w:color w:val="auto"/>
                    </w:rPr>
                    <w:t>9</w:t>
                  </w:r>
                  <w:r>
                    <w:rPr>
                      <w:rFonts w:hint="eastAsia"/>
                      <w:color w:val="auto"/>
                    </w:rPr>
                    <w:t>.加快推进有色、化工、印染、烟草等行业清洁生产和工业废水资源化利用。</w:t>
                  </w:r>
                </w:p>
                <w:p w14:paraId="639BE1A2">
                  <w:pPr>
                    <w:pageBreakBefore w:val="0"/>
                    <w:kinsoku/>
                    <w:wordWrap/>
                    <w:overflowPunct/>
                    <w:topLinePunct w:val="0"/>
                    <w:autoSpaceDE/>
                    <w:autoSpaceDN/>
                    <w:bidi w:val="0"/>
                    <w:spacing w:line="240" w:lineRule="auto"/>
                    <w:rPr>
                      <w:rFonts w:hint="eastAsia"/>
                      <w:color w:val="auto"/>
                    </w:rPr>
                  </w:pPr>
                  <w:r>
                    <w:rPr>
                      <w:color w:val="auto"/>
                    </w:rPr>
                    <w:t>10</w:t>
                  </w:r>
                  <w:r>
                    <w:rPr>
                      <w:rFonts w:hint="eastAsia"/>
                      <w:color w:val="auto"/>
                    </w:rPr>
                    <w:t>.到2025年，全市新建大型及以上数据中心绿色低碳等级达到4A以上，电源使用效率（PUE）达到1.3以下，逐步组织电源使用效率超过1.5的数据中心进行节能降碳改造。</w:t>
                  </w:r>
                </w:p>
                <w:p w14:paraId="6F939490">
                  <w:pPr>
                    <w:pageBreakBefore w:val="0"/>
                    <w:kinsoku/>
                    <w:wordWrap/>
                    <w:overflowPunct/>
                    <w:topLinePunct w:val="0"/>
                    <w:autoSpaceDE/>
                    <w:autoSpaceDN/>
                    <w:bidi w:val="0"/>
                    <w:spacing w:line="240" w:lineRule="auto"/>
                    <w:rPr>
                      <w:rFonts w:hint="eastAsia"/>
                      <w:color w:val="auto"/>
                    </w:rPr>
                  </w:pPr>
                  <w:r>
                    <w:rPr>
                      <w:color w:val="auto"/>
                    </w:rPr>
                    <w:t>11</w:t>
                  </w:r>
                  <w:r>
                    <w:rPr>
                      <w:rFonts w:hint="eastAsia"/>
                      <w:color w:val="auto"/>
                    </w:rPr>
                    <w:t>.“十四五”期间，全市规模以上工业单位增加值能耗下降14.5%，万元工业增加值用水量下降12%。</w:t>
                  </w:r>
                </w:p>
                <w:p w14:paraId="3BC2D20D">
                  <w:pPr>
                    <w:pageBreakBefore w:val="0"/>
                    <w:kinsoku/>
                    <w:wordWrap/>
                    <w:overflowPunct/>
                    <w:topLinePunct w:val="0"/>
                    <w:autoSpaceDE/>
                    <w:autoSpaceDN/>
                    <w:bidi w:val="0"/>
                    <w:spacing w:line="240" w:lineRule="auto"/>
                    <w:rPr>
                      <w:rFonts w:hint="eastAsia"/>
                      <w:color w:val="auto"/>
                    </w:rPr>
                  </w:pPr>
                  <w:r>
                    <w:rPr>
                      <w:color w:val="auto"/>
                    </w:rPr>
                    <w:t>12</w:t>
                  </w:r>
                  <w:r>
                    <w:rPr>
                      <w:rFonts w:hint="eastAsia"/>
                      <w:color w:val="auto"/>
                    </w:rPr>
                    <w:t>.到2025年，通过实施节能降碳提升工程，钢铁、电解铝、水泥、平板玻璃、炼油、乙烯、合成氨、电石等重点行业产能和数据中心达到能效标杆水平的比例超过30%。</w:t>
                  </w:r>
                </w:p>
                <w:p w14:paraId="44E5EF63">
                  <w:pPr>
                    <w:pageBreakBefore w:val="0"/>
                    <w:kinsoku/>
                    <w:wordWrap/>
                    <w:overflowPunct/>
                    <w:topLinePunct w:val="0"/>
                    <w:autoSpaceDE/>
                    <w:autoSpaceDN/>
                    <w:bidi w:val="0"/>
                    <w:spacing w:line="240" w:lineRule="auto"/>
                    <w:rPr>
                      <w:rFonts w:hint="eastAsia"/>
                      <w:color w:val="auto"/>
                    </w:rPr>
                  </w:pPr>
                  <w:r>
                    <w:rPr>
                      <w:rFonts w:hint="eastAsia"/>
                      <w:color w:val="auto"/>
                    </w:rPr>
                    <w:t>1</w:t>
                  </w:r>
                  <w:r>
                    <w:rPr>
                      <w:color w:val="auto"/>
                    </w:rPr>
                    <w:t>3</w:t>
                  </w:r>
                  <w:r>
                    <w:rPr>
                      <w:rFonts w:hint="eastAsia"/>
                      <w:color w:val="auto"/>
                    </w:rPr>
                    <w:t>.公共机构单位建筑面积碳排放量比2020年下降7%。</w:t>
                  </w:r>
                </w:p>
                <w:p w14:paraId="15AB0521">
                  <w:pPr>
                    <w:pageBreakBefore w:val="0"/>
                    <w:kinsoku/>
                    <w:wordWrap/>
                    <w:overflowPunct/>
                    <w:topLinePunct w:val="0"/>
                    <w:autoSpaceDE/>
                    <w:autoSpaceDN/>
                    <w:bidi w:val="0"/>
                    <w:spacing w:line="240" w:lineRule="auto"/>
                    <w:rPr>
                      <w:rFonts w:hint="eastAsia"/>
                      <w:color w:val="auto"/>
                    </w:rPr>
                  </w:pPr>
                  <w:r>
                    <w:rPr>
                      <w:rFonts w:hint="eastAsia"/>
                      <w:color w:val="auto"/>
                    </w:rPr>
                    <w:t>1</w:t>
                  </w:r>
                  <w:r>
                    <w:rPr>
                      <w:color w:val="auto"/>
                    </w:rPr>
                    <w:t>4</w:t>
                  </w:r>
                  <w:r>
                    <w:rPr>
                      <w:rFonts w:hint="eastAsia"/>
                      <w:color w:val="auto"/>
                    </w:rPr>
                    <w:t>.非化石能源消费占一次能源消费比重达到40%以上，完成省级下达目标。</w:t>
                  </w:r>
                </w:p>
                <w:p w14:paraId="1976111B">
                  <w:pPr>
                    <w:pageBreakBefore w:val="0"/>
                    <w:kinsoku/>
                    <w:wordWrap/>
                    <w:overflowPunct/>
                    <w:topLinePunct w:val="0"/>
                    <w:autoSpaceDE/>
                    <w:autoSpaceDN/>
                    <w:bidi w:val="0"/>
                    <w:spacing w:line="240" w:lineRule="auto"/>
                    <w:rPr>
                      <w:rFonts w:hint="eastAsia"/>
                      <w:color w:val="auto"/>
                    </w:rPr>
                  </w:pPr>
                  <w:r>
                    <w:rPr>
                      <w:rFonts w:hint="eastAsia"/>
                      <w:color w:val="auto"/>
                    </w:rPr>
                    <w:t>1</w:t>
                  </w:r>
                  <w:r>
                    <w:rPr>
                      <w:color w:val="auto"/>
                    </w:rPr>
                    <w:t>5</w:t>
                  </w:r>
                  <w:r>
                    <w:rPr>
                      <w:rFonts w:hint="eastAsia"/>
                      <w:color w:val="auto"/>
                    </w:rPr>
                    <w:t>.单位GDP二氧化碳排放累计下降23%，不低于省级下达目标。</w:t>
                  </w:r>
                </w:p>
                <w:p w14:paraId="3B9E7CA9">
                  <w:pPr>
                    <w:pageBreakBefore w:val="0"/>
                    <w:kinsoku/>
                    <w:wordWrap/>
                    <w:overflowPunct/>
                    <w:topLinePunct w:val="0"/>
                    <w:autoSpaceDE/>
                    <w:autoSpaceDN/>
                    <w:bidi w:val="0"/>
                    <w:spacing w:line="240" w:lineRule="auto"/>
                    <w:rPr>
                      <w:rFonts w:hint="eastAsia"/>
                      <w:color w:val="auto"/>
                    </w:rPr>
                  </w:pPr>
                  <w:r>
                    <w:rPr>
                      <w:rFonts w:hint="eastAsia"/>
                      <w:color w:val="auto"/>
                    </w:rPr>
                    <w:t>1</w:t>
                  </w:r>
                  <w:r>
                    <w:rPr>
                      <w:color w:val="auto"/>
                    </w:rPr>
                    <w:t>6</w:t>
                  </w:r>
                  <w:r>
                    <w:rPr>
                      <w:rFonts w:hint="eastAsia"/>
                      <w:color w:val="auto"/>
                    </w:rPr>
                    <w:t>.严把新上项目的碳排放关，严格环境影响评价审批，加强固定资产投资项目节能审查，推动新建“两高一低”项目能效水平应提尽提。</w:t>
                  </w:r>
                </w:p>
                <w:p w14:paraId="408CD637">
                  <w:pPr>
                    <w:pageBreakBefore w:val="0"/>
                    <w:kinsoku/>
                    <w:wordWrap/>
                    <w:overflowPunct/>
                    <w:topLinePunct w:val="0"/>
                    <w:autoSpaceDE/>
                    <w:autoSpaceDN/>
                    <w:bidi w:val="0"/>
                    <w:spacing w:line="240" w:lineRule="auto"/>
                    <w:rPr>
                      <w:rFonts w:hint="eastAsia"/>
                      <w:color w:val="auto"/>
                    </w:rPr>
                  </w:pPr>
                  <w:r>
                    <w:rPr>
                      <w:rFonts w:hint="eastAsia"/>
                      <w:color w:val="auto"/>
                    </w:rPr>
                    <w:t>1</w:t>
                  </w:r>
                  <w:r>
                    <w:rPr>
                      <w:color w:val="auto"/>
                    </w:rPr>
                    <w:t>7</w:t>
                  </w:r>
                  <w:r>
                    <w:rPr>
                      <w:rFonts w:hint="eastAsia"/>
                      <w:color w:val="auto"/>
                    </w:rPr>
                    <w:t>.以六大高耗能行业为重点，全面梳理形成拟建、在建、存量“两高一低”项目清单，实行清单管理、分类处置、动态监控。加强“两高一低”项目全过程监管，严肃查处不符合政策要求、违规审批、未批先建、批建不符、超标用能排污的“两高一低”项目。</w:t>
                  </w:r>
                </w:p>
                <w:p w14:paraId="27C940B6">
                  <w:pPr>
                    <w:pageBreakBefore w:val="0"/>
                    <w:kinsoku/>
                    <w:wordWrap/>
                    <w:overflowPunct/>
                    <w:topLinePunct w:val="0"/>
                    <w:autoSpaceDE/>
                    <w:autoSpaceDN/>
                    <w:bidi w:val="0"/>
                    <w:spacing w:line="240" w:lineRule="auto"/>
                    <w:rPr>
                      <w:rFonts w:hint="eastAsia"/>
                      <w:color w:val="auto"/>
                    </w:rPr>
                  </w:pPr>
                  <w:r>
                    <w:rPr>
                      <w:rFonts w:hint="eastAsia"/>
                      <w:color w:val="auto"/>
                    </w:rPr>
                    <w:t>1</w:t>
                  </w:r>
                  <w:r>
                    <w:rPr>
                      <w:color w:val="auto"/>
                    </w:rPr>
                    <w:t>8</w:t>
                  </w:r>
                  <w:r>
                    <w:rPr>
                      <w:rFonts w:hint="eastAsia"/>
                      <w:color w:val="auto"/>
                    </w:rPr>
                    <w:t>.加快淘汰落后和低端低效产能退出。</w:t>
                  </w:r>
                </w:p>
                <w:p w14:paraId="197566BB">
                  <w:pPr>
                    <w:adjustRightInd w:val="0"/>
                    <w:jc w:val="left"/>
                    <w:rPr>
                      <w:rFonts w:hint="eastAsia"/>
                      <w:color w:val="auto"/>
                    </w:rPr>
                  </w:pPr>
                  <w:r>
                    <w:rPr>
                      <w:rFonts w:hint="eastAsia"/>
                      <w:color w:val="auto"/>
                    </w:rPr>
                    <w:t>1</w:t>
                  </w:r>
                  <w:r>
                    <w:rPr>
                      <w:color w:val="auto"/>
                    </w:rPr>
                    <w:t>9</w:t>
                  </w:r>
                  <w:r>
                    <w:rPr>
                      <w:rFonts w:hint="eastAsia"/>
                      <w:color w:val="auto"/>
                    </w:rPr>
                    <w:t>.指导金融机构加强“两高一低”项目贷前审核。</w:t>
                  </w:r>
                </w:p>
              </w:tc>
              <w:tc>
                <w:tcPr>
                  <w:tcW w:w="2117" w:type="dxa"/>
                  <w:tcBorders>
                    <w:top w:val="single" w:color="auto" w:sz="4" w:space="0"/>
                    <w:left w:val="single" w:color="auto" w:sz="4" w:space="0"/>
                    <w:bottom w:val="single" w:color="auto" w:sz="4" w:space="0"/>
                    <w:right w:val="single" w:color="auto" w:sz="4" w:space="0"/>
                  </w:tcBorders>
                  <w:vAlign w:val="center"/>
                </w:tcPr>
                <w:p w14:paraId="038983E0">
                  <w:pPr>
                    <w:adjustRightInd w:val="0"/>
                    <w:jc w:val="left"/>
                    <w:rPr>
                      <w:rFonts w:hint="eastAsia"/>
                      <w:color w:val="auto"/>
                      <w:lang w:eastAsia="zh-CN"/>
                    </w:rPr>
                  </w:pPr>
                  <w:r>
                    <w:rPr>
                      <w:rFonts w:hint="eastAsia" w:ascii="宋体" w:hAnsi="宋体"/>
                      <w:b w:val="0"/>
                      <w:bCs w:val="0"/>
                      <w:color w:val="auto"/>
                      <w:sz w:val="21"/>
                      <w:szCs w:val="21"/>
                      <w:lang w:val="en-US" w:eastAsia="zh-CN"/>
                    </w:rPr>
                    <w:t>1、项目建设与</w:t>
                  </w:r>
                  <w:r>
                    <w:rPr>
                      <w:rFonts w:hint="eastAsia"/>
                      <w:color w:val="auto"/>
                    </w:rPr>
                    <w:t>经济社会高质量发展和生态文明建设要求相适应、与由全面建成小康社会向基本实现现代化迈进起步期相协同</w:t>
                  </w:r>
                  <w:r>
                    <w:rPr>
                      <w:rFonts w:hint="eastAsia"/>
                      <w:color w:val="auto"/>
                      <w:lang w:eastAsia="zh-CN"/>
                    </w:rPr>
                    <w:t>。</w:t>
                  </w:r>
                </w:p>
                <w:p w14:paraId="3240FF9D">
                  <w:pPr>
                    <w:adjustRightInd w:val="0"/>
                    <w:jc w:val="left"/>
                    <w:rPr>
                      <w:rFonts w:hint="eastAsia"/>
                      <w:color w:val="auto"/>
                      <w:lang w:val="en-US" w:eastAsia="zh-CN"/>
                    </w:rPr>
                  </w:pPr>
                  <w:r>
                    <w:rPr>
                      <w:rFonts w:hint="eastAsia"/>
                      <w:color w:val="auto"/>
                      <w:lang w:val="en-US" w:eastAsia="zh-CN"/>
                    </w:rPr>
                    <w:t>2、项目不新增职工人员，不新增生活用水和生产用水。</w:t>
                  </w:r>
                </w:p>
                <w:p w14:paraId="0DE67A75">
                  <w:pPr>
                    <w:adjustRightInd w:val="0"/>
                    <w:jc w:val="left"/>
                    <w:rPr>
                      <w:rFonts w:hint="eastAsia"/>
                      <w:color w:val="auto"/>
                      <w:lang w:eastAsia="zh-CN"/>
                    </w:rPr>
                  </w:pPr>
                  <w:r>
                    <w:rPr>
                      <w:rFonts w:hint="eastAsia"/>
                      <w:color w:val="auto"/>
                      <w:lang w:val="en-US" w:eastAsia="zh-CN"/>
                    </w:rPr>
                    <w:t>3、项目不涉及</w:t>
                  </w:r>
                  <w:r>
                    <w:rPr>
                      <w:rFonts w:hint="eastAsia"/>
                      <w:color w:val="auto"/>
                    </w:rPr>
                    <w:t>万元工业增加值用水量</w:t>
                  </w:r>
                  <w:r>
                    <w:rPr>
                      <w:rFonts w:hint="eastAsia"/>
                      <w:color w:val="auto"/>
                      <w:lang w:eastAsia="zh-CN"/>
                    </w:rPr>
                    <w:t>。</w:t>
                  </w:r>
                </w:p>
                <w:p w14:paraId="7CAC1C74">
                  <w:pPr>
                    <w:adjustRightInd w:val="0"/>
                    <w:jc w:val="left"/>
                    <w:rPr>
                      <w:rFonts w:hint="eastAsia" w:ascii="Times New Roman" w:hAnsi="Times New Roman" w:eastAsia="宋体" w:cs="Times New Roman"/>
                      <w:color w:val="auto"/>
                      <w:lang w:val="en-US" w:eastAsia="zh-CN"/>
                    </w:rPr>
                  </w:pPr>
                  <w:r>
                    <w:rPr>
                      <w:rFonts w:hint="eastAsia"/>
                      <w:color w:val="auto"/>
                      <w:lang w:val="en-US" w:eastAsia="zh-CN"/>
                    </w:rPr>
                    <w:t>4、项目属于改性磷石膏项目，</w:t>
                  </w:r>
                  <w:r>
                    <w:rPr>
                      <w:rFonts w:hint="eastAsia"/>
                      <w:color w:val="auto"/>
                    </w:rPr>
                    <w:t>能源消费总量得到合理控制。</w:t>
                  </w:r>
                </w:p>
                <w:p w14:paraId="2FD21A40">
                  <w:pPr>
                    <w:adjustRightInd w:val="0"/>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5、项目</w:t>
                  </w:r>
                  <w:r>
                    <w:rPr>
                      <w:rFonts w:hint="eastAsia"/>
                      <w:color w:val="auto"/>
                      <w:lang w:val="en-US" w:eastAsia="zh-CN"/>
                    </w:rPr>
                    <w:t>运营</w:t>
                  </w:r>
                  <w:r>
                    <w:rPr>
                      <w:rFonts w:hint="eastAsia" w:ascii="Times New Roman" w:hAnsi="Times New Roman" w:eastAsia="宋体" w:cs="Times New Roman"/>
                      <w:color w:val="auto"/>
                      <w:lang w:val="en-US" w:eastAsia="zh-CN"/>
                    </w:rPr>
                    <w:t>期间水、电、土地资源等用量不会超过资源利用上线。</w:t>
                  </w:r>
                </w:p>
                <w:p w14:paraId="280E493C">
                  <w:pPr>
                    <w:adjustRightInd w:val="0"/>
                    <w:jc w:val="left"/>
                    <w:rPr>
                      <w:rFonts w:hint="eastAsia"/>
                      <w:color w:val="auto"/>
                      <w:lang w:eastAsia="zh-CN"/>
                    </w:rPr>
                  </w:pPr>
                  <w:r>
                    <w:rPr>
                      <w:rFonts w:hint="eastAsia" w:ascii="Times New Roman" w:hAnsi="Times New Roman" w:eastAsia="宋体" w:cs="Times New Roman"/>
                      <w:color w:val="auto"/>
                      <w:lang w:val="en-US" w:eastAsia="zh-CN"/>
                    </w:rPr>
                    <w:t>6、项目不属于</w:t>
                  </w:r>
                  <w:r>
                    <w:rPr>
                      <w:rFonts w:hint="eastAsia"/>
                      <w:color w:val="auto"/>
                    </w:rPr>
                    <w:t>钢铁、有色金属、冶炼等17个高耗能行业</w:t>
                  </w:r>
                  <w:r>
                    <w:rPr>
                      <w:rFonts w:hint="eastAsia"/>
                      <w:color w:val="auto"/>
                      <w:lang w:eastAsia="zh-CN"/>
                    </w:rPr>
                    <w:t>。</w:t>
                  </w:r>
                </w:p>
                <w:p w14:paraId="453F9C32">
                  <w:pPr>
                    <w:adjustRightInd w:val="0"/>
                    <w:jc w:val="left"/>
                    <w:rPr>
                      <w:rFonts w:hint="eastAsia"/>
                      <w:color w:val="auto"/>
                      <w:lang w:eastAsia="zh-CN"/>
                    </w:rPr>
                  </w:pPr>
                  <w:r>
                    <w:rPr>
                      <w:rFonts w:hint="eastAsia"/>
                      <w:color w:val="auto"/>
                      <w:lang w:val="en-US" w:eastAsia="zh-CN"/>
                    </w:rPr>
                    <w:t>7、项目不涉及</w:t>
                  </w:r>
                  <w:r>
                    <w:rPr>
                      <w:rFonts w:hint="eastAsia"/>
                      <w:color w:val="auto"/>
                    </w:rPr>
                    <w:t>电机、变压器等重点用能设备</w:t>
                  </w:r>
                  <w:r>
                    <w:rPr>
                      <w:rFonts w:hint="eastAsia"/>
                      <w:color w:val="auto"/>
                      <w:lang w:eastAsia="zh-CN"/>
                    </w:rPr>
                    <w:t>。</w:t>
                  </w:r>
                </w:p>
                <w:p w14:paraId="4DF0CA60">
                  <w:pPr>
                    <w:adjustRightInd w:val="0"/>
                    <w:jc w:val="left"/>
                    <w:rPr>
                      <w:rFonts w:hint="eastAsia"/>
                      <w:color w:val="auto"/>
                      <w:lang w:val="en-US" w:eastAsia="zh-CN"/>
                    </w:rPr>
                  </w:pPr>
                  <w:r>
                    <w:rPr>
                      <w:rFonts w:hint="eastAsia"/>
                      <w:color w:val="auto"/>
                      <w:lang w:val="en-US" w:eastAsia="zh-CN"/>
                    </w:rPr>
                    <w:t>8、项目不涉及钢铁行业。</w:t>
                  </w:r>
                </w:p>
                <w:p w14:paraId="0D48BF47">
                  <w:pPr>
                    <w:adjustRightInd w:val="0"/>
                    <w:jc w:val="left"/>
                    <w:rPr>
                      <w:rFonts w:hint="eastAsia"/>
                      <w:color w:val="auto"/>
                      <w:lang w:eastAsia="zh-CN"/>
                    </w:rPr>
                  </w:pPr>
                  <w:r>
                    <w:rPr>
                      <w:rFonts w:hint="eastAsia"/>
                      <w:color w:val="auto"/>
                      <w:lang w:val="en-US" w:eastAsia="zh-CN"/>
                    </w:rPr>
                    <w:t>9、项目不属于</w:t>
                  </w:r>
                  <w:r>
                    <w:rPr>
                      <w:rFonts w:hint="eastAsia"/>
                      <w:color w:val="auto"/>
                    </w:rPr>
                    <w:t>有色、化工、印染、烟草等行业</w:t>
                  </w:r>
                  <w:r>
                    <w:rPr>
                      <w:rFonts w:hint="eastAsia"/>
                      <w:color w:val="auto"/>
                      <w:lang w:eastAsia="zh-CN"/>
                    </w:rPr>
                    <w:t>。</w:t>
                  </w:r>
                </w:p>
                <w:p w14:paraId="5919F2C0">
                  <w:pPr>
                    <w:adjustRightInd w:val="0"/>
                    <w:jc w:val="left"/>
                    <w:rPr>
                      <w:rFonts w:hint="eastAsia"/>
                      <w:color w:val="auto"/>
                      <w:lang w:val="en-US" w:eastAsia="zh-CN"/>
                    </w:rPr>
                  </w:pPr>
                  <w:r>
                    <w:rPr>
                      <w:rFonts w:hint="eastAsia"/>
                      <w:color w:val="auto"/>
                      <w:lang w:val="en-US" w:eastAsia="zh-CN"/>
                    </w:rPr>
                    <w:t>10、项目不涉及碳排放。</w:t>
                  </w:r>
                </w:p>
                <w:p w14:paraId="3F279FA2">
                  <w:pPr>
                    <w:adjustRightInd w:val="0"/>
                    <w:jc w:val="left"/>
                    <w:rPr>
                      <w:rFonts w:hint="eastAsia"/>
                      <w:color w:val="auto"/>
                      <w:lang w:val="en-US" w:eastAsia="zh-CN"/>
                    </w:rPr>
                  </w:pPr>
                  <w:r>
                    <w:rPr>
                      <w:rFonts w:hint="eastAsia"/>
                      <w:color w:val="auto"/>
                      <w:lang w:val="en-US" w:eastAsia="zh-CN"/>
                    </w:rPr>
                    <w:t>11、项目不涉及。</w:t>
                  </w:r>
                </w:p>
                <w:p w14:paraId="3A17C9AD">
                  <w:pPr>
                    <w:adjustRightInd w:val="0"/>
                    <w:jc w:val="left"/>
                    <w:rPr>
                      <w:rFonts w:hint="eastAsia"/>
                      <w:color w:val="auto"/>
                      <w:lang w:eastAsia="zh-CN"/>
                    </w:rPr>
                  </w:pPr>
                  <w:r>
                    <w:rPr>
                      <w:rFonts w:hint="eastAsia"/>
                      <w:color w:val="auto"/>
                      <w:lang w:val="en-US" w:eastAsia="zh-CN"/>
                    </w:rPr>
                    <w:t>12、项目不涉及</w:t>
                  </w:r>
                  <w:r>
                    <w:rPr>
                      <w:rFonts w:hint="eastAsia"/>
                      <w:color w:val="auto"/>
                    </w:rPr>
                    <w:t>钢铁、电解铝、水泥、平板玻璃、炼油、乙烯、合成氨、电石等重点行业</w:t>
                  </w:r>
                  <w:r>
                    <w:rPr>
                      <w:rFonts w:hint="eastAsia"/>
                      <w:color w:val="auto"/>
                      <w:lang w:eastAsia="zh-CN"/>
                    </w:rPr>
                    <w:t>。</w:t>
                  </w:r>
                </w:p>
                <w:p w14:paraId="524C0651">
                  <w:pPr>
                    <w:adjustRightInd w:val="0"/>
                    <w:jc w:val="left"/>
                    <w:rPr>
                      <w:rFonts w:hint="eastAsia"/>
                      <w:color w:val="auto"/>
                      <w:lang w:val="en-US" w:eastAsia="zh-CN"/>
                    </w:rPr>
                  </w:pPr>
                  <w:r>
                    <w:rPr>
                      <w:rFonts w:hint="eastAsia"/>
                      <w:color w:val="auto"/>
                      <w:lang w:val="en-US" w:eastAsia="zh-CN"/>
                    </w:rPr>
                    <w:t>13、项目不涉及碳排放。</w:t>
                  </w:r>
                </w:p>
                <w:p w14:paraId="3C5365CC">
                  <w:pPr>
                    <w:adjustRightInd w:val="0"/>
                    <w:jc w:val="left"/>
                    <w:rPr>
                      <w:rFonts w:hint="eastAsia"/>
                      <w:color w:val="auto"/>
                      <w:lang w:val="en-US" w:eastAsia="zh-CN"/>
                    </w:rPr>
                  </w:pPr>
                  <w:r>
                    <w:rPr>
                      <w:rFonts w:hint="eastAsia"/>
                      <w:color w:val="auto"/>
                      <w:lang w:val="en-US" w:eastAsia="zh-CN"/>
                    </w:rPr>
                    <w:t>14、项目不涉及。</w:t>
                  </w:r>
                </w:p>
                <w:p w14:paraId="6D17710A">
                  <w:pPr>
                    <w:adjustRightInd w:val="0"/>
                    <w:jc w:val="left"/>
                    <w:rPr>
                      <w:rFonts w:hint="eastAsia"/>
                      <w:color w:val="auto"/>
                      <w:lang w:val="en-US" w:eastAsia="zh-CN"/>
                    </w:rPr>
                  </w:pPr>
                  <w:r>
                    <w:rPr>
                      <w:rFonts w:hint="eastAsia"/>
                      <w:color w:val="auto"/>
                      <w:lang w:val="en-US" w:eastAsia="zh-CN"/>
                    </w:rPr>
                    <w:t>15、项目不涉及二氧化碳排放。</w:t>
                  </w:r>
                </w:p>
                <w:p w14:paraId="5078E977">
                  <w:pPr>
                    <w:adjustRightInd w:val="0"/>
                    <w:jc w:val="left"/>
                    <w:rPr>
                      <w:rFonts w:hint="eastAsia"/>
                      <w:color w:val="auto"/>
                      <w:lang w:eastAsia="zh-CN"/>
                    </w:rPr>
                  </w:pPr>
                  <w:r>
                    <w:rPr>
                      <w:rFonts w:hint="eastAsia"/>
                      <w:color w:val="auto"/>
                      <w:lang w:val="en-US" w:eastAsia="zh-CN"/>
                    </w:rPr>
                    <w:t>16、项目不属于</w:t>
                  </w:r>
                  <w:r>
                    <w:rPr>
                      <w:rFonts w:hint="eastAsia"/>
                      <w:color w:val="auto"/>
                    </w:rPr>
                    <w:t>“两高一低”项目</w:t>
                  </w:r>
                  <w:r>
                    <w:rPr>
                      <w:rFonts w:hint="eastAsia"/>
                      <w:color w:val="auto"/>
                      <w:lang w:eastAsia="zh-CN"/>
                    </w:rPr>
                    <w:t>。</w:t>
                  </w:r>
                </w:p>
                <w:p w14:paraId="08787EC0">
                  <w:pPr>
                    <w:adjustRightInd w:val="0"/>
                    <w:jc w:val="left"/>
                    <w:rPr>
                      <w:rFonts w:hint="eastAsia"/>
                      <w:color w:val="auto"/>
                      <w:lang w:val="en-US" w:eastAsia="zh-CN"/>
                    </w:rPr>
                  </w:pPr>
                  <w:r>
                    <w:rPr>
                      <w:rFonts w:hint="eastAsia"/>
                      <w:color w:val="auto"/>
                      <w:lang w:val="en-US" w:eastAsia="zh-CN"/>
                    </w:rPr>
                    <w:t>17、项目不属于</w:t>
                  </w:r>
                  <w:r>
                    <w:rPr>
                      <w:rFonts w:hint="eastAsia"/>
                      <w:color w:val="auto"/>
                    </w:rPr>
                    <w:t>“两高一低”项目</w:t>
                  </w:r>
                  <w:r>
                    <w:rPr>
                      <w:rFonts w:hint="eastAsia"/>
                      <w:color w:val="auto"/>
                      <w:lang w:eastAsia="zh-CN"/>
                    </w:rPr>
                    <w:t>，</w:t>
                  </w:r>
                  <w:r>
                    <w:rPr>
                      <w:rFonts w:hint="eastAsia"/>
                      <w:color w:val="auto"/>
                      <w:lang w:val="en-US" w:eastAsia="zh-CN"/>
                    </w:rPr>
                    <w:t>符合相关产业政策要求，且不存在未批先建等情况。</w:t>
                  </w:r>
                </w:p>
                <w:p w14:paraId="7623F03A">
                  <w:pPr>
                    <w:adjustRightInd w:val="0"/>
                    <w:jc w:val="left"/>
                    <w:rPr>
                      <w:rFonts w:hint="eastAsia"/>
                      <w:color w:val="auto"/>
                      <w:lang w:val="en-US" w:eastAsia="zh-CN"/>
                    </w:rPr>
                  </w:pPr>
                  <w:r>
                    <w:rPr>
                      <w:rFonts w:hint="eastAsia"/>
                      <w:color w:val="auto"/>
                      <w:lang w:val="en-US" w:eastAsia="zh-CN"/>
                    </w:rPr>
                    <w:t>18、项目不属于</w:t>
                  </w:r>
                  <w:r>
                    <w:rPr>
                      <w:rFonts w:hint="eastAsia"/>
                      <w:color w:val="auto"/>
                    </w:rPr>
                    <w:t>淘汰落后和低端低效产能</w:t>
                  </w:r>
                  <w:r>
                    <w:rPr>
                      <w:rFonts w:hint="eastAsia"/>
                      <w:color w:val="auto"/>
                      <w:lang w:val="en-US" w:eastAsia="zh-CN"/>
                    </w:rPr>
                    <w:t>项目。</w:t>
                  </w:r>
                </w:p>
                <w:p w14:paraId="28E36BA3">
                  <w:pPr>
                    <w:adjustRightInd w:val="0"/>
                    <w:jc w:val="left"/>
                    <w:rPr>
                      <w:rFonts w:hint="default"/>
                      <w:color w:val="auto"/>
                      <w:lang w:val="en-US" w:eastAsia="zh-CN"/>
                    </w:rPr>
                  </w:pPr>
                  <w:r>
                    <w:rPr>
                      <w:rFonts w:hint="eastAsia"/>
                      <w:color w:val="auto"/>
                      <w:lang w:val="en-US" w:eastAsia="zh-CN"/>
                    </w:rPr>
                    <w:t>19、项目不属于</w:t>
                  </w:r>
                  <w:r>
                    <w:rPr>
                      <w:rFonts w:hint="eastAsia"/>
                      <w:color w:val="auto"/>
                    </w:rPr>
                    <w:t>“两高一低”项目</w:t>
                  </w:r>
                  <w:r>
                    <w:rPr>
                      <w:rFonts w:hint="eastAsia"/>
                      <w:color w:val="auto"/>
                      <w:lang w:eastAsia="zh-CN"/>
                    </w:rPr>
                    <w:t>。</w:t>
                  </w:r>
                </w:p>
              </w:tc>
              <w:tc>
                <w:tcPr>
                  <w:tcW w:w="599" w:type="dxa"/>
                  <w:tcBorders>
                    <w:top w:val="single" w:color="auto" w:sz="4" w:space="0"/>
                    <w:left w:val="single" w:color="auto" w:sz="4" w:space="0"/>
                    <w:bottom w:val="single" w:color="auto" w:sz="4" w:space="0"/>
                    <w:right w:val="single" w:color="auto" w:sz="4" w:space="0"/>
                  </w:tcBorders>
                  <w:vAlign w:val="center"/>
                </w:tcPr>
                <w:p w14:paraId="63BCEAD4">
                  <w:pPr>
                    <w:adjustRightInd w:val="0"/>
                    <w:jc w:val="center"/>
                    <w:rPr>
                      <w:rFonts w:hint="eastAsia" w:ascii="宋体" w:hAnsi="宋体" w:eastAsia="宋体"/>
                      <w:b w:val="0"/>
                      <w:bCs w:val="0"/>
                      <w:color w:val="auto"/>
                      <w:sz w:val="21"/>
                      <w:szCs w:val="21"/>
                      <w:lang w:val="en-US" w:eastAsia="zh-CN"/>
                    </w:rPr>
                  </w:pPr>
                  <w:r>
                    <w:rPr>
                      <w:rFonts w:hint="eastAsia" w:ascii="宋体" w:hAnsi="宋体"/>
                      <w:b w:val="0"/>
                      <w:bCs w:val="0"/>
                      <w:color w:val="auto"/>
                      <w:sz w:val="21"/>
                      <w:szCs w:val="21"/>
                      <w:lang w:val="en-US" w:eastAsia="zh-CN"/>
                    </w:rPr>
                    <w:t>符合</w:t>
                  </w:r>
                </w:p>
              </w:tc>
            </w:tr>
          </w:tbl>
          <w:p w14:paraId="69B502E7">
            <w:pPr>
              <w:spacing w:line="360" w:lineRule="auto"/>
              <w:ind w:firstLine="480" w:firstLineChars="200"/>
              <w:rPr>
                <w:rFonts w:hAnsi="宋体"/>
                <w:b/>
                <w:color w:val="auto"/>
                <w:sz w:val="24"/>
              </w:rPr>
            </w:pPr>
            <w:r>
              <w:rPr>
                <w:rFonts w:hint="eastAsia" w:ascii="Times New Roman" w:hAnsi="Times New Roman" w:eastAsia="宋体" w:cs="Times New Roman"/>
                <w:color w:val="auto"/>
                <w:sz w:val="24"/>
                <w:lang w:val="en-US" w:eastAsia="zh-CN"/>
              </w:rPr>
              <w:t>根据昆明市生态环境工程评估中心出具的</w:t>
            </w:r>
            <w:r>
              <w:rPr>
                <w:rFonts w:hint="eastAsia" w:ascii="Times New Roman" w:hAnsi="Times New Roman" w:eastAsia="宋体" w:cs="Times New Roman"/>
                <w:color w:val="auto"/>
                <w:sz w:val="24"/>
                <w:highlight w:val="none"/>
                <w:lang w:val="en-US" w:eastAsia="zh-CN"/>
              </w:rPr>
              <w:t>《关于查询</w:t>
            </w:r>
            <w:r>
              <w:rPr>
                <w:rFonts w:hint="eastAsia"/>
                <w:color w:val="auto"/>
                <w:sz w:val="24"/>
                <w:lang w:eastAsia="zh-CN"/>
              </w:rPr>
              <w:t>云南常青树化工有限公司磷石膏综合利用改扩建项目</w:t>
            </w:r>
            <w:r>
              <w:rPr>
                <w:rFonts w:hint="eastAsia"/>
                <w:color w:val="auto"/>
                <w:sz w:val="24"/>
                <w:highlight w:val="none"/>
                <w:lang w:val="en-US" w:eastAsia="zh-CN"/>
              </w:rPr>
              <w:t>涉及</w:t>
            </w:r>
            <w:r>
              <w:rPr>
                <w:rFonts w:hint="eastAsia"/>
                <w:color w:val="auto"/>
                <w:sz w:val="24"/>
                <w:highlight w:val="none"/>
              </w:rPr>
              <w:t>昆明市生态环境分区管控单元情况的复函</w:t>
            </w:r>
            <w:r>
              <w:rPr>
                <w:rFonts w:hint="eastAsia"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lang w:val="en-US" w:eastAsia="zh-CN"/>
              </w:rPr>
              <w:t>内容，</w:t>
            </w:r>
            <w:r>
              <w:rPr>
                <w:rFonts w:hint="eastAsia"/>
                <w:color w:val="auto"/>
                <w:sz w:val="24"/>
                <w:lang w:eastAsia="zh-CN"/>
              </w:rPr>
              <w:t>云南常青树化工有限公司</w:t>
            </w:r>
            <w:r>
              <w:rPr>
                <w:rFonts w:hint="eastAsia"/>
                <w:color w:val="auto"/>
                <w:sz w:val="24"/>
                <w:lang w:val="en-US" w:eastAsia="zh-CN"/>
              </w:rPr>
              <w:t>用地范围内涉及</w:t>
            </w:r>
            <w:r>
              <w:rPr>
                <w:rFonts w:hint="eastAsia" w:ascii="Times New Roman" w:hAnsi="Times New Roman" w:eastAsia="宋体" w:cs="Times New Roman"/>
                <w:color w:val="auto"/>
                <w:sz w:val="24"/>
                <w:lang w:val="en-US" w:eastAsia="zh-CN"/>
              </w:rPr>
              <w:t>寻甸回族彝族自</w:t>
            </w:r>
            <w:r>
              <w:rPr>
                <w:rFonts w:hint="eastAsia" w:ascii="Times New Roman" w:hAnsi="Times New Roman" w:eastAsia="宋体" w:cs="Times New Roman"/>
                <w:color w:val="auto"/>
                <w:sz w:val="24"/>
                <w:highlight w:val="none"/>
                <w:lang w:val="en-US" w:eastAsia="zh-CN"/>
              </w:rPr>
              <w:t>治县一般管控单元</w:t>
            </w:r>
            <w:r>
              <w:rPr>
                <w:rFonts w:hint="eastAsia" w:cs="Times New Roman"/>
                <w:color w:val="auto"/>
                <w:sz w:val="24"/>
                <w:highlight w:val="none"/>
                <w:lang w:val="en-US" w:eastAsia="zh-CN"/>
              </w:rPr>
              <w:t>和一般生态空间优先保护单元，本项目用地位于</w:t>
            </w:r>
            <w:r>
              <w:rPr>
                <w:rFonts w:hint="eastAsia"/>
                <w:color w:val="auto"/>
                <w:sz w:val="24"/>
                <w:lang w:eastAsia="zh-CN"/>
              </w:rPr>
              <w:t>云南常青树化工有限公司</w:t>
            </w:r>
            <w:r>
              <w:rPr>
                <w:rFonts w:hint="eastAsia"/>
                <w:color w:val="auto"/>
                <w:sz w:val="24"/>
                <w:lang w:val="en-US" w:eastAsia="zh-CN"/>
              </w:rPr>
              <w:t>内，</w:t>
            </w:r>
            <w:r>
              <w:rPr>
                <w:rFonts w:hint="eastAsia" w:ascii="Times New Roman" w:hAnsi="Times New Roman" w:eastAsia="宋体" w:cs="Times New Roman"/>
                <w:color w:val="auto"/>
                <w:sz w:val="24"/>
                <w:lang w:val="en-US" w:eastAsia="zh-CN"/>
              </w:rPr>
              <w:t>与昆明市生态环境管控单元对比，项目占地位于寻甸回族彝族自</w:t>
            </w:r>
            <w:r>
              <w:rPr>
                <w:rFonts w:hint="eastAsia" w:ascii="Times New Roman" w:hAnsi="Times New Roman" w:eastAsia="宋体" w:cs="Times New Roman"/>
                <w:color w:val="auto"/>
                <w:sz w:val="24"/>
                <w:highlight w:val="none"/>
                <w:lang w:val="en-US" w:eastAsia="zh-CN"/>
              </w:rPr>
              <w:t>治县一般管控单元</w:t>
            </w:r>
            <w:r>
              <w:rPr>
                <w:rFonts w:hint="eastAsia" w:ascii="Times New Roman" w:hAnsi="Times New Roman" w:eastAsia="宋体" w:cs="Times New Roman"/>
                <w:color w:val="auto"/>
                <w:sz w:val="24"/>
                <w:lang w:val="en-US" w:eastAsia="zh-CN"/>
              </w:rPr>
              <w:t>（详见附件6）。本项目与寻甸县生态环境准入清单符合性见表1-</w:t>
            </w:r>
            <w:r>
              <w:rPr>
                <w:rFonts w:hint="eastAsia" w:cs="Times New Roman"/>
                <w:color w:val="auto"/>
                <w:sz w:val="24"/>
                <w:lang w:val="en-US" w:eastAsia="zh-CN"/>
              </w:rPr>
              <w:t>3</w:t>
            </w:r>
            <w:r>
              <w:rPr>
                <w:rFonts w:hint="eastAsia" w:ascii="Times New Roman" w:hAnsi="Times New Roman" w:eastAsia="宋体" w:cs="Times New Roman"/>
                <w:color w:val="auto"/>
                <w:sz w:val="24"/>
                <w:lang w:val="en-US" w:eastAsia="zh-CN"/>
              </w:rPr>
              <w:t>。</w:t>
            </w:r>
          </w:p>
          <w:p w14:paraId="5A02282F">
            <w:pPr>
              <w:autoSpaceDE w:val="0"/>
              <w:autoSpaceDN w:val="0"/>
              <w:adjustRightInd w:val="0"/>
              <w:snapToGrid w:val="0"/>
              <w:jc w:val="center"/>
              <w:rPr>
                <w:rFonts w:ascii="宋体" w:hAnsi="宋体"/>
                <w:b/>
                <w:color w:val="auto"/>
                <w:sz w:val="24"/>
              </w:rPr>
            </w:pPr>
            <w:r>
              <w:rPr>
                <w:rFonts w:hint="eastAsia" w:ascii="宋体" w:hAnsi="宋体"/>
                <w:b/>
                <w:color w:val="auto"/>
                <w:sz w:val="24"/>
              </w:rPr>
              <w:t>表</w:t>
            </w:r>
            <w:r>
              <w:rPr>
                <w:rFonts w:hint="eastAsia"/>
                <w:b/>
                <w:color w:val="auto"/>
                <w:sz w:val="24"/>
              </w:rPr>
              <w:t>1-</w:t>
            </w:r>
            <w:r>
              <w:rPr>
                <w:rFonts w:hint="eastAsia"/>
                <w:b/>
                <w:color w:val="auto"/>
                <w:sz w:val="24"/>
                <w:lang w:val="en-US" w:eastAsia="zh-CN"/>
              </w:rPr>
              <w:t xml:space="preserve">3 </w:t>
            </w:r>
            <w:r>
              <w:rPr>
                <w:rFonts w:hint="eastAsia"/>
                <w:b/>
                <w:color w:val="auto"/>
                <w:sz w:val="24"/>
              </w:rPr>
              <w:t xml:space="preserve"> </w:t>
            </w:r>
            <w:r>
              <w:rPr>
                <w:rFonts w:hint="eastAsia" w:ascii="宋体" w:hAnsi="宋体"/>
                <w:b/>
                <w:color w:val="auto"/>
                <w:sz w:val="24"/>
              </w:rPr>
              <w:t>与寻甸县生态环境准入清单管控要求的符合性分析</w:t>
            </w:r>
          </w:p>
          <w:tbl>
            <w:tblPr>
              <w:tblStyle w:val="45"/>
              <w:tblW w:w="72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789"/>
              <w:gridCol w:w="2587"/>
              <w:gridCol w:w="2774"/>
              <w:gridCol w:w="599"/>
            </w:tblGrid>
            <w:tr w14:paraId="30EA9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tcBorders>
                    <w:top w:val="single" w:color="auto" w:sz="4" w:space="0"/>
                    <w:left w:val="single" w:color="auto" w:sz="4" w:space="0"/>
                    <w:bottom w:val="single" w:color="auto" w:sz="4" w:space="0"/>
                    <w:right w:val="single" w:color="auto" w:sz="4" w:space="0"/>
                  </w:tcBorders>
                  <w:vAlign w:val="center"/>
                </w:tcPr>
                <w:p w14:paraId="033BA714">
                  <w:pPr>
                    <w:adjustRightInd w:val="0"/>
                    <w:jc w:val="center"/>
                    <w:rPr>
                      <w:b/>
                      <w:bCs/>
                      <w:color w:val="auto"/>
                      <w:sz w:val="21"/>
                      <w:szCs w:val="21"/>
                    </w:rPr>
                  </w:pPr>
                  <w:r>
                    <w:rPr>
                      <w:rFonts w:hint="eastAsia" w:ascii="宋体" w:hAnsi="宋体"/>
                      <w:b/>
                      <w:bCs/>
                      <w:color w:val="auto"/>
                      <w:sz w:val="21"/>
                      <w:szCs w:val="21"/>
                    </w:rPr>
                    <w:t>单元名称</w:t>
                  </w:r>
                </w:p>
              </w:tc>
              <w:tc>
                <w:tcPr>
                  <w:tcW w:w="3376" w:type="dxa"/>
                  <w:gridSpan w:val="2"/>
                  <w:tcBorders>
                    <w:top w:val="single" w:color="auto" w:sz="4" w:space="0"/>
                    <w:left w:val="single" w:color="auto" w:sz="4" w:space="0"/>
                    <w:bottom w:val="single" w:color="auto" w:sz="4" w:space="0"/>
                    <w:right w:val="single" w:color="auto" w:sz="4" w:space="0"/>
                  </w:tcBorders>
                  <w:vAlign w:val="center"/>
                </w:tcPr>
                <w:p w14:paraId="2B369DEF">
                  <w:pPr>
                    <w:adjustRightInd w:val="0"/>
                    <w:jc w:val="center"/>
                    <w:rPr>
                      <w:b/>
                      <w:bCs/>
                      <w:color w:val="auto"/>
                      <w:sz w:val="21"/>
                      <w:szCs w:val="21"/>
                    </w:rPr>
                  </w:pPr>
                  <w:r>
                    <w:rPr>
                      <w:rFonts w:hint="eastAsia" w:ascii="宋体" w:hAnsi="宋体"/>
                      <w:b/>
                      <w:bCs/>
                      <w:color w:val="auto"/>
                      <w:sz w:val="21"/>
                      <w:szCs w:val="21"/>
                    </w:rPr>
                    <w:t>管控要求</w:t>
                  </w:r>
                </w:p>
              </w:tc>
              <w:tc>
                <w:tcPr>
                  <w:tcW w:w="2774" w:type="dxa"/>
                  <w:tcBorders>
                    <w:top w:val="single" w:color="auto" w:sz="4" w:space="0"/>
                    <w:left w:val="single" w:color="auto" w:sz="4" w:space="0"/>
                    <w:bottom w:val="single" w:color="auto" w:sz="4" w:space="0"/>
                    <w:right w:val="single" w:color="auto" w:sz="4" w:space="0"/>
                  </w:tcBorders>
                  <w:vAlign w:val="center"/>
                </w:tcPr>
                <w:p w14:paraId="4B6A6A6C">
                  <w:pPr>
                    <w:adjustRightInd w:val="0"/>
                    <w:jc w:val="center"/>
                    <w:rPr>
                      <w:b/>
                      <w:bCs/>
                      <w:color w:val="auto"/>
                      <w:sz w:val="21"/>
                      <w:szCs w:val="21"/>
                    </w:rPr>
                  </w:pPr>
                  <w:r>
                    <w:rPr>
                      <w:rFonts w:hint="eastAsia" w:ascii="宋体" w:hAnsi="宋体"/>
                      <w:b/>
                      <w:bCs/>
                      <w:color w:val="auto"/>
                      <w:sz w:val="21"/>
                      <w:szCs w:val="21"/>
                    </w:rPr>
                    <w:t>本项目情况</w:t>
                  </w:r>
                </w:p>
              </w:tc>
              <w:tc>
                <w:tcPr>
                  <w:tcW w:w="599" w:type="dxa"/>
                  <w:tcBorders>
                    <w:top w:val="single" w:color="auto" w:sz="4" w:space="0"/>
                    <w:left w:val="single" w:color="auto" w:sz="4" w:space="0"/>
                    <w:bottom w:val="single" w:color="auto" w:sz="4" w:space="0"/>
                    <w:right w:val="single" w:color="auto" w:sz="4" w:space="0"/>
                  </w:tcBorders>
                  <w:vAlign w:val="center"/>
                </w:tcPr>
                <w:p w14:paraId="01515EA1">
                  <w:pPr>
                    <w:adjustRightInd w:val="0"/>
                    <w:jc w:val="center"/>
                    <w:rPr>
                      <w:rFonts w:ascii="宋体" w:hAnsi="宋体"/>
                      <w:b/>
                      <w:bCs/>
                      <w:color w:val="auto"/>
                      <w:sz w:val="21"/>
                      <w:szCs w:val="21"/>
                    </w:rPr>
                  </w:pPr>
                  <w:r>
                    <w:rPr>
                      <w:rFonts w:hint="eastAsia" w:ascii="宋体" w:hAnsi="宋体"/>
                      <w:b/>
                      <w:bCs/>
                      <w:color w:val="auto"/>
                      <w:sz w:val="21"/>
                      <w:szCs w:val="21"/>
                    </w:rPr>
                    <w:t>符合性</w:t>
                  </w:r>
                </w:p>
              </w:tc>
            </w:tr>
            <w:tr w14:paraId="22402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Merge w:val="restart"/>
                  <w:tcBorders>
                    <w:top w:val="nil"/>
                    <w:left w:val="single" w:color="auto" w:sz="4" w:space="0"/>
                    <w:right w:val="single" w:color="auto" w:sz="4" w:space="0"/>
                  </w:tcBorders>
                  <w:vAlign w:val="center"/>
                </w:tcPr>
                <w:p w14:paraId="5B87B1B3">
                  <w:pPr>
                    <w:adjustRightIn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寻甸回族彝族自治县一般管控单元</w:t>
                  </w:r>
                </w:p>
              </w:tc>
              <w:tc>
                <w:tcPr>
                  <w:tcW w:w="789" w:type="dxa"/>
                  <w:tcBorders>
                    <w:top w:val="nil"/>
                    <w:left w:val="single" w:color="auto" w:sz="4" w:space="0"/>
                    <w:bottom w:val="single" w:color="auto" w:sz="4" w:space="0"/>
                    <w:right w:val="single" w:color="auto" w:sz="4" w:space="0"/>
                  </w:tcBorders>
                  <w:vAlign w:val="center"/>
                </w:tcPr>
                <w:p w14:paraId="3BD6AC03">
                  <w:pPr>
                    <w:adjustRightIn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w:t>
                  </w:r>
                </w:p>
                <w:p w14:paraId="0E369307">
                  <w:pPr>
                    <w:adjustRightIn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约束</w:t>
                  </w:r>
                </w:p>
              </w:tc>
              <w:tc>
                <w:tcPr>
                  <w:tcW w:w="2587" w:type="dxa"/>
                  <w:tcBorders>
                    <w:top w:val="single" w:color="auto" w:sz="4" w:space="0"/>
                    <w:left w:val="single" w:color="auto" w:sz="4" w:space="0"/>
                    <w:bottom w:val="single" w:color="auto" w:sz="4" w:space="0"/>
                    <w:right w:val="single" w:color="auto" w:sz="4" w:space="0"/>
                  </w:tcBorders>
                  <w:vAlign w:val="center"/>
                </w:tcPr>
                <w:p w14:paraId="35C333A3">
                  <w:pPr>
                    <w:pStyle w:val="17"/>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1.禁止在林地、河湖管理范围内新建、改建、扩建房地产开发项目。</w:t>
                  </w:r>
                </w:p>
                <w:p w14:paraId="07F57BE8">
                  <w:pPr>
                    <w:pStyle w:val="17"/>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2.禁止围湖造田和侵占江河滩地。</w:t>
                  </w:r>
                </w:p>
                <w:p w14:paraId="2D53631A">
                  <w:pPr>
                    <w:adjustRightInd w:val="0"/>
                    <w:rPr>
                      <w:rFonts w:hint="default" w:ascii="Times New Roman" w:hAnsi="Times New Roman" w:eastAsia="宋体" w:cs="Times New Roman"/>
                      <w:color w:val="auto"/>
                      <w:sz w:val="21"/>
                      <w:szCs w:val="21"/>
                    </w:rPr>
                  </w:pPr>
                  <w:r>
                    <w:rPr>
                      <w:rFonts w:hint="eastAsia" w:ascii="Times New Roman" w:hAnsi="Times New Roman" w:eastAsia="宋体" w:cs="Times New Roman"/>
                      <w:b w:val="0"/>
                      <w:bCs w:val="0"/>
                      <w:color w:val="auto"/>
                      <w:sz w:val="21"/>
                      <w:szCs w:val="21"/>
                      <w:lang w:val="en-US" w:eastAsia="zh-CN"/>
                    </w:rPr>
                    <w:t>3.禁止企业向滩涂、沼泽、荒地等未利用地非法排污、倾倒有毒有害物质。</w:t>
                  </w:r>
                </w:p>
              </w:tc>
              <w:tc>
                <w:tcPr>
                  <w:tcW w:w="2774" w:type="dxa"/>
                  <w:tcBorders>
                    <w:top w:val="single" w:color="auto" w:sz="4" w:space="0"/>
                    <w:left w:val="single" w:color="auto" w:sz="4" w:space="0"/>
                    <w:bottom w:val="single" w:color="auto" w:sz="4" w:space="0"/>
                    <w:right w:val="single" w:color="auto" w:sz="4" w:space="0"/>
                  </w:tcBorders>
                  <w:vAlign w:val="center"/>
                </w:tcPr>
                <w:p w14:paraId="6477C3AA">
                  <w:pPr>
                    <w:pStyle w:val="17"/>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eastAsia" w:ascii="Times New Roman" w:hAnsi="Times New Roman" w:eastAsia="宋体"/>
                      <w:color w:val="auto"/>
                      <w:spacing w:val="0"/>
                      <w:sz w:val="21"/>
                      <w:szCs w:val="21"/>
                      <w:lang w:val="en-US" w:eastAsia="zh-CN"/>
                    </w:rPr>
                  </w:pPr>
                  <w:r>
                    <w:rPr>
                      <w:rFonts w:hint="eastAsia"/>
                      <w:color w:val="auto"/>
                      <w:lang w:val="en-US" w:eastAsia="zh-CN"/>
                    </w:rPr>
                    <w:t>1、</w:t>
                  </w:r>
                  <w:r>
                    <w:rPr>
                      <w:rFonts w:hint="eastAsia" w:ascii="Times New Roman" w:hAnsi="Times New Roman" w:eastAsia="宋体"/>
                      <w:color w:val="auto"/>
                      <w:sz w:val="21"/>
                      <w:szCs w:val="21"/>
                      <w:highlight w:val="none"/>
                    </w:rPr>
                    <w:t>本项目在现有</w:t>
                  </w:r>
                  <w:r>
                    <w:rPr>
                      <w:rFonts w:hint="eastAsia" w:ascii="Times New Roman" w:hAnsi="Times New Roman"/>
                      <w:color w:val="auto"/>
                      <w:sz w:val="21"/>
                      <w:szCs w:val="21"/>
                      <w:highlight w:val="none"/>
                      <w:lang w:val="en-US" w:eastAsia="zh-CN"/>
                    </w:rPr>
                    <w:t>球状水泥缓凝剂生产线基础上进行改扩建，</w:t>
                  </w:r>
                  <w:r>
                    <w:rPr>
                      <w:color w:val="auto"/>
                      <w:sz w:val="21"/>
                      <w:szCs w:val="21"/>
                    </w:rPr>
                    <w:t>项目位于</w:t>
                  </w:r>
                  <w:r>
                    <w:rPr>
                      <w:rFonts w:hint="eastAsia"/>
                      <w:color w:val="auto"/>
                      <w:sz w:val="21"/>
                      <w:szCs w:val="21"/>
                      <w:lang w:eastAsia="zh-CN"/>
                    </w:rPr>
                    <w:t>昆明市寻甸县塘子</w:t>
                  </w:r>
                  <w:r>
                    <w:rPr>
                      <w:rFonts w:hint="eastAsia" w:ascii="Times New Roman" w:hAnsi="Times New Roman" w:eastAsia="宋体" w:cs="Times New Roman"/>
                      <w:color w:val="auto"/>
                      <w:sz w:val="21"/>
                      <w:szCs w:val="21"/>
                      <w:highlight w:val="none"/>
                      <w:lang w:val="en-US" w:eastAsia="zh-CN"/>
                    </w:rPr>
                    <w:t>镇云南常青树化工有限公司厂</w:t>
                  </w:r>
                  <w:r>
                    <w:rPr>
                      <w:rFonts w:hint="eastAsia"/>
                      <w:color w:val="auto"/>
                      <w:sz w:val="21"/>
                      <w:szCs w:val="21"/>
                      <w:lang w:eastAsia="zh-CN"/>
                    </w:rPr>
                    <w:t>区内</w:t>
                  </w:r>
                  <w:r>
                    <w:rPr>
                      <w:rFonts w:hint="eastAsia"/>
                      <w:color w:val="auto"/>
                      <w:sz w:val="21"/>
                      <w:szCs w:val="21"/>
                    </w:rPr>
                    <w:t>，</w:t>
                  </w:r>
                  <w:r>
                    <w:rPr>
                      <w:rFonts w:hint="eastAsia" w:ascii="Times New Roman" w:hAnsi="Times New Roman" w:eastAsia="宋体"/>
                      <w:color w:val="auto"/>
                      <w:spacing w:val="0"/>
                      <w:sz w:val="21"/>
                      <w:szCs w:val="21"/>
                      <w:lang w:val="en-US" w:eastAsia="zh-CN"/>
                    </w:rPr>
                    <w:t>不属于房地产开发项目，项目建设地点也不在林地、河湖管理范围内；</w:t>
                  </w:r>
                </w:p>
                <w:p w14:paraId="76C4854F">
                  <w:pPr>
                    <w:pStyle w:val="17"/>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2、项目不涉及围湖造田和侵占江河滩地；</w:t>
                  </w:r>
                </w:p>
                <w:p w14:paraId="3923E1EA">
                  <w:pPr>
                    <w:adjustRightInd w:val="0"/>
                    <w:rPr>
                      <w:rFonts w:hint="default"/>
                      <w:color w:val="auto"/>
                      <w:lang w:val="en-US" w:eastAsia="zh-CN"/>
                    </w:rPr>
                  </w:pPr>
                  <w:r>
                    <w:rPr>
                      <w:rFonts w:hint="eastAsia"/>
                      <w:color w:val="auto"/>
                      <w:lang w:val="en-US" w:eastAsia="zh-CN"/>
                    </w:rPr>
                    <w:t>3、</w:t>
                  </w:r>
                  <w:r>
                    <w:rPr>
                      <w:rFonts w:hint="default" w:ascii="Times New Roman" w:hAnsi="Times New Roman" w:eastAsia="宋体" w:cs="Times New Roman"/>
                      <w:color w:val="auto"/>
                      <w:sz w:val="21"/>
                      <w:szCs w:val="21"/>
                      <w:highlight w:val="none"/>
                      <w:lang w:val="en-US" w:eastAsia="zh-CN"/>
                    </w:rPr>
                    <w:t>项目内设有垃圾和危废收集设施，可保证固废合理收集处置，</w:t>
                  </w:r>
                  <w:r>
                    <w:rPr>
                      <w:rFonts w:hint="eastAsia"/>
                      <w:color w:val="auto"/>
                      <w:sz w:val="21"/>
                      <w:szCs w:val="21"/>
                      <w:lang w:val="en-US" w:eastAsia="zh-CN"/>
                    </w:rPr>
                    <w:t>项目改扩建工程没有新增生活污水，且无生产废水产生。</w:t>
                  </w:r>
                  <w:r>
                    <w:rPr>
                      <w:rFonts w:hint="default" w:ascii="Times New Roman" w:hAnsi="Times New Roman" w:eastAsia="宋体" w:cs="Times New Roman"/>
                      <w:color w:val="auto"/>
                      <w:sz w:val="21"/>
                      <w:szCs w:val="21"/>
                      <w:highlight w:val="none"/>
                      <w:lang w:val="en-US" w:eastAsia="zh-CN"/>
                    </w:rPr>
                    <w:t>不向</w:t>
                  </w:r>
                  <w:r>
                    <w:rPr>
                      <w:rFonts w:hint="default" w:ascii="Times New Roman" w:hAnsi="Times New Roman" w:cs="Times New Roman"/>
                      <w:color w:val="auto"/>
                      <w:sz w:val="21"/>
                      <w:szCs w:val="21"/>
                      <w:highlight w:val="none"/>
                    </w:rPr>
                    <w:t>滩涂、沼泽</w:t>
                  </w:r>
                  <w:r>
                    <w:rPr>
                      <w:rFonts w:hint="eastAsia" w:cs="Times New Roman"/>
                      <w:color w:val="auto"/>
                      <w:sz w:val="21"/>
                      <w:szCs w:val="21"/>
                      <w:highlight w:val="none"/>
                      <w:lang w:val="en-US" w:eastAsia="zh-CN"/>
                    </w:rPr>
                    <w:t>荒地等</w:t>
                  </w:r>
                  <w:r>
                    <w:rPr>
                      <w:rFonts w:hint="default" w:ascii="Times New Roman" w:hAnsi="Times New Roman" w:cs="Times New Roman"/>
                      <w:color w:val="auto"/>
                      <w:sz w:val="21"/>
                      <w:szCs w:val="21"/>
                      <w:highlight w:val="none"/>
                    </w:rPr>
                    <w:t>未利用地非法排污、倾倒有毒有害物质</w:t>
                  </w:r>
                  <w:r>
                    <w:rPr>
                      <w:rFonts w:hint="eastAsia" w:ascii="Times New Roman" w:hAnsi="Times New Roman" w:cs="Times New Roman"/>
                      <w:color w:val="auto"/>
                      <w:sz w:val="21"/>
                      <w:szCs w:val="21"/>
                      <w:highlight w:val="none"/>
                      <w:lang w:eastAsia="zh-CN"/>
                    </w:rPr>
                    <w:t>。</w:t>
                  </w:r>
                </w:p>
              </w:tc>
              <w:tc>
                <w:tcPr>
                  <w:tcW w:w="599" w:type="dxa"/>
                  <w:tcBorders>
                    <w:top w:val="single" w:color="auto" w:sz="4" w:space="0"/>
                    <w:left w:val="single" w:color="auto" w:sz="4" w:space="0"/>
                    <w:bottom w:val="single" w:color="auto" w:sz="4" w:space="0"/>
                    <w:right w:val="single" w:color="auto" w:sz="4" w:space="0"/>
                  </w:tcBorders>
                  <w:vAlign w:val="center"/>
                </w:tcPr>
                <w:p w14:paraId="5C459720">
                  <w:pPr>
                    <w:adjustRightInd w:val="0"/>
                    <w:jc w:val="center"/>
                    <w:rPr>
                      <w:color w:val="auto"/>
                      <w:sz w:val="21"/>
                      <w:szCs w:val="21"/>
                    </w:rPr>
                  </w:pPr>
                  <w:r>
                    <w:rPr>
                      <w:rFonts w:hint="eastAsia" w:ascii="宋体" w:hAnsi="宋体"/>
                      <w:color w:val="auto"/>
                      <w:sz w:val="21"/>
                      <w:szCs w:val="21"/>
                    </w:rPr>
                    <w:t>符合</w:t>
                  </w:r>
                </w:p>
              </w:tc>
            </w:tr>
            <w:tr w14:paraId="06471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Merge w:val="continue"/>
                  <w:tcBorders>
                    <w:left w:val="single" w:color="auto" w:sz="4" w:space="0"/>
                    <w:right w:val="single" w:color="auto" w:sz="4" w:space="0"/>
                  </w:tcBorders>
                  <w:vAlign w:val="center"/>
                </w:tcPr>
                <w:p w14:paraId="1970A57E">
                  <w:pPr>
                    <w:adjustRightInd w:val="0"/>
                    <w:rPr>
                      <w:rFonts w:hint="default" w:ascii="Times New Roman" w:hAnsi="Times New Roman" w:eastAsia="宋体" w:cs="Times New Roman"/>
                      <w:color w:val="auto"/>
                      <w:sz w:val="21"/>
                      <w:szCs w:val="21"/>
                    </w:rPr>
                  </w:pPr>
                </w:p>
              </w:tc>
              <w:tc>
                <w:tcPr>
                  <w:tcW w:w="789" w:type="dxa"/>
                  <w:tcBorders>
                    <w:top w:val="nil"/>
                    <w:left w:val="single" w:color="auto" w:sz="4" w:space="0"/>
                    <w:bottom w:val="single" w:color="auto" w:sz="4" w:space="0"/>
                    <w:right w:val="single" w:color="auto" w:sz="4" w:space="0"/>
                  </w:tcBorders>
                  <w:vAlign w:val="center"/>
                </w:tcPr>
                <w:p w14:paraId="49A83EFE">
                  <w:pPr>
                    <w:adjustRightInd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b w:val="0"/>
                      <w:bCs w:val="0"/>
                      <w:color w:val="auto"/>
                      <w:sz w:val="21"/>
                      <w:szCs w:val="21"/>
                      <w:lang w:val="en-US" w:eastAsia="zh-CN"/>
                    </w:rPr>
                    <w:t>污染物排放管控</w:t>
                  </w:r>
                </w:p>
              </w:tc>
              <w:tc>
                <w:tcPr>
                  <w:tcW w:w="2587" w:type="dxa"/>
                  <w:tcBorders>
                    <w:top w:val="single" w:color="auto" w:sz="4" w:space="0"/>
                    <w:left w:val="single" w:color="auto" w:sz="4" w:space="0"/>
                    <w:bottom w:val="single" w:color="auto" w:sz="4" w:space="0"/>
                    <w:right w:val="single" w:color="auto" w:sz="4" w:space="0"/>
                  </w:tcBorders>
                  <w:vAlign w:val="center"/>
                </w:tcPr>
                <w:p w14:paraId="1486B0C4">
                  <w:pPr>
                    <w:pStyle w:val="17"/>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1.严格控制“两高”行业新增产能，新、改、扩建项目要实行产能等量或减量置换。</w:t>
                  </w:r>
                </w:p>
                <w:p w14:paraId="6D3C9745">
                  <w:pPr>
                    <w:pStyle w:val="17"/>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2.严格用地准入，工业用地及商业用地供地前，自然资源部门需对拟供地块进行土壤环境状况调查，评估环境污染风险后方可供地。</w:t>
                  </w:r>
                </w:p>
                <w:p w14:paraId="39C3AA87">
                  <w:pPr>
                    <w:pStyle w:val="17"/>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3.禁止使用炸鱼、毒鱼、电鱼等破坏渔业资源方法进行捕捞。</w:t>
                  </w:r>
                </w:p>
                <w:p w14:paraId="22D97501">
                  <w:pPr>
                    <w:adjustRightInd w:val="0"/>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4.禁止在禁渔区、禁渔期进行捕捞。禁止使用小于最小网目尺寸的网具进行捕捞，未依法取得捕捞许可证擅自捕捞。</w:t>
                  </w:r>
                </w:p>
              </w:tc>
              <w:tc>
                <w:tcPr>
                  <w:tcW w:w="2774" w:type="dxa"/>
                  <w:tcBorders>
                    <w:top w:val="single" w:color="auto" w:sz="4" w:space="0"/>
                    <w:left w:val="single" w:color="auto" w:sz="4" w:space="0"/>
                    <w:bottom w:val="single" w:color="auto" w:sz="4" w:space="0"/>
                    <w:right w:val="single" w:color="auto" w:sz="4" w:space="0"/>
                  </w:tcBorders>
                  <w:vAlign w:val="center"/>
                </w:tcPr>
                <w:p w14:paraId="709E6D46">
                  <w:pPr>
                    <w:adjustRightInd w:val="0"/>
                    <w:rPr>
                      <w:rFonts w:hint="eastAsia"/>
                      <w:color w:val="auto"/>
                      <w:lang w:val="en-US" w:eastAsia="zh-CN"/>
                    </w:rPr>
                  </w:pPr>
                  <w:r>
                    <w:rPr>
                      <w:rFonts w:hint="eastAsia" w:ascii="Times New Roman" w:hAnsi="Times New Roman" w:eastAsia="宋体"/>
                      <w:color w:val="auto"/>
                      <w:sz w:val="21"/>
                      <w:szCs w:val="21"/>
                      <w:highlight w:val="none"/>
                    </w:rPr>
                    <w:t>本项目在现有</w:t>
                  </w:r>
                  <w:r>
                    <w:rPr>
                      <w:rFonts w:hint="eastAsia" w:ascii="Times New Roman" w:hAnsi="Times New Roman"/>
                      <w:color w:val="auto"/>
                      <w:sz w:val="21"/>
                      <w:szCs w:val="21"/>
                      <w:highlight w:val="none"/>
                      <w:lang w:val="en-US" w:eastAsia="zh-CN"/>
                    </w:rPr>
                    <w:t>球状水泥缓凝剂生产线基础上进行改扩建，</w:t>
                  </w:r>
                  <w:r>
                    <w:rPr>
                      <w:rFonts w:hint="eastAsia" w:cs="Times New Roman"/>
                      <w:color w:val="auto"/>
                      <w:sz w:val="21"/>
                      <w:szCs w:val="21"/>
                      <w:highlight w:val="none"/>
                      <w:lang w:val="en-US" w:eastAsia="zh-CN"/>
                    </w:rPr>
                    <w:t>不涉及两高项目。项目用地为工业用地，项目不涉及</w:t>
                  </w:r>
                  <w:r>
                    <w:rPr>
                      <w:rFonts w:hint="default" w:ascii="Times New Roman" w:hAnsi="Times New Roman" w:cs="Times New Roman"/>
                      <w:color w:val="auto"/>
                      <w:sz w:val="21"/>
                      <w:szCs w:val="21"/>
                      <w:highlight w:val="none"/>
                    </w:rPr>
                    <w:t>使用炸鱼、毒鱼、电鱼等破坏渔业资源方法进行捕捞。</w:t>
                  </w:r>
                  <w:r>
                    <w:rPr>
                      <w:rFonts w:hint="eastAsia" w:cs="Times New Roman"/>
                      <w:color w:val="auto"/>
                      <w:sz w:val="21"/>
                      <w:szCs w:val="21"/>
                      <w:highlight w:val="none"/>
                      <w:lang w:val="en-US" w:eastAsia="zh-CN"/>
                    </w:rPr>
                    <w:t>项目为磷石膏综合利用项目，不进行捕捞。</w:t>
                  </w:r>
                </w:p>
              </w:tc>
              <w:tc>
                <w:tcPr>
                  <w:tcW w:w="599" w:type="dxa"/>
                  <w:tcBorders>
                    <w:top w:val="single" w:color="auto" w:sz="4" w:space="0"/>
                    <w:left w:val="single" w:color="auto" w:sz="4" w:space="0"/>
                    <w:bottom w:val="single" w:color="auto" w:sz="4" w:space="0"/>
                    <w:right w:val="single" w:color="auto" w:sz="4" w:space="0"/>
                  </w:tcBorders>
                  <w:vAlign w:val="center"/>
                </w:tcPr>
                <w:p w14:paraId="4BC5659B">
                  <w:pPr>
                    <w:adjustRightInd w:val="0"/>
                    <w:jc w:val="center"/>
                    <w:rPr>
                      <w:rFonts w:hint="eastAsia" w:ascii="宋体" w:hAnsi="宋体" w:eastAsia="宋体"/>
                      <w:color w:val="auto"/>
                      <w:sz w:val="21"/>
                      <w:szCs w:val="21"/>
                      <w:lang w:val="en-US" w:eastAsia="zh-CN"/>
                    </w:rPr>
                  </w:pPr>
                  <w:r>
                    <w:rPr>
                      <w:rFonts w:hint="eastAsia" w:ascii="宋体" w:hAnsi="宋体"/>
                      <w:color w:val="auto"/>
                      <w:sz w:val="21"/>
                      <w:szCs w:val="21"/>
                      <w:lang w:val="en-US" w:eastAsia="zh-CN"/>
                    </w:rPr>
                    <w:t>符合</w:t>
                  </w:r>
                </w:p>
              </w:tc>
            </w:tr>
            <w:tr w14:paraId="760BC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Merge w:val="continue"/>
                  <w:tcBorders>
                    <w:left w:val="single" w:color="auto" w:sz="4" w:space="0"/>
                    <w:right w:val="single" w:color="auto" w:sz="4" w:space="0"/>
                  </w:tcBorders>
                  <w:vAlign w:val="center"/>
                </w:tcPr>
                <w:p w14:paraId="30BF4480">
                  <w:pPr>
                    <w:adjustRightInd w:val="0"/>
                    <w:rPr>
                      <w:rFonts w:ascii="宋体" w:hAnsi="宋体"/>
                      <w:color w:val="auto"/>
                      <w:sz w:val="21"/>
                      <w:szCs w:val="21"/>
                    </w:rPr>
                  </w:pPr>
                </w:p>
              </w:tc>
              <w:tc>
                <w:tcPr>
                  <w:tcW w:w="789" w:type="dxa"/>
                  <w:tcBorders>
                    <w:left w:val="single" w:color="auto" w:sz="4" w:space="0"/>
                    <w:right w:val="single" w:color="auto" w:sz="4" w:space="0"/>
                  </w:tcBorders>
                  <w:vAlign w:val="center"/>
                </w:tcPr>
                <w:p w14:paraId="17653F05">
                  <w:pPr>
                    <w:adjustRightIn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w:t>
                  </w:r>
                </w:p>
                <w:p w14:paraId="315A6D90">
                  <w:pPr>
                    <w:adjustRightInd w:val="0"/>
                    <w:jc w:val="center"/>
                    <w:rPr>
                      <w:rFonts w:ascii="宋体" w:hAnsi="宋体"/>
                      <w:color w:val="auto"/>
                      <w:sz w:val="21"/>
                      <w:szCs w:val="21"/>
                    </w:rPr>
                  </w:pPr>
                  <w:r>
                    <w:rPr>
                      <w:rFonts w:hint="default" w:ascii="Times New Roman" w:hAnsi="Times New Roman" w:eastAsia="宋体" w:cs="Times New Roman"/>
                      <w:color w:val="auto"/>
                      <w:sz w:val="21"/>
                      <w:szCs w:val="21"/>
                    </w:rPr>
                    <w:t>防控</w:t>
                  </w:r>
                </w:p>
              </w:tc>
              <w:tc>
                <w:tcPr>
                  <w:tcW w:w="2587" w:type="dxa"/>
                  <w:tcBorders>
                    <w:top w:val="single" w:color="auto" w:sz="4" w:space="0"/>
                    <w:left w:val="single" w:color="auto" w:sz="4" w:space="0"/>
                    <w:bottom w:val="single" w:color="auto" w:sz="4" w:space="0"/>
                    <w:right w:val="single" w:color="auto" w:sz="4" w:space="0"/>
                  </w:tcBorders>
                  <w:vAlign w:val="center"/>
                </w:tcPr>
                <w:p w14:paraId="5B85AF9E">
                  <w:pPr>
                    <w:pStyle w:val="17"/>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1.严格限制《环境保护综合名录》（2021年版）中“高污染、高环境风险”产品与工艺装备。</w:t>
                  </w:r>
                </w:p>
                <w:p w14:paraId="4C0F5441">
                  <w:pPr>
                    <w:pStyle w:val="17"/>
                    <w:keepNext w:val="0"/>
                    <w:keepLines w:val="0"/>
                    <w:pageBreakBefore w:val="0"/>
                    <w:widowControl/>
                    <w:kinsoku/>
                    <w:wordWrap/>
                    <w:overflowPunct/>
                    <w:topLinePunct w:val="0"/>
                    <w:autoSpaceDE/>
                    <w:autoSpaceDN/>
                    <w:bidi w:val="0"/>
                    <w:adjustRightInd/>
                    <w:snapToGrid/>
                    <w:spacing w:before="0" w:after="0" w:line="240" w:lineRule="auto"/>
                    <w:ind w:right="0"/>
                    <w:jc w:val="left"/>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2.禁止使用剧毒、高残留以及可能二次中毒的农药。</w:t>
                  </w:r>
                </w:p>
                <w:p w14:paraId="2E8C4E24">
                  <w:pPr>
                    <w:adjustRightInd w:val="0"/>
                    <w:rPr>
                      <w:rFonts w:hint="default" w:ascii="Times New Roman" w:hAnsi="Times New Roman" w:eastAsia="宋体" w:cs="Times New Roman"/>
                      <w:color w:val="auto"/>
                      <w:sz w:val="21"/>
                      <w:szCs w:val="21"/>
                    </w:rPr>
                  </w:pPr>
                  <w:r>
                    <w:rPr>
                      <w:rFonts w:hint="eastAsia" w:ascii="Times New Roman" w:hAnsi="Times New Roman" w:eastAsia="宋体" w:cs="Times New Roman"/>
                      <w:b w:val="0"/>
                      <w:bCs w:val="0"/>
                      <w:color w:val="auto"/>
                      <w:sz w:val="21"/>
                      <w:szCs w:val="21"/>
                      <w:lang w:val="en-US" w:eastAsia="zh-CN"/>
                    </w:rPr>
                    <w:t>3.严格污染场地开发利用和流转审批，在影响健康地块修复达标之前，禁止建设居民区、学校、医疗和养老机构。</w:t>
                  </w:r>
                </w:p>
              </w:tc>
              <w:tc>
                <w:tcPr>
                  <w:tcW w:w="2774" w:type="dxa"/>
                  <w:tcBorders>
                    <w:top w:val="single" w:color="auto" w:sz="4" w:space="0"/>
                    <w:left w:val="single" w:color="auto" w:sz="4" w:space="0"/>
                    <w:bottom w:val="single" w:color="auto" w:sz="4" w:space="0"/>
                    <w:right w:val="single" w:color="auto" w:sz="4" w:space="0"/>
                  </w:tcBorders>
                  <w:vAlign w:val="center"/>
                </w:tcPr>
                <w:p w14:paraId="6E287D92">
                  <w:pPr>
                    <w:adjustRightInd w:val="0"/>
                    <w:rPr>
                      <w:rFonts w:hint="eastAsia" w:ascii="Times New Roman" w:hAnsi="Times New Roman" w:eastAsia="宋体" w:cs="Times New Roman"/>
                      <w:color w:val="auto"/>
                      <w:sz w:val="21"/>
                      <w:szCs w:val="21"/>
                      <w:highlight w:val="none"/>
                      <w:lang w:eastAsia="zh-CN"/>
                    </w:rPr>
                  </w:pPr>
                  <w:r>
                    <w:rPr>
                      <w:rFonts w:hint="eastAsia"/>
                      <w:color w:val="auto"/>
                      <w:lang w:val="en-US" w:eastAsia="zh-CN"/>
                    </w:rPr>
                    <w:t>1、</w:t>
                  </w:r>
                  <w:r>
                    <w:rPr>
                      <w:rFonts w:hint="eastAsia" w:cs="Times New Roman"/>
                      <w:color w:val="auto"/>
                      <w:sz w:val="21"/>
                      <w:szCs w:val="21"/>
                      <w:highlight w:val="none"/>
                      <w:lang w:val="en-US" w:eastAsia="zh-CN"/>
                    </w:rPr>
                    <w:t>所用设备不属于</w:t>
                  </w:r>
                  <w:r>
                    <w:rPr>
                      <w:rFonts w:hint="default" w:ascii="Times New Roman" w:hAnsi="Times New Roman" w:cs="Times New Roman"/>
                      <w:color w:val="auto"/>
                      <w:sz w:val="21"/>
                      <w:szCs w:val="21"/>
                      <w:highlight w:val="none"/>
                    </w:rPr>
                    <w:t>《环境保护综合名录》（2021年版）中“高污染、高环境风险”产品与工艺装备</w:t>
                  </w:r>
                  <w:r>
                    <w:rPr>
                      <w:rFonts w:hint="eastAsia" w:ascii="Times New Roman" w:hAnsi="Times New Roman" w:cs="Times New Roman"/>
                      <w:color w:val="auto"/>
                      <w:sz w:val="21"/>
                      <w:szCs w:val="21"/>
                      <w:highlight w:val="none"/>
                      <w:lang w:eastAsia="zh-CN"/>
                    </w:rPr>
                    <w:t>。</w:t>
                  </w:r>
                </w:p>
                <w:p w14:paraId="5AF88EDF">
                  <w:pPr>
                    <w:adjustRightInd w:val="0"/>
                    <w:rPr>
                      <w:rFonts w:hint="eastAsia"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2、</w:t>
                  </w:r>
                  <w:r>
                    <w:rPr>
                      <w:rFonts w:hint="eastAsia" w:cs="Times New Roman"/>
                      <w:color w:val="auto"/>
                      <w:sz w:val="21"/>
                      <w:szCs w:val="21"/>
                      <w:highlight w:val="none"/>
                      <w:lang w:val="en-US" w:eastAsia="zh-CN"/>
                    </w:rPr>
                    <w:t>项目不</w:t>
                  </w:r>
                  <w:r>
                    <w:rPr>
                      <w:rFonts w:hint="default" w:ascii="Times New Roman" w:hAnsi="Times New Roman" w:cs="Times New Roman"/>
                      <w:color w:val="auto"/>
                      <w:sz w:val="21"/>
                      <w:szCs w:val="21"/>
                      <w:highlight w:val="none"/>
                    </w:rPr>
                    <w:t>使用剧毒、高残留以及可能二次中毒的农药</w:t>
                  </w:r>
                  <w:r>
                    <w:rPr>
                      <w:rFonts w:hint="eastAsia" w:cs="Times New Roman"/>
                      <w:color w:val="auto"/>
                      <w:sz w:val="21"/>
                      <w:szCs w:val="21"/>
                      <w:highlight w:val="none"/>
                      <w:lang w:eastAsia="zh-CN"/>
                    </w:rPr>
                    <w:t>。</w:t>
                  </w:r>
                </w:p>
                <w:p w14:paraId="153C41E2">
                  <w:pPr>
                    <w:adjustRightInd w:val="0"/>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3、根据引用后评价对项目及周边土壤环境的监测结果可</w:t>
                  </w:r>
                  <w:r>
                    <w:rPr>
                      <w:rFonts w:hint="eastAsia" w:ascii="Times New Roman" w:hAnsi="Times New Roman" w:eastAsia="宋体" w:cs="Times New Roman"/>
                      <w:color w:val="auto"/>
                      <w:sz w:val="21"/>
                      <w:szCs w:val="21"/>
                      <w:highlight w:val="none"/>
                      <w:lang w:val="en-US" w:eastAsia="zh-CN"/>
                    </w:rPr>
                    <w:t>知，项目区土壤监测因子均低于《土壤环境质量建设用地土壤污染风险管控标准（试行）》（GB36600-2018）表1建设用地土壤污染风险筛选值第二类用地标准值要求，不属于污染场地。</w:t>
                  </w:r>
                </w:p>
              </w:tc>
              <w:tc>
                <w:tcPr>
                  <w:tcW w:w="599" w:type="dxa"/>
                  <w:tcBorders>
                    <w:top w:val="single" w:color="auto" w:sz="4" w:space="0"/>
                    <w:left w:val="single" w:color="auto" w:sz="4" w:space="0"/>
                    <w:bottom w:val="single" w:color="auto" w:sz="4" w:space="0"/>
                    <w:right w:val="single" w:color="auto" w:sz="4" w:space="0"/>
                  </w:tcBorders>
                  <w:vAlign w:val="center"/>
                </w:tcPr>
                <w:p w14:paraId="3F16DD6C">
                  <w:pPr>
                    <w:adjustRightInd w:val="0"/>
                    <w:jc w:val="center"/>
                    <w:rPr>
                      <w:rFonts w:ascii="宋体" w:hAnsi="宋体"/>
                      <w:color w:val="auto"/>
                      <w:sz w:val="21"/>
                      <w:szCs w:val="21"/>
                    </w:rPr>
                  </w:pPr>
                  <w:r>
                    <w:rPr>
                      <w:rFonts w:hint="eastAsia" w:ascii="宋体" w:hAnsi="宋体"/>
                      <w:color w:val="auto"/>
                      <w:sz w:val="21"/>
                      <w:szCs w:val="21"/>
                    </w:rPr>
                    <w:t>符合</w:t>
                  </w:r>
                </w:p>
              </w:tc>
            </w:tr>
            <w:tr w14:paraId="3DA84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Merge w:val="continue"/>
                  <w:tcBorders>
                    <w:left w:val="single" w:color="auto" w:sz="4" w:space="0"/>
                    <w:right w:val="single" w:color="auto" w:sz="4" w:space="0"/>
                  </w:tcBorders>
                  <w:vAlign w:val="center"/>
                </w:tcPr>
                <w:p w14:paraId="51EC74A3">
                  <w:pPr>
                    <w:adjustRightInd w:val="0"/>
                    <w:rPr>
                      <w:rFonts w:ascii="宋体" w:hAnsi="宋体"/>
                      <w:color w:val="auto"/>
                      <w:sz w:val="21"/>
                      <w:szCs w:val="21"/>
                    </w:rPr>
                  </w:pPr>
                </w:p>
              </w:tc>
              <w:tc>
                <w:tcPr>
                  <w:tcW w:w="789" w:type="dxa"/>
                  <w:tcBorders>
                    <w:left w:val="single" w:color="auto" w:sz="4" w:space="0"/>
                    <w:right w:val="single" w:color="auto" w:sz="4" w:space="0"/>
                  </w:tcBorders>
                  <w:shd w:val="clear" w:color="auto" w:fill="auto"/>
                  <w:vAlign w:val="center"/>
                </w:tcPr>
                <w:p w14:paraId="1D20C9E8">
                  <w:pPr>
                    <w:pStyle w:val="17"/>
                    <w:keepNext w:val="0"/>
                    <w:keepLines w:val="0"/>
                    <w:pageBreakBefore w:val="0"/>
                    <w:widowControl/>
                    <w:kinsoku/>
                    <w:wordWrap/>
                    <w:overflowPunct/>
                    <w:topLinePunct w:val="0"/>
                    <w:autoSpaceDE/>
                    <w:autoSpaceDN/>
                    <w:bidi w:val="0"/>
                    <w:adjustRightInd/>
                    <w:snapToGrid/>
                    <w:spacing w:before="0" w:after="0" w:line="240" w:lineRule="auto"/>
                    <w:ind w:right="0" w:rightChars="0"/>
                    <w:jc w:val="center"/>
                    <w:textAlignment w:val="auto"/>
                    <w:rPr>
                      <w:rFonts w:hint="default"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rPr>
                    <w:t>资源开发效率要求</w:t>
                  </w:r>
                </w:p>
              </w:tc>
              <w:tc>
                <w:tcPr>
                  <w:tcW w:w="2587" w:type="dxa"/>
                  <w:tcBorders>
                    <w:top w:val="single" w:color="auto" w:sz="4" w:space="0"/>
                    <w:left w:val="single" w:color="auto" w:sz="4" w:space="0"/>
                    <w:bottom w:val="single" w:color="auto" w:sz="4" w:space="0"/>
                    <w:right w:val="single" w:color="auto" w:sz="4" w:space="0"/>
                  </w:tcBorders>
                  <w:shd w:val="clear" w:color="auto" w:fill="auto"/>
                  <w:vAlign w:val="center"/>
                </w:tcPr>
                <w:p w14:paraId="7FDD8CD8">
                  <w:pPr>
                    <w:pStyle w:val="17"/>
                    <w:keepNext w:val="0"/>
                    <w:keepLines w:val="0"/>
                    <w:pageBreakBefore w:val="0"/>
                    <w:widowControl/>
                    <w:kinsoku/>
                    <w:wordWrap/>
                    <w:overflowPunct/>
                    <w:topLinePunct w:val="0"/>
                    <w:autoSpaceDE/>
                    <w:autoSpaceDN/>
                    <w:bidi w:val="0"/>
                    <w:adjustRightInd/>
                    <w:snapToGrid/>
                    <w:spacing w:before="0" w:after="0" w:line="240" w:lineRule="auto"/>
                    <w:ind w:right="0" w:rightChars="0"/>
                    <w:jc w:val="center"/>
                    <w:textAlignment w:val="auto"/>
                    <w:rPr>
                      <w:rFonts w:hint="eastAsia"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rPr>
                    <w:t>——</w:t>
                  </w:r>
                </w:p>
              </w:tc>
              <w:tc>
                <w:tcPr>
                  <w:tcW w:w="2774" w:type="dxa"/>
                  <w:tcBorders>
                    <w:top w:val="single" w:color="auto" w:sz="4" w:space="0"/>
                    <w:left w:val="single" w:color="auto" w:sz="4" w:space="0"/>
                    <w:bottom w:val="single" w:color="auto" w:sz="4" w:space="0"/>
                    <w:right w:val="single" w:color="auto" w:sz="4" w:space="0"/>
                  </w:tcBorders>
                  <w:shd w:val="clear" w:color="auto" w:fill="auto"/>
                  <w:vAlign w:val="center"/>
                </w:tcPr>
                <w:p w14:paraId="1E7E7133">
                  <w:pPr>
                    <w:pStyle w:val="17"/>
                    <w:keepNext w:val="0"/>
                    <w:keepLines w:val="0"/>
                    <w:pageBreakBefore w:val="0"/>
                    <w:widowControl/>
                    <w:kinsoku/>
                    <w:wordWrap/>
                    <w:overflowPunct/>
                    <w:topLinePunct w:val="0"/>
                    <w:autoSpaceDE/>
                    <w:autoSpaceDN/>
                    <w:bidi w:val="0"/>
                    <w:adjustRightInd/>
                    <w:snapToGrid/>
                    <w:spacing w:before="0" w:after="0" w:line="240" w:lineRule="auto"/>
                    <w:ind w:right="0" w:rightChars="0"/>
                    <w:jc w:val="center"/>
                    <w:textAlignment w:val="auto"/>
                    <w:rPr>
                      <w:rFonts w:hint="eastAsia"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rPr>
                    <w:t>——</w:t>
                  </w:r>
                </w:p>
              </w:tc>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14:paraId="17EF4A5D">
                  <w:pPr>
                    <w:pStyle w:val="17"/>
                    <w:keepNext w:val="0"/>
                    <w:keepLines w:val="0"/>
                    <w:pageBreakBefore w:val="0"/>
                    <w:widowControl/>
                    <w:kinsoku/>
                    <w:wordWrap/>
                    <w:overflowPunct/>
                    <w:topLinePunct w:val="0"/>
                    <w:autoSpaceDE/>
                    <w:autoSpaceDN/>
                    <w:bidi w:val="0"/>
                    <w:adjustRightInd/>
                    <w:snapToGrid/>
                    <w:spacing w:before="0" w:after="0" w:line="240" w:lineRule="auto"/>
                    <w:ind w:right="0" w:rightChars="0"/>
                    <w:jc w:val="center"/>
                    <w:textAlignment w:val="auto"/>
                    <w:rPr>
                      <w:rFonts w:hint="eastAsia"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rPr>
                    <w:t>——</w:t>
                  </w:r>
                </w:p>
              </w:tc>
            </w:tr>
          </w:tbl>
          <w:p w14:paraId="591375EF">
            <w:pPr>
              <w:spacing w:line="360" w:lineRule="auto"/>
              <w:ind w:firstLine="480" w:firstLineChars="200"/>
              <w:rPr>
                <w:color w:val="auto"/>
                <w:sz w:val="24"/>
              </w:rPr>
            </w:pPr>
            <w:r>
              <w:rPr>
                <w:rFonts w:hint="eastAsia" w:ascii="Times New Roman" w:hAnsi="Times New Roman" w:eastAsia="宋体" w:cs="Times New Roman"/>
                <w:color w:val="auto"/>
                <w:sz w:val="24"/>
                <w:lang w:val="en-US" w:eastAsia="zh-CN"/>
              </w:rPr>
              <w:t>综上，项目与</w:t>
            </w:r>
            <w:r>
              <w:rPr>
                <w:rFonts w:hint="eastAsia" w:ascii="Times New Roman" w:hAnsi="Times New Roman" w:eastAsia="宋体" w:cs="Times New Roman"/>
                <w:b w:val="0"/>
                <w:bCs w:val="0"/>
                <w:color w:val="auto"/>
                <w:kern w:val="2"/>
                <w:sz w:val="24"/>
                <w:szCs w:val="20"/>
                <w:lang w:val="en-US" w:eastAsia="zh-CN" w:bidi="ar-SA"/>
              </w:rPr>
              <w:t>昆明市生态环境分区管控要求符合。</w:t>
            </w:r>
          </w:p>
          <w:p w14:paraId="76F8BDF6">
            <w:pPr>
              <w:spacing w:line="360" w:lineRule="auto"/>
              <w:ind w:firstLine="482" w:firstLineChars="200"/>
              <w:rPr>
                <w:rFonts w:hint="eastAsia"/>
                <w:b/>
                <w:bCs/>
                <w:color w:val="auto"/>
                <w:sz w:val="24"/>
              </w:rPr>
            </w:pPr>
          </w:p>
          <w:p w14:paraId="508EF61C">
            <w:pPr>
              <w:spacing w:line="360" w:lineRule="auto"/>
              <w:ind w:firstLine="482" w:firstLineChars="200"/>
              <w:rPr>
                <w:rFonts w:hint="eastAsia"/>
                <w:b/>
                <w:bCs/>
                <w:color w:val="auto"/>
                <w:sz w:val="24"/>
              </w:rPr>
            </w:pPr>
          </w:p>
          <w:p w14:paraId="1B37D497">
            <w:pPr>
              <w:spacing w:line="360" w:lineRule="auto"/>
              <w:ind w:firstLine="482" w:firstLineChars="200"/>
              <w:rPr>
                <w:b/>
                <w:bCs/>
                <w:color w:val="auto"/>
                <w:sz w:val="24"/>
              </w:rPr>
            </w:pPr>
            <w:r>
              <w:rPr>
                <w:rFonts w:hint="eastAsia"/>
                <w:b/>
                <w:bCs/>
                <w:color w:val="auto"/>
                <w:sz w:val="24"/>
              </w:rPr>
              <w:t>3</w:t>
            </w:r>
            <w:r>
              <w:rPr>
                <w:b/>
                <w:bCs/>
                <w:color w:val="auto"/>
                <w:sz w:val="24"/>
              </w:rPr>
              <w:t>、与《云南省牛栏江保护条例》符合性分析</w:t>
            </w:r>
          </w:p>
          <w:p w14:paraId="0C06FE51">
            <w:pPr>
              <w:spacing w:line="360" w:lineRule="auto"/>
              <w:ind w:firstLine="480" w:firstLineChars="200"/>
              <w:rPr>
                <w:color w:val="auto"/>
                <w:sz w:val="24"/>
              </w:rPr>
            </w:pPr>
            <w:r>
              <w:rPr>
                <w:color w:val="auto"/>
                <w:sz w:val="24"/>
              </w:rPr>
              <w:t>据2012年9月28日云南省第十一届人民代表大会常务委员会第三十四次会议通过《云南省牛栏江保护条例》第一章总则中第五条中对牛栏江流域上游保护区进行了划分，划分为水源保护核心区、重点污染控制区和重点水源涵养区，具体划分情况如下：</w:t>
            </w:r>
          </w:p>
          <w:p w14:paraId="6E4E32C0">
            <w:pPr>
              <w:spacing w:line="360" w:lineRule="auto"/>
              <w:ind w:firstLine="480" w:firstLineChars="200"/>
              <w:rPr>
                <w:color w:val="auto"/>
                <w:sz w:val="24"/>
              </w:rPr>
            </w:pPr>
            <w:r>
              <w:rPr>
                <w:color w:val="auto"/>
                <w:sz w:val="24"/>
              </w:rPr>
              <w:t>（一）水源保护核心区包括德泽水库库区和德泽水库以上牛栏江干流区。德泽水库库区为德泽水库正常蓄水位1790m水面及沿岸外延2000m的范围，区域范围超过一级山脊线的，按照一级山脊线划定；德泽水库以上牛栏江干流区指德泽水库以上干流（包括干流源头矣纳岔口至嘉丽泽对龙河河段）水域及两岸外延1000m的范围，区域范围超过一级山脊线的，按照一级山脊线划定。</w:t>
            </w:r>
          </w:p>
          <w:p w14:paraId="76944A31">
            <w:pPr>
              <w:spacing w:line="360" w:lineRule="auto"/>
              <w:ind w:firstLine="480" w:firstLineChars="200"/>
              <w:rPr>
                <w:color w:val="auto"/>
                <w:sz w:val="24"/>
              </w:rPr>
            </w:pPr>
            <w:r>
              <w:rPr>
                <w:color w:val="auto"/>
                <w:sz w:val="24"/>
              </w:rPr>
              <w:t>（二）重点污染控制区为水源保护核心区以外，流域范围内的坝区以及花庄河、果马河、普沙河、弥良河、对龙河、杨林河、匡郎河、前进河、马龙河水域及两岸外延3000m的区域，区域范围超过一级山脊线的，按照一级山脊线划定。</w:t>
            </w:r>
          </w:p>
          <w:p w14:paraId="6373D2FA">
            <w:pPr>
              <w:spacing w:line="360" w:lineRule="auto"/>
              <w:ind w:firstLine="480" w:firstLineChars="200"/>
              <w:rPr>
                <w:color w:val="auto"/>
                <w:sz w:val="24"/>
              </w:rPr>
            </w:pPr>
            <w:r>
              <w:rPr>
                <w:color w:val="auto"/>
                <w:sz w:val="24"/>
              </w:rPr>
              <w:t>（三）重点水源涵养区为流域范围内除水源保护核心区、重点污染控制区以外的集水区域。</w:t>
            </w:r>
          </w:p>
          <w:p w14:paraId="24F3E97A">
            <w:pPr>
              <w:spacing w:line="360" w:lineRule="auto"/>
              <w:ind w:firstLine="480" w:firstLineChars="200"/>
              <w:rPr>
                <w:color w:val="auto"/>
                <w:sz w:val="24"/>
              </w:rPr>
            </w:pPr>
            <w:r>
              <w:rPr>
                <w:color w:val="auto"/>
                <w:sz w:val="24"/>
              </w:rPr>
              <w:t>根据牛栏江水系</w:t>
            </w:r>
            <w:r>
              <w:rPr>
                <w:rFonts w:hint="eastAsia"/>
                <w:color w:val="auto"/>
                <w:sz w:val="24"/>
              </w:rPr>
              <w:t>环境</w:t>
            </w:r>
            <w:r>
              <w:rPr>
                <w:color w:val="auto"/>
                <w:sz w:val="24"/>
              </w:rPr>
              <w:t>规划图可知本项目属于《云南省牛栏江保护条例》中的</w:t>
            </w:r>
            <w:r>
              <w:rPr>
                <w:rFonts w:hint="eastAsia"/>
                <w:color w:val="auto"/>
                <w:sz w:val="24"/>
                <w:lang w:val="en-US" w:eastAsia="zh-CN"/>
              </w:rPr>
              <w:t>水源涵养</w:t>
            </w:r>
            <w:r>
              <w:rPr>
                <w:rFonts w:hint="eastAsia"/>
                <w:color w:val="auto"/>
                <w:sz w:val="24"/>
                <w:highlight w:val="none"/>
                <w:lang w:val="en-US" w:eastAsia="zh-CN"/>
              </w:rPr>
              <w:t>区</w:t>
            </w:r>
            <w:r>
              <w:rPr>
                <w:color w:val="auto"/>
                <w:sz w:val="24"/>
                <w:highlight w:val="none"/>
              </w:rPr>
              <w:t>（附图</w:t>
            </w:r>
            <w:r>
              <w:rPr>
                <w:rFonts w:hint="eastAsia"/>
                <w:color w:val="auto"/>
                <w:sz w:val="24"/>
                <w:highlight w:val="none"/>
                <w:lang w:val="en-US" w:eastAsia="zh-CN"/>
              </w:rPr>
              <w:t>6</w:t>
            </w:r>
            <w:r>
              <w:rPr>
                <w:color w:val="auto"/>
                <w:sz w:val="24"/>
                <w:highlight w:val="none"/>
              </w:rPr>
              <w:t>）。</w:t>
            </w:r>
            <w:r>
              <w:rPr>
                <w:color w:val="auto"/>
                <w:sz w:val="24"/>
              </w:rPr>
              <w:t>根据《云南省牛栏江保护条例》中</w:t>
            </w:r>
            <w:r>
              <w:rPr>
                <w:rFonts w:hint="eastAsia"/>
                <w:color w:val="auto"/>
                <w:sz w:val="24"/>
              </w:rPr>
              <w:t>第三十二条</w:t>
            </w:r>
            <w:r>
              <w:rPr>
                <w:color w:val="auto"/>
                <w:sz w:val="24"/>
              </w:rPr>
              <w:t>中规定的禁止行为分析项目选址符合性。</w:t>
            </w:r>
          </w:p>
          <w:p w14:paraId="723DAB3E">
            <w:pPr>
              <w:jc w:val="center"/>
              <w:rPr>
                <w:b/>
                <w:bCs/>
                <w:color w:val="auto"/>
                <w:sz w:val="24"/>
              </w:rPr>
            </w:pPr>
            <w:r>
              <w:rPr>
                <w:b/>
                <w:bCs/>
                <w:color w:val="auto"/>
                <w:sz w:val="24"/>
              </w:rPr>
              <w:t>表1-</w:t>
            </w:r>
            <w:r>
              <w:rPr>
                <w:rFonts w:hint="eastAsia"/>
                <w:b/>
                <w:bCs/>
                <w:color w:val="auto"/>
                <w:sz w:val="24"/>
                <w:lang w:val="en-US" w:eastAsia="zh-CN"/>
              </w:rPr>
              <w:t>4</w:t>
            </w:r>
            <w:r>
              <w:rPr>
                <w:b/>
                <w:bCs/>
                <w:color w:val="auto"/>
                <w:sz w:val="24"/>
              </w:rPr>
              <w:t xml:space="preserve">  项目选址与《云南省牛栏江保护条例》对照分析</w:t>
            </w:r>
          </w:p>
          <w:tbl>
            <w:tblPr>
              <w:tblStyle w:val="4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2473"/>
              <w:gridCol w:w="3666"/>
              <w:gridCol w:w="554"/>
            </w:tblGrid>
            <w:tr w14:paraId="7338C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vAlign w:val="center"/>
                </w:tcPr>
                <w:p w14:paraId="1279AD72">
                  <w:pPr>
                    <w:jc w:val="center"/>
                    <w:rPr>
                      <w:b/>
                      <w:bCs/>
                      <w:color w:val="auto"/>
                      <w:sz w:val="21"/>
                      <w:szCs w:val="21"/>
                    </w:rPr>
                  </w:pPr>
                  <w:r>
                    <w:rPr>
                      <w:b/>
                      <w:bCs/>
                      <w:color w:val="auto"/>
                      <w:sz w:val="21"/>
                      <w:szCs w:val="21"/>
                    </w:rPr>
                    <w:t>序号</w:t>
                  </w:r>
                </w:p>
              </w:tc>
              <w:tc>
                <w:tcPr>
                  <w:tcW w:w="1723" w:type="pct"/>
                  <w:vAlign w:val="center"/>
                </w:tcPr>
                <w:p w14:paraId="5084D47A">
                  <w:pPr>
                    <w:jc w:val="center"/>
                    <w:rPr>
                      <w:b/>
                      <w:bCs/>
                      <w:color w:val="auto"/>
                      <w:sz w:val="21"/>
                      <w:szCs w:val="21"/>
                    </w:rPr>
                  </w:pPr>
                  <w:r>
                    <w:rPr>
                      <w:b/>
                      <w:bCs/>
                      <w:color w:val="auto"/>
                      <w:sz w:val="21"/>
                      <w:szCs w:val="21"/>
                    </w:rPr>
                    <w:t>《云南省牛栏江保护条例》选址条件</w:t>
                  </w:r>
                </w:p>
              </w:tc>
              <w:tc>
                <w:tcPr>
                  <w:tcW w:w="2554" w:type="pct"/>
                  <w:vAlign w:val="center"/>
                </w:tcPr>
                <w:p w14:paraId="66CD5A87">
                  <w:pPr>
                    <w:jc w:val="center"/>
                    <w:rPr>
                      <w:b/>
                      <w:bCs/>
                      <w:color w:val="auto"/>
                      <w:sz w:val="21"/>
                      <w:szCs w:val="21"/>
                    </w:rPr>
                  </w:pPr>
                  <w:r>
                    <w:rPr>
                      <w:b/>
                      <w:bCs/>
                      <w:color w:val="auto"/>
                      <w:sz w:val="21"/>
                      <w:szCs w:val="21"/>
                    </w:rPr>
                    <w:t>本项目实际情况</w:t>
                  </w:r>
                </w:p>
              </w:tc>
              <w:tc>
                <w:tcPr>
                  <w:tcW w:w="384" w:type="pct"/>
                  <w:vAlign w:val="center"/>
                </w:tcPr>
                <w:p w14:paraId="118B30CB">
                  <w:pPr>
                    <w:jc w:val="center"/>
                    <w:rPr>
                      <w:b/>
                      <w:bCs/>
                      <w:color w:val="auto"/>
                      <w:sz w:val="21"/>
                      <w:szCs w:val="21"/>
                    </w:rPr>
                  </w:pPr>
                  <w:r>
                    <w:rPr>
                      <w:b/>
                      <w:bCs/>
                      <w:color w:val="auto"/>
                      <w:sz w:val="21"/>
                      <w:szCs w:val="21"/>
                    </w:rPr>
                    <w:t>相符性</w:t>
                  </w:r>
                </w:p>
              </w:tc>
            </w:tr>
            <w:tr w14:paraId="23533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vAlign w:val="center"/>
                </w:tcPr>
                <w:p w14:paraId="187532A4">
                  <w:pPr>
                    <w:jc w:val="center"/>
                    <w:rPr>
                      <w:color w:val="auto"/>
                      <w:sz w:val="21"/>
                      <w:szCs w:val="21"/>
                    </w:rPr>
                  </w:pPr>
                  <w:r>
                    <w:rPr>
                      <w:color w:val="auto"/>
                      <w:sz w:val="21"/>
                      <w:szCs w:val="21"/>
                    </w:rPr>
                    <w:t>三十</w:t>
                  </w:r>
                  <w:r>
                    <w:rPr>
                      <w:rFonts w:hint="eastAsia"/>
                      <w:color w:val="auto"/>
                      <w:sz w:val="21"/>
                      <w:szCs w:val="21"/>
                    </w:rPr>
                    <w:t>二</w:t>
                  </w:r>
                  <w:r>
                    <w:rPr>
                      <w:color w:val="auto"/>
                      <w:sz w:val="21"/>
                      <w:szCs w:val="21"/>
                    </w:rPr>
                    <w:t>条重点水源涵养区禁止下列行为</w:t>
                  </w:r>
                </w:p>
              </w:tc>
            </w:tr>
            <w:tr w14:paraId="59957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vAlign w:val="center"/>
                </w:tcPr>
                <w:p w14:paraId="5B034524">
                  <w:pPr>
                    <w:jc w:val="center"/>
                    <w:rPr>
                      <w:color w:val="auto"/>
                      <w:sz w:val="21"/>
                      <w:szCs w:val="21"/>
                    </w:rPr>
                  </w:pPr>
                  <w:r>
                    <w:rPr>
                      <w:color w:val="auto"/>
                      <w:sz w:val="21"/>
                      <w:szCs w:val="21"/>
                    </w:rPr>
                    <w:t>1</w:t>
                  </w:r>
                </w:p>
              </w:tc>
              <w:tc>
                <w:tcPr>
                  <w:tcW w:w="1723" w:type="pct"/>
                  <w:vAlign w:val="center"/>
                </w:tcPr>
                <w:p w14:paraId="5A418729">
                  <w:pPr>
                    <w:jc w:val="center"/>
                    <w:rPr>
                      <w:color w:val="auto"/>
                      <w:sz w:val="21"/>
                      <w:szCs w:val="21"/>
                    </w:rPr>
                  </w:pPr>
                  <w:r>
                    <w:rPr>
                      <w:color w:val="auto"/>
                      <w:sz w:val="21"/>
                      <w:szCs w:val="21"/>
                    </w:rPr>
                    <w:t>（一）盗伐、滥伐林木和破坏草地；</w:t>
                  </w:r>
                </w:p>
              </w:tc>
              <w:tc>
                <w:tcPr>
                  <w:tcW w:w="2554" w:type="pct"/>
                  <w:vAlign w:val="center"/>
                </w:tcPr>
                <w:p w14:paraId="2698B661">
                  <w:pPr>
                    <w:jc w:val="center"/>
                    <w:rPr>
                      <w:color w:val="auto"/>
                      <w:sz w:val="21"/>
                      <w:szCs w:val="21"/>
                    </w:rPr>
                  </w:pPr>
                  <w:r>
                    <w:rPr>
                      <w:color w:val="auto"/>
                      <w:sz w:val="21"/>
                      <w:szCs w:val="21"/>
                    </w:rPr>
                    <w:t>本项目</w:t>
                  </w:r>
                  <w:r>
                    <w:rPr>
                      <w:rFonts w:hint="eastAsia"/>
                      <w:color w:val="auto"/>
                      <w:sz w:val="21"/>
                      <w:szCs w:val="21"/>
                    </w:rPr>
                    <w:t>在</w:t>
                  </w:r>
                  <w:r>
                    <w:rPr>
                      <w:rFonts w:hint="eastAsia"/>
                      <w:color w:val="auto"/>
                      <w:sz w:val="21"/>
                      <w:szCs w:val="21"/>
                      <w:lang w:eastAsia="zh-CN"/>
                    </w:rPr>
                    <w:t>云南常青树化工有限公司</w:t>
                  </w:r>
                  <w:r>
                    <w:rPr>
                      <w:color w:val="auto"/>
                      <w:sz w:val="21"/>
                      <w:szCs w:val="21"/>
                    </w:rPr>
                    <w:t>内建设，不涉及新增占地。项目无盗伐、滥伐林木和破坏草地的行为。</w:t>
                  </w:r>
                </w:p>
              </w:tc>
              <w:tc>
                <w:tcPr>
                  <w:tcW w:w="384" w:type="pct"/>
                  <w:vAlign w:val="center"/>
                </w:tcPr>
                <w:p w14:paraId="145E82AB">
                  <w:pPr>
                    <w:jc w:val="center"/>
                    <w:rPr>
                      <w:color w:val="auto"/>
                      <w:sz w:val="21"/>
                      <w:szCs w:val="21"/>
                    </w:rPr>
                  </w:pPr>
                  <w:r>
                    <w:rPr>
                      <w:color w:val="auto"/>
                      <w:sz w:val="21"/>
                      <w:szCs w:val="21"/>
                    </w:rPr>
                    <w:t>符合</w:t>
                  </w:r>
                </w:p>
              </w:tc>
            </w:tr>
            <w:tr w14:paraId="4AC58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vAlign w:val="center"/>
                </w:tcPr>
                <w:p w14:paraId="71757DA8">
                  <w:pPr>
                    <w:jc w:val="center"/>
                    <w:rPr>
                      <w:color w:val="auto"/>
                      <w:sz w:val="21"/>
                      <w:szCs w:val="21"/>
                    </w:rPr>
                  </w:pPr>
                  <w:r>
                    <w:rPr>
                      <w:color w:val="auto"/>
                      <w:sz w:val="21"/>
                      <w:szCs w:val="21"/>
                    </w:rPr>
                    <w:t>2</w:t>
                  </w:r>
                </w:p>
              </w:tc>
              <w:tc>
                <w:tcPr>
                  <w:tcW w:w="1723" w:type="pct"/>
                  <w:vAlign w:val="center"/>
                </w:tcPr>
                <w:p w14:paraId="7497D55A">
                  <w:pPr>
                    <w:jc w:val="center"/>
                    <w:rPr>
                      <w:color w:val="auto"/>
                      <w:sz w:val="21"/>
                      <w:szCs w:val="21"/>
                    </w:rPr>
                  </w:pPr>
                  <w:r>
                    <w:rPr>
                      <w:color w:val="auto"/>
                      <w:sz w:val="21"/>
                      <w:szCs w:val="21"/>
                    </w:rPr>
                    <w:t>（二）使用高毒、高残留农药；</w:t>
                  </w:r>
                </w:p>
              </w:tc>
              <w:tc>
                <w:tcPr>
                  <w:tcW w:w="2554" w:type="pct"/>
                  <w:vAlign w:val="center"/>
                </w:tcPr>
                <w:p w14:paraId="4789E459">
                  <w:pPr>
                    <w:jc w:val="center"/>
                    <w:rPr>
                      <w:color w:val="auto"/>
                      <w:sz w:val="21"/>
                      <w:szCs w:val="21"/>
                    </w:rPr>
                  </w:pPr>
                  <w:r>
                    <w:rPr>
                      <w:color w:val="auto"/>
                      <w:sz w:val="21"/>
                      <w:szCs w:val="21"/>
                    </w:rPr>
                    <w:t>项目不使用高毒、高残农药。</w:t>
                  </w:r>
                </w:p>
              </w:tc>
              <w:tc>
                <w:tcPr>
                  <w:tcW w:w="384" w:type="pct"/>
                  <w:vAlign w:val="center"/>
                </w:tcPr>
                <w:p w14:paraId="52D6A4B6">
                  <w:pPr>
                    <w:jc w:val="center"/>
                    <w:rPr>
                      <w:color w:val="auto"/>
                      <w:sz w:val="21"/>
                      <w:szCs w:val="21"/>
                    </w:rPr>
                  </w:pPr>
                  <w:r>
                    <w:rPr>
                      <w:color w:val="auto"/>
                      <w:sz w:val="21"/>
                      <w:szCs w:val="21"/>
                    </w:rPr>
                    <w:t>符合</w:t>
                  </w:r>
                </w:p>
              </w:tc>
            </w:tr>
            <w:tr w14:paraId="78B02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vAlign w:val="center"/>
                </w:tcPr>
                <w:p w14:paraId="1C1759D1">
                  <w:pPr>
                    <w:jc w:val="center"/>
                    <w:rPr>
                      <w:color w:val="auto"/>
                      <w:sz w:val="21"/>
                      <w:szCs w:val="21"/>
                    </w:rPr>
                  </w:pPr>
                  <w:r>
                    <w:rPr>
                      <w:color w:val="auto"/>
                      <w:sz w:val="21"/>
                      <w:szCs w:val="21"/>
                    </w:rPr>
                    <w:t>3</w:t>
                  </w:r>
                </w:p>
              </w:tc>
              <w:tc>
                <w:tcPr>
                  <w:tcW w:w="1723" w:type="pct"/>
                  <w:vAlign w:val="center"/>
                </w:tcPr>
                <w:p w14:paraId="1DE78100">
                  <w:pPr>
                    <w:jc w:val="center"/>
                    <w:rPr>
                      <w:color w:val="auto"/>
                      <w:sz w:val="21"/>
                      <w:szCs w:val="21"/>
                    </w:rPr>
                  </w:pPr>
                  <w:r>
                    <w:rPr>
                      <w:color w:val="auto"/>
                      <w:sz w:val="21"/>
                      <w:szCs w:val="21"/>
                    </w:rPr>
                    <w:t>（三）利用溶洞、渗井、渗坑、裂隙排放、倾倒含有毒有害物质的废水、废渣；</w:t>
                  </w:r>
                </w:p>
              </w:tc>
              <w:tc>
                <w:tcPr>
                  <w:tcW w:w="2554" w:type="pct"/>
                  <w:vAlign w:val="center"/>
                </w:tcPr>
                <w:p w14:paraId="31212B86">
                  <w:pPr>
                    <w:jc w:val="center"/>
                    <w:rPr>
                      <w:color w:val="auto"/>
                      <w:sz w:val="21"/>
                      <w:szCs w:val="21"/>
                    </w:rPr>
                  </w:pPr>
                  <w:r>
                    <w:rPr>
                      <w:color w:val="auto"/>
                      <w:sz w:val="21"/>
                      <w:szCs w:val="21"/>
                    </w:rPr>
                    <w:t>项目不产生生产废水</w:t>
                  </w:r>
                  <w:r>
                    <w:rPr>
                      <w:rFonts w:hint="eastAsia"/>
                      <w:color w:val="auto"/>
                      <w:sz w:val="21"/>
                      <w:szCs w:val="21"/>
                    </w:rPr>
                    <w:t>；</w:t>
                  </w:r>
                  <w:r>
                    <w:rPr>
                      <w:color w:val="auto"/>
                      <w:sz w:val="21"/>
                      <w:szCs w:val="21"/>
                    </w:rPr>
                    <w:t>不会产生有毒有害的废渣</w:t>
                  </w:r>
                  <w:r>
                    <w:rPr>
                      <w:rFonts w:hint="eastAsia"/>
                      <w:color w:val="auto"/>
                      <w:sz w:val="21"/>
                      <w:szCs w:val="21"/>
                    </w:rPr>
                    <w:t>。</w:t>
                  </w:r>
                </w:p>
              </w:tc>
              <w:tc>
                <w:tcPr>
                  <w:tcW w:w="384" w:type="pct"/>
                  <w:vAlign w:val="center"/>
                </w:tcPr>
                <w:p w14:paraId="47CA833F">
                  <w:pPr>
                    <w:jc w:val="center"/>
                    <w:rPr>
                      <w:color w:val="auto"/>
                      <w:sz w:val="21"/>
                      <w:szCs w:val="21"/>
                    </w:rPr>
                  </w:pPr>
                  <w:r>
                    <w:rPr>
                      <w:color w:val="auto"/>
                      <w:sz w:val="21"/>
                      <w:szCs w:val="21"/>
                    </w:rPr>
                    <w:t>符合</w:t>
                  </w:r>
                </w:p>
              </w:tc>
            </w:tr>
            <w:tr w14:paraId="0927A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vAlign w:val="center"/>
                </w:tcPr>
                <w:p w14:paraId="6A2F242E">
                  <w:pPr>
                    <w:jc w:val="center"/>
                    <w:rPr>
                      <w:color w:val="auto"/>
                      <w:sz w:val="21"/>
                      <w:szCs w:val="21"/>
                    </w:rPr>
                  </w:pPr>
                  <w:r>
                    <w:rPr>
                      <w:color w:val="auto"/>
                      <w:sz w:val="21"/>
                      <w:szCs w:val="21"/>
                    </w:rPr>
                    <w:t>4</w:t>
                  </w:r>
                </w:p>
              </w:tc>
              <w:tc>
                <w:tcPr>
                  <w:tcW w:w="1723" w:type="pct"/>
                  <w:vAlign w:val="center"/>
                </w:tcPr>
                <w:p w14:paraId="57335BBC">
                  <w:pPr>
                    <w:jc w:val="center"/>
                    <w:rPr>
                      <w:color w:val="auto"/>
                      <w:sz w:val="21"/>
                      <w:szCs w:val="21"/>
                    </w:rPr>
                  </w:pPr>
                  <w:r>
                    <w:rPr>
                      <w:color w:val="auto"/>
                      <w:sz w:val="21"/>
                      <w:szCs w:val="21"/>
                    </w:rPr>
                    <w:t>（四）向水体排放废水、倾倒工业废渣、城镇垃圾或者其他废弃物；</w:t>
                  </w:r>
                </w:p>
              </w:tc>
              <w:tc>
                <w:tcPr>
                  <w:tcW w:w="2554" w:type="pct"/>
                  <w:vAlign w:val="center"/>
                </w:tcPr>
                <w:p w14:paraId="444A56E9">
                  <w:pPr>
                    <w:jc w:val="center"/>
                    <w:rPr>
                      <w:color w:val="auto"/>
                      <w:sz w:val="21"/>
                      <w:szCs w:val="21"/>
                    </w:rPr>
                  </w:pPr>
                  <w:r>
                    <w:rPr>
                      <w:rFonts w:hint="eastAsia"/>
                      <w:color w:val="auto"/>
                      <w:sz w:val="21"/>
                      <w:szCs w:val="21"/>
                      <w:lang w:val="en-US" w:eastAsia="zh-CN"/>
                    </w:rPr>
                    <w:t>项目改扩建工程没有新增生活污水，且无生产废水产生。</w:t>
                  </w:r>
                  <w:r>
                    <w:rPr>
                      <w:rFonts w:hint="eastAsia" w:ascii="宋体" w:hAnsi="宋体"/>
                      <w:color w:val="auto"/>
                      <w:sz w:val="21"/>
                      <w:szCs w:val="21"/>
                      <w:highlight w:val="none"/>
                    </w:rPr>
                    <w:t>项目布袋除尘器收尘灰回用于生产</w:t>
                  </w:r>
                  <w:r>
                    <w:rPr>
                      <w:rFonts w:hint="eastAsia" w:ascii="宋体" w:hAnsi="宋体"/>
                      <w:color w:val="auto"/>
                      <w:sz w:val="21"/>
                      <w:szCs w:val="21"/>
                      <w:highlight w:val="none"/>
                      <w:lang w:eastAsia="zh-CN"/>
                    </w:rPr>
                    <w:t>；</w:t>
                  </w:r>
                  <w:r>
                    <w:rPr>
                      <w:rFonts w:hint="eastAsia" w:ascii="宋体" w:hAnsi="宋体"/>
                      <w:color w:val="auto"/>
                      <w:sz w:val="21"/>
                      <w:szCs w:val="21"/>
                      <w:highlight w:val="none"/>
                    </w:rPr>
                    <w:t>项目机修废油暂存于</w:t>
                  </w:r>
                  <w:r>
                    <w:rPr>
                      <w:rFonts w:hint="eastAsia" w:ascii="宋体" w:hAnsi="宋体"/>
                      <w:color w:val="auto"/>
                      <w:sz w:val="21"/>
                      <w:szCs w:val="21"/>
                      <w:highlight w:val="none"/>
                      <w:lang w:eastAsia="zh-CN"/>
                    </w:rPr>
                    <w:t>云南常青树化工有限公司</w:t>
                  </w:r>
                  <w:r>
                    <w:rPr>
                      <w:rFonts w:hint="eastAsia" w:ascii="宋体" w:hAnsi="宋体"/>
                      <w:color w:val="auto"/>
                      <w:sz w:val="21"/>
                      <w:szCs w:val="21"/>
                      <w:highlight w:val="none"/>
                    </w:rPr>
                    <w:t>危废暂存间，委托</w:t>
                  </w:r>
                  <w:r>
                    <w:rPr>
                      <w:rFonts w:hint="eastAsia" w:ascii="宋体" w:hAnsi="宋体"/>
                      <w:color w:val="auto"/>
                      <w:sz w:val="21"/>
                      <w:szCs w:val="21"/>
                      <w:highlight w:val="none"/>
                      <w:lang w:eastAsia="zh-CN"/>
                    </w:rPr>
                    <w:t>云南协快再生资源回收有限公司</w:t>
                  </w:r>
                  <w:r>
                    <w:rPr>
                      <w:rFonts w:hint="eastAsia" w:ascii="宋体" w:hAnsi="宋体"/>
                      <w:color w:val="auto"/>
                      <w:sz w:val="21"/>
                      <w:szCs w:val="21"/>
                      <w:highlight w:val="none"/>
                    </w:rPr>
                    <w:t>处理。</w:t>
                  </w:r>
                  <w:r>
                    <w:rPr>
                      <w:rFonts w:hint="eastAsia" w:ascii="宋体" w:hAnsi="宋体"/>
                      <w:color w:val="auto"/>
                      <w:sz w:val="21"/>
                      <w:szCs w:val="21"/>
                    </w:rPr>
                    <w:t>不</w:t>
                  </w:r>
                  <w:r>
                    <w:rPr>
                      <w:color w:val="auto"/>
                      <w:sz w:val="21"/>
                      <w:szCs w:val="21"/>
                    </w:rPr>
                    <w:t>向水体排放废水、倾倒工业废渣、城镇垃圾或者其他废弃物。</w:t>
                  </w:r>
                </w:p>
              </w:tc>
              <w:tc>
                <w:tcPr>
                  <w:tcW w:w="384" w:type="pct"/>
                  <w:vAlign w:val="center"/>
                </w:tcPr>
                <w:p w14:paraId="190B895A">
                  <w:pPr>
                    <w:jc w:val="center"/>
                    <w:rPr>
                      <w:color w:val="auto"/>
                      <w:sz w:val="21"/>
                      <w:szCs w:val="21"/>
                    </w:rPr>
                  </w:pPr>
                  <w:r>
                    <w:rPr>
                      <w:color w:val="auto"/>
                      <w:sz w:val="21"/>
                      <w:szCs w:val="21"/>
                    </w:rPr>
                    <w:t>符合</w:t>
                  </w:r>
                </w:p>
              </w:tc>
            </w:tr>
            <w:tr w14:paraId="4A2B3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vAlign w:val="center"/>
                </w:tcPr>
                <w:p w14:paraId="7DB2B06F">
                  <w:pPr>
                    <w:jc w:val="center"/>
                    <w:rPr>
                      <w:color w:val="auto"/>
                      <w:sz w:val="21"/>
                      <w:szCs w:val="21"/>
                    </w:rPr>
                  </w:pPr>
                  <w:r>
                    <w:rPr>
                      <w:color w:val="auto"/>
                      <w:sz w:val="21"/>
                      <w:szCs w:val="21"/>
                    </w:rPr>
                    <w:t>5</w:t>
                  </w:r>
                </w:p>
              </w:tc>
              <w:tc>
                <w:tcPr>
                  <w:tcW w:w="1723" w:type="pct"/>
                  <w:vAlign w:val="center"/>
                </w:tcPr>
                <w:p w14:paraId="48EEE579">
                  <w:pPr>
                    <w:jc w:val="center"/>
                    <w:rPr>
                      <w:color w:val="auto"/>
                      <w:sz w:val="21"/>
                      <w:szCs w:val="21"/>
                    </w:rPr>
                  </w:pPr>
                  <w:r>
                    <w:rPr>
                      <w:color w:val="auto"/>
                      <w:sz w:val="21"/>
                      <w:szCs w:val="21"/>
                    </w:rPr>
                    <w:t>（五）在江河、渠道、水库最高水位线以下的滩地、岸坡堆放、存贮固体废弃物或者其他污染物；</w:t>
                  </w:r>
                </w:p>
              </w:tc>
              <w:tc>
                <w:tcPr>
                  <w:tcW w:w="2554" w:type="pct"/>
                  <w:vAlign w:val="center"/>
                </w:tcPr>
                <w:p w14:paraId="62997D3C">
                  <w:pPr>
                    <w:jc w:val="center"/>
                    <w:rPr>
                      <w:color w:val="auto"/>
                      <w:sz w:val="21"/>
                      <w:szCs w:val="21"/>
                    </w:rPr>
                  </w:pPr>
                  <w:r>
                    <w:rPr>
                      <w:rFonts w:ascii="宋体" w:hAnsi="宋体"/>
                      <w:color w:val="auto"/>
                      <w:sz w:val="21"/>
                      <w:szCs w:val="21"/>
                    </w:rPr>
                    <w:t>项目位于</w:t>
                  </w:r>
                  <w:r>
                    <w:rPr>
                      <w:rFonts w:hint="eastAsia" w:ascii="宋体" w:hAnsi="宋体"/>
                      <w:color w:val="auto"/>
                      <w:sz w:val="21"/>
                      <w:szCs w:val="21"/>
                      <w:lang w:val="en-US" w:eastAsia="zh-CN"/>
                    </w:rPr>
                    <w:t>寻甸县塘子镇</w:t>
                  </w:r>
                  <w:r>
                    <w:rPr>
                      <w:rFonts w:hint="eastAsia" w:ascii="宋体" w:hAnsi="宋体"/>
                      <w:color w:val="auto"/>
                      <w:sz w:val="21"/>
                      <w:szCs w:val="21"/>
                      <w:lang w:eastAsia="zh-CN"/>
                    </w:rPr>
                    <w:t>云南常青树化工有限公司</w:t>
                  </w:r>
                  <w:r>
                    <w:rPr>
                      <w:rFonts w:hint="eastAsia" w:ascii="宋体" w:hAnsi="宋体"/>
                      <w:color w:val="auto"/>
                      <w:sz w:val="21"/>
                      <w:szCs w:val="21"/>
                    </w:rPr>
                    <w:t>内。项目的物料堆场均设置在厂房内，项目不</w:t>
                  </w:r>
                  <w:r>
                    <w:rPr>
                      <w:color w:val="auto"/>
                      <w:sz w:val="21"/>
                      <w:szCs w:val="21"/>
                    </w:rPr>
                    <w:t>在江河、渠道、水库最高水位线以下的滩地、岸坡堆放、存贮固体废弃物或者其他污染物。</w:t>
                  </w:r>
                </w:p>
              </w:tc>
              <w:tc>
                <w:tcPr>
                  <w:tcW w:w="384" w:type="pct"/>
                  <w:vAlign w:val="center"/>
                </w:tcPr>
                <w:p w14:paraId="7C52C6E4">
                  <w:pPr>
                    <w:jc w:val="center"/>
                    <w:rPr>
                      <w:color w:val="auto"/>
                      <w:sz w:val="21"/>
                      <w:szCs w:val="21"/>
                    </w:rPr>
                  </w:pPr>
                  <w:r>
                    <w:rPr>
                      <w:color w:val="auto"/>
                      <w:sz w:val="21"/>
                      <w:szCs w:val="21"/>
                    </w:rPr>
                    <w:t>符合</w:t>
                  </w:r>
                </w:p>
              </w:tc>
            </w:tr>
            <w:tr w14:paraId="1542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vAlign w:val="center"/>
                </w:tcPr>
                <w:p w14:paraId="55AC78CF">
                  <w:pPr>
                    <w:jc w:val="center"/>
                    <w:rPr>
                      <w:color w:val="auto"/>
                      <w:sz w:val="21"/>
                      <w:szCs w:val="21"/>
                    </w:rPr>
                  </w:pPr>
                  <w:r>
                    <w:rPr>
                      <w:color w:val="auto"/>
                      <w:sz w:val="21"/>
                      <w:szCs w:val="21"/>
                    </w:rPr>
                    <w:t>6</w:t>
                  </w:r>
                </w:p>
              </w:tc>
              <w:tc>
                <w:tcPr>
                  <w:tcW w:w="1723" w:type="pct"/>
                  <w:vAlign w:val="center"/>
                </w:tcPr>
                <w:p w14:paraId="2CACC58B">
                  <w:pPr>
                    <w:jc w:val="center"/>
                    <w:rPr>
                      <w:color w:val="auto"/>
                      <w:sz w:val="21"/>
                      <w:szCs w:val="21"/>
                    </w:rPr>
                  </w:pPr>
                  <w:r>
                    <w:rPr>
                      <w:color w:val="auto"/>
                      <w:sz w:val="21"/>
                      <w:szCs w:val="21"/>
                    </w:rPr>
                    <w:t>（六）利用无防渗漏措施的沟渠、坑塘等输送或者存贮含有毒污染物的废水、含病原体的污水或者其他废弃物。</w:t>
                  </w:r>
                </w:p>
              </w:tc>
              <w:tc>
                <w:tcPr>
                  <w:tcW w:w="2554" w:type="pct"/>
                  <w:vAlign w:val="center"/>
                </w:tcPr>
                <w:p w14:paraId="36933D4A">
                  <w:pPr>
                    <w:jc w:val="center"/>
                    <w:rPr>
                      <w:color w:val="auto"/>
                      <w:sz w:val="21"/>
                      <w:szCs w:val="21"/>
                    </w:rPr>
                  </w:pPr>
                  <w:r>
                    <w:rPr>
                      <w:color w:val="auto"/>
                      <w:sz w:val="21"/>
                      <w:szCs w:val="21"/>
                    </w:rPr>
                    <w:t>项目不产生生产废水，产生的固废均采取有效的措施进行处理，不外排。</w:t>
                  </w:r>
                </w:p>
              </w:tc>
              <w:tc>
                <w:tcPr>
                  <w:tcW w:w="384" w:type="pct"/>
                  <w:vAlign w:val="center"/>
                </w:tcPr>
                <w:p w14:paraId="5811EFC9">
                  <w:pPr>
                    <w:jc w:val="center"/>
                    <w:rPr>
                      <w:color w:val="auto"/>
                      <w:sz w:val="21"/>
                      <w:szCs w:val="21"/>
                    </w:rPr>
                  </w:pPr>
                  <w:r>
                    <w:rPr>
                      <w:color w:val="auto"/>
                      <w:sz w:val="21"/>
                      <w:szCs w:val="21"/>
                    </w:rPr>
                    <w:t>符合</w:t>
                  </w:r>
                </w:p>
              </w:tc>
            </w:tr>
          </w:tbl>
          <w:p w14:paraId="3FA2FA3F">
            <w:pPr>
              <w:spacing w:line="360" w:lineRule="auto"/>
              <w:ind w:firstLine="480" w:firstLineChars="200"/>
              <w:rPr>
                <w:color w:val="auto"/>
                <w:sz w:val="24"/>
              </w:rPr>
            </w:pPr>
            <w:r>
              <w:rPr>
                <w:color w:val="auto"/>
                <w:sz w:val="24"/>
              </w:rPr>
              <w:t>综上所述，项目选址及运营符合《云南省牛栏江保护条例》中的相关要求。</w:t>
            </w:r>
          </w:p>
          <w:p w14:paraId="2082B597">
            <w:pPr>
              <w:spacing w:line="360" w:lineRule="auto"/>
              <w:ind w:firstLine="482" w:firstLineChars="200"/>
              <w:rPr>
                <w:b/>
                <w:bCs/>
                <w:color w:val="auto"/>
                <w:sz w:val="24"/>
              </w:rPr>
            </w:pPr>
            <w:r>
              <w:rPr>
                <w:rFonts w:hint="eastAsia"/>
                <w:b/>
                <w:bCs/>
                <w:color w:val="auto"/>
                <w:sz w:val="24"/>
              </w:rPr>
              <w:t>4</w:t>
            </w:r>
            <w:r>
              <w:rPr>
                <w:b/>
                <w:bCs/>
                <w:color w:val="auto"/>
                <w:sz w:val="24"/>
              </w:rPr>
              <w:t>、与《牛栏江流域（云南部分）水环境保护规划（2009~2030）》的相符性分析</w:t>
            </w:r>
          </w:p>
          <w:p w14:paraId="0538046F">
            <w:pPr>
              <w:spacing w:line="360" w:lineRule="auto"/>
              <w:ind w:firstLine="480" w:firstLineChars="200"/>
              <w:rPr>
                <w:color w:val="auto"/>
                <w:sz w:val="24"/>
              </w:rPr>
            </w:pPr>
            <w:r>
              <w:rPr>
                <w:color w:val="auto"/>
                <w:sz w:val="24"/>
              </w:rPr>
              <w:t>根据《牛栏江流域（云南部分）水环境保护规划（2009~2030）》，牛栏江流域（云南段）水环境保护划分为两大控制区，即牛栏江上游（德泽水库坝址以上）重点保护区、牛栏江下游生态与环境保护区。其中牛栏江上游（德泽水库坝址以上）重点保护区包括水源保护核心区、重点污染控制区、水源涵养区。水源保护核心区包括牛栏江干流水面，河岸外围陆域1000米范围；德泽水库水面，库岸外围陆域2000m范围。涉及乡镇主要有牛栏江镇、塘子镇、河口乡、七星乡、德泽乡，面积为625.3km</w:t>
            </w:r>
            <w:r>
              <w:rPr>
                <w:color w:val="auto"/>
                <w:sz w:val="24"/>
                <w:vertAlign w:val="superscript"/>
              </w:rPr>
              <w:t>2</w:t>
            </w:r>
            <w:r>
              <w:rPr>
                <w:color w:val="auto"/>
                <w:sz w:val="24"/>
              </w:rPr>
              <w:t>，属于重点保护区。重点污染控制区主要是水源保护核心区边界外的坝区。涉及小哨乡、嵩阳镇、小街镇、杨桥乡、羊街镇、金所乡、月望乡、大坡乡、菱角乡、田坝乡十个乡镇，面积1892.56km</w:t>
            </w:r>
            <w:r>
              <w:rPr>
                <w:color w:val="auto"/>
                <w:sz w:val="24"/>
                <w:vertAlign w:val="superscript"/>
              </w:rPr>
              <w:t>2</w:t>
            </w:r>
            <w:r>
              <w:rPr>
                <w:color w:val="auto"/>
                <w:sz w:val="24"/>
              </w:rPr>
              <w:t>，属于污染重点治理区。水源涵养区包括除水源保护核心区、重点污染控制区以外的山地。涉及杨林镇、仁德镇、通泉镇、王家庄镇、马过河镇、旧县镇六个乡镇，面积1764.16km</w:t>
            </w:r>
            <w:r>
              <w:rPr>
                <w:color w:val="auto"/>
                <w:sz w:val="24"/>
                <w:vertAlign w:val="superscript"/>
              </w:rPr>
              <w:t>2</w:t>
            </w:r>
            <w:r>
              <w:rPr>
                <w:color w:val="auto"/>
                <w:sz w:val="24"/>
              </w:rPr>
              <w:t>。</w:t>
            </w:r>
          </w:p>
          <w:p w14:paraId="71345998">
            <w:pPr>
              <w:adjustRightInd w:val="0"/>
              <w:snapToGrid w:val="0"/>
              <w:spacing w:line="360" w:lineRule="auto"/>
              <w:ind w:firstLine="480" w:firstLineChars="200"/>
              <w:rPr>
                <w:color w:val="auto"/>
                <w:sz w:val="24"/>
              </w:rPr>
            </w:pPr>
            <w:r>
              <w:rPr>
                <w:color w:val="auto"/>
                <w:sz w:val="24"/>
              </w:rPr>
              <w:t>项目位于</w:t>
            </w:r>
            <w:r>
              <w:rPr>
                <w:rFonts w:hint="eastAsia"/>
                <w:color w:val="auto"/>
                <w:sz w:val="24"/>
              </w:rPr>
              <w:t>云南省昆明市</w:t>
            </w:r>
            <w:r>
              <w:rPr>
                <w:rFonts w:hint="eastAsia"/>
                <w:color w:val="auto"/>
                <w:sz w:val="24"/>
                <w:lang w:val="en-US" w:eastAsia="zh-CN"/>
              </w:rPr>
              <w:t>寻甸县塘子镇</w:t>
            </w:r>
            <w:r>
              <w:rPr>
                <w:rFonts w:hint="eastAsia"/>
                <w:color w:val="auto"/>
                <w:sz w:val="24"/>
                <w:lang w:eastAsia="zh-CN"/>
              </w:rPr>
              <w:t>云南常青树化工有限公司</w:t>
            </w:r>
            <w:r>
              <w:rPr>
                <w:rFonts w:hint="eastAsia"/>
                <w:color w:val="auto"/>
                <w:sz w:val="24"/>
              </w:rPr>
              <w:t>内</w:t>
            </w:r>
            <w:r>
              <w:rPr>
                <w:color w:val="auto"/>
                <w:sz w:val="24"/>
              </w:rPr>
              <w:t>，根据项目与牛栏江水系</w:t>
            </w:r>
            <w:r>
              <w:rPr>
                <w:rFonts w:hint="eastAsia"/>
                <w:color w:val="auto"/>
                <w:sz w:val="24"/>
              </w:rPr>
              <w:t>环境</w:t>
            </w:r>
            <w:r>
              <w:rPr>
                <w:color w:val="auto"/>
                <w:sz w:val="24"/>
              </w:rPr>
              <w:t>规划图的</w:t>
            </w:r>
            <w:r>
              <w:rPr>
                <w:color w:val="auto"/>
                <w:sz w:val="24"/>
                <w:highlight w:val="none"/>
              </w:rPr>
              <w:t>叠图</w:t>
            </w:r>
            <w:r>
              <w:rPr>
                <w:rFonts w:hint="eastAsia"/>
                <w:color w:val="auto"/>
                <w:sz w:val="24"/>
                <w:highlight w:val="none"/>
              </w:rPr>
              <w:t>（附图</w:t>
            </w:r>
            <w:r>
              <w:rPr>
                <w:rFonts w:hint="eastAsia"/>
                <w:color w:val="auto"/>
                <w:sz w:val="24"/>
                <w:highlight w:val="none"/>
                <w:lang w:val="en-US" w:eastAsia="zh-CN"/>
              </w:rPr>
              <w:t>6</w:t>
            </w:r>
            <w:r>
              <w:rPr>
                <w:rFonts w:hint="eastAsia"/>
                <w:color w:val="auto"/>
                <w:sz w:val="24"/>
                <w:highlight w:val="none"/>
              </w:rPr>
              <w:t>）</w:t>
            </w:r>
            <w:r>
              <w:rPr>
                <w:color w:val="auto"/>
                <w:sz w:val="24"/>
              </w:rPr>
              <w:t>分析可知，项目区属于</w:t>
            </w:r>
            <w:r>
              <w:rPr>
                <w:rFonts w:hint="eastAsia"/>
                <w:color w:val="auto"/>
                <w:sz w:val="24"/>
                <w:lang w:val="en-US" w:eastAsia="zh-CN"/>
              </w:rPr>
              <w:t>水源涵养区</w:t>
            </w:r>
            <w:r>
              <w:rPr>
                <w:color w:val="auto"/>
                <w:sz w:val="24"/>
              </w:rPr>
              <w:t>。规划内禁止行为符合性分析如下：</w:t>
            </w:r>
          </w:p>
          <w:p w14:paraId="17ED2973">
            <w:pPr>
              <w:spacing w:line="360" w:lineRule="auto"/>
              <w:ind w:firstLine="480" w:firstLineChars="200"/>
              <w:rPr>
                <w:color w:val="auto"/>
                <w:sz w:val="24"/>
              </w:rPr>
            </w:pPr>
            <w:r>
              <w:rPr>
                <w:color w:val="auto"/>
                <w:sz w:val="24"/>
              </w:rPr>
              <w:t>（1）规划禁止内容：</w:t>
            </w:r>
          </w:p>
          <w:p w14:paraId="4497FAD4">
            <w:pPr>
              <w:spacing w:line="360" w:lineRule="auto"/>
              <w:ind w:firstLine="480" w:firstLineChars="200"/>
              <w:rPr>
                <w:color w:val="auto"/>
                <w:sz w:val="24"/>
              </w:rPr>
            </w:pPr>
            <w:r>
              <w:rPr>
                <w:color w:val="auto"/>
                <w:sz w:val="24"/>
              </w:rPr>
              <w:fldChar w:fldCharType="begin"/>
            </w:r>
            <w:r>
              <w:rPr>
                <w:color w:val="auto"/>
                <w:sz w:val="24"/>
              </w:rPr>
              <w:instrText xml:space="preserve"> = 1 \* GB3 \* MERGEFORMAT </w:instrText>
            </w:r>
            <w:r>
              <w:rPr>
                <w:color w:val="auto"/>
                <w:sz w:val="24"/>
              </w:rPr>
              <w:fldChar w:fldCharType="separate"/>
            </w:r>
            <w:r>
              <w:rPr>
                <w:rFonts w:hint="eastAsia" w:ascii="宋体" w:hAnsi="宋体" w:cs="宋体"/>
                <w:color w:val="auto"/>
                <w:sz w:val="24"/>
              </w:rPr>
              <w:t>①</w:t>
            </w:r>
            <w:r>
              <w:rPr>
                <w:color w:val="auto"/>
                <w:sz w:val="24"/>
              </w:rPr>
              <w:fldChar w:fldCharType="end"/>
            </w:r>
            <w:r>
              <w:rPr>
                <w:color w:val="auto"/>
                <w:sz w:val="24"/>
              </w:rPr>
              <w:t>水源保护核心区环境保护策略：禁止新增排污口，逐步取消现有排污口，加大城镇污染治理力度，污水处理厂实施深度处理；加强农业农村面源污染防治，大力削减农业农村污染负荷；加快防护林体系建设，构建德泽水库与河流的生态防护廊道；加强环境管理，提高环境监测能力和管理水平。</w:t>
            </w:r>
          </w:p>
          <w:p w14:paraId="7A8F44A9">
            <w:pPr>
              <w:spacing w:line="360" w:lineRule="auto"/>
              <w:ind w:firstLine="480" w:firstLineChars="200"/>
              <w:rPr>
                <w:color w:val="auto"/>
                <w:sz w:val="24"/>
              </w:rPr>
            </w:pPr>
            <w:r>
              <w:rPr>
                <w:color w:val="auto"/>
                <w:sz w:val="24"/>
              </w:rPr>
              <w:fldChar w:fldCharType="begin"/>
            </w:r>
            <w:r>
              <w:rPr>
                <w:color w:val="auto"/>
                <w:sz w:val="24"/>
              </w:rPr>
              <w:instrText xml:space="preserve"> = 2 \* GB3 \* MERGEFORMAT </w:instrText>
            </w:r>
            <w:r>
              <w:rPr>
                <w:color w:val="auto"/>
                <w:sz w:val="24"/>
              </w:rPr>
              <w:fldChar w:fldCharType="separate"/>
            </w:r>
            <w:r>
              <w:rPr>
                <w:rFonts w:hint="eastAsia" w:ascii="宋体" w:hAnsi="宋体" w:cs="宋体"/>
                <w:color w:val="auto"/>
                <w:sz w:val="24"/>
              </w:rPr>
              <w:t>②</w:t>
            </w:r>
            <w:r>
              <w:rPr>
                <w:color w:val="auto"/>
                <w:sz w:val="24"/>
              </w:rPr>
              <w:fldChar w:fldCharType="end"/>
            </w:r>
            <w:r>
              <w:rPr>
                <w:color w:val="auto"/>
                <w:sz w:val="24"/>
              </w:rPr>
              <w:t>在水源保护核心区逐步搬迁、禁止、限批养殖业项目，减少农业污染。</w:t>
            </w:r>
          </w:p>
          <w:p w14:paraId="26EEED2D">
            <w:pPr>
              <w:spacing w:line="360" w:lineRule="auto"/>
              <w:ind w:firstLine="480" w:firstLineChars="200"/>
              <w:rPr>
                <w:color w:val="auto"/>
                <w:sz w:val="24"/>
              </w:rPr>
            </w:pPr>
            <w:r>
              <w:rPr>
                <w:color w:val="auto"/>
                <w:sz w:val="24"/>
              </w:rPr>
              <w:fldChar w:fldCharType="begin"/>
            </w:r>
            <w:r>
              <w:rPr>
                <w:color w:val="auto"/>
                <w:sz w:val="24"/>
              </w:rPr>
              <w:instrText xml:space="preserve"> = 3 \* GB3 \* MERGEFORMAT </w:instrText>
            </w:r>
            <w:r>
              <w:rPr>
                <w:color w:val="auto"/>
                <w:sz w:val="24"/>
              </w:rPr>
              <w:fldChar w:fldCharType="separate"/>
            </w:r>
            <w:r>
              <w:rPr>
                <w:rFonts w:hint="eastAsia" w:ascii="宋体" w:hAnsi="宋体" w:cs="宋体"/>
                <w:color w:val="auto"/>
                <w:sz w:val="24"/>
              </w:rPr>
              <w:t>③</w:t>
            </w:r>
            <w:r>
              <w:rPr>
                <w:color w:val="auto"/>
                <w:sz w:val="24"/>
              </w:rPr>
              <w:fldChar w:fldCharType="end"/>
            </w:r>
            <w:r>
              <w:rPr>
                <w:color w:val="auto"/>
                <w:sz w:val="24"/>
              </w:rPr>
              <w:t>禁止在饮用水水源一、二级保护区内设置排污口，加强水源地的保护和建设。</w:t>
            </w:r>
          </w:p>
          <w:p w14:paraId="2FB2E651">
            <w:pPr>
              <w:spacing w:line="360" w:lineRule="auto"/>
              <w:ind w:firstLine="480" w:firstLineChars="200"/>
              <w:rPr>
                <w:color w:val="auto"/>
                <w:sz w:val="24"/>
              </w:rPr>
            </w:pPr>
            <w:r>
              <w:rPr>
                <w:color w:val="auto"/>
                <w:sz w:val="24"/>
              </w:rPr>
              <w:fldChar w:fldCharType="begin"/>
            </w:r>
            <w:r>
              <w:rPr>
                <w:color w:val="auto"/>
                <w:sz w:val="24"/>
              </w:rPr>
              <w:instrText xml:space="preserve"> = 4 \* GB3 \* MERGEFORMAT </w:instrText>
            </w:r>
            <w:r>
              <w:rPr>
                <w:color w:val="auto"/>
                <w:sz w:val="24"/>
              </w:rPr>
              <w:fldChar w:fldCharType="separate"/>
            </w:r>
            <w:r>
              <w:rPr>
                <w:rFonts w:hint="eastAsia" w:ascii="宋体" w:hAnsi="宋体" w:cs="宋体"/>
                <w:color w:val="auto"/>
                <w:sz w:val="24"/>
              </w:rPr>
              <w:t>④</w:t>
            </w:r>
            <w:r>
              <w:rPr>
                <w:color w:val="auto"/>
                <w:sz w:val="24"/>
              </w:rPr>
              <w:fldChar w:fldCharType="end"/>
            </w:r>
            <w:r>
              <w:rPr>
                <w:color w:val="auto"/>
                <w:sz w:val="24"/>
              </w:rPr>
              <w:t>在调水水源区，制定有利于水环境保护的政策，如企业准入、淘汰政策，禁止使用和销售含磷洗涤用品政策等，鼓励企业迁入工业园区及开展循环经济、低碳经济等，从源头上减少污染物的产生。</w:t>
            </w:r>
          </w:p>
          <w:p w14:paraId="622E059D">
            <w:pPr>
              <w:spacing w:line="360" w:lineRule="auto"/>
              <w:ind w:firstLine="480" w:firstLineChars="200"/>
              <w:rPr>
                <w:color w:val="auto"/>
                <w:sz w:val="24"/>
              </w:rPr>
            </w:pPr>
            <w:r>
              <w:rPr>
                <w:color w:val="auto"/>
                <w:sz w:val="24"/>
              </w:rPr>
              <w:t>符合性：</w:t>
            </w:r>
          </w:p>
          <w:p w14:paraId="4648151E">
            <w:pPr>
              <w:spacing w:line="360" w:lineRule="auto"/>
              <w:ind w:firstLine="480" w:firstLineChars="200"/>
              <w:rPr>
                <w:color w:val="auto"/>
                <w:sz w:val="24"/>
                <w:szCs w:val="24"/>
              </w:rPr>
            </w:pPr>
            <w:r>
              <w:rPr>
                <w:color w:val="auto"/>
                <w:sz w:val="24"/>
              </w:rPr>
              <w:fldChar w:fldCharType="begin"/>
            </w:r>
            <w:r>
              <w:rPr>
                <w:color w:val="auto"/>
                <w:sz w:val="24"/>
              </w:rPr>
              <w:instrText xml:space="preserve"> = 1 \* GB3 \* MERGEFORMAT </w:instrText>
            </w:r>
            <w:r>
              <w:rPr>
                <w:color w:val="auto"/>
                <w:sz w:val="24"/>
              </w:rPr>
              <w:fldChar w:fldCharType="separate"/>
            </w:r>
            <w:r>
              <w:rPr>
                <w:rFonts w:hint="eastAsia" w:ascii="宋体" w:hAnsi="宋体" w:cs="宋体"/>
                <w:color w:val="auto"/>
                <w:sz w:val="24"/>
              </w:rPr>
              <w:t>①</w:t>
            </w:r>
            <w:r>
              <w:rPr>
                <w:color w:val="auto"/>
                <w:sz w:val="24"/>
              </w:rPr>
              <w:fldChar w:fldCharType="end"/>
            </w:r>
            <w:r>
              <w:rPr>
                <w:color w:val="auto"/>
                <w:sz w:val="24"/>
              </w:rPr>
              <w:t>项目不设排污口</w:t>
            </w:r>
            <w:r>
              <w:rPr>
                <w:rFonts w:hint="eastAsia"/>
                <w:color w:val="auto"/>
                <w:sz w:val="24"/>
              </w:rPr>
              <w:t>；</w:t>
            </w:r>
            <w:r>
              <w:rPr>
                <w:rFonts w:hint="eastAsia"/>
                <w:color w:val="auto"/>
                <w:sz w:val="24"/>
                <w:szCs w:val="24"/>
                <w:lang w:val="en-US" w:eastAsia="zh-CN"/>
              </w:rPr>
              <w:t>项目改扩建工程没有新增生活污水，且无生产废水产生</w:t>
            </w:r>
            <w:r>
              <w:rPr>
                <w:rFonts w:hint="eastAsia"/>
                <w:color w:val="auto"/>
                <w:sz w:val="24"/>
                <w:szCs w:val="24"/>
                <w:highlight w:val="none"/>
                <w:lang w:val="en-US" w:eastAsia="zh-CN" w:bidi="ar"/>
              </w:rPr>
              <w:t>。</w:t>
            </w:r>
          </w:p>
          <w:p w14:paraId="0B7F2370">
            <w:pPr>
              <w:spacing w:line="360" w:lineRule="auto"/>
              <w:ind w:firstLine="480" w:firstLineChars="200"/>
              <w:rPr>
                <w:color w:val="auto"/>
                <w:sz w:val="24"/>
              </w:rPr>
            </w:pPr>
            <w:r>
              <w:rPr>
                <w:color w:val="auto"/>
                <w:sz w:val="24"/>
              </w:rPr>
              <w:fldChar w:fldCharType="begin"/>
            </w:r>
            <w:r>
              <w:rPr>
                <w:color w:val="auto"/>
                <w:sz w:val="24"/>
              </w:rPr>
              <w:instrText xml:space="preserve"> = 2 \* GB3 \* MERGEFORMAT </w:instrText>
            </w:r>
            <w:r>
              <w:rPr>
                <w:color w:val="auto"/>
                <w:sz w:val="24"/>
              </w:rPr>
              <w:fldChar w:fldCharType="separate"/>
            </w:r>
            <w:r>
              <w:rPr>
                <w:rFonts w:hint="eastAsia" w:ascii="宋体" w:hAnsi="宋体" w:cs="宋体"/>
                <w:color w:val="auto"/>
                <w:sz w:val="24"/>
              </w:rPr>
              <w:t>②</w:t>
            </w:r>
            <w:r>
              <w:rPr>
                <w:color w:val="auto"/>
                <w:sz w:val="24"/>
              </w:rPr>
              <w:fldChar w:fldCharType="end"/>
            </w:r>
            <w:r>
              <w:rPr>
                <w:color w:val="auto"/>
                <w:sz w:val="24"/>
              </w:rPr>
              <w:t>项目不属于养殖项目。</w:t>
            </w:r>
          </w:p>
          <w:p w14:paraId="15427BAE">
            <w:pPr>
              <w:spacing w:line="360" w:lineRule="auto"/>
              <w:ind w:firstLine="480" w:firstLineChars="200"/>
              <w:rPr>
                <w:color w:val="auto"/>
                <w:sz w:val="24"/>
              </w:rPr>
            </w:pPr>
            <w:r>
              <w:rPr>
                <w:color w:val="auto"/>
                <w:sz w:val="24"/>
              </w:rPr>
              <w:fldChar w:fldCharType="begin"/>
            </w:r>
            <w:r>
              <w:rPr>
                <w:color w:val="auto"/>
                <w:sz w:val="24"/>
              </w:rPr>
              <w:instrText xml:space="preserve"> = 3 \* GB3 \* MERGEFORMAT </w:instrText>
            </w:r>
            <w:r>
              <w:rPr>
                <w:color w:val="auto"/>
                <w:sz w:val="24"/>
              </w:rPr>
              <w:fldChar w:fldCharType="separate"/>
            </w:r>
            <w:r>
              <w:rPr>
                <w:rFonts w:hint="eastAsia" w:ascii="宋体" w:hAnsi="宋体" w:cs="宋体"/>
                <w:color w:val="auto"/>
                <w:sz w:val="24"/>
              </w:rPr>
              <w:t>③</w:t>
            </w:r>
            <w:r>
              <w:rPr>
                <w:color w:val="auto"/>
                <w:sz w:val="24"/>
              </w:rPr>
              <w:fldChar w:fldCharType="end"/>
            </w:r>
            <w:r>
              <w:rPr>
                <w:color w:val="auto"/>
                <w:sz w:val="24"/>
              </w:rPr>
              <w:t>项目不在饮用水水源一、二级保护区内，项目不设排污口。</w:t>
            </w:r>
          </w:p>
          <w:p w14:paraId="4BF99308">
            <w:pPr>
              <w:spacing w:line="360" w:lineRule="auto"/>
              <w:ind w:firstLine="480" w:firstLineChars="200"/>
              <w:rPr>
                <w:color w:val="auto"/>
                <w:sz w:val="24"/>
              </w:rPr>
            </w:pPr>
            <w:r>
              <w:rPr>
                <w:color w:val="auto"/>
                <w:sz w:val="24"/>
              </w:rPr>
              <w:fldChar w:fldCharType="begin"/>
            </w:r>
            <w:r>
              <w:rPr>
                <w:color w:val="auto"/>
                <w:sz w:val="24"/>
              </w:rPr>
              <w:instrText xml:space="preserve"> = 4 \* GB3 \* MERGEFORMAT </w:instrText>
            </w:r>
            <w:r>
              <w:rPr>
                <w:color w:val="auto"/>
                <w:sz w:val="24"/>
              </w:rPr>
              <w:fldChar w:fldCharType="separate"/>
            </w:r>
            <w:r>
              <w:rPr>
                <w:rFonts w:hint="eastAsia" w:ascii="宋体" w:hAnsi="宋体" w:cs="宋体"/>
                <w:color w:val="auto"/>
                <w:sz w:val="24"/>
              </w:rPr>
              <w:t>④</w:t>
            </w:r>
            <w:r>
              <w:rPr>
                <w:color w:val="auto"/>
                <w:sz w:val="24"/>
              </w:rPr>
              <w:fldChar w:fldCharType="end"/>
            </w:r>
            <w:r>
              <w:rPr>
                <w:color w:val="auto"/>
                <w:sz w:val="24"/>
              </w:rPr>
              <w:t>项目不使用和销售含磷洗涤用品，</w:t>
            </w:r>
            <w:r>
              <w:rPr>
                <w:rFonts w:hint="eastAsia"/>
                <w:color w:val="auto"/>
                <w:sz w:val="24"/>
              </w:rPr>
              <w:t>项目为固废综合利用，项目实施提高磷石膏综合利用率，减少固废堆存，降低环境风险，项目实施满足园区循环经济发展原则。</w:t>
            </w:r>
          </w:p>
          <w:p w14:paraId="5BC52166">
            <w:pPr>
              <w:pStyle w:val="23"/>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sz w:val="24"/>
              </w:rPr>
              <w:t>综上所述，项目建设符合《牛栏江流域（云南部分）水环境保护规划（2009~2030）》的相关要求。</w:t>
            </w:r>
          </w:p>
          <w:p w14:paraId="71788E30">
            <w:pPr>
              <w:spacing w:line="360" w:lineRule="auto"/>
              <w:ind w:firstLine="482" w:firstLineChars="200"/>
              <w:rPr>
                <w:rFonts w:hint="default" w:ascii="Times New Roman" w:hAnsi="Times New Roman" w:cs="Times New Roman"/>
                <w:b/>
                <w:bCs/>
                <w:color w:val="auto"/>
                <w:sz w:val="24"/>
                <w:lang w:val="en-US" w:eastAsia="zh-CN"/>
              </w:rPr>
            </w:pPr>
            <w:r>
              <w:rPr>
                <w:rFonts w:hint="eastAsia"/>
                <w:b/>
                <w:bCs/>
                <w:color w:val="auto"/>
                <w:sz w:val="24"/>
                <w:lang w:val="en-US" w:eastAsia="zh-CN"/>
              </w:rPr>
              <w:t>5、与</w:t>
            </w:r>
            <w:r>
              <w:rPr>
                <w:rFonts w:hint="eastAsia" w:ascii="宋体" w:hAnsi="宋体"/>
                <w:b/>
                <w:color w:val="auto"/>
                <w:sz w:val="24"/>
              </w:rPr>
              <w:t>《牛栏江流域（昆明段）水环</w:t>
            </w:r>
            <w:r>
              <w:rPr>
                <w:rFonts w:hint="default" w:ascii="Times New Roman" w:hAnsi="Times New Roman" w:cs="Times New Roman"/>
                <w:b/>
                <w:color w:val="auto"/>
                <w:sz w:val="24"/>
              </w:rPr>
              <w:t>境保护规划（</w:t>
            </w:r>
            <w:r>
              <w:rPr>
                <w:rFonts w:hint="default" w:ascii="Times New Roman" w:hAnsi="Times New Roman" w:eastAsia="宋体" w:cs="Times New Roman"/>
                <w:b/>
                <w:bCs/>
                <w:color w:val="auto"/>
                <w:kern w:val="0"/>
                <w:sz w:val="24"/>
                <w:szCs w:val="24"/>
                <w:highlight w:val="none"/>
              </w:rPr>
              <w:t>20</w:t>
            </w:r>
            <w:r>
              <w:rPr>
                <w:rFonts w:hint="eastAsia" w:cs="Times New Roman"/>
                <w:b/>
                <w:bCs/>
                <w:color w:val="auto"/>
                <w:kern w:val="0"/>
                <w:sz w:val="24"/>
                <w:szCs w:val="24"/>
                <w:highlight w:val="none"/>
                <w:lang w:val="en-US" w:eastAsia="zh-CN"/>
              </w:rPr>
              <w:t>11</w:t>
            </w:r>
            <w:r>
              <w:rPr>
                <w:rFonts w:hint="default" w:ascii="Times New Roman" w:hAnsi="Times New Roman" w:eastAsia="宋体" w:cs="Times New Roman"/>
                <w:b/>
                <w:bCs/>
                <w:color w:val="auto"/>
                <w:kern w:val="0"/>
                <w:sz w:val="24"/>
                <w:szCs w:val="24"/>
                <w:highlight w:val="none"/>
              </w:rPr>
              <w:t>~2030</w:t>
            </w:r>
            <w:r>
              <w:rPr>
                <w:rFonts w:hint="default" w:ascii="Times New Roman" w:hAnsi="Times New Roman" w:cs="Times New Roman"/>
                <w:b/>
                <w:color w:val="auto"/>
                <w:sz w:val="24"/>
              </w:rPr>
              <w:t>年）》</w:t>
            </w:r>
            <w:r>
              <w:rPr>
                <w:rFonts w:hint="default" w:ascii="Times New Roman" w:hAnsi="Times New Roman" w:cs="Times New Roman"/>
                <w:b/>
                <w:bCs/>
                <w:color w:val="auto"/>
                <w:sz w:val="24"/>
              </w:rPr>
              <w:t>的相符性分析</w:t>
            </w:r>
          </w:p>
          <w:p w14:paraId="0783EAA8">
            <w:pPr>
              <w:keepNext w:val="0"/>
              <w:keepLines w:val="0"/>
              <w:suppressLineNumbers w:val="0"/>
              <w:autoSpaceDE w:val="0"/>
              <w:autoSpaceDN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color w:val="auto"/>
                <w:kern w:val="0"/>
                <w:sz w:val="24"/>
                <w:szCs w:val="24"/>
                <w:highlight w:val="none"/>
              </w:rPr>
              <w:t>本项目位于</w:t>
            </w:r>
            <w:r>
              <w:rPr>
                <w:rFonts w:hint="eastAsia" w:ascii="Times New Roman" w:hAnsi="Times New Roman" w:eastAsia="宋体"/>
                <w:bCs w:val="0"/>
                <w:color w:val="auto"/>
                <w:sz w:val="24"/>
                <w:szCs w:val="24"/>
                <w:lang w:eastAsia="zh-CN"/>
              </w:rPr>
              <w:t>云南省昆明市寻甸县塘子镇</w:t>
            </w:r>
            <w:r>
              <w:rPr>
                <w:rFonts w:hint="eastAsia" w:ascii="Times New Roman" w:hAnsi="Times New Roman"/>
                <w:bCs w:val="0"/>
                <w:color w:val="auto"/>
                <w:sz w:val="24"/>
                <w:szCs w:val="24"/>
                <w:lang w:val="en-US" w:eastAsia="zh-CN"/>
              </w:rPr>
              <w:t>云南常青树化工有限公司内</w:t>
            </w:r>
            <w:r>
              <w:rPr>
                <w:rFonts w:hint="default" w:ascii="Times New Roman" w:hAnsi="Times New Roman" w:eastAsia="宋体" w:cs="Times New Roman"/>
                <w:color w:val="auto"/>
                <w:kern w:val="0"/>
                <w:sz w:val="24"/>
                <w:szCs w:val="24"/>
                <w:highlight w:val="none"/>
              </w:rPr>
              <w:t>，根据《牛栏江（</w:t>
            </w:r>
            <w:r>
              <w:rPr>
                <w:rFonts w:hint="eastAsia" w:cs="Times New Roman"/>
                <w:color w:val="auto"/>
                <w:kern w:val="0"/>
                <w:sz w:val="24"/>
                <w:szCs w:val="24"/>
                <w:highlight w:val="none"/>
                <w:lang w:val="en-US" w:eastAsia="zh-CN"/>
              </w:rPr>
              <w:t>昆明</w:t>
            </w:r>
            <w:r>
              <w:rPr>
                <w:rFonts w:hint="default" w:ascii="Times New Roman" w:hAnsi="Times New Roman" w:eastAsia="宋体" w:cs="Times New Roman"/>
                <w:color w:val="auto"/>
                <w:kern w:val="0"/>
                <w:sz w:val="24"/>
                <w:szCs w:val="24"/>
                <w:highlight w:val="none"/>
              </w:rPr>
              <w:t>段）水环境保护规划（2011~2030）》规划图分析可知，本项目属于</w:t>
            </w:r>
            <w:r>
              <w:rPr>
                <w:rFonts w:hint="eastAsia"/>
                <w:color w:val="auto"/>
                <w:sz w:val="24"/>
                <w:lang w:val="en-US" w:eastAsia="zh-CN"/>
              </w:rPr>
              <w:t>水源涵养区</w:t>
            </w:r>
            <w:r>
              <w:rPr>
                <w:rStyle w:val="121"/>
                <w:rFonts w:hint="default" w:ascii="Times New Roman" w:hAnsi="Times New Roman" w:eastAsia="宋体" w:cs="Times New Roman"/>
                <w:color w:val="auto"/>
                <w:sz w:val="24"/>
                <w:highlight w:val="none"/>
              </w:rPr>
              <w:t>。项目选址与</w:t>
            </w:r>
            <w:r>
              <w:rPr>
                <w:rFonts w:hint="default" w:ascii="Times New Roman" w:hAnsi="Times New Roman" w:eastAsia="宋体" w:cs="Times New Roman"/>
                <w:color w:val="auto"/>
                <w:kern w:val="0"/>
                <w:sz w:val="24"/>
                <w:szCs w:val="24"/>
                <w:highlight w:val="none"/>
              </w:rPr>
              <w:t>《牛栏江（</w:t>
            </w:r>
            <w:r>
              <w:rPr>
                <w:rFonts w:hint="eastAsia" w:cs="Times New Roman"/>
                <w:color w:val="auto"/>
                <w:kern w:val="0"/>
                <w:sz w:val="24"/>
                <w:szCs w:val="24"/>
                <w:highlight w:val="none"/>
                <w:lang w:val="en-US" w:eastAsia="zh-CN"/>
              </w:rPr>
              <w:t>昆明</w:t>
            </w:r>
            <w:r>
              <w:rPr>
                <w:rFonts w:hint="default" w:ascii="Times New Roman" w:hAnsi="Times New Roman" w:eastAsia="宋体" w:cs="Times New Roman"/>
                <w:color w:val="auto"/>
                <w:kern w:val="0"/>
                <w:sz w:val="24"/>
                <w:szCs w:val="24"/>
                <w:highlight w:val="none"/>
              </w:rPr>
              <w:t>段）水环境保护规划（2</w:t>
            </w:r>
            <w:r>
              <w:rPr>
                <w:rFonts w:hint="eastAsia" w:cs="Times New Roman"/>
                <w:color w:val="auto"/>
                <w:kern w:val="0"/>
                <w:sz w:val="24"/>
                <w:szCs w:val="24"/>
                <w:highlight w:val="none"/>
                <w:lang w:val="en-US" w:eastAsia="zh-CN"/>
              </w:rPr>
              <w:t>011</w:t>
            </w:r>
            <w:r>
              <w:rPr>
                <w:rFonts w:hint="default" w:ascii="Times New Roman" w:hAnsi="Times New Roman" w:eastAsia="宋体" w:cs="Times New Roman"/>
                <w:color w:val="auto"/>
                <w:kern w:val="0"/>
                <w:sz w:val="24"/>
                <w:szCs w:val="24"/>
                <w:highlight w:val="none"/>
              </w:rPr>
              <w:t>~2030）》符合性分析详见</w:t>
            </w:r>
            <w:r>
              <w:rPr>
                <w:rFonts w:hint="eastAsia" w:cs="Times New Roman"/>
                <w:color w:val="auto"/>
                <w:kern w:val="0"/>
                <w:sz w:val="24"/>
                <w:szCs w:val="24"/>
                <w:highlight w:val="none"/>
                <w:lang w:val="en-US" w:eastAsia="zh-CN"/>
              </w:rPr>
              <w:t>下表</w:t>
            </w:r>
            <w:r>
              <w:rPr>
                <w:rFonts w:hint="default" w:ascii="Times New Roman" w:hAnsi="Times New Roman" w:eastAsia="宋体" w:cs="Times New Roman"/>
                <w:color w:val="auto"/>
                <w:kern w:val="0"/>
                <w:sz w:val="24"/>
                <w:szCs w:val="24"/>
                <w:highlight w:val="none"/>
              </w:rPr>
              <w:t>。</w:t>
            </w:r>
          </w:p>
          <w:p w14:paraId="0A2AF35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bCs/>
                <w:color w:val="auto"/>
                <w:kern w:val="0"/>
                <w:sz w:val="24"/>
                <w:szCs w:val="24"/>
                <w:highlight w:val="none"/>
              </w:rPr>
              <w:t>表</w:t>
            </w:r>
            <w:r>
              <w:rPr>
                <w:rFonts w:hint="eastAsia" w:ascii="Times New Roman" w:hAnsi="Times New Roman" w:eastAsia="宋体" w:cs="Times New Roman"/>
                <w:b/>
                <w:bCs/>
                <w:color w:val="auto"/>
                <w:kern w:val="0"/>
                <w:sz w:val="24"/>
                <w:szCs w:val="24"/>
                <w:highlight w:val="none"/>
                <w:lang w:val="en-US" w:eastAsia="zh-CN"/>
              </w:rPr>
              <w:t>1</w:t>
            </w:r>
            <w:r>
              <w:rPr>
                <w:rFonts w:hint="default" w:ascii="Times New Roman" w:hAnsi="Times New Roman" w:eastAsia="宋体" w:cs="Times New Roman"/>
                <w:b/>
                <w:bCs/>
                <w:color w:val="auto"/>
                <w:kern w:val="0"/>
                <w:sz w:val="24"/>
                <w:szCs w:val="24"/>
                <w:highlight w:val="none"/>
              </w:rPr>
              <w:t>-</w:t>
            </w:r>
            <w:r>
              <w:rPr>
                <w:rFonts w:hint="eastAsia" w:cs="Times New Roman"/>
                <w:b/>
                <w:bCs/>
                <w:color w:val="auto"/>
                <w:kern w:val="0"/>
                <w:sz w:val="24"/>
                <w:szCs w:val="24"/>
                <w:highlight w:val="none"/>
                <w:lang w:val="en-US" w:eastAsia="zh-CN"/>
              </w:rPr>
              <w:t>5</w:t>
            </w:r>
            <w:r>
              <w:rPr>
                <w:rFonts w:hint="default" w:ascii="Times New Roman" w:hAnsi="Times New Roman" w:eastAsia="宋体" w:cs="Times New Roman"/>
                <w:b/>
                <w:bCs/>
                <w:color w:val="auto"/>
                <w:kern w:val="0"/>
                <w:sz w:val="24"/>
                <w:szCs w:val="24"/>
                <w:highlight w:val="none"/>
              </w:rPr>
              <w:t xml:space="preserve">  项目选址与《牛栏江流域（</w:t>
            </w:r>
            <w:r>
              <w:rPr>
                <w:rFonts w:hint="eastAsia" w:cs="Times New Roman"/>
                <w:b/>
                <w:bCs/>
                <w:color w:val="auto"/>
                <w:kern w:val="0"/>
                <w:sz w:val="24"/>
                <w:szCs w:val="24"/>
                <w:highlight w:val="none"/>
                <w:lang w:val="en-US" w:eastAsia="zh-CN"/>
              </w:rPr>
              <w:t>昆明</w:t>
            </w:r>
            <w:r>
              <w:rPr>
                <w:rFonts w:hint="default" w:ascii="Times New Roman" w:hAnsi="Times New Roman" w:eastAsia="宋体" w:cs="Times New Roman"/>
                <w:b/>
                <w:bCs/>
                <w:color w:val="auto"/>
                <w:kern w:val="0"/>
                <w:sz w:val="24"/>
                <w:szCs w:val="24"/>
                <w:highlight w:val="none"/>
              </w:rPr>
              <w:t>段）水环境保护规划》对照分析</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
              <w:gridCol w:w="2553"/>
              <w:gridCol w:w="3422"/>
              <w:gridCol w:w="713"/>
            </w:tblGrid>
            <w:tr w14:paraId="62B92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39" w:type="pct"/>
                  <w:noWrap w:val="0"/>
                  <w:vAlign w:val="center"/>
                </w:tcPr>
                <w:p w14:paraId="183B66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779" w:type="pct"/>
                  <w:noWrap w:val="0"/>
                  <w:vAlign w:val="center"/>
                </w:tcPr>
                <w:p w14:paraId="25B78C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《牛栏江流域（</w:t>
                  </w:r>
                  <w:r>
                    <w:rPr>
                      <w:rFonts w:hint="default" w:ascii="Times New Roman" w:hAnsi="Times New Roman" w:eastAsia="宋体" w:cs="Times New Roman"/>
                      <w:color w:val="auto"/>
                      <w:sz w:val="21"/>
                      <w:szCs w:val="21"/>
                      <w:highlight w:val="none"/>
                      <w:lang w:val="en-US" w:eastAsia="zh-CN"/>
                    </w:rPr>
                    <w:t>昆明</w:t>
                  </w:r>
                  <w:r>
                    <w:rPr>
                      <w:rFonts w:hint="default" w:ascii="Times New Roman" w:hAnsi="Times New Roman" w:eastAsia="宋体" w:cs="Times New Roman"/>
                      <w:color w:val="auto"/>
                      <w:sz w:val="21"/>
                      <w:szCs w:val="21"/>
                      <w:highlight w:val="none"/>
                    </w:rPr>
                    <w:t>段）水环境保护规划》选址条件</w:t>
                  </w:r>
                </w:p>
              </w:tc>
              <w:tc>
                <w:tcPr>
                  <w:tcW w:w="2384" w:type="pct"/>
                  <w:noWrap w:val="0"/>
                  <w:vAlign w:val="center"/>
                </w:tcPr>
                <w:p w14:paraId="591909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本项目实际情况</w:t>
                  </w:r>
                </w:p>
              </w:tc>
              <w:tc>
                <w:tcPr>
                  <w:tcW w:w="497" w:type="pct"/>
                  <w:noWrap w:val="0"/>
                  <w:vAlign w:val="center"/>
                </w:tcPr>
                <w:p w14:paraId="3B9653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符合性</w:t>
                  </w:r>
                </w:p>
              </w:tc>
            </w:tr>
            <w:tr w14:paraId="7A142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339" w:type="pct"/>
                  <w:vMerge w:val="restart"/>
                  <w:noWrap w:val="0"/>
                  <w:vAlign w:val="center"/>
                </w:tcPr>
                <w:p w14:paraId="1386DB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779" w:type="pct"/>
                  <w:noWrap w:val="0"/>
                  <w:vAlign w:val="center"/>
                </w:tcPr>
                <w:p w14:paraId="7A032F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加强对重点工业污染源的监督，确保牛栏江流域（</w:t>
                  </w:r>
                  <w:r>
                    <w:rPr>
                      <w:rFonts w:hint="default" w:ascii="Times New Roman" w:hAnsi="Times New Roman" w:eastAsia="宋体" w:cs="Times New Roman"/>
                      <w:color w:val="auto"/>
                      <w:sz w:val="21"/>
                      <w:szCs w:val="21"/>
                      <w:highlight w:val="none"/>
                      <w:lang w:val="en-US" w:eastAsia="zh-CN"/>
                    </w:rPr>
                    <w:t>昆明</w:t>
                  </w:r>
                  <w:r>
                    <w:rPr>
                      <w:rFonts w:hint="default" w:ascii="Times New Roman" w:hAnsi="Times New Roman" w:eastAsia="宋体" w:cs="Times New Roman"/>
                      <w:color w:val="auto"/>
                      <w:sz w:val="21"/>
                      <w:szCs w:val="21"/>
                      <w:highlight w:val="none"/>
                    </w:rPr>
                    <w:t>段）内重点企业污水稳定达标排放并实现“零排放”。</w:t>
                  </w:r>
                </w:p>
              </w:tc>
              <w:tc>
                <w:tcPr>
                  <w:tcW w:w="2384" w:type="pct"/>
                  <w:noWrap w:val="0"/>
                  <w:vAlign w:val="center"/>
                </w:tcPr>
                <w:p w14:paraId="791606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color w:val="auto"/>
                      <w:sz w:val="21"/>
                      <w:szCs w:val="21"/>
                      <w:lang w:val="en-US" w:eastAsia="zh-CN"/>
                    </w:rPr>
                    <w:t>项目改扩建工程没有新增生活污水，且无生产废水产生。</w:t>
                  </w:r>
                </w:p>
              </w:tc>
              <w:tc>
                <w:tcPr>
                  <w:tcW w:w="497" w:type="pct"/>
                  <w:noWrap w:val="0"/>
                  <w:vAlign w:val="center"/>
                </w:tcPr>
                <w:p w14:paraId="312521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441A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7" w:hRule="atLeast"/>
                <w:jc w:val="center"/>
              </w:trPr>
              <w:tc>
                <w:tcPr>
                  <w:tcW w:w="339" w:type="pct"/>
                  <w:vMerge w:val="continue"/>
                  <w:noWrap w:val="0"/>
                  <w:vAlign w:val="center"/>
                </w:tcPr>
                <w:p w14:paraId="0AF8F3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779" w:type="pct"/>
                  <w:noWrap w:val="0"/>
                  <w:vAlign w:val="center"/>
                </w:tcPr>
                <w:p w14:paraId="36173F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固体废弃物最大程度重复利用和安全处置，消除工业企业的环境安全隐患，确保环保设施的正常运行，杜绝工业企业偷排、漏排污染物的现象。</w:t>
                  </w:r>
                </w:p>
              </w:tc>
              <w:tc>
                <w:tcPr>
                  <w:tcW w:w="2384" w:type="pct"/>
                  <w:noWrap w:val="0"/>
                  <w:vAlign w:val="center"/>
                </w:tcPr>
                <w:p w14:paraId="73207B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宋体" w:hAnsi="宋体"/>
                      <w:color w:val="auto"/>
                      <w:sz w:val="21"/>
                      <w:szCs w:val="21"/>
                      <w:highlight w:val="none"/>
                    </w:rPr>
                    <w:t>项目布袋除尘器收尘灰回用于生产</w:t>
                  </w:r>
                  <w:r>
                    <w:rPr>
                      <w:rFonts w:hint="eastAsia" w:ascii="宋体" w:hAnsi="宋体"/>
                      <w:color w:val="auto"/>
                      <w:sz w:val="21"/>
                      <w:szCs w:val="21"/>
                      <w:highlight w:val="none"/>
                      <w:lang w:eastAsia="zh-CN"/>
                    </w:rPr>
                    <w:t>；</w:t>
                  </w:r>
                  <w:r>
                    <w:rPr>
                      <w:rFonts w:hint="eastAsia" w:ascii="宋体" w:hAnsi="宋体"/>
                      <w:color w:val="auto"/>
                      <w:sz w:val="21"/>
                      <w:szCs w:val="21"/>
                      <w:highlight w:val="none"/>
                    </w:rPr>
                    <w:t>项目机修废油暂存于</w:t>
                  </w:r>
                  <w:r>
                    <w:rPr>
                      <w:rFonts w:hint="eastAsia" w:ascii="宋体" w:hAnsi="宋体"/>
                      <w:color w:val="auto"/>
                      <w:sz w:val="21"/>
                      <w:szCs w:val="21"/>
                      <w:highlight w:val="none"/>
                      <w:lang w:eastAsia="zh-CN"/>
                    </w:rPr>
                    <w:t>云南常青树化工有限公司</w:t>
                  </w:r>
                  <w:r>
                    <w:rPr>
                      <w:rFonts w:hint="eastAsia" w:ascii="宋体" w:hAnsi="宋体"/>
                      <w:color w:val="auto"/>
                      <w:sz w:val="21"/>
                      <w:szCs w:val="21"/>
                      <w:highlight w:val="none"/>
                    </w:rPr>
                    <w:t>危废暂存间，委托</w:t>
                  </w:r>
                  <w:r>
                    <w:rPr>
                      <w:rFonts w:hint="eastAsia" w:ascii="宋体" w:hAnsi="宋体"/>
                      <w:color w:val="auto"/>
                      <w:sz w:val="21"/>
                      <w:szCs w:val="21"/>
                      <w:highlight w:val="none"/>
                      <w:lang w:eastAsia="zh-CN"/>
                    </w:rPr>
                    <w:t>云南协快再生资源回收有限公司</w:t>
                  </w:r>
                  <w:r>
                    <w:rPr>
                      <w:rFonts w:hint="eastAsia" w:ascii="宋体" w:hAnsi="宋体"/>
                      <w:color w:val="auto"/>
                      <w:sz w:val="21"/>
                      <w:szCs w:val="21"/>
                      <w:highlight w:val="none"/>
                    </w:rPr>
                    <w:t>处理。</w:t>
                  </w:r>
                  <w:r>
                    <w:rPr>
                      <w:rFonts w:hint="default" w:ascii="Times New Roman" w:hAnsi="Times New Roman" w:eastAsia="宋体" w:cs="Times New Roman"/>
                      <w:color w:val="auto"/>
                      <w:sz w:val="21"/>
                      <w:szCs w:val="21"/>
                      <w:highlight w:val="none"/>
                    </w:rPr>
                    <w:t>固废处置率为100%</w:t>
                  </w:r>
                  <w:r>
                    <w:rPr>
                      <w:rFonts w:hint="eastAsia" w:cs="Times New Roman"/>
                      <w:color w:val="auto"/>
                      <w:sz w:val="21"/>
                      <w:szCs w:val="21"/>
                      <w:highlight w:val="none"/>
                      <w:lang w:eastAsia="zh-CN"/>
                    </w:rPr>
                    <w:t>。</w:t>
                  </w:r>
                </w:p>
              </w:tc>
              <w:tc>
                <w:tcPr>
                  <w:tcW w:w="497" w:type="pct"/>
                  <w:noWrap w:val="0"/>
                  <w:vAlign w:val="center"/>
                </w:tcPr>
                <w:p w14:paraId="7F65DC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27E05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339" w:type="pct"/>
                  <w:noWrap w:val="0"/>
                  <w:vAlign w:val="center"/>
                </w:tcPr>
                <w:p w14:paraId="2B7296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779" w:type="pct"/>
                  <w:noWrap w:val="0"/>
                  <w:vAlign w:val="center"/>
                </w:tcPr>
                <w:p w14:paraId="406260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shd w:val="clear" w:color="auto" w:fill="auto"/>
                    </w:rPr>
                    <w:t>建设再</w:t>
                  </w:r>
                  <w:r>
                    <w:rPr>
                      <w:rFonts w:hint="eastAsia" w:cs="Times New Roman"/>
                      <w:color w:val="auto"/>
                      <w:sz w:val="21"/>
                      <w:szCs w:val="21"/>
                      <w:highlight w:val="none"/>
                      <w:shd w:val="clear" w:color="auto" w:fill="auto"/>
                      <w:lang w:eastAsia="zh-CN"/>
                    </w:rPr>
                    <w:t>自来水</w:t>
                  </w:r>
                  <w:r>
                    <w:rPr>
                      <w:rFonts w:hint="default" w:ascii="Times New Roman" w:hAnsi="Times New Roman" w:eastAsia="宋体" w:cs="Times New Roman"/>
                      <w:color w:val="auto"/>
                      <w:sz w:val="21"/>
                      <w:szCs w:val="21"/>
                      <w:highlight w:val="none"/>
                      <w:shd w:val="clear" w:color="auto" w:fill="auto"/>
                    </w:rPr>
                    <w:t>回用系统，污染控制区内不得建设不符合国家产业政策的工业项目及高污染工业项目</w:t>
                  </w:r>
                  <w:r>
                    <w:rPr>
                      <w:rFonts w:hint="eastAsia" w:cs="Times New Roman"/>
                      <w:color w:val="auto"/>
                      <w:sz w:val="21"/>
                      <w:szCs w:val="21"/>
                      <w:highlight w:val="none"/>
                      <w:shd w:val="clear" w:color="auto" w:fill="auto"/>
                      <w:lang w:eastAsia="zh-CN"/>
                    </w:rPr>
                    <w:t>。</w:t>
                  </w:r>
                </w:p>
              </w:tc>
              <w:tc>
                <w:tcPr>
                  <w:tcW w:w="2384" w:type="pct"/>
                  <w:noWrap w:val="0"/>
                  <w:vAlign w:val="center"/>
                </w:tcPr>
                <w:p w14:paraId="286029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项目不属于高污染工业项目，</w:t>
                  </w:r>
                  <w:r>
                    <w:rPr>
                      <w:rStyle w:val="68"/>
                      <w:rFonts w:hint="eastAsia" w:eastAsia="宋体" w:cs="Times New Roman"/>
                      <w:color w:val="auto"/>
                      <w:sz w:val="21"/>
                      <w:szCs w:val="21"/>
                      <w:highlight w:val="none"/>
                      <w:lang w:val="en-US" w:eastAsia="zh-CN"/>
                    </w:rPr>
                    <w:t>属于鼓励类项目</w:t>
                  </w:r>
                  <w:r>
                    <w:rPr>
                      <w:rFonts w:hint="default" w:ascii="Times New Roman" w:hAnsi="Times New Roman" w:eastAsia="宋体" w:cs="Times New Roman"/>
                      <w:color w:val="auto"/>
                      <w:sz w:val="21"/>
                      <w:szCs w:val="21"/>
                      <w:highlight w:val="none"/>
                    </w:rPr>
                    <w:t>，符合国家产业政策</w:t>
                  </w:r>
                  <w:r>
                    <w:rPr>
                      <w:rFonts w:hint="eastAsia" w:cs="Times New Roman"/>
                      <w:color w:val="auto"/>
                      <w:sz w:val="21"/>
                      <w:szCs w:val="21"/>
                      <w:highlight w:val="none"/>
                      <w:lang w:eastAsia="zh-CN"/>
                    </w:rPr>
                    <w:t>。</w:t>
                  </w:r>
                </w:p>
              </w:tc>
              <w:tc>
                <w:tcPr>
                  <w:tcW w:w="497" w:type="pct"/>
                  <w:noWrap w:val="0"/>
                  <w:vAlign w:val="center"/>
                </w:tcPr>
                <w:p w14:paraId="277FF4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0F6A9240">
            <w:pPr>
              <w:spacing w:line="360" w:lineRule="auto"/>
              <w:ind w:firstLine="480" w:firstLineChars="200"/>
              <w:rPr>
                <w:rFonts w:hint="eastAsia"/>
                <w:b/>
                <w:bCs/>
                <w:color w:val="auto"/>
                <w:sz w:val="24"/>
                <w:lang w:val="en-US" w:eastAsia="zh-CN"/>
              </w:rPr>
            </w:pPr>
            <w:r>
              <w:rPr>
                <w:rFonts w:hint="default" w:ascii="Times New Roman" w:hAnsi="Times New Roman" w:cs="Times New Roman"/>
                <w:color w:val="auto"/>
                <w:sz w:val="24"/>
                <w:szCs w:val="24"/>
                <w:highlight w:val="none"/>
                <w:lang w:val="en-US" w:eastAsia="zh-CN"/>
              </w:rPr>
              <w:t>综上所述，项目</w:t>
            </w:r>
            <w:r>
              <w:rPr>
                <w:rFonts w:hint="eastAsia" w:ascii="Times New Roman" w:hAnsi="Times New Roman" w:cs="Times New Roman"/>
                <w:color w:val="auto"/>
                <w:sz w:val="24"/>
                <w:szCs w:val="24"/>
                <w:highlight w:val="none"/>
                <w:lang w:val="en-US" w:eastAsia="zh-CN"/>
              </w:rPr>
              <w:t>与</w:t>
            </w:r>
            <w:r>
              <w:rPr>
                <w:rFonts w:hint="default" w:ascii="Times New Roman" w:hAnsi="Times New Roman" w:cs="Times New Roman"/>
                <w:color w:val="auto"/>
                <w:sz w:val="24"/>
                <w:szCs w:val="24"/>
                <w:highlight w:val="none"/>
                <w:lang w:val="en-US" w:eastAsia="zh-CN"/>
              </w:rPr>
              <w:t>《牛栏江（昆明段）水环境保护规划（2011~2030）》</w:t>
            </w:r>
            <w:r>
              <w:rPr>
                <w:rFonts w:hint="eastAsia" w:ascii="Times New Roman" w:hAnsi="Times New Roman" w:cs="Times New Roman"/>
                <w:color w:val="auto"/>
                <w:sz w:val="24"/>
                <w:szCs w:val="24"/>
                <w:highlight w:val="none"/>
                <w:lang w:val="en-US" w:eastAsia="zh-CN"/>
              </w:rPr>
              <w:t>相符</w:t>
            </w:r>
            <w:r>
              <w:rPr>
                <w:rFonts w:hint="default" w:ascii="Times New Roman" w:hAnsi="Times New Roman" w:cs="Times New Roman"/>
                <w:color w:val="auto"/>
                <w:sz w:val="24"/>
                <w:szCs w:val="24"/>
                <w:highlight w:val="none"/>
                <w:lang w:val="en-US" w:eastAsia="zh-CN"/>
              </w:rPr>
              <w:t>。</w:t>
            </w:r>
          </w:p>
          <w:p w14:paraId="3155E5B3">
            <w:pPr>
              <w:spacing w:line="360" w:lineRule="auto"/>
              <w:ind w:firstLine="482" w:firstLineChars="200"/>
              <w:rPr>
                <w:rFonts w:hint="eastAsia"/>
                <w:b w:val="0"/>
                <w:bCs w:val="0"/>
                <w:color w:val="auto"/>
                <w:sz w:val="24"/>
              </w:rPr>
            </w:pPr>
            <w:r>
              <w:rPr>
                <w:rFonts w:hint="eastAsia"/>
                <w:b/>
                <w:bCs/>
                <w:color w:val="auto"/>
                <w:sz w:val="24"/>
                <w:lang w:val="en-US" w:eastAsia="zh-CN"/>
              </w:rPr>
              <w:t>6</w:t>
            </w:r>
            <w:r>
              <w:rPr>
                <w:b/>
                <w:bCs/>
                <w:color w:val="auto"/>
                <w:sz w:val="24"/>
              </w:rPr>
              <w:t>、与《牛栏江流域（</w:t>
            </w:r>
            <w:r>
              <w:rPr>
                <w:rFonts w:hint="eastAsia"/>
                <w:b/>
                <w:bCs/>
                <w:color w:val="auto"/>
                <w:sz w:val="24"/>
                <w:lang w:val="en-US" w:eastAsia="zh-CN"/>
              </w:rPr>
              <w:t>寻甸段</w:t>
            </w:r>
            <w:r>
              <w:rPr>
                <w:b/>
                <w:bCs/>
                <w:color w:val="auto"/>
                <w:sz w:val="24"/>
              </w:rPr>
              <w:t>）水环境保护规划（20</w:t>
            </w:r>
            <w:r>
              <w:rPr>
                <w:rFonts w:hint="eastAsia"/>
                <w:b/>
                <w:bCs/>
                <w:color w:val="auto"/>
                <w:sz w:val="24"/>
                <w:lang w:val="en-US" w:eastAsia="zh-CN"/>
              </w:rPr>
              <w:t>11</w:t>
            </w:r>
            <w:r>
              <w:rPr>
                <w:b/>
                <w:bCs/>
                <w:color w:val="auto"/>
                <w:sz w:val="24"/>
              </w:rPr>
              <w:t>~2030）》的相符性分析</w:t>
            </w:r>
          </w:p>
          <w:p w14:paraId="491C9081">
            <w:pPr>
              <w:spacing w:line="360" w:lineRule="auto"/>
              <w:ind w:firstLine="480" w:firstLineChars="200"/>
              <w:rPr>
                <w:rFonts w:hint="eastAsia"/>
                <w:b w:val="0"/>
                <w:bCs w:val="0"/>
                <w:color w:val="auto"/>
                <w:sz w:val="24"/>
              </w:rPr>
            </w:pPr>
            <w:r>
              <w:rPr>
                <w:rFonts w:hint="default"/>
                <w:color w:val="auto"/>
                <w:kern w:val="0"/>
                <w:sz w:val="24"/>
                <w:highlight w:val="none"/>
              </w:rPr>
              <w:t>根据《牛栏江流域（寻甸段）水环境保护规划》分区结果，牛栏江流域（寻甸段）共分为三个区进行保护，水源保护核心区、重点污染控制区、重点水源涵养区，各分区范围节点如下：</w:t>
            </w:r>
          </w:p>
          <w:p w14:paraId="7767F758">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color w:val="auto"/>
                <w:kern w:val="0"/>
                <w:sz w:val="24"/>
                <w:highlight w:val="none"/>
              </w:rPr>
            </w:pPr>
            <w:r>
              <w:rPr>
                <w:rFonts w:hint="default"/>
                <w:color w:val="auto"/>
                <w:kern w:val="0"/>
                <w:sz w:val="24"/>
                <w:highlight w:val="none"/>
              </w:rPr>
              <w:t>①水源保护核心区范围为牛栏江流域（寻甸段）干流1000m范围。水源保护核心区分为禁止建设区、限制建设区两个区，禁止建设区范围指干流河面水域及沿岸外延200m的区域，限制建设区范围指干流沿岸外200m—1000m之间的区域。</w:t>
            </w:r>
          </w:p>
          <w:p w14:paraId="5FD68D49">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color w:val="auto"/>
                <w:kern w:val="0"/>
                <w:sz w:val="24"/>
                <w:highlight w:val="none"/>
              </w:rPr>
            </w:pPr>
            <w:r>
              <w:rPr>
                <w:rFonts w:hint="default"/>
                <w:color w:val="auto"/>
                <w:kern w:val="0"/>
                <w:sz w:val="24"/>
                <w:highlight w:val="none"/>
              </w:rPr>
              <w:t>②重点污染控制区范围指水体保护核心区外，主要入江支流水域外延3000m的区域和流域范围内的坝区，若区域范围超过一级山脊，按一级山脊线划定。</w:t>
            </w:r>
          </w:p>
          <w:p w14:paraId="1506B95A">
            <w:pPr>
              <w:spacing w:line="360" w:lineRule="auto"/>
              <w:ind w:firstLine="480" w:firstLineChars="200"/>
              <w:rPr>
                <w:rFonts w:hint="eastAsia"/>
                <w:b w:val="0"/>
                <w:bCs w:val="0"/>
                <w:color w:val="auto"/>
                <w:sz w:val="24"/>
              </w:rPr>
            </w:pPr>
            <w:r>
              <w:rPr>
                <w:rFonts w:hint="default"/>
                <w:color w:val="auto"/>
                <w:kern w:val="0"/>
                <w:sz w:val="24"/>
                <w:highlight w:val="none"/>
              </w:rPr>
              <w:t>③重点水源涵养区范围指流域范围内除水源保护核心区、重点污染控制区以外的区域。</w:t>
            </w:r>
          </w:p>
          <w:p w14:paraId="47C6F23E">
            <w:pPr>
              <w:spacing w:line="360" w:lineRule="auto"/>
              <w:ind w:firstLine="480" w:firstLineChars="200"/>
              <w:rPr>
                <w:rFonts w:hint="eastAsia" w:eastAsia="宋体"/>
                <w:b w:val="0"/>
                <w:bCs w:val="0"/>
                <w:color w:val="auto"/>
                <w:sz w:val="24"/>
                <w:lang w:eastAsia="zh-CN"/>
              </w:rPr>
            </w:pPr>
            <w:r>
              <w:rPr>
                <w:rFonts w:hint="eastAsia"/>
                <w:b w:val="0"/>
                <w:bCs w:val="0"/>
                <w:color w:val="auto"/>
                <w:sz w:val="24"/>
              </w:rPr>
              <w:t>本项目位于</w:t>
            </w:r>
            <w:r>
              <w:rPr>
                <w:rFonts w:hint="eastAsia" w:ascii="Times New Roman" w:hAnsi="Times New Roman" w:eastAsia="宋体"/>
                <w:bCs w:val="0"/>
                <w:color w:val="auto"/>
                <w:sz w:val="24"/>
                <w:szCs w:val="24"/>
                <w:lang w:eastAsia="zh-CN"/>
              </w:rPr>
              <w:t>云南省昆明市寻甸县塘子镇</w:t>
            </w:r>
            <w:r>
              <w:rPr>
                <w:rFonts w:hint="eastAsia" w:ascii="Times New Roman" w:hAnsi="Times New Roman"/>
                <w:bCs w:val="0"/>
                <w:color w:val="auto"/>
                <w:sz w:val="24"/>
                <w:szCs w:val="24"/>
                <w:lang w:val="en-US" w:eastAsia="zh-CN"/>
              </w:rPr>
              <w:t>云南常青树化工有限公司内</w:t>
            </w:r>
            <w:r>
              <w:rPr>
                <w:rFonts w:hint="default" w:ascii="Times New Roman" w:hAnsi="Times New Roman" w:eastAsia="宋体" w:cs="Times New Roman"/>
                <w:color w:val="auto"/>
                <w:kern w:val="0"/>
                <w:sz w:val="24"/>
                <w:szCs w:val="24"/>
                <w:highlight w:val="none"/>
              </w:rPr>
              <w:t>，</w:t>
            </w:r>
            <w:r>
              <w:rPr>
                <w:rFonts w:hint="eastAsia"/>
                <w:b w:val="0"/>
                <w:bCs w:val="0"/>
                <w:color w:val="auto"/>
                <w:sz w:val="24"/>
              </w:rPr>
              <w:t>距离</w:t>
            </w:r>
            <w:r>
              <w:rPr>
                <w:rFonts w:hint="eastAsia"/>
                <w:b w:val="0"/>
                <w:bCs w:val="0"/>
                <w:color w:val="auto"/>
                <w:sz w:val="24"/>
                <w:lang w:val="en-US" w:eastAsia="zh-CN"/>
              </w:rPr>
              <w:t>牛栏江约1.1km</w:t>
            </w:r>
            <w:r>
              <w:rPr>
                <w:rFonts w:hint="eastAsia"/>
                <w:b w:val="0"/>
                <w:bCs w:val="0"/>
                <w:color w:val="auto"/>
                <w:sz w:val="24"/>
              </w:rPr>
              <w:t>，项目所在地属于牛栏江流域（寻甸段）水环境保护规划（2011~2030）》中</w:t>
            </w:r>
            <w:r>
              <w:rPr>
                <w:rFonts w:hint="default"/>
                <w:color w:val="auto"/>
                <w:kern w:val="0"/>
                <w:sz w:val="24"/>
                <w:highlight w:val="none"/>
              </w:rPr>
              <w:t>重点水源涵养区</w:t>
            </w:r>
            <w:r>
              <w:rPr>
                <w:rFonts w:hint="eastAsia"/>
                <w:color w:val="auto"/>
                <w:kern w:val="0"/>
                <w:sz w:val="24"/>
                <w:highlight w:val="none"/>
                <w:lang w:eastAsia="zh-CN"/>
              </w:rPr>
              <w:t>。</w:t>
            </w:r>
          </w:p>
          <w:p w14:paraId="2274E345">
            <w:pPr>
              <w:keepNext w:val="0"/>
              <w:keepLines w:val="0"/>
              <w:suppressLineNumbers w:val="0"/>
              <w:autoSpaceDE w:val="0"/>
              <w:autoSpaceDN w:val="0"/>
              <w:adjustRightInd w:val="0"/>
              <w:snapToGrid w:val="0"/>
              <w:spacing w:before="0" w:beforeAutospacing="0" w:after="0" w:afterAutospacing="0"/>
              <w:ind w:left="0" w:right="0"/>
              <w:jc w:val="center"/>
              <w:rPr>
                <w:rFonts w:hint="default"/>
                <w:b/>
                <w:bCs/>
                <w:color w:val="auto"/>
                <w:kern w:val="0"/>
                <w:sz w:val="24"/>
                <w:szCs w:val="24"/>
                <w:highlight w:val="none"/>
              </w:rPr>
            </w:pPr>
            <w:r>
              <w:rPr>
                <w:rFonts w:hint="default"/>
                <w:b/>
                <w:bCs/>
                <w:color w:val="auto"/>
                <w:kern w:val="0"/>
                <w:sz w:val="24"/>
                <w:szCs w:val="24"/>
                <w:highlight w:val="none"/>
              </w:rPr>
              <w:t>表1-</w:t>
            </w:r>
            <w:r>
              <w:rPr>
                <w:rFonts w:hint="eastAsia"/>
                <w:b/>
                <w:bCs/>
                <w:color w:val="auto"/>
                <w:kern w:val="0"/>
                <w:sz w:val="24"/>
                <w:szCs w:val="24"/>
                <w:highlight w:val="none"/>
                <w:lang w:val="en-US" w:eastAsia="zh-CN"/>
              </w:rPr>
              <w:t>6</w:t>
            </w:r>
            <w:r>
              <w:rPr>
                <w:rFonts w:hint="default"/>
                <w:b/>
                <w:bCs/>
                <w:color w:val="auto"/>
                <w:kern w:val="0"/>
                <w:sz w:val="24"/>
                <w:szCs w:val="24"/>
                <w:highlight w:val="none"/>
              </w:rPr>
              <w:t xml:space="preserve">  </w:t>
            </w:r>
            <w:r>
              <w:rPr>
                <w:rFonts w:hint="eastAsia"/>
                <w:b/>
                <w:bCs/>
                <w:color w:val="auto"/>
                <w:kern w:val="0"/>
                <w:sz w:val="24"/>
                <w:szCs w:val="24"/>
                <w:highlight w:val="none"/>
                <w:lang w:val="en-US" w:eastAsia="zh-CN"/>
              </w:rPr>
              <w:t>与牛栏江（寻甸段）水环境保护规划（2011~2030）</w:t>
            </w:r>
            <w:r>
              <w:rPr>
                <w:rFonts w:hint="default"/>
                <w:b/>
                <w:bCs/>
                <w:color w:val="auto"/>
                <w:kern w:val="0"/>
                <w:sz w:val="24"/>
                <w:szCs w:val="24"/>
                <w:highlight w:val="none"/>
              </w:rPr>
              <w:t>对照分析表</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
              <w:gridCol w:w="3777"/>
              <w:gridCol w:w="2397"/>
              <w:gridCol w:w="625"/>
            </w:tblGrid>
            <w:tr w14:paraId="6D4C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4" w:type="pct"/>
                  <w:noWrap w:val="0"/>
                  <w:vAlign w:val="center"/>
                </w:tcPr>
                <w:p w14:paraId="27EC9616">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序号</w:t>
                  </w:r>
                </w:p>
              </w:tc>
              <w:tc>
                <w:tcPr>
                  <w:tcW w:w="2630" w:type="pct"/>
                  <w:noWrap w:val="0"/>
                  <w:vAlign w:val="center"/>
                </w:tcPr>
                <w:p w14:paraId="219CBE58">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《牛栏江流域（寻甸段）水环境保护规划》</w:t>
                  </w:r>
                  <w:r>
                    <w:rPr>
                      <w:rFonts w:hint="default"/>
                      <w:color w:val="auto"/>
                      <w:kern w:val="0"/>
                      <w:sz w:val="21"/>
                      <w:szCs w:val="21"/>
                      <w:highlight w:val="none"/>
                    </w:rPr>
                    <w:t>重点水源涵养区水</w:t>
                  </w:r>
                  <w:r>
                    <w:rPr>
                      <w:rFonts w:hint="default"/>
                      <w:color w:val="auto"/>
                      <w:kern w:val="0"/>
                      <w:szCs w:val="21"/>
                      <w:highlight w:val="none"/>
                    </w:rPr>
                    <w:t>环境保护策略</w:t>
                  </w:r>
                </w:p>
              </w:tc>
              <w:tc>
                <w:tcPr>
                  <w:tcW w:w="1669" w:type="pct"/>
                  <w:noWrap w:val="0"/>
                  <w:vAlign w:val="center"/>
                </w:tcPr>
                <w:p w14:paraId="7C6ED83E">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该项目情况</w:t>
                  </w:r>
                </w:p>
              </w:tc>
              <w:tc>
                <w:tcPr>
                  <w:tcW w:w="435" w:type="pct"/>
                  <w:noWrap w:val="0"/>
                  <w:vAlign w:val="center"/>
                </w:tcPr>
                <w:p w14:paraId="2DFA9408">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color w:val="auto"/>
                      <w:kern w:val="0"/>
                      <w:szCs w:val="21"/>
                      <w:highlight w:val="none"/>
                      <w:lang w:eastAsia="zh-CN"/>
                    </w:rPr>
                  </w:pPr>
                  <w:r>
                    <w:rPr>
                      <w:rFonts w:hint="eastAsia"/>
                      <w:color w:val="auto"/>
                      <w:kern w:val="0"/>
                      <w:szCs w:val="21"/>
                      <w:highlight w:val="none"/>
                      <w:lang w:val="en-US" w:eastAsia="zh-CN"/>
                    </w:rPr>
                    <w:t>符合性</w:t>
                  </w:r>
                </w:p>
              </w:tc>
            </w:tr>
            <w:tr w14:paraId="0C992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4" w:type="pct"/>
                  <w:noWrap w:val="0"/>
                  <w:vAlign w:val="center"/>
                </w:tcPr>
                <w:p w14:paraId="1D4E6E4E">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1</w:t>
                  </w:r>
                </w:p>
              </w:tc>
              <w:tc>
                <w:tcPr>
                  <w:tcW w:w="2630" w:type="pct"/>
                  <w:noWrap w:val="0"/>
                  <w:vAlign w:val="center"/>
                </w:tcPr>
                <w:p w14:paraId="5A30E728">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eastAsia" w:ascii="Times New Roman" w:hAnsi="Times New Roman" w:eastAsia="宋体" w:cs="Times New Roman"/>
                      <w:color w:val="auto"/>
                      <w:kern w:val="0"/>
                      <w:szCs w:val="21"/>
                      <w:highlight w:val="none"/>
                    </w:rPr>
                    <w:t>在流域源头区宜林荒山，实施工程技术、退耕还林工程，石漠化地块区域造林，在调水水源涵养林中开展幼林抚育、低产低造林分改造。水源涵养区内针对坡度在25°以上农耕地要逐步退耕还林，提高森林覆盖率。</w:t>
                  </w:r>
                </w:p>
              </w:tc>
              <w:tc>
                <w:tcPr>
                  <w:tcW w:w="1669" w:type="pct"/>
                  <w:noWrap w:val="0"/>
                  <w:vAlign w:val="center"/>
                </w:tcPr>
                <w:p w14:paraId="41C883EB">
                  <w:pPr>
                    <w:keepNext w:val="0"/>
                    <w:keepLines w:val="0"/>
                    <w:suppressLineNumbers w:val="0"/>
                    <w:autoSpaceDE w:val="0"/>
                    <w:autoSpaceDN w:val="0"/>
                    <w:adjustRightInd w:val="0"/>
                    <w:snapToGrid w:val="0"/>
                    <w:spacing w:before="0" w:beforeAutospacing="0" w:after="0" w:afterAutospacing="0"/>
                    <w:ind w:left="0" w:right="0"/>
                    <w:jc w:val="center"/>
                    <w:rPr>
                      <w:rFonts w:hint="default" w:eastAsia="宋体"/>
                      <w:color w:val="auto"/>
                      <w:kern w:val="0"/>
                      <w:szCs w:val="21"/>
                      <w:highlight w:val="none"/>
                      <w:lang w:val="en-US" w:eastAsia="zh-CN"/>
                    </w:rPr>
                  </w:pPr>
                  <w:r>
                    <w:rPr>
                      <w:rFonts w:hint="eastAsia" w:ascii="Times New Roman" w:hAnsi="Times New Roman" w:eastAsia="宋体"/>
                      <w:color w:val="auto"/>
                      <w:sz w:val="21"/>
                      <w:szCs w:val="21"/>
                      <w:highlight w:val="none"/>
                    </w:rPr>
                    <w:t>本项目在现有</w:t>
                  </w:r>
                  <w:r>
                    <w:rPr>
                      <w:rFonts w:hint="eastAsia" w:ascii="Times New Roman" w:hAnsi="Times New Roman"/>
                      <w:color w:val="auto"/>
                      <w:sz w:val="21"/>
                      <w:szCs w:val="21"/>
                      <w:highlight w:val="none"/>
                      <w:lang w:val="en-US" w:eastAsia="zh-CN"/>
                    </w:rPr>
                    <w:t>球状水泥缓凝剂生产线基础上进行改扩建，</w:t>
                  </w:r>
                  <w:r>
                    <w:rPr>
                      <w:rFonts w:hint="eastAsia"/>
                      <w:color w:val="auto"/>
                      <w:sz w:val="21"/>
                      <w:szCs w:val="21"/>
                    </w:rPr>
                    <w:t>在</w:t>
                  </w:r>
                  <w:r>
                    <w:rPr>
                      <w:rFonts w:hint="eastAsia"/>
                      <w:color w:val="auto"/>
                      <w:sz w:val="21"/>
                      <w:szCs w:val="21"/>
                      <w:lang w:eastAsia="zh-CN"/>
                    </w:rPr>
                    <w:t>云南常青树化工有限公司</w:t>
                  </w:r>
                  <w:r>
                    <w:rPr>
                      <w:color w:val="auto"/>
                      <w:sz w:val="21"/>
                      <w:szCs w:val="21"/>
                    </w:rPr>
                    <w:t>内建设，</w:t>
                  </w:r>
                  <w:r>
                    <w:rPr>
                      <w:rFonts w:hint="eastAsia"/>
                      <w:color w:val="auto"/>
                      <w:sz w:val="21"/>
                      <w:szCs w:val="21"/>
                      <w:lang w:val="en-US" w:eastAsia="zh-CN"/>
                    </w:rPr>
                    <w:t>不新增占地，不会对森林覆盖率造成影响。</w:t>
                  </w:r>
                </w:p>
              </w:tc>
              <w:tc>
                <w:tcPr>
                  <w:tcW w:w="435" w:type="pct"/>
                  <w:noWrap w:val="0"/>
                  <w:vAlign w:val="center"/>
                </w:tcPr>
                <w:p w14:paraId="7152DF1C">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符合</w:t>
                  </w:r>
                </w:p>
              </w:tc>
            </w:tr>
            <w:tr w14:paraId="0B3E5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4" w:type="pct"/>
                  <w:noWrap w:val="0"/>
                  <w:vAlign w:val="center"/>
                </w:tcPr>
                <w:p w14:paraId="2A3984E7">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2</w:t>
                  </w:r>
                </w:p>
              </w:tc>
              <w:tc>
                <w:tcPr>
                  <w:tcW w:w="2630" w:type="pct"/>
                  <w:noWrap w:val="0"/>
                  <w:vAlign w:val="center"/>
                </w:tcPr>
                <w:p w14:paraId="56DB05FB">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eastAsia" w:ascii="Times New Roman" w:hAnsi="Times New Roman" w:eastAsia="宋体" w:cs="Times New Roman"/>
                      <w:color w:val="auto"/>
                      <w:kern w:val="0"/>
                      <w:szCs w:val="21"/>
                      <w:highlight w:val="none"/>
                    </w:rPr>
                    <w:t>实施小流域综合整治，减少水土流失。</w:t>
                  </w:r>
                </w:p>
              </w:tc>
              <w:tc>
                <w:tcPr>
                  <w:tcW w:w="1669" w:type="pct"/>
                  <w:noWrap w:val="0"/>
                  <w:vAlign w:val="center"/>
                </w:tcPr>
                <w:p w14:paraId="4F972D31">
                  <w:pPr>
                    <w:keepNext w:val="0"/>
                    <w:keepLines w:val="0"/>
                    <w:suppressLineNumbers w:val="0"/>
                    <w:autoSpaceDE w:val="0"/>
                    <w:autoSpaceDN w:val="0"/>
                    <w:adjustRightInd w:val="0"/>
                    <w:snapToGrid w:val="0"/>
                    <w:spacing w:before="0" w:beforeAutospacing="0" w:after="0" w:afterAutospacing="0"/>
                    <w:ind w:left="0" w:right="0"/>
                    <w:jc w:val="center"/>
                    <w:rPr>
                      <w:rFonts w:hint="default" w:eastAsia="宋体"/>
                      <w:color w:val="auto"/>
                      <w:kern w:val="0"/>
                      <w:szCs w:val="21"/>
                      <w:highlight w:val="none"/>
                      <w:lang w:val="en-US" w:eastAsia="zh-CN"/>
                    </w:rPr>
                  </w:pPr>
                  <w:r>
                    <w:rPr>
                      <w:color w:val="auto"/>
                      <w:sz w:val="21"/>
                      <w:szCs w:val="21"/>
                    </w:rPr>
                    <w:t>本项目</w:t>
                  </w:r>
                  <w:r>
                    <w:rPr>
                      <w:rFonts w:hint="eastAsia"/>
                      <w:color w:val="auto"/>
                      <w:sz w:val="21"/>
                      <w:szCs w:val="21"/>
                    </w:rPr>
                    <w:t>在</w:t>
                  </w:r>
                  <w:r>
                    <w:rPr>
                      <w:rFonts w:hint="eastAsia"/>
                      <w:color w:val="auto"/>
                      <w:sz w:val="21"/>
                      <w:szCs w:val="21"/>
                      <w:lang w:eastAsia="zh-CN"/>
                    </w:rPr>
                    <w:t>云南常青树化工有限公司</w:t>
                  </w:r>
                  <w:r>
                    <w:rPr>
                      <w:color w:val="auto"/>
                      <w:sz w:val="21"/>
                      <w:szCs w:val="21"/>
                    </w:rPr>
                    <w:t>内建设，不涉及新增占地</w:t>
                  </w:r>
                  <w:r>
                    <w:rPr>
                      <w:rFonts w:hint="eastAsia"/>
                      <w:color w:val="auto"/>
                      <w:sz w:val="21"/>
                      <w:szCs w:val="21"/>
                      <w:lang w:eastAsia="zh-CN"/>
                    </w:rPr>
                    <w:t>，</w:t>
                  </w:r>
                  <w:r>
                    <w:rPr>
                      <w:rFonts w:hint="eastAsia"/>
                      <w:color w:val="auto"/>
                      <w:sz w:val="21"/>
                      <w:szCs w:val="21"/>
                      <w:lang w:val="en-US" w:eastAsia="zh-CN"/>
                    </w:rPr>
                    <w:t>不是造成水土流失</w:t>
                  </w:r>
                  <w:r>
                    <w:rPr>
                      <w:color w:val="auto"/>
                      <w:sz w:val="21"/>
                      <w:szCs w:val="21"/>
                    </w:rPr>
                    <w:t>。</w:t>
                  </w:r>
                </w:p>
              </w:tc>
              <w:tc>
                <w:tcPr>
                  <w:tcW w:w="435" w:type="pct"/>
                  <w:noWrap w:val="0"/>
                  <w:vAlign w:val="center"/>
                </w:tcPr>
                <w:p w14:paraId="3E49348E">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符合</w:t>
                  </w:r>
                </w:p>
              </w:tc>
            </w:tr>
          </w:tbl>
          <w:p w14:paraId="43FB2263">
            <w:pPr>
              <w:spacing w:line="360" w:lineRule="auto"/>
              <w:ind w:firstLine="480" w:firstLineChars="200"/>
              <w:rPr>
                <w:rFonts w:hint="eastAsia"/>
                <w:b w:val="0"/>
                <w:bCs w:val="0"/>
                <w:color w:val="auto"/>
                <w:sz w:val="24"/>
              </w:rPr>
            </w:pPr>
            <w:r>
              <w:rPr>
                <w:rFonts w:hint="eastAsia" w:ascii="宋体" w:hAnsi="宋体" w:eastAsia="宋体" w:cs="宋体"/>
                <w:color w:val="auto"/>
                <w:sz w:val="24"/>
                <w:szCs w:val="24"/>
                <w:highlight w:val="none"/>
              </w:rPr>
              <w:t>由上表</w:t>
            </w:r>
            <w:r>
              <w:rPr>
                <w:rFonts w:hint="eastAsia" w:ascii="宋体" w:hAnsi="宋体" w:cs="宋体"/>
                <w:color w:val="auto"/>
                <w:sz w:val="24"/>
                <w:szCs w:val="24"/>
                <w:highlight w:val="none"/>
                <w:lang w:val="en-US" w:eastAsia="zh-CN"/>
              </w:rPr>
              <w:t>分析</w:t>
            </w:r>
            <w:r>
              <w:rPr>
                <w:rFonts w:hint="eastAsia" w:ascii="宋体" w:hAnsi="宋体" w:eastAsia="宋体" w:cs="宋体"/>
                <w:color w:val="auto"/>
                <w:sz w:val="24"/>
                <w:szCs w:val="24"/>
                <w:highlight w:val="none"/>
              </w:rPr>
              <w:t>可知，</w:t>
            </w:r>
            <w:r>
              <w:rPr>
                <w:rFonts w:hint="default" w:ascii="Times New Roman" w:hAnsi="Times New Roman" w:eastAsia="宋体" w:cs="Times New Roman"/>
                <w:color w:val="auto"/>
                <w:kern w:val="0"/>
                <w:sz w:val="24"/>
                <w:szCs w:val="20"/>
                <w:highlight w:val="none"/>
                <w:lang w:val="en-US" w:eastAsia="zh-CN" w:bidi="ar-SA"/>
              </w:rPr>
              <w:t>项目符合《牛栏江流域（寻甸段）水环境保护规划》</w:t>
            </w:r>
            <w:r>
              <w:rPr>
                <w:rFonts w:hint="eastAsia" w:eastAsia="宋体" w:cs="Times New Roman"/>
                <w:color w:val="auto"/>
                <w:kern w:val="0"/>
                <w:sz w:val="24"/>
                <w:szCs w:val="20"/>
                <w:highlight w:val="none"/>
                <w:lang w:val="en-US" w:eastAsia="zh-CN" w:bidi="ar-SA"/>
              </w:rPr>
              <w:t>中</w:t>
            </w:r>
            <w:r>
              <w:rPr>
                <w:rFonts w:hint="default" w:ascii="Times New Roman" w:hAnsi="Times New Roman" w:eastAsia="宋体" w:cs="Times New Roman"/>
                <w:color w:val="auto"/>
                <w:kern w:val="0"/>
                <w:sz w:val="24"/>
                <w:szCs w:val="20"/>
                <w:highlight w:val="none"/>
                <w:lang w:val="en-US" w:eastAsia="zh-CN" w:bidi="ar-SA"/>
              </w:rPr>
              <w:t>的相关要求。</w:t>
            </w:r>
          </w:p>
          <w:p w14:paraId="24EF74BA">
            <w:pPr>
              <w:spacing w:line="360" w:lineRule="auto"/>
              <w:ind w:firstLine="482" w:firstLineChars="200"/>
              <w:rPr>
                <w:b/>
                <w:bCs/>
                <w:color w:val="auto"/>
                <w:sz w:val="24"/>
              </w:rPr>
            </w:pPr>
            <w:r>
              <w:rPr>
                <w:rFonts w:hint="eastAsia"/>
                <w:b/>
                <w:bCs/>
                <w:color w:val="auto"/>
                <w:sz w:val="24"/>
                <w:lang w:val="en-US" w:eastAsia="zh-CN"/>
              </w:rPr>
              <w:t>7</w:t>
            </w:r>
            <w:r>
              <w:rPr>
                <w:rFonts w:hint="eastAsia"/>
                <w:b/>
                <w:bCs/>
                <w:color w:val="auto"/>
                <w:sz w:val="24"/>
              </w:rPr>
              <w:t>、</w:t>
            </w:r>
            <w:r>
              <w:rPr>
                <w:b/>
                <w:color w:val="auto"/>
                <w:sz w:val="24"/>
              </w:rPr>
              <w:t>与</w:t>
            </w:r>
            <w:r>
              <w:rPr>
                <w:rFonts w:hint="eastAsia"/>
                <w:b/>
                <w:bCs/>
                <w:color w:val="auto"/>
                <w:sz w:val="24"/>
              </w:rPr>
              <w:t>《长江经济带发展负面清单指南》（试行，2022年版）的符合性分析</w:t>
            </w:r>
          </w:p>
          <w:p w14:paraId="35D42C15">
            <w:pPr>
              <w:spacing w:line="360" w:lineRule="auto"/>
              <w:ind w:firstLine="480" w:firstLineChars="200"/>
              <w:jc w:val="left"/>
              <w:rPr>
                <w:rFonts w:hAnsi="宋体"/>
                <w:bCs/>
                <w:color w:val="auto"/>
                <w:sz w:val="24"/>
              </w:rPr>
            </w:pPr>
            <w:r>
              <w:rPr>
                <w:rFonts w:hint="eastAsia" w:hAnsi="宋体"/>
                <w:bCs/>
                <w:color w:val="auto"/>
                <w:sz w:val="24"/>
              </w:rPr>
              <w:t>项目与《长江经济带发展负面清单指南》（试行，</w:t>
            </w:r>
            <w:r>
              <w:rPr>
                <w:rFonts w:hAnsi="宋体"/>
                <w:bCs/>
                <w:color w:val="auto"/>
                <w:sz w:val="24"/>
              </w:rPr>
              <w:t>2022</w:t>
            </w:r>
            <w:r>
              <w:rPr>
                <w:rFonts w:hint="eastAsia" w:hAnsi="宋体"/>
                <w:bCs/>
                <w:color w:val="auto"/>
                <w:sz w:val="24"/>
              </w:rPr>
              <w:t>年版）对比分析情况见下表</w:t>
            </w:r>
            <w:r>
              <w:rPr>
                <w:rFonts w:hAnsi="宋体"/>
                <w:bCs/>
                <w:color w:val="auto"/>
                <w:sz w:val="24"/>
              </w:rPr>
              <w:t>1-</w:t>
            </w:r>
            <w:r>
              <w:rPr>
                <w:rFonts w:hint="eastAsia" w:hAnsi="宋体"/>
                <w:bCs/>
                <w:color w:val="auto"/>
                <w:sz w:val="24"/>
                <w:lang w:val="en-US" w:eastAsia="zh-CN"/>
              </w:rPr>
              <w:t>7</w:t>
            </w:r>
            <w:r>
              <w:rPr>
                <w:rFonts w:hint="eastAsia" w:hAnsi="宋体"/>
                <w:bCs/>
                <w:color w:val="auto"/>
                <w:sz w:val="24"/>
              </w:rPr>
              <w:t>。</w:t>
            </w:r>
          </w:p>
          <w:p w14:paraId="49E3E0B3">
            <w:pPr>
              <w:jc w:val="center"/>
              <w:rPr>
                <w:color w:val="auto"/>
                <w:sz w:val="24"/>
              </w:rPr>
            </w:pPr>
            <w:r>
              <w:rPr>
                <w:rFonts w:hint="eastAsia"/>
                <w:b/>
                <w:bCs/>
                <w:color w:val="auto"/>
                <w:sz w:val="24"/>
              </w:rPr>
              <w:t>表1-</w:t>
            </w:r>
            <w:r>
              <w:rPr>
                <w:rFonts w:hint="eastAsia"/>
                <w:b/>
                <w:bCs/>
                <w:color w:val="auto"/>
                <w:sz w:val="24"/>
                <w:lang w:val="en-US" w:eastAsia="zh-CN"/>
              </w:rPr>
              <w:t>7</w:t>
            </w:r>
            <w:r>
              <w:rPr>
                <w:rFonts w:hint="eastAsia"/>
                <w:b/>
                <w:bCs/>
                <w:color w:val="auto"/>
                <w:sz w:val="24"/>
              </w:rPr>
              <w:t xml:space="preserve">  与</w:t>
            </w:r>
            <w:r>
              <w:rPr>
                <w:rFonts w:hint="eastAsia" w:hAnsi="宋体"/>
                <w:b/>
                <w:bCs/>
                <w:color w:val="auto"/>
                <w:sz w:val="24"/>
              </w:rPr>
              <w:t>《长江经济带发展负面清单指南》（试行，</w:t>
            </w:r>
            <w:r>
              <w:rPr>
                <w:rFonts w:hAnsi="宋体"/>
                <w:b/>
                <w:bCs/>
                <w:color w:val="auto"/>
                <w:sz w:val="24"/>
              </w:rPr>
              <w:t>2022</w:t>
            </w:r>
            <w:r>
              <w:rPr>
                <w:rFonts w:hint="eastAsia" w:hAnsi="宋体"/>
                <w:b/>
                <w:bCs/>
                <w:color w:val="auto"/>
                <w:sz w:val="24"/>
              </w:rPr>
              <w:t>年版）相符性分析</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
              <w:gridCol w:w="3970"/>
              <w:gridCol w:w="1942"/>
              <w:gridCol w:w="833"/>
            </w:tblGrid>
            <w:tr w14:paraId="66DBE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2" w:type="pct"/>
                  <w:vAlign w:val="center"/>
                </w:tcPr>
                <w:p w14:paraId="0E1201BB">
                  <w:pPr>
                    <w:jc w:val="center"/>
                    <w:rPr>
                      <w:b/>
                      <w:bCs/>
                      <w:color w:val="auto"/>
                      <w:sz w:val="21"/>
                      <w:szCs w:val="21"/>
                    </w:rPr>
                  </w:pPr>
                  <w:r>
                    <w:rPr>
                      <w:b/>
                      <w:bCs/>
                      <w:color w:val="auto"/>
                      <w:sz w:val="21"/>
                      <w:szCs w:val="21"/>
                    </w:rPr>
                    <w:t>序号</w:t>
                  </w:r>
                </w:p>
              </w:tc>
              <w:tc>
                <w:tcPr>
                  <w:tcW w:w="2764" w:type="pct"/>
                  <w:vAlign w:val="center"/>
                </w:tcPr>
                <w:p w14:paraId="3F949AAA">
                  <w:pPr>
                    <w:jc w:val="center"/>
                    <w:rPr>
                      <w:b/>
                      <w:bCs/>
                      <w:color w:val="auto"/>
                      <w:sz w:val="21"/>
                      <w:szCs w:val="21"/>
                    </w:rPr>
                  </w:pPr>
                  <w:r>
                    <w:rPr>
                      <w:rFonts w:hint="eastAsia" w:ascii="Times New Roman" w:hAnsi="Times New Roman" w:cs="Times New Roman"/>
                      <w:b/>
                      <w:bCs/>
                      <w:color w:val="auto"/>
                      <w:sz w:val="21"/>
                      <w:szCs w:val="21"/>
                      <w:lang w:val="en-US" w:eastAsia="zh-CN"/>
                    </w:rPr>
                    <w:t>《长江经济带发展负面清单指南（试行）》</w:t>
                  </w:r>
                </w:p>
              </w:tc>
              <w:tc>
                <w:tcPr>
                  <w:tcW w:w="1352" w:type="pct"/>
                  <w:vAlign w:val="center"/>
                </w:tcPr>
                <w:p w14:paraId="42D90F79">
                  <w:pPr>
                    <w:jc w:val="center"/>
                    <w:rPr>
                      <w:b/>
                      <w:bCs/>
                      <w:color w:val="auto"/>
                      <w:sz w:val="21"/>
                      <w:szCs w:val="21"/>
                    </w:rPr>
                  </w:pPr>
                  <w:r>
                    <w:rPr>
                      <w:b/>
                      <w:bCs/>
                      <w:color w:val="auto"/>
                      <w:sz w:val="21"/>
                      <w:szCs w:val="21"/>
                    </w:rPr>
                    <w:t>本项目实际情况</w:t>
                  </w:r>
                </w:p>
              </w:tc>
              <w:tc>
                <w:tcPr>
                  <w:tcW w:w="580" w:type="pct"/>
                  <w:vAlign w:val="center"/>
                </w:tcPr>
                <w:p w14:paraId="391287C8">
                  <w:pPr>
                    <w:jc w:val="center"/>
                    <w:rPr>
                      <w:b/>
                      <w:bCs/>
                      <w:color w:val="auto"/>
                      <w:sz w:val="21"/>
                      <w:szCs w:val="21"/>
                    </w:rPr>
                  </w:pPr>
                  <w:r>
                    <w:rPr>
                      <w:b/>
                      <w:bCs/>
                      <w:color w:val="auto"/>
                      <w:sz w:val="21"/>
                      <w:szCs w:val="21"/>
                    </w:rPr>
                    <w:t>符合性</w:t>
                  </w:r>
                </w:p>
              </w:tc>
            </w:tr>
            <w:tr w14:paraId="746F7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14:paraId="70D75BA5">
                  <w:pPr>
                    <w:jc w:val="center"/>
                    <w:rPr>
                      <w:color w:val="auto"/>
                      <w:sz w:val="21"/>
                      <w:szCs w:val="21"/>
                    </w:rPr>
                  </w:pPr>
                  <w:r>
                    <w:rPr>
                      <w:color w:val="auto"/>
                      <w:sz w:val="21"/>
                      <w:szCs w:val="21"/>
                    </w:rPr>
                    <w:t>1</w:t>
                  </w:r>
                </w:p>
              </w:tc>
              <w:tc>
                <w:tcPr>
                  <w:tcW w:w="2764" w:type="pct"/>
                  <w:vAlign w:val="center"/>
                </w:tcPr>
                <w:p w14:paraId="0C64D0AE">
                  <w:pPr>
                    <w:widowControl/>
                    <w:jc w:val="left"/>
                    <w:rPr>
                      <w:color w:val="auto"/>
                      <w:sz w:val="21"/>
                      <w:szCs w:val="21"/>
                    </w:rPr>
                  </w:pPr>
                  <w:r>
                    <w:rPr>
                      <w:rFonts w:hint="eastAsia" w:ascii="Times New Roman" w:hAnsi="Times New Roman"/>
                      <w:color w:val="auto"/>
                      <w:sz w:val="21"/>
                      <w:szCs w:val="21"/>
                      <w:vertAlign w:val="baseline"/>
                      <w:lang w:val="en-US" w:eastAsia="zh-CN"/>
                    </w:rPr>
                    <w:t>禁止建设不符合全国和省级港口布局规划以及港口总体</w:t>
                  </w:r>
                  <w:r>
                    <w:rPr>
                      <w:rFonts w:hint="eastAsia"/>
                      <w:color w:val="auto"/>
                      <w:sz w:val="21"/>
                      <w:szCs w:val="21"/>
                      <w:vertAlign w:val="baseline"/>
                      <w:lang w:val="en-US" w:eastAsia="zh-CN"/>
                    </w:rPr>
                    <w:t>规划</w:t>
                  </w:r>
                  <w:r>
                    <w:rPr>
                      <w:rFonts w:hint="eastAsia" w:ascii="Times New Roman" w:hAnsi="Times New Roman"/>
                      <w:color w:val="auto"/>
                      <w:sz w:val="21"/>
                      <w:szCs w:val="21"/>
                      <w:vertAlign w:val="baseline"/>
                      <w:lang w:val="en-US" w:eastAsia="zh-CN"/>
                    </w:rPr>
                    <w:t>的码头项目，禁止建设不符合《长江干线过江通道布局规划》的过长江通道项目。</w:t>
                  </w:r>
                </w:p>
              </w:tc>
              <w:tc>
                <w:tcPr>
                  <w:tcW w:w="1352" w:type="pct"/>
                  <w:vAlign w:val="center"/>
                </w:tcPr>
                <w:p w14:paraId="147A8AC0">
                  <w:pPr>
                    <w:widowControl/>
                    <w:jc w:val="left"/>
                    <w:rPr>
                      <w:color w:val="auto"/>
                      <w:sz w:val="21"/>
                      <w:szCs w:val="21"/>
                    </w:rPr>
                  </w:pPr>
                  <w:r>
                    <w:rPr>
                      <w:rFonts w:hint="eastAsia"/>
                      <w:color w:val="auto"/>
                      <w:sz w:val="21"/>
                      <w:szCs w:val="21"/>
                    </w:rPr>
                    <w:t>本项目在</w:t>
                  </w:r>
                  <w:r>
                    <w:rPr>
                      <w:rFonts w:hint="eastAsia"/>
                      <w:color w:val="auto"/>
                      <w:sz w:val="21"/>
                      <w:szCs w:val="21"/>
                      <w:lang w:val="en-US" w:eastAsia="zh-CN"/>
                    </w:rPr>
                    <w:t>云南常青树化工有限公司</w:t>
                  </w:r>
                  <w:r>
                    <w:rPr>
                      <w:color w:val="auto"/>
                      <w:sz w:val="21"/>
                      <w:szCs w:val="21"/>
                    </w:rPr>
                    <w:t>内建设</w:t>
                  </w:r>
                  <w:r>
                    <w:rPr>
                      <w:rFonts w:hint="eastAsia"/>
                      <w:color w:val="auto"/>
                      <w:sz w:val="21"/>
                      <w:szCs w:val="21"/>
                    </w:rPr>
                    <w:t>，不涉及码头。</w:t>
                  </w:r>
                </w:p>
              </w:tc>
              <w:tc>
                <w:tcPr>
                  <w:tcW w:w="580" w:type="pct"/>
                  <w:vAlign w:val="center"/>
                </w:tcPr>
                <w:p w14:paraId="16366C00">
                  <w:pPr>
                    <w:jc w:val="center"/>
                    <w:rPr>
                      <w:color w:val="auto"/>
                      <w:sz w:val="21"/>
                      <w:szCs w:val="21"/>
                    </w:rPr>
                  </w:pPr>
                  <w:r>
                    <w:rPr>
                      <w:rFonts w:hint="eastAsia"/>
                      <w:color w:val="auto"/>
                      <w:sz w:val="21"/>
                      <w:szCs w:val="21"/>
                    </w:rPr>
                    <w:t>符合</w:t>
                  </w:r>
                </w:p>
              </w:tc>
            </w:tr>
            <w:tr w14:paraId="51402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14:paraId="0C9DE35C">
                  <w:pPr>
                    <w:widowControl/>
                    <w:jc w:val="center"/>
                    <w:rPr>
                      <w:color w:val="auto"/>
                      <w:sz w:val="21"/>
                      <w:szCs w:val="21"/>
                    </w:rPr>
                  </w:pPr>
                  <w:r>
                    <w:rPr>
                      <w:rFonts w:hint="eastAsia"/>
                      <w:color w:val="auto"/>
                      <w:sz w:val="21"/>
                      <w:szCs w:val="21"/>
                    </w:rPr>
                    <w:t>2</w:t>
                  </w:r>
                </w:p>
              </w:tc>
              <w:tc>
                <w:tcPr>
                  <w:tcW w:w="2764" w:type="pct"/>
                  <w:vAlign w:val="center"/>
                </w:tcPr>
                <w:p w14:paraId="004D58ED">
                  <w:pPr>
                    <w:widowControl/>
                    <w:jc w:val="left"/>
                    <w:rPr>
                      <w:color w:val="auto"/>
                      <w:sz w:val="21"/>
                      <w:szCs w:val="21"/>
                    </w:rPr>
                  </w:pPr>
                  <w:r>
                    <w:rPr>
                      <w:rFonts w:hint="eastAsia" w:ascii="Times New Roman" w:hAnsi="Times New Roman"/>
                      <w:color w:val="auto"/>
                      <w:sz w:val="21"/>
                      <w:szCs w:val="21"/>
                      <w:vertAlign w:val="baseline"/>
                      <w:lang w:val="en-US" w:eastAsia="zh-CN"/>
                    </w:rPr>
                    <w:t>禁止在自然保护区核心区、缓冲区的岸线和河段范围内投资建设旅游和生产经营项目。禁止在风景名胜区核心景区的岸线和河段范围内投资建设与风景名胜资源保护无关的项目。</w:t>
                  </w:r>
                </w:p>
              </w:tc>
              <w:tc>
                <w:tcPr>
                  <w:tcW w:w="1352" w:type="pct"/>
                  <w:vAlign w:val="center"/>
                </w:tcPr>
                <w:p w14:paraId="710E5750">
                  <w:pPr>
                    <w:widowControl/>
                    <w:jc w:val="left"/>
                    <w:rPr>
                      <w:color w:val="auto"/>
                      <w:sz w:val="21"/>
                      <w:szCs w:val="21"/>
                    </w:rPr>
                  </w:pPr>
                  <w:r>
                    <w:rPr>
                      <w:rFonts w:hint="eastAsia" w:ascii="Times New Roman" w:hAnsi="Times New Roman"/>
                      <w:color w:val="auto"/>
                      <w:sz w:val="21"/>
                      <w:szCs w:val="21"/>
                      <w:vertAlign w:val="baseline"/>
                      <w:lang w:val="en-US" w:eastAsia="zh-CN"/>
                    </w:rPr>
                    <w:t>根据项目生态保护红线查询情况说明，项目不涉及自然保护区、风景名胜区。</w:t>
                  </w:r>
                </w:p>
              </w:tc>
              <w:tc>
                <w:tcPr>
                  <w:tcW w:w="580" w:type="pct"/>
                  <w:vAlign w:val="center"/>
                </w:tcPr>
                <w:p w14:paraId="362BC37E">
                  <w:pPr>
                    <w:jc w:val="center"/>
                    <w:rPr>
                      <w:color w:val="auto"/>
                      <w:sz w:val="21"/>
                      <w:szCs w:val="21"/>
                    </w:rPr>
                  </w:pPr>
                  <w:r>
                    <w:rPr>
                      <w:rFonts w:hint="eastAsia"/>
                      <w:color w:val="auto"/>
                      <w:sz w:val="21"/>
                      <w:szCs w:val="21"/>
                    </w:rPr>
                    <w:t>符合</w:t>
                  </w:r>
                </w:p>
              </w:tc>
            </w:tr>
            <w:tr w14:paraId="0002F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14:paraId="5CC1A4AA">
                  <w:pPr>
                    <w:widowControl/>
                    <w:jc w:val="center"/>
                    <w:rPr>
                      <w:color w:val="auto"/>
                      <w:sz w:val="21"/>
                      <w:szCs w:val="21"/>
                    </w:rPr>
                  </w:pPr>
                  <w:r>
                    <w:rPr>
                      <w:rFonts w:hint="eastAsia"/>
                      <w:color w:val="auto"/>
                      <w:sz w:val="21"/>
                      <w:szCs w:val="21"/>
                    </w:rPr>
                    <w:t>3</w:t>
                  </w:r>
                </w:p>
              </w:tc>
              <w:tc>
                <w:tcPr>
                  <w:tcW w:w="2764" w:type="pct"/>
                  <w:vAlign w:val="center"/>
                </w:tcPr>
                <w:p w14:paraId="3FB872A3">
                  <w:pPr>
                    <w:widowControl/>
                    <w:jc w:val="left"/>
                    <w:rPr>
                      <w:color w:val="auto"/>
                      <w:sz w:val="21"/>
                      <w:szCs w:val="21"/>
                    </w:rPr>
                  </w:pPr>
                  <w:r>
                    <w:rPr>
                      <w:rFonts w:hint="eastAsia" w:ascii="Times New Roman" w:hAnsi="Times New Roman"/>
                      <w:color w:val="auto"/>
                      <w:sz w:val="21"/>
                      <w:szCs w:val="21"/>
                      <w:vertAlign w:val="baseline"/>
                      <w:lang w:val="en-US" w:eastAsia="zh-CN"/>
                    </w:rPr>
                    <w:t>禁止在饮用水水源一级保护区的岸线和河段范围内新建、改建、扩建与供水设施和</w:t>
                  </w:r>
                  <w:r>
                    <w:rPr>
                      <w:rFonts w:hint="eastAsia"/>
                      <w:color w:val="auto"/>
                      <w:sz w:val="21"/>
                      <w:szCs w:val="21"/>
                      <w:vertAlign w:val="baseline"/>
                      <w:lang w:val="en-US" w:eastAsia="zh-CN"/>
                    </w:rPr>
                    <w:t>保护</w:t>
                  </w:r>
                  <w:r>
                    <w:rPr>
                      <w:rFonts w:hint="eastAsia" w:ascii="Times New Roman" w:hAnsi="Times New Roman"/>
                      <w:color w:val="auto"/>
                      <w:sz w:val="21"/>
                      <w:szCs w:val="21"/>
                      <w:vertAlign w:val="baseline"/>
                      <w:lang w:val="en-US" w:eastAsia="zh-CN"/>
                    </w:rPr>
                    <w:t>水源无关口项目，以及网箱养殖、旅游等可能污染饮口水水体的投资建设项目。禁止在饮用水水源二级保护区的岸线和河段范围内新建、改建、扩建排放污染物的投资建设项目。</w:t>
                  </w:r>
                </w:p>
              </w:tc>
              <w:tc>
                <w:tcPr>
                  <w:tcW w:w="1352" w:type="pct"/>
                  <w:vAlign w:val="center"/>
                </w:tcPr>
                <w:p w14:paraId="5AD5AECB">
                  <w:pPr>
                    <w:widowControl/>
                    <w:jc w:val="left"/>
                    <w:rPr>
                      <w:color w:val="auto"/>
                      <w:sz w:val="21"/>
                      <w:szCs w:val="21"/>
                    </w:rPr>
                  </w:pPr>
                  <w:r>
                    <w:rPr>
                      <w:rFonts w:hint="eastAsia"/>
                      <w:color w:val="auto"/>
                      <w:sz w:val="21"/>
                      <w:szCs w:val="21"/>
                    </w:rPr>
                    <w:t>本项目位于</w:t>
                  </w:r>
                  <w:r>
                    <w:rPr>
                      <w:rFonts w:hint="eastAsia"/>
                      <w:color w:val="auto"/>
                      <w:sz w:val="21"/>
                      <w:szCs w:val="21"/>
                      <w:lang w:val="en-US" w:eastAsia="zh-CN"/>
                    </w:rPr>
                    <w:t>云南常青树化工有限公司</w:t>
                  </w:r>
                  <w:r>
                    <w:rPr>
                      <w:rFonts w:hint="eastAsia"/>
                      <w:color w:val="auto"/>
                      <w:sz w:val="21"/>
                      <w:szCs w:val="21"/>
                      <w:lang w:eastAsia="zh-CN"/>
                    </w:rPr>
                    <w:t>厂区内</w:t>
                  </w:r>
                  <w:r>
                    <w:rPr>
                      <w:rFonts w:hint="eastAsia"/>
                      <w:color w:val="auto"/>
                      <w:sz w:val="21"/>
                      <w:szCs w:val="21"/>
                    </w:rPr>
                    <w:t>，</w:t>
                  </w:r>
                  <w:r>
                    <w:rPr>
                      <w:rFonts w:hint="eastAsia" w:ascii="Times New Roman" w:hAnsi="Times New Roman"/>
                      <w:color w:val="auto"/>
                      <w:sz w:val="21"/>
                      <w:szCs w:val="21"/>
                      <w:vertAlign w:val="baseline"/>
                      <w:lang w:val="en-US" w:eastAsia="zh-CN"/>
                    </w:rPr>
                    <w:t>不涉及饮用水源保护区</w:t>
                  </w:r>
                  <w:r>
                    <w:rPr>
                      <w:rFonts w:hint="eastAsia"/>
                      <w:color w:val="auto"/>
                      <w:sz w:val="21"/>
                      <w:szCs w:val="21"/>
                    </w:rPr>
                    <w:t>。</w:t>
                  </w:r>
                </w:p>
              </w:tc>
              <w:tc>
                <w:tcPr>
                  <w:tcW w:w="580" w:type="pct"/>
                  <w:vAlign w:val="center"/>
                </w:tcPr>
                <w:p w14:paraId="1CFB84B1">
                  <w:pPr>
                    <w:jc w:val="center"/>
                    <w:rPr>
                      <w:color w:val="auto"/>
                      <w:sz w:val="21"/>
                      <w:szCs w:val="21"/>
                    </w:rPr>
                  </w:pPr>
                  <w:r>
                    <w:rPr>
                      <w:rFonts w:hint="eastAsia"/>
                      <w:color w:val="auto"/>
                      <w:sz w:val="21"/>
                      <w:szCs w:val="21"/>
                    </w:rPr>
                    <w:t>符合</w:t>
                  </w:r>
                </w:p>
              </w:tc>
            </w:tr>
            <w:tr w14:paraId="6E6C3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14:paraId="58534334">
                  <w:pPr>
                    <w:widowControl/>
                    <w:jc w:val="center"/>
                    <w:rPr>
                      <w:color w:val="auto"/>
                      <w:sz w:val="21"/>
                      <w:szCs w:val="21"/>
                    </w:rPr>
                  </w:pPr>
                  <w:r>
                    <w:rPr>
                      <w:rFonts w:hint="eastAsia"/>
                      <w:color w:val="auto"/>
                      <w:sz w:val="21"/>
                      <w:szCs w:val="21"/>
                    </w:rPr>
                    <w:t>4</w:t>
                  </w:r>
                </w:p>
              </w:tc>
              <w:tc>
                <w:tcPr>
                  <w:tcW w:w="2764" w:type="pct"/>
                  <w:vAlign w:val="center"/>
                </w:tcPr>
                <w:p w14:paraId="2115A399">
                  <w:pPr>
                    <w:widowControl/>
                    <w:jc w:val="left"/>
                    <w:rPr>
                      <w:color w:val="auto"/>
                      <w:sz w:val="21"/>
                      <w:szCs w:val="21"/>
                    </w:rPr>
                  </w:pPr>
                  <w:r>
                    <w:rPr>
                      <w:rFonts w:hint="eastAsia" w:ascii="Times New Roman" w:hAnsi="Times New Roman"/>
                      <w:color w:val="auto"/>
                      <w:sz w:val="21"/>
                      <w:szCs w:val="21"/>
                      <w:vertAlign w:val="baseline"/>
                      <w:lang w:val="en-US" w:eastAsia="zh-CN"/>
                    </w:rPr>
                    <w:t>禁止在水产种质资源保护区的岸线和河段范围内新建排污口，以及围湖造田、围海造地或围填海等投资建设项目。禁止在国家湿地公园的岸线和河段范围内挖沙、采矿，以及任何不符合主体功能定位的投资建设项目。</w:t>
                  </w:r>
                </w:p>
              </w:tc>
              <w:tc>
                <w:tcPr>
                  <w:tcW w:w="1352" w:type="pct"/>
                  <w:vAlign w:val="center"/>
                </w:tcPr>
                <w:p w14:paraId="64999635">
                  <w:pPr>
                    <w:widowControl/>
                    <w:jc w:val="left"/>
                    <w:rPr>
                      <w:color w:val="auto"/>
                      <w:sz w:val="21"/>
                      <w:szCs w:val="21"/>
                    </w:rPr>
                  </w:pPr>
                  <w:r>
                    <w:rPr>
                      <w:rFonts w:hint="eastAsia"/>
                      <w:color w:val="auto"/>
                      <w:sz w:val="21"/>
                      <w:szCs w:val="21"/>
                    </w:rPr>
                    <w:t>本项目位于</w:t>
                  </w:r>
                  <w:r>
                    <w:rPr>
                      <w:rFonts w:hint="eastAsia"/>
                      <w:color w:val="auto"/>
                      <w:sz w:val="21"/>
                      <w:szCs w:val="21"/>
                      <w:lang w:val="en-US" w:eastAsia="zh-CN"/>
                    </w:rPr>
                    <w:t>云南常青树化工有限公司</w:t>
                  </w:r>
                  <w:r>
                    <w:rPr>
                      <w:rFonts w:hint="eastAsia"/>
                      <w:color w:val="auto"/>
                      <w:sz w:val="21"/>
                      <w:szCs w:val="21"/>
                      <w:lang w:eastAsia="zh-CN"/>
                    </w:rPr>
                    <w:t>厂区内</w:t>
                  </w:r>
                  <w:r>
                    <w:rPr>
                      <w:rFonts w:hint="eastAsia"/>
                      <w:color w:val="auto"/>
                      <w:sz w:val="21"/>
                      <w:szCs w:val="21"/>
                    </w:rPr>
                    <w:t>，</w:t>
                  </w:r>
                  <w:r>
                    <w:rPr>
                      <w:rFonts w:hint="eastAsia" w:ascii="Times New Roman" w:hAnsi="Times New Roman"/>
                      <w:color w:val="auto"/>
                      <w:sz w:val="21"/>
                      <w:szCs w:val="21"/>
                      <w:vertAlign w:val="baseline"/>
                      <w:lang w:val="en-US" w:eastAsia="zh-CN"/>
                    </w:rPr>
                    <w:t>不涉及水产种质资源保护区</w:t>
                  </w:r>
                  <w:r>
                    <w:rPr>
                      <w:rFonts w:hint="eastAsia"/>
                      <w:color w:val="auto"/>
                      <w:sz w:val="21"/>
                      <w:szCs w:val="21"/>
                    </w:rPr>
                    <w:t>。</w:t>
                  </w:r>
                </w:p>
              </w:tc>
              <w:tc>
                <w:tcPr>
                  <w:tcW w:w="580" w:type="pct"/>
                  <w:vAlign w:val="center"/>
                </w:tcPr>
                <w:p w14:paraId="46A6D2DD">
                  <w:pPr>
                    <w:jc w:val="center"/>
                    <w:rPr>
                      <w:color w:val="auto"/>
                      <w:sz w:val="21"/>
                      <w:szCs w:val="21"/>
                    </w:rPr>
                  </w:pPr>
                  <w:r>
                    <w:rPr>
                      <w:rFonts w:hint="eastAsia"/>
                      <w:color w:val="auto"/>
                      <w:sz w:val="21"/>
                      <w:szCs w:val="21"/>
                    </w:rPr>
                    <w:t>符合</w:t>
                  </w:r>
                </w:p>
              </w:tc>
            </w:tr>
            <w:tr w14:paraId="6D794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14:paraId="72E9C2BF">
                  <w:pPr>
                    <w:widowControl/>
                    <w:jc w:val="center"/>
                    <w:rPr>
                      <w:color w:val="auto"/>
                      <w:sz w:val="21"/>
                      <w:szCs w:val="21"/>
                    </w:rPr>
                  </w:pPr>
                  <w:r>
                    <w:rPr>
                      <w:rFonts w:hint="eastAsia"/>
                      <w:color w:val="auto"/>
                      <w:sz w:val="21"/>
                      <w:szCs w:val="21"/>
                    </w:rPr>
                    <w:t>5</w:t>
                  </w:r>
                </w:p>
              </w:tc>
              <w:tc>
                <w:tcPr>
                  <w:tcW w:w="2764" w:type="pct"/>
                  <w:vAlign w:val="center"/>
                </w:tcPr>
                <w:p w14:paraId="0F4376C8">
                  <w:pPr>
                    <w:widowControl/>
                    <w:jc w:val="left"/>
                    <w:rPr>
                      <w:color w:val="auto"/>
                      <w:sz w:val="21"/>
                      <w:szCs w:val="21"/>
                    </w:rPr>
                  </w:pPr>
                  <w:r>
                    <w:rPr>
                      <w:rFonts w:hint="eastAsia" w:ascii="Times New Roman" w:hAnsi="Times New Roman"/>
                      <w:color w:val="auto"/>
                      <w:sz w:val="21"/>
                      <w:szCs w:val="21"/>
                      <w:vertAlign w:val="baseline"/>
                      <w:lang w:val="en-US" w:eastAsia="zh-CN"/>
                    </w:rPr>
                    <w:t>禁止在《长江岸线保护和开发利用总体规划》划定的岸口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w:t>
                  </w:r>
                </w:p>
              </w:tc>
              <w:tc>
                <w:tcPr>
                  <w:tcW w:w="1352" w:type="pct"/>
                  <w:vAlign w:val="center"/>
                </w:tcPr>
                <w:p w14:paraId="67233A11">
                  <w:pPr>
                    <w:widowControl/>
                    <w:jc w:val="left"/>
                    <w:rPr>
                      <w:color w:val="auto"/>
                      <w:sz w:val="21"/>
                      <w:szCs w:val="21"/>
                    </w:rPr>
                  </w:pPr>
                  <w:r>
                    <w:rPr>
                      <w:rFonts w:hint="eastAsia" w:ascii="Times New Roman" w:hAnsi="Times New Roman"/>
                      <w:color w:val="auto"/>
                      <w:sz w:val="21"/>
                      <w:szCs w:val="21"/>
                      <w:vertAlign w:val="baseline"/>
                      <w:lang w:val="en-US" w:eastAsia="zh-CN"/>
                    </w:rPr>
                    <w:t>本项目均不涉及</w:t>
                  </w:r>
                </w:p>
              </w:tc>
              <w:tc>
                <w:tcPr>
                  <w:tcW w:w="580" w:type="pct"/>
                  <w:vAlign w:val="center"/>
                </w:tcPr>
                <w:p w14:paraId="3A814CF1">
                  <w:pPr>
                    <w:jc w:val="center"/>
                    <w:rPr>
                      <w:color w:val="auto"/>
                      <w:sz w:val="21"/>
                      <w:szCs w:val="21"/>
                    </w:rPr>
                  </w:pPr>
                  <w:r>
                    <w:rPr>
                      <w:rFonts w:hint="eastAsia"/>
                      <w:color w:val="auto"/>
                      <w:sz w:val="21"/>
                      <w:szCs w:val="21"/>
                    </w:rPr>
                    <w:t>符合</w:t>
                  </w:r>
                </w:p>
              </w:tc>
            </w:tr>
            <w:tr w14:paraId="69F19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14:paraId="3B253105">
                  <w:pPr>
                    <w:widowControl/>
                    <w:jc w:val="center"/>
                    <w:rPr>
                      <w:color w:val="auto"/>
                      <w:sz w:val="21"/>
                      <w:szCs w:val="21"/>
                    </w:rPr>
                  </w:pPr>
                  <w:r>
                    <w:rPr>
                      <w:rFonts w:hint="eastAsia"/>
                      <w:color w:val="auto"/>
                      <w:sz w:val="21"/>
                      <w:szCs w:val="21"/>
                    </w:rPr>
                    <w:t>6</w:t>
                  </w:r>
                </w:p>
              </w:tc>
              <w:tc>
                <w:tcPr>
                  <w:tcW w:w="2764" w:type="pct"/>
                  <w:vAlign w:val="center"/>
                </w:tcPr>
                <w:p w14:paraId="6C7EC33E">
                  <w:pPr>
                    <w:widowControl/>
                    <w:jc w:val="left"/>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禁止在生态保护红线和永久基本农田范围内投资建设除国家重大战略资源勘查项目、生态保护修复和环境治理项目、重大基础设施项目、军口国防项目口及农牧民基本生产生活等必要的民生项目以外的项目。</w:t>
                  </w:r>
                </w:p>
              </w:tc>
              <w:tc>
                <w:tcPr>
                  <w:tcW w:w="1352" w:type="pct"/>
                  <w:vAlign w:val="center"/>
                </w:tcPr>
                <w:p w14:paraId="4CE16467">
                  <w:pPr>
                    <w:widowControl/>
                    <w:jc w:val="left"/>
                    <w:rPr>
                      <w:rFonts w:hint="eastAsia"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lang w:val="en-US" w:eastAsia="zh-CN"/>
                    </w:rPr>
                    <w:t>根据“关于</w:t>
                  </w:r>
                  <w:r>
                    <w:rPr>
                      <w:rFonts w:hint="eastAsia" w:cs="Times New Roman"/>
                      <w:color w:val="auto"/>
                      <w:sz w:val="21"/>
                      <w:szCs w:val="21"/>
                      <w:lang w:val="en-US" w:eastAsia="zh-CN"/>
                    </w:rPr>
                    <w:t>云南常青树化工有限公司磷石膏综合利用改扩建项目用地</w:t>
                  </w:r>
                  <w:r>
                    <w:rPr>
                      <w:rFonts w:hint="default" w:ascii="Times New Roman" w:hAnsi="Times New Roman" w:cs="Times New Roman"/>
                      <w:color w:val="auto"/>
                      <w:sz w:val="21"/>
                      <w:szCs w:val="21"/>
                      <w:lang w:val="en-US" w:eastAsia="zh-CN"/>
                    </w:rPr>
                    <w:t>范围是否涉及生态保护红线及城镇开发边界的情况说明”</w:t>
                  </w:r>
                  <w:r>
                    <w:rPr>
                      <w:rFonts w:hint="eastAsia" w:cs="Times New Roman"/>
                      <w:color w:val="auto"/>
                      <w:sz w:val="21"/>
                      <w:szCs w:val="21"/>
                      <w:lang w:val="en-US" w:eastAsia="zh-CN"/>
                    </w:rPr>
                    <w:t>（详见附件4）</w:t>
                  </w:r>
                  <w:r>
                    <w:rPr>
                      <w:rFonts w:hint="default" w:ascii="Times New Roman" w:hAnsi="Times New Roman" w:cs="Times New Roman"/>
                      <w:color w:val="auto"/>
                      <w:sz w:val="21"/>
                      <w:szCs w:val="21"/>
                      <w:lang w:val="en-US" w:eastAsia="zh-CN"/>
                    </w:rPr>
                    <w:t>和“关于</w:t>
                  </w:r>
                  <w:r>
                    <w:rPr>
                      <w:rFonts w:hint="eastAsia" w:cs="Times New Roman"/>
                      <w:color w:val="auto"/>
                      <w:sz w:val="21"/>
                      <w:szCs w:val="21"/>
                      <w:lang w:val="en-US" w:eastAsia="zh-CN"/>
                    </w:rPr>
                    <w:t>云南常青树化工有限公司磷石膏综合利用改扩建项目</w:t>
                  </w:r>
                  <w:r>
                    <w:rPr>
                      <w:rFonts w:hint="default" w:ascii="Times New Roman" w:hAnsi="Times New Roman" w:cs="Times New Roman"/>
                      <w:color w:val="auto"/>
                      <w:sz w:val="21"/>
                      <w:szCs w:val="21"/>
                      <w:lang w:val="en-US" w:eastAsia="zh-CN"/>
                    </w:rPr>
                    <w:t>范围是否涉及永久基本农田的说明”（详见附件</w:t>
                  </w:r>
                  <w:r>
                    <w:rPr>
                      <w:rFonts w:hint="eastAsia" w:cs="Times New Roman"/>
                      <w:color w:val="auto"/>
                      <w:sz w:val="21"/>
                      <w:szCs w:val="21"/>
                      <w:lang w:val="en-US" w:eastAsia="zh-CN"/>
                    </w:rPr>
                    <w:t>5</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项目不</w:t>
                  </w:r>
                  <w:r>
                    <w:rPr>
                      <w:rFonts w:hint="eastAsia" w:ascii="宋体" w:hAnsi="宋体"/>
                      <w:color w:val="auto"/>
                      <w:sz w:val="21"/>
                      <w:szCs w:val="21"/>
                    </w:rPr>
                    <w:t>涉及基本农田，不在生态保护红线范围内。</w:t>
                  </w:r>
                </w:p>
              </w:tc>
              <w:tc>
                <w:tcPr>
                  <w:tcW w:w="580" w:type="pct"/>
                  <w:vAlign w:val="center"/>
                </w:tcPr>
                <w:p w14:paraId="1A3D1B3A">
                  <w:pPr>
                    <w:jc w:val="center"/>
                    <w:rPr>
                      <w:color w:val="auto"/>
                      <w:sz w:val="21"/>
                      <w:szCs w:val="21"/>
                    </w:rPr>
                  </w:pPr>
                  <w:r>
                    <w:rPr>
                      <w:rFonts w:hint="eastAsia"/>
                      <w:color w:val="auto"/>
                      <w:sz w:val="21"/>
                      <w:szCs w:val="21"/>
                    </w:rPr>
                    <w:t>符合</w:t>
                  </w:r>
                </w:p>
              </w:tc>
            </w:tr>
            <w:tr w14:paraId="0A5DF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14:paraId="281115D5">
                  <w:pPr>
                    <w:widowControl/>
                    <w:jc w:val="center"/>
                    <w:rPr>
                      <w:color w:val="auto"/>
                      <w:sz w:val="21"/>
                      <w:szCs w:val="21"/>
                    </w:rPr>
                  </w:pPr>
                  <w:r>
                    <w:rPr>
                      <w:rFonts w:hint="eastAsia"/>
                      <w:color w:val="auto"/>
                      <w:sz w:val="21"/>
                      <w:szCs w:val="21"/>
                    </w:rPr>
                    <w:t>7</w:t>
                  </w:r>
                </w:p>
              </w:tc>
              <w:tc>
                <w:tcPr>
                  <w:tcW w:w="2764" w:type="pct"/>
                  <w:vAlign w:val="center"/>
                </w:tcPr>
                <w:p w14:paraId="3B90CA8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color w:val="auto"/>
                      <w:sz w:val="21"/>
                      <w:szCs w:val="21"/>
                    </w:rPr>
                  </w:pPr>
                  <w:r>
                    <w:rPr>
                      <w:rFonts w:hint="eastAsia" w:ascii="Times New Roman" w:hAnsi="Times New Roman"/>
                      <w:color w:val="auto"/>
                      <w:sz w:val="21"/>
                      <w:szCs w:val="21"/>
                      <w:vertAlign w:val="baseline"/>
                      <w:lang w:val="en-US" w:eastAsia="zh-CN"/>
                    </w:rPr>
                    <w:t>禁止新建、扩建法律法规和相关政策明令禁止的落后产能项目。</w:t>
                  </w:r>
                </w:p>
              </w:tc>
              <w:tc>
                <w:tcPr>
                  <w:tcW w:w="1352" w:type="pct"/>
                  <w:vAlign w:val="center"/>
                </w:tcPr>
                <w:p w14:paraId="48847C6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color w:val="auto"/>
                      <w:sz w:val="21"/>
                      <w:szCs w:val="21"/>
                    </w:rPr>
                  </w:pPr>
                  <w:r>
                    <w:rPr>
                      <w:rFonts w:hint="eastAsia" w:ascii="Times New Roman" w:hAnsi="Times New Roman"/>
                      <w:color w:val="auto"/>
                      <w:sz w:val="21"/>
                      <w:szCs w:val="21"/>
                      <w:vertAlign w:val="baseline"/>
                      <w:lang w:val="en-US" w:eastAsia="zh-CN"/>
                    </w:rPr>
                    <w:t>本项目不属于禁止落后产能项目</w:t>
                  </w:r>
                </w:p>
              </w:tc>
              <w:tc>
                <w:tcPr>
                  <w:tcW w:w="580" w:type="pct"/>
                  <w:vAlign w:val="center"/>
                </w:tcPr>
                <w:p w14:paraId="086C0022">
                  <w:pPr>
                    <w:jc w:val="center"/>
                    <w:rPr>
                      <w:color w:val="auto"/>
                      <w:sz w:val="21"/>
                      <w:szCs w:val="21"/>
                    </w:rPr>
                  </w:pPr>
                  <w:r>
                    <w:rPr>
                      <w:rFonts w:hint="eastAsia"/>
                      <w:color w:val="auto"/>
                      <w:sz w:val="21"/>
                      <w:szCs w:val="21"/>
                    </w:rPr>
                    <w:t>符合</w:t>
                  </w:r>
                </w:p>
              </w:tc>
            </w:tr>
            <w:tr w14:paraId="7A35F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14:paraId="0AE86051">
                  <w:pPr>
                    <w:widowControl/>
                    <w:jc w:val="center"/>
                    <w:rPr>
                      <w:color w:val="auto"/>
                      <w:sz w:val="21"/>
                      <w:szCs w:val="21"/>
                    </w:rPr>
                  </w:pPr>
                  <w:r>
                    <w:rPr>
                      <w:rFonts w:hint="eastAsia"/>
                      <w:color w:val="auto"/>
                      <w:sz w:val="21"/>
                      <w:szCs w:val="21"/>
                    </w:rPr>
                    <w:t>8</w:t>
                  </w:r>
                </w:p>
              </w:tc>
              <w:tc>
                <w:tcPr>
                  <w:tcW w:w="2764" w:type="pct"/>
                  <w:vAlign w:val="center"/>
                </w:tcPr>
                <w:p w14:paraId="2C3D91C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color w:val="auto"/>
                      <w:sz w:val="21"/>
                      <w:szCs w:val="21"/>
                    </w:rPr>
                  </w:pPr>
                  <w:r>
                    <w:rPr>
                      <w:rFonts w:hint="eastAsia" w:ascii="Times New Roman" w:hAnsi="Times New Roman"/>
                      <w:color w:val="auto"/>
                      <w:sz w:val="21"/>
                      <w:szCs w:val="21"/>
                      <w:vertAlign w:val="baseline"/>
                      <w:lang w:val="en-US" w:eastAsia="zh-CN"/>
                    </w:rPr>
                    <w:t>禁止新建、扩建不符合国家产能置换要求的严重过剩产能行业的项目。禁止新建、扩建不符合要求的高耗能高排放项目</w:t>
                  </w:r>
                </w:p>
              </w:tc>
              <w:tc>
                <w:tcPr>
                  <w:tcW w:w="1352" w:type="pct"/>
                  <w:vAlign w:val="center"/>
                </w:tcPr>
                <w:p w14:paraId="6AA27C9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color w:val="auto"/>
                      <w:sz w:val="21"/>
                      <w:szCs w:val="21"/>
                    </w:rPr>
                  </w:pPr>
                  <w:r>
                    <w:rPr>
                      <w:rFonts w:hint="eastAsia" w:ascii="Times New Roman" w:hAnsi="Times New Roman"/>
                      <w:color w:val="auto"/>
                      <w:sz w:val="21"/>
                      <w:szCs w:val="21"/>
                      <w:vertAlign w:val="baseline"/>
                      <w:lang w:val="en-US" w:eastAsia="zh-CN"/>
                    </w:rPr>
                    <w:t>本项目不属于过剩产能行业项目</w:t>
                  </w:r>
                </w:p>
              </w:tc>
              <w:tc>
                <w:tcPr>
                  <w:tcW w:w="580" w:type="pct"/>
                  <w:vAlign w:val="center"/>
                </w:tcPr>
                <w:p w14:paraId="04E42E82">
                  <w:pPr>
                    <w:jc w:val="center"/>
                    <w:rPr>
                      <w:color w:val="auto"/>
                      <w:sz w:val="21"/>
                      <w:szCs w:val="21"/>
                    </w:rPr>
                  </w:pPr>
                  <w:r>
                    <w:rPr>
                      <w:rFonts w:hint="eastAsia"/>
                      <w:color w:val="auto"/>
                      <w:sz w:val="21"/>
                      <w:szCs w:val="21"/>
                    </w:rPr>
                    <w:t>符合</w:t>
                  </w:r>
                </w:p>
              </w:tc>
            </w:tr>
          </w:tbl>
          <w:p w14:paraId="0AF15675">
            <w:pPr>
              <w:spacing w:line="360" w:lineRule="auto"/>
              <w:ind w:firstLine="480" w:firstLineChars="200"/>
              <w:jc w:val="left"/>
              <w:rPr>
                <w:rFonts w:hAnsi="宋体"/>
                <w:bCs/>
                <w:color w:val="auto"/>
                <w:sz w:val="24"/>
              </w:rPr>
            </w:pPr>
            <w:r>
              <w:rPr>
                <w:rFonts w:hint="eastAsia"/>
                <w:color w:val="auto"/>
                <w:sz w:val="24"/>
              </w:rPr>
              <w:t>综上所述，项目的建设符合</w:t>
            </w:r>
            <w:r>
              <w:rPr>
                <w:rFonts w:hint="eastAsia" w:hAnsi="宋体"/>
                <w:bCs/>
                <w:color w:val="auto"/>
                <w:sz w:val="24"/>
              </w:rPr>
              <w:t>《长江经济带发展负面清单指南》（试行，</w:t>
            </w:r>
            <w:r>
              <w:rPr>
                <w:rFonts w:hAnsi="宋体"/>
                <w:bCs/>
                <w:color w:val="auto"/>
                <w:sz w:val="24"/>
              </w:rPr>
              <w:t>2022</w:t>
            </w:r>
            <w:r>
              <w:rPr>
                <w:rFonts w:hint="eastAsia" w:hAnsi="宋体"/>
                <w:bCs/>
                <w:color w:val="auto"/>
                <w:sz w:val="24"/>
              </w:rPr>
              <w:t>年版）。</w:t>
            </w:r>
          </w:p>
          <w:p w14:paraId="71344E46">
            <w:pPr>
              <w:spacing w:line="360" w:lineRule="auto"/>
              <w:ind w:firstLine="482" w:firstLineChars="200"/>
              <w:rPr>
                <w:b/>
                <w:bCs/>
                <w:color w:val="auto"/>
              </w:rPr>
            </w:pPr>
            <w:r>
              <w:rPr>
                <w:rFonts w:hint="eastAsia"/>
                <w:b/>
                <w:bCs/>
                <w:color w:val="auto"/>
                <w:sz w:val="24"/>
                <w:lang w:val="en-US" w:eastAsia="zh-CN"/>
              </w:rPr>
              <w:t>8</w:t>
            </w:r>
            <w:r>
              <w:rPr>
                <w:rFonts w:hint="eastAsia"/>
                <w:b/>
                <w:bCs/>
                <w:color w:val="auto"/>
                <w:sz w:val="24"/>
              </w:rPr>
              <w:t>、</w:t>
            </w:r>
            <w:r>
              <w:rPr>
                <w:b/>
                <w:bCs/>
                <w:color w:val="auto"/>
                <w:sz w:val="24"/>
              </w:rPr>
              <w:t>与《云南省长江经济带发展负面清单指南实施细则（试行，2022年版）》的符合性分析</w:t>
            </w:r>
          </w:p>
          <w:p w14:paraId="361AB4CF">
            <w:pPr>
              <w:spacing w:line="360" w:lineRule="auto"/>
              <w:ind w:firstLine="480" w:firstLineChars="200"/>
              <w:jc w:val="left"/>
              <w:rPr>
                <w:rFonts w:hAnsi="宋体"/>
                <w:bCs/>
                <w:color w:val="auto"/>
                <w:sz w:val="24"/>
              </w:rPr>
            </w:pPr>
            <w:r>
              <w:rPr>
                <w:rFonts w:hint="eastAsia" w:hAnsi="宋体"/>
                <w:bCs/>
                <w:color w:val="auto"/>
                <w:sz w:val="24"/>
              </w:rPr>
              <w:t>项目与《云南省长江经济带发展负面清单指南实施细则（试行，2022年版）》对比分析情况见下表</w:t>
            </w:r>
            <w:r>
              <w:rPr>
                <w:rFonts w:hAnsi="宋体"/>
                <w:bCs/>
                <w:color w:val="auto"/>
                <w:sz w:val="24"/>
              </w:rPr>
              <w:t>1-</w:t>
            </w:r>
            <w:r>
              <w:rPr>
                <w:rFonts w:hint="eastAsia" w:hAnsi="宋体"/>
                <w:bCs/>
                <w:color w:val="auto"/>
                <w:sz w:val="24"/>
                <w:lang w:val="en-US" w:eastAsia="zh-CN"/>
              </w:rPr>
              <w:t>8</w:t>
            </w:r>
            <w:r>
              <w:rPr>
                <w:rFonts w:hint="eastAsia" w:hAnsi="宋体"/>
                <w:bCs/>
                <w:color w:val="auto"/>
                <w:sz w:val="24"/>
              </w:rPr>
              <w:t>。</w:t>
            </w:r>
          </w:p>
          <w:p w14:paraId="13329E79">
            <w:pPr>
              <w:jc w:val="center"/>
              <w:rPr>
                <w:color w:val="auto"/>
                <w:sz w:val="24"/>
              </w:rPr>
            </w:pPr>
            <w:r>
              <w:rPr>
                <w:rFonts w:hint="eastAsia"/>
                <w:b/>
                <w:bCs/>
                <w:color w:val="auto"/>
                <w:sz w:val="24"/>
              </w:rPr>
              <w:t>表1-</w:t>
            </w:r>
            <w:r>
              <w:rPr>
                <w:rFonts w:hint="eastAsia"/>
                <w:b/>
                <w:bCs/>
                <w:color w:val="auto"/>
                <w:sz w:val="24"/>
                <w:lang w:val="en-US" w:eastAsia="zh-CN"/>
              </w:rPr>
              <w:t>8</w:t>
            </w:r>
            <w:r>
              <w:rPr>
                <w:rFonts w:hint="eastAsia"/>
                <w:b/>
                <w:bCs/>
                <w:color w:val="auto"/>
                <w:sz w:val="24"/>
              </w:rPr>
              <w:t xml:space="preserve">  项目与《云南省长江经济带发展负面清单指南实施细则</w:t>
            </w:r>
            <w:r>
              <w:rPr>
                <w:b/>
                <w:bCs/>
                <w:color w:val="auto"/>
                <w:sz w:val="24"/>
              </w:rPr>
              <w:t>（试行，2022年版）》相符性分析</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3557"/>
              <w:gridCol w:w="2301"/>
              <w:gridCol w:w="836"/>
            </w:tblGrid>
            <w:tr w14:paraId="36D0F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7" w:type="pct"/>
                  <w:vAlign w:val="center"/>
                </w:tcPr>
                <w:p w14:paraId="18189126">
                  <w:pPr>
                    <w:jc w:val="center"/>
                    <w:rPr>
                      <w:b/>
                      <w:bCs/>
                      <w:color w:val="auto"/>
                      <w:sz w:val="21"/>
                      <w:szCs w:val="21"/>
                    </w:rPr>
                  </w:pPr>
                  <w:r>
                    <w:rPr>
                      <w:b/>
                      <w:bCs/>
                      <w:color w:val="auto"/>
                      <w:sz w:val="21"/>
                      <w:szCs w:val="21"/>
                    </w:rPr>
                    <w:t>序号</w:t>
                  </w:r>
                </w:p>
              </w:tc>
              <w:tc>
                <w:tcPr>
                  <w:tcW w:w="2477" w:type="pct"/>
                  <w:vAlign w:val="center"/>
                </w:tcPr>
                <w:p w14:paraId="3028621F">
                  <w:pPr>
                    <w:jc w:val="center"/>
                    <w:rPr>
                      <w:b/>
                      <w:bCs/>
                      <w:color w:val="auto"/>
                      <w:sz w:val="21"/>
                      <w:szCs w:val="21"/>
                    </w:rPr>
                  </w:pPr>
                  <w:r>
                    <w:rPr>
                      <w:b/>
                      <w:bCs/>
                      <w:color w:val="auto"/>
                      <w:sz w:val="21"/>
                      <w:szCs w:val="21"/>
                    </w:rPr>
                    <w:t>《云南省长江经济带发展负面清单指南实施细则（试行，2022年版）》</w:t>
                  </w:r>
                </w:p>
              </w:tc>
              <w:tc>
                <w:tcPr>
                  <w:tcW w:w="1602" w:type="pct"/>
                  <w:vAlign w:val="center"/>
                </w:tcPr>
                <w:p w14:paraId="6F3A5AB4">
                  <w:pPr>
                    <w:jc w:val="center"/>
                    <w:rPr>
                      <w:b/>
                      <w:bCs/>
                      <w:color w:val="auto"/>
                      <w:sz w:val="21"/>
                      <w:szCs w:val="21"/>
                    </w:rPr>
                  </w:pPr>
                  <w:r>
                    <w:rPr>
                      <w:b/>
                      <w:bCs/>
                      <w:color w:val="auto"/>
                      <w:sz w:val="21"/>
                      <w:szCs w:val="21"/>
                    </w:rPr>
                    <w:t>本项目实际情况</w:t>
                  </w:r>
                </w:p>
              </w:tc>
              <w:tc>
                <w:tcPr>
                  <w:tcW w:w="582" w:type="pct"/>
                  <w:vAlign w:val="center"/>
                </w:tcPr>
                <w:p w14:paraId="4BA06836">
                  <w:pPr>
                    <w:jc w:val="center"/>
                    <w:rPr>
                      <w:b/>
                      <w:bCs/>
                      <w:color w:val="auto"/>
                      <w:sz w:val="21"/>
                      <w:szCs w:val="21"/>
                    </w:rPr>
                  </w:pPr>
                  <w:r>
                    <w:rPr>
                      <w:b/>
                      <w:bCs/>
                      <w:color w:val="auto"/>
                      <w:sz w:val="21"/>
                      <w:szCs w:val="21"/>
                    </w:rPr>
                    <w:t>符合性</w:t>
                  </w:r>
                </w:p>
              </w:tc>
            </w:tr>
            <w:tr w14:paraId="612CF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vAlign w:val="center"/>
                </w:tcPr>
                <w:p w14:paraId="4E4E2A36">
                  <w:pPr>
                    <w:jc w:val="center"/>
                    <w:rPr>
                      <w:color w:val="auto"/>
                      <w:sz w:val="21"/>
                      <w:szCs w:val="21"/>
                    </w:rPr>
                  </w:pPr>
                  <w:r>
                    <w:rPr>
                      <w:color w:val="auto"/>
                      <w:sz w:val="21"/>
                      <w:szCs w:val="21"/>
                    </w:rPr>
                    <w:t>1</w:t>
                  </w:r>
                </w:p>
              </w:tc>
              <w:tc>
                <w:tcPr>
                  <w:tcW w:w="2477" w:type="pct"/>
                  <w:vAlign w:val="center"/>
                </w:tcPr>
                <w:p w14:paraId="2420843D">
                  <w:pPr>
                    <w:spacing w:line="240" w:lineRule="auto"/>
                    <w:ind w:firstLine="0" w:firstLineChars="0"/>
                    <w:jc w:val="center"/>
                    <w:rPr>
                      <w:color w:val="auto"/>
                      <w:sz w:val="21"/>
                      <w:szCs w:val="21"/>
                    </w:rPr>
                  </w:pPr>
                  <w:r>
                    <w:rPr>
                      <w:rFonts w:hint="default" w:ascii="Times New Roman" w:hAnsi="Times New Roman" w:eastAsia="宋体" w:cs="Times New Roman"/>
                      <w:color w:val="auto"/>
                      <w:sz w:val="21"/>
                      <w:szCs w:val="21"/>
                      <w:highlight w:val="none"/>
                      <w:lang w:val="en-US" w:eastAsia="zh-CN"/>
                    </w:rPr>
                    <w:t>第一条</w:t>
                  </w:r>
                  <w:r>
                    <w:rPr>
                      <w:rFonts w:hint="eastAsia"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禁止新建、改建和扩建不符合《全国内河航道与港口布局规划》等全国港口规划和《昭通巿港口码头岸线规划</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金沙江段2019年—2035年</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》、《景洪港总体规划</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2019—2035年</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》等州</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市</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级以上港口布局规划以及港口总体规划的码头项目。</w:t>
                  </w:r>
                </w:p>
              </w:tc>
              <w:tc>
                <w:tcPr>
                  <w:tcW w:w="1602" w:type="pct"/>
                  <w:vAlign w:val="center"/>
                </w:tcPr>
                <w:p w14:paraId="3F8DF3B1">
                  <w:pPr>
                    <w:spacing w:line="240" w:lineRule="auto"/>
                    <w:ind w:firstLine="0" w:firstLineChars="0"/>
                    <w:jc w:val="center"/>
                    <w:rPr>
                      <w:color w:val="auto"/>
                      <w:sz w:val="21"/>
                      <w:szCs w:val="21"/>
                    </w:rPr>
                  </w:pPr>
                  <w:r>
                    <w:rPr>
                      <w:snapToGrid w:val="0"/>
                      <w:color w:val="auto"/>
                      <w:kern w:val="0"/>
                      <w:sz w:val="21"/>
                      <w:szCs w:val="21"/>
                    </w:rPr>
                    <w:t>本项目为</w:t>
                  </w:r>
                  <w:r>
                    <w:rPr>
                      <w:rFonts w:hint="eastAsia"/>
                      <w:snapToGrid w:val="0"/>
                      <w:color w:val="auto"/>
                      <w:kern w:val="0"/>
                      <w:sz w:val="21"/>
                      <w:szCs w:val="21"/>
                      <w:lang w:val="en-US" w:eastAsia="zh-CN"/>
                    </w:rPr>
                    <w:t>磷石膏综合利用项目</w:t>
                  </w:r>
                  <w:r>
                    <w:rPr>
                      <w:rFonts w:hint="eastAsia"/>
                      <w:snapToGrid w:val="0"/>
                      <w:color w:val="auto"/>
                      <w:kern w:val="0"/>
                      <w:sz w:val="21"/>
                      <w:szCs w:val="21"/>
                    </w:rPr>
                    <w:t>，</w:t>
                  </w:r>
                  <w:r>
                    <w:rPr>
                      <w:rFonts w:hint="eastAsia" w:ascii="宋体" w:hAnsi="宋体" w:cs="宋体"/>
                      <w:color w:val="auto"/>
                      <w:kern w:val="0"/>
                      <w:sz w:val="21"/>
                      <w:szCs w:val="21"/>
                      <w:lang w:bidi="ar"/>
                    </w:rPr>
                    <w:t>项目不属于码头或过长江通道项目。</w:t>
                  </w:r>
                </w:p>
              </w:tc>
              <w:tc>
                <w:tcPr>
                  <w:tcW w:w="582" w:type="pct"/>
                  <w:vAlign w:val="center"/>
                </w:tcPr>
                <w:p w14:paraId="4ECA4BFD">
                  <w:pPr>
                    <w:jc w:val="center"/>
                    <w:rPr>
                      <w:color w:val="auto"/>
                      <w:sz w:val="21"/>
                      <w:szCs w:val="21"/>
                    </w:rPr>
                  </w:pPr>
                  <w:r>
                    <w:rPr>
                      <w:color w:val="auto"/>
                      <w:sz w:val="21"/>
                      <w:szCs w:val="21"/>
                    </w:rPr>
                    <w:t>符合</w:t>
                  </w:r>
                </w:p>
              </w:tc>
            </w:tr>
            <w:tr w14:paraId="109CD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vAlign w:val="center"/>
                </w:tcPr>
                <w:p w14:paraId="2DA33FE8">
                  <w:pPr>
                    <w:jc w:val="center"/>
                    <w:rPr>
                      <w:color w:val="auto"/>
                      <w:sz w:val="21"/>
                      <w:szCs w:val="21"/>
                    </w:rPr>
                  </w:pPr>
                  <w:r>
                    <w:rPr>
                      <w:rFonts w:hint="eastAsia"/>
                      <w:color w:val="auto"/>
                      <w:sz w:val="21"/>
                      <w:szCs w:val="21"/>
                    </w:rPr>
                    <w:t>2</w:t>
                  </w:r>
                </w:p>
              </w:tc>
              <w:tc>
                <w:tcPr>
                  <w:tcW w:w="2477" w:type="pct"/>
                  <w:vAlign w:val="center"/>
                </w:tcPr>
                <w:p w14:paraId="74BBA569">
                  <w:pPr>
                    <w:spacing w:line="240" w:lineRule="auto"/>
                    <w:ind w:firstLine="0" w:firstLineChars="0"/>
                    <w:jc w:val="center"/>
                    <w:rPr>
                      <w:color w:val="auto"/>
                      <w:sz w:val="21"/>
                      <w:szCs w:val="21"/>
                    </w:rPr>
                  </w:pPr>
                  <w:r>
                    <w:rPr>
                      <w:rFonts w:hint="default" w:ascii="Times New Roman" w:hAnsi="Times New Roman" w:eastAsia="Times New Roman"/>
                      <w:color w:val="auto"/>
                      <w:sz w:val="21"/>
                      <w:szCs w:val="21"/>
                      <w:highlight w:val="none"/>
                      <w:lang w:val="zh-CN"/>
                    </w:rPr>
                    <w:t>第二条</w:t>
                  </w:r>
                  <w:r>
                    <w:rPr>
                      <w:rFonts w:hint="eastAsia" w:ascii="Times New Roman" w:hAnsi="Times New Roman" w:eastAsia="宋体"/>
                      <w:color w:val="auto"/>
                      <w:sz w:val="21"/>
                      <w:szCs w:val="21"/>
                      <w:highlight w:val="none"/>
                      <w:lang w:val="en-US" w:eastAsia="zh-CN"/>
                    </w:rPr>
                    <w:t xml:space="preserve">  </w:t>
                  </w:r>
                  <w:r>
                    <w:rPr>
                      <w:rFonts w:hint="default" w:ascii="Times New Roman" w:hAnsi="Times New Roman" w:eastAsia="Times New Roman"/>
                      <w:color w:val="auto"/>
                      <w:sz w:val="21"/>
                      <w:szCs w:val="21"/>
                      <w:highlight w:val="none"/>
                      <w:lang w:val="zh-CN"/>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602" w:type="pct"/>
                  <w:vAlign w:val="center"/>
                </w:tcPr>
                <w:p w14:paraId="51C94AE0">
                  <w:pPr>
                    <w:spacing w:line="240" w:lineRule="auto"/>
                    <w:ind w:firstLine="0" w:firstLineChars="0"/>
                    <w:jc w:val="center"/>
                    <w:rPr>
                      <w:color w:val="auto"/>
                      <w:sz w:val="21"/>
                      <w:szCs w:val="21"/>
                    </w:rPr>
                  </w:pPr>
                  <w:r>
                    <w:rPr>
                      <w:snapToGrid w:val="0"/>
                      <w:color w:val="auto"/>
                      <w:kern w:val="0"/>
                      <w:sz w:val="21"/>
                      <w:szCs w:val="21"/>
                    </w:rPr>
                    <w:t>本项目位于</w:t>
                  </w:r>
                  <w:r>
                    <w:rPr>
                      <w:rFonts w:hint="eastAsia"/>
                      <w:color w:val="auto"/>
                      <w:sz w:val="21"/>
                      <w:szCs w:val="21"/>
                      <w:lang w:val="en-US" w:eastAsia="zh-CN"/>
                    </w:rPr>
                    <w:t>云南常青树化工有限公司</w:t>
                  </w:r>
                  <w:r>
                    <w:rPr>
                      <w:rFonts w:hint="eastAsia"/>
                      <w:color w:val="auto"/>
                      <w:sz w:val="21"/>
                      <w:szCs w:val="21"/>
                      <w:lang w:eastAsia="zh-CN"/>
                    </w:rPr>
                    <w:t>厂区内</w:t>
                  </w:r>
                  <w:r>
                    <w:rPr>
                      <w:snapToGrid w:val="0"/>
                      <w:color w:val="auto"/>
                      <w:kern w:val="0"/>
                      <w:sz w:val="21"/>
                      <w:szCs w:val="21"/>
                    </w:rPr>
                    <w:t>，</w:t>
                  </w:r>
                  <w:r>
                    <w:rPr>
                      <w:rFonts w:hint="eastAsia" w:ascii="宋体" w:hAnsi="宋体" w:eastAsia="宋体" w:cs="宋体"/>
                      <w:color w:val="auto"/>
                      <w:kern w:val="0"/>
                      <w:sz w:val="21"/>
                      <w:szCs w:val="21"/>
                      <w:lang w:val="en-US" w:eastAsia="zh-CN" w:bidi="ar"/>
                    </w:rPr>
                    <w:t>不涉及寻甸县自然保护区核心区、风景名胜区等特殊敏感区。</w:t>
                  </w:r>
                </w:p>
              </w:tc>
              <w:tc>
                <w:tcPr>
                  <w:tcW w:w="582" w:type="pct"/>
                  <w:vAlign w:val="center"/>
                </w:tcPr>
                <w:p w14:paraId="3251DA37">
                  <w:pPr>
                    <w:jc w:val="center"/>
                    <w:rPr>
                      <w:color w:val="auto"/>
                      <w:sz w:val="21"/>
                      <w:szCs w:val="21"/>
                    </w:rPr>
                  </w:pPr>
                  <w:r>
                    <w:rPr>
                      <w:rFonts w:hint="eastAsia"/>
                      <w:color w:val="auto"/>
                      <w:sz w:val="21"/>
                      <w:szCs w:val="21"/>
                    </w:rPr>
                    <w:t>符合</w:t>
                  </w:r>
                </w:p>
              </w:tc>
            </w:tr>
            <w:tr w14:paraId="0D9B6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vAlign w:val="center"/>
                </w:tcPr>
                <w:p w14:paraId="3FA58F87">
                  <w:pPr>
                    <w:jc w:val="center"/>
                    <w:rPr>
                      <w:color w:val="auto"/>
                      <w:sz w:val="21"/>
                      <w:szCs w:val="21"/>
                    </w:rPr>
                  </w:pPr>
                  <w:r>
                    <w:rPr>
                      <w:rFonts w:hint="eastAsia"/>
                      <w:color w:val="auto"/>
                      <w:sz w:val="21"/>
                      <w:szCs w:val="21"/>
                    </w:rPr>
                    <w:t>3</w:t>
                  </w:r>
                </w:p>
              </w:tc>
              <w:tc>
                <w:tcPr>
                  <w:tcW w:w="2477" w:type="pct"/>
                  <w:vAlign w:val="center"/>
                </w:tcPr>
                <w:p w14:paraId="06D749E9">
                  <w:pPr>
                    <w:spacing w:line="240" w:lineRule="auto"/>
                    <w:ind w:firstLine="0" w:firstLineChars="0"/>
                    <w:jc w:val="center"/>
                    <w:rPr>
                      <w:rFonts w:ascii="宋体" w:hAnsi="宋体" w:cs="宋体"/>
                      <w:color w:val="auto"/>
                      <w:sz w:val="21"/>
                      <w:szCs w:val="21"/>
                      <w:lang w:bidi="ar"/>
                    </w:rPr>
                  </w:pPr>
                  <w:r>
                    <w:rPr>
                      <w:rFonts w:hint="default" w:ascii="Times New Roman" w:hAnsi="Times New Roman" w:eastAsia="Times New Roman"/>
                      <w:color w:val="auto"/>
                      <w:sz w:val="21"/>
                      <w:szCs w:val="21"/>
                      <w:highlight w:val="none"/>
                      <w:lang w:val="zh-CN"/>
                    </w:rPr>
                    <w:t>第三条</w:t>
                  </w:r>
                  <w:r>
                    <w:rPr>
                      <w:rFonts w:hint="eastAsia" w:ascii="Times New Roman" w:hAnsi="Times New Roman" w:eastAsia="宋体"/>
                      <w:color w:val="auto"/>
                      <w:sz w:val="21"/>
                      <w:szCs w:val="21"/>
                      <w:highlight w:val="none"/>
                      <w:lang w:val="en-US" w:eastAsia="zh-CN"/>
                    </w:rPr>
                    <w:t xml:space="preserve">  </w:t>
                  </w:r>
                  <w:r>
                    <w:rPr>
                      <w:rFonts w:hint="default" w:ascii="Times New Roman" w:hAnsi="Times New Roman" w:eastAsia="Times New Roman"/>
                      <w:color w:val="auto"/>
                      <w:sz w:val="21"/>
                      <w:szCs w:val="21"/>
                      <w:highlight w:val="none"/>
                      <w:lang w:val="zh-CN"/>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w:t>
                  </w:r>
                  <w:r>
                    <w:rPr>
                      <w:rFonts w:hint="eastAsia" w:ascii="Times New Roman" w:hAnsi="Times New Roman" w:eastAsia="Times New Roman"/>
                      <w:color w:val="auto"/>
                      <w:sz w:val="21"/>
                      <w:szCs w:val="21"/>
                      <w:highlight w:val="none"/>
                      <w:lang w:val="zh-CN"/>
                    </w:rPr>
                    <w:t>；</w:t>
                  </w:r>
                  <w:r>
                    <w:rPr>
                      <w:rFonts w:hint="default" w:ascii="Times New Roman" w:hAnsi="Times New Roman" w:eastAsia="Times New Roman"/>
                      <w:color w:val="auto"/>
                      <w:sz w:val="21"/>
                      <w:szCs w:val="21"/>
                      <w:highlight w:val="none"/>
                      <w:lang w:val="zh-CN"/>
                    </w:rPr>
                    <w:t>禁止在风景名胜区内设立开发区和在核心景区内建设宾馆、会所、培训中心、疗养院以及与风景名胜资源保护无关的投资建设项目。</w:t>
                  </w:r>
                </w:p>
              </w:tc>
              <w:tc>
                <w:tcPr>
                  <w:tcW w:w="1602" w:type="pct"/>
                  <w:vAlign w:val="center"/>
                </w:tcPr>
                <w:p w14:paraId="1712F775">
                  <w:pPr>
                    <w:spacing w:line="240" w:lineRule="auto"/>
                    <w:ind w:firstLine="0" w:firstLineChars="0"/>
                    <w:jc w:val="center"/>
                    <w:rPr>
                      <w:rFonts w:ascii="宋体" w:hAnsi="宋体" w:cs="宋体"/>
                      <w:color w:val="auto"/>
                      <w:sz w:val="21"/>
                      <w:szCs w:val="21"/>
                      <w:lang w:bidi="ar"/>
                    </w:rPr>
                  </w:pPr>
                  <w:r>
                    <w:rPr>
                      <w:snapToGrid w:val="0"/>
                      <w:color w:val="auto"/>
                      <w:kern w:val="0"/>
                      <w:sz w:val="21"/>
                      <w:szCs w:val="21"/>
                    </w:rPr>
                    <w:t>本项目</w:t>
                  </w:r>
                  <w:r>
                    <w:rPr>
                      <w:rFonts w:hint="eastAsia"/>
                      <w:snapToGrid w:val="0"/>
                      <w:color w:val="auto"/>
                      <w:kern w:val="0"/>
                      <w:sz w:val="21"/>
                      <w:szCs w:val="21"/>
                    </w:rPr>
                    <w:t>位</w:t>
                  </w:r>
                  <w:r>
                    <w:rPr>
                      <w:snapToGrid w:val="0"/>
                      <w:color w:val="auto"/>
                      <w:kern w:val="0"/>
                      <w:sz w:val="21"/>
                      <w:szCs w:val="21"/>
                    </w:rPr>
                    <w:t>于</w:t>
                  </w:r>
                  <w:r>
                    <w:rPr>
                      <w:rFonts w:hint="eastAsia"/>
                      <w:color w:val="auto"/>
                      <w:sz w:val="21"/>
                      <w:szCs w:val="21"/>
                      <w:lang w:val="en-US" w:eastAsia="zh-CN"/>
                    </w:rPr>
                    <w:t>云南常青树化工有限公司</w:t>
                  </w:r>
                  <w:r>
                    <w:rPr>
                      <w:rFonts w:hint="eastAsia"/>
                      <w:color w:val="auto"/>
                      <w:sz w:val="21"/>
                      <w:szCs w:val="21"/>
                      <w:lang w:eastAsia="zh-CN"/>
                    </w:rPr>
                    <w:t>厂区内</w:t>
                  </w:r>
                  <w:r>
                    <w:rPr>
                      <w:snapToGrid w:val="0"/>
                      <w:color w:val="auto"/>
                      <w:kern w:val="0"/>
                      <w:sz w:val="21"/>
                      <w:szCs w:val="21"/>
                    </w:rPr>
                    <w:t>，</w:t>
                  </w:r>
                  <w:r>
                    <w:rPr>
                      <w:rFonts w:hint="eastAsia" w:ascii="宋体" w:hAnsi="宋体" w:eastAsia="宋体" w:cs="宋体"/>
                      <w:color w:val="auto"/>
                      <w:kern w:val="0"/>
                      <w:sz w:val="21"/>
                      <w:szCs w:val="21"/>
                      <w:lang w:val="en-US" w:eastAsia="zh-CN" w:bidi="ar"/>
                    </w:rPr>
                    <w:t>不涉及寻甸县自然保护区核心区、风景名胜区等特殊敏感区。</w:t>
                  </w:r>
                </w:p>
              </w:tc>
              <w:tc>
                <w:tcPr>
                  <w:tcW w:w="582" w:type="pct"/>
                  <w:vAlign w:val="center"/>
                </w:tcPr>
                <w:p w14:paraId="4BEB7731">
                  <w:pPr>
                    <w:jc w:val="center"/>
                    <w:rPr>
                      <w:color w:val="auto"/>
                      <w:sz w:val="21"/>
                      <w:szCs w:val="21"/>
                    </w:rPr>
                  </w:pPr>
                  <w:r>
                    <w:rPr>
                      <w:rFonts w:hint="eastAsia"/>
                      <w:color w:val="auto"/>
                      <w:sz w:val="21"/>
                      <w:szCs w:val="21"/>
                    </w:rPr>
                    <w:t>符合</w:t>
                  </w:r>
                </w:p>
              </w:tc>
            </w:tr>
            <w:tr w14:paraId="718A2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vAlign w:val="center"/>
                </w:tcPr>
                <w:p w14:paraId="1DA61EB6">
                  <w:pPr>
                    <w:jc w:val="center"/>
                    <w:rPr>
                      <w:color w:val="auto"/>
                      <w:sz w:val="21"/>
                      <w:szCs w:val="21"/>
                    </w:rPr>
                  </w:pPr>
                  <w:r>
                    <w:rPr>
                      <w:rFonts w:hint="eastAsia"/>
                      <w:color w:val="auto"/>
                      <w:sz w:val="21"/>
                      <w:szCs w:val="21"/>
                    </w:rPr>
                    <w:t>4</w:t>
                  </w:r>
                </w:p>
              </w:tc>
              <w:tc>
                <w:tcPr>
                  <w:tcW w:w="2477" w:type="pct"/>
                  <w:vAlign w:val="center"/>
                </w:tcPr>
                <w:p w14:paraId="4CAE3BB8">
                  <w:pPr>
                    <w:spacing w:line="240" w:lineRule="auto"/>
                    <w:ind w:firstLine="0" w:firstLineChars="0"/>
                    <w:jc w:val="center"/>
                    <w:rPr>
                      <w:rFonts w:ascii="宋体" w:hAnsi="宋体" w:cs="宋体"/>
                      <w:color w:val="auto"/>
                      <w:sz w:val="21"/>
                      <w:szCs w:val="21"/>
                      <w:lang w:bidi="ar"/>
                    </w:rPr>
                  </w:pPr>
                  <w:r>
                    <w:rPr>
                      <w:rFonts w:hint="default" w:ascii="Times New Roman" w:hAnsi="Times New Roman" w:eastAsia="Times New Roman"/>
                      <w:color w:val="auto"/>
                      <w:sz w:val="21"/>
                      <w:szCs w:val="21"/>
                      <w:highlight w:val="none"/>
                      <w:lang w:val="zh-CN"/>
                    </w:rPr>
                    <w:t>第四条</w:t>
                  </w:r>
                  <w:r>
                    <w:rPr>
                      <w:rFonts w:hint="eastAsia" w:ascii="Times New Roman" w:hAnsi="Times New Roman" w:eastAsia="宋体"/>
                      <w:color w:val="auto"/>
                      <w:sz w:val="21"/>
                      <w:szCs w:val="21"/>
                      <w:highlight w:val="none"/>
                      <w:lang w:val="en-US" w:eastAsia="zh-CN"/>
                    </w:rPr>
                    <w:t xml:space="preserve"> </w:t>
                  </w:r>
                  <w:r>
                    <w:rPr>
                      <w:rFonts w:hint="default" w:ascii="Times New Roman" w:hAnsi="Times New Roman" w:eastAsia="Times New Roman"/>
                      <w:color w:val="auto"/>
                      <w:sz w:val="21"/>
                      <w:szCs w:val="21"/>
                      <w:highlight w:val="none"/>
                      <w:lang w:val="zh-CN"/>
                    </w:rPr>
                    <w:t>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1602" w:type="pct"/>
                  <w:vAlign w:val="center"/>
                </w:tcPr>
                <w:p w14:paraId="2D519634">
                  <w:pPr>
                    <w:spacing w:line="240" w:lineRule="auto"/>
                    <w:ind w:firstLine="0" w:firstLineChars="0"/>
                    <w:jc w:val="center"/>
                    <w:rPr>
                      <w:rFonts w:hint="eastAsia" w:eastAsia="宋体"/>
                      <w:color w:val="auto"/>
                      <w:sz w:val="21"/>
                      <w:szCs w:val="21"/>
                      <w:lang w:eastAsia="zh-CN"/>
                    </w:rPr>
                  </w:pPr>
                  <w:r>
                    <w:rPr>
                      <w:snapToGrid w:val="0"/>
                      <w:color w:val="auto"/>
                      <w:kern w:val="0"/>
                      <w:sz w:val="21"/>
                      <w:szCs w:val="21"/>
                    </w:rPr>
                    <w:t>本项目</w:t>
                  </w:r>
                  <w:r>
                    <w:rPr>
                      <w:rFonts w:hint="eastAsia"/>
                      <w:snapToGrid w:val="0"/>
                      <w:color w:val="auto"/>
                      <w:kern w:val="0"/>
                      <w:sz w:val="21"/>
                      <w:szCs w:val="21"/>
                    </w:rPr>
                    <w:t>位</w:t>
                  </w:r>
                  <w:r>
                    <w:rPr>
                      <w:snapToGrid w:val="0"/>
                      <w:color w:val="auto"/>
                      <w:kern w:val="0"/>
                      <w:sz w:val="21"/>
                      <w:szCs w:val="21"/>
                    </w:rPr>
                    <w:t>于</w:t>
                  </w:r>
                  <w:r>
                    <w:rPr>
                      <w:rFonts w:hint="eastAsia"/>
                      <w:color w:val="auto"/>
                      <w:sz w:val="21"/>
                      <w:szCs w:val="21"/>
                      <w:lang w:val="en-US" w:eastAsia="zh-CN"/>
                    </w:rPr>
                    <w:t>云南常青树化工有限公司</w:t>
                  </w:r>
                  <w:r>
                    <w:rPr>
                      <w:rFonts w:hint="eastAsia"/>
                      <w:color w:val="auto"/>
                      <w:sz w:val="21"/>
                      <w:szCs w:val="21"/>
                      <w:lang w:eastAsia="zh-CN"/>
                    </w:rPr>
                    <w:t>厂区内</w:t>
                  </w:r>
                  <w:r>
                    <w:rPr>
                      <w:snapToGrid w:val="0"/>
                      <w:color w:val="auto"/>
                      <w:kern w:val="0"/>
                      <w:sz w:val="21"/>
                      <w:szCs w:val="21"/>
                    </w:rPr>
                    <w:t>，</w:t>
                  </w:r>
                  <w:r>
                    <w:rPr>
                      <w:rFonts w:hint="eastAsia" w:ascii="宋体" w:hAnsi="宋体" w:cs="宋体"/>
                      <w:color w:val="auto"/>
                      <w:kern w:val="0"/>
                      <w:sz w:val="21"/>
                      <w:szCs w:val="21"/>
                      <w:lang w:bidi="ar"/>
                    </w:rPr>
                    <w:t>不属于饮用水水源二级保护区的岸线和河段范围内新建、改建、扩建排放污染物的投资建设项目。</w:t>
                  </w:r>
                </w:p>
              </w:tc>
              <w:tc>
                <w:tcPr>
                  <w:tcW w:w="582" w:type="pct"/>
                  <w:vAlign w:val="center"/>
                </w:tcPr>
                <w:p w14:paraId="74D0D7D9">
                  <w:pPr>
                    <w:jc w:val="center"/>
                    <w:rPr>
                      <w:color w:val="auto"/>
                      <w:sz w:val="21"/>
                      <w:szCs w:val="21"/>
                    </w:rPr>
                  </w:pPr>
                  <w:r>
                    <w:rPr>
                      <w:rFonts w:hint="eastAsia"/>
                      <w:color w:val="auto"/>
                      <w:sz w:val="21"/>
                      <w:szCs w:val="21"/>
                    </w:rPr>
                    <w:t>符合</w:t>
                  </w:r>
                </w:p>
              </w:tc>
            </w:tr>
            <w:tr w14:paraId="3441C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vAlign w:val="center"/>
                </w:tcPr>
                <w:p w14:paraId="526FCA0B">
                  <w:pPr>
                    <w:jc w:val="center"/>
                    <w:rPr>
                      <w:color w:val="auto"/>
                      <w:sz w:val="21"/>
                      <w:szCs w:val="21"/>
                    </w:rPr>
                  </w:pPr>
                  <w:r>
                    <w:rPr>
                      <w:rFonts w:hint="eastAsia"/>
                      <w:color w:val="auto"/>
                      <w:sz w:val="21"/>
                      <w:szCs w:val="21"/>
                    </w:rPr>
                    <w:t>5</w:t>
                  </w:r>
                </w:p>
              </w:tc>
              <w:tc>
                <w:tcPr>
                  <w:tcW w:w="2477" w:type="pct"/>
                  <w:vAlign w:val="center"/>
                </w:tcPr>
                <w:p w14:paraId="50B77F49">
                  <w:pPr>
                    <w:spacing w:line="240" w:lineRule="auto"/>
                    <w:ind w:firstLine="0" w:firstLineChars="0"/>
                    <w:jc w:val="center"/>
                    <w:rPr>
                      <w:rFonts w:ascii="宋体" w:hAnsi="宋体" w:cs="宋体"/>
                      <w:color w:val="auto"/>
                      <w:sz w:val="21"/>
                      <w:szCs w:val="21"/>
                      <w:lang w:bidi="ar"/>
                    </w:rPr>
                  </w:pPr>
                  <w:r>
                    <w:rPr>
                      <w:rFonts w:hint="default" w:ascii="Times New Roman" w:hAnsi="Times New Roman" w:eastAsia="宋体" w:cs="Times New Roman"/>
                      <w:color w:val="auto"/>
                      <w:sz w:val="21"/>
                      <w:szCs w:val="21"/>
                      <w:highlight w:val="none"/>
                      <w:lang w:val="en-US" w:eastAsia="zh-CN"/>
                    </w:rPr>
                    <w:t>第五条</w:t>
                  </w:r>
                  <w:r>
                    <w:rPr>
                      <w:rFonts w:hint="eastAsia"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禁止在水产种质资源保护区的岸线和河段范围内新建围湖造田、围湖造地或围填海等投资建设项目。禁止擅自征收、占用国家湿地公园的土地</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禁止在国家湿地公园内挖沙、采矿</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以及建设度假村、高尔夫球场等任何不符合主体功能定位的投资建设项目。</w:t>
                  </w:r>
                </w:p>
              </w:tc>
              <w:tc>
                <w:tcPr>
                  <w:tcW w:w="1602" w:type="pct"/>
                  <w:vAlign w:val="center"/>
                </w:tcPr>
                <w:p w14:paraId="702F75B8">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eastAsia="宋体"/>
                      <w:color w:val="auto"/>
                      <w:sz w:val="21"/>
                      <w:szCs w:val="21"/>
                      <w:lang w:eastAsia="zh-CN"/>
                    </w:rPr>
                  </w:pPr>
                  <w:r>
                    <w:rPr>
                      <w:snapToGrid w:val="0"/>
                      <w:color w:val="auto"/>
                      <w:kern w:val="0"/>
                      <w:sz w:val="21"/>
                      <w:szCs w:val="21"/>
                    </w:rPr>
                    <w:t>本项目</w:t>
                  </w:r>
                  <w:r>
                    <w:rPr>
                      <w:rFonts w:hint="eastAsia"/>
                      <w:snapToGrid w:val="0"/>
                      <w:color w:val="auto"/>
                      <w:kern w:val="0"/>
                      <w:sz w:val="21"/>
                      <w:szCs w:val="21"/>
                    </w:rPr>
                    <w:t>位</w:t>
                  </w:r>
                  <w:r>
                    <w:rPr>
                      <w:snapToGrid w:val="0"/>
                      <w:color w:val="auto"/>
                      <w:kern w:val="0"/>
                      <w:sz w:val="21"/>
                      <w:szCs w:val="21"/>
                    </w:rPr>
                    <w:t>于</w:t>
                  </w:r>
                  <w:r>
                    <w:rPr>
                      <w:rFonts w:hint="eastAsia"/>
                      <w:color w:val="auto"/>
                      <w:sz w:val="21"/>
                      <w:szCs w:val="21"/>
                      <w:lang w:val="en-US" w:eastAsia="zh-CN"/>
                    </w:rPr>
                    <w:t>云南常青树化工有限公司</w:t>
                  </w:r>
                  <w:r>
                    <w:rPr>
                      <w:rFonts w:hint="eastAsia"/>
                      <w:color w:val="auto"/>
                      <w:sz w:val="21"/>
                      <w:szCs w:val="21"/>
                      <w:lang w:eastAsia="zh-CN"/>
                    </w:rPr>
                    <w:t>厂区内</w:t>
                  </w:r>
                  <w:r>
                    <w:rPr>
                      <w:snapToGrid w:val="0"/>
                      <w:color w:val="auto"/>
                      <w:kern w:val="0"/>
                      <w:sz w:val="21"/>
                      <w:szCs w:val="21"/>
                    </w:rPr>
                    <w:t>，</w:t>
                  </w:r>
                  <w:r>
                    <w:rPr>
                      <w:rFonts w:hint="eastAsia" w:ascii="宋体" w:hAnsi="宋体" w:cs="宋体"/>
                      <w:color w:val="auto"/>
                      <w:kern w:val="0"/>
                      <w:sz w:val="21"/>
                      <w:szCs w:val="21"/>
                      <w:lang w:bidi="ar"/>
                    </w:rPr>
                    <w:t>不属于在水产种质资源保护区的岸线和河段范围内新建围湖造田、围海造地或围填海等投资建设项目，项目符合主体功能定位的投资建设项目。</w:t>
                  </w:r>
                </w:p>
              </w:tc>
              <w:tc>
                <w:tcPr>
                  <w:tcW w:w="582" w:type="pct"/>
                  <w:vAlign w:val="center"/>
                </w:tcPr>
                <w:p w14:paraId="408FBFED">
                  <w:pPr>
                    <w:jc w:val="center"/>
                    <w:rPr>
                      <w:color w:val="auto"/>
                      <w:sz w:val="21"/>
                      <w:szCs w:val="21"/>
                    </w:rPr>
                  </w:pPr>
                  <w:r>
                    <w:rPr>
                      <w:rFonts w:hint="eastAsia"/>
                      <w:color w:val="auto"/>
                      <w:sz w:val="21"/>
                      <w:szCs w:val="21"/>
                    </w:rPr>
                    <w:t>符合</w:t>
                  </w:r>
                </w:p>
              </w:tc>
            </w:tr>
            <w:tr w14:paraId="2E9F1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vAlign w:val="center"/>
                </w:tcPr>
                <w:p w14:paraId="410A8305">
                  <w:pPr>
                    <w:jc w:val="center"/>
                    <w:rPr>
                      <w:color w:val="auto"/>
                      <w:sz w:val="21"/>
                      <w:szCs w:val="21"/>
                    </w:rPr>
                  </w:pPr>
                  <w:r>
                    <w:rPr>
                      <w:rFonts w:hint="eastAsia"/>
                      <w:color w:val="auto"/>
                      <w:sz w:val="21"/>
                      <w:szCs w:val="21"/>
                    </w:rPr>
                    <w:t>6</w:t>
                  </w:r>
                </w:p>
              </w:tc>
              <w:tc>
                <w:tcPr>
                  <w:tcW w:w="2477" w:type="pct"/>
                  <w:vAlign w:val="center"/>
                </w:tcPr>
                <w:p w14:paraId="288AE5AF">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auto"/>
                      <w:sz w:val="21"/>
                      <w:szCs w:val="21"/>
                      <w:lang w:bidi="ar"/>
                    </w:rPr>
                  </w:pPr>
                  <w:r>
                    <w:rPr>
                      <w:rFonts w:hint="default" w:ascii="Times New Roman" w:hAnsi="Times New Roman" w:eastAsia="Times New Roman"/>
                      <w:color w:val="auto"/>
                      <w:sz w:val="21"/>
                      <w:szCs w:val="21"/>
                      <w:highlight w:val="none"/>
                      <w:lang w:val="zh-CN"/>
                    </w:rPr>
                    <w:t>第六条</w:t>
                  </w:r>
                  <w:r>
                    <w:rPr>
                      <w:rFonts w:hint="eastAsia" w:ascii="Times New Roman" w:hAnsi="Times New Roman" w:eastAsia="宋体"/>
                      <w:color w:val="auto"/>
                      <w:sz w:val="21"/>
                      <w:szCs w:val="21"/>
                      <w:highlight w:val="none"/>
                      <w:lang w:val="en-US" w:eastAsia="zh-CN"/>
                    </w:rPr>
                    <w:t xml:space="preserve">  </w:t>
                  </w:r>
                  <w:r>
                    <w:rPr>
                      <w:rFonts w:hint="default" w:ascii="Times New Roman" w:hAnsi="Times New Roman" w:eastAsia="Times New Roman"/>
                      <w:color w:val="auto"/>
                      <w:sz w:val="21"/>
                      <w:szCs w:val="21"/>
                      <w:highlight w:val="none"/>
                      <w:lang w:val="zh-CN"/>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602" w:type="pct"/>
                  <w:vAlign w:val="center"/>
                </w:tcPr>
                <w:p w14:paraId="5464250E">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color w:val="auto"/>
                      <w:sz w:val="21"/>
                      <w:szCs w:val="21"/>
                    </w:rPr>
                  </w:pPr>
                  <w:r>
                    <w:rPr>
                      <w:snapToGrid w:val="0"/>
                      <w:color w:val="auto"/>
                      <w:kern w:val="0"/>
                      <w:sz w:val="21"/>
                      <w:szCs w:val="21"/>
                    </w:rPr>
                    <w:t>本项目</w:t>
                  </w:r>
                  <w:r>
                    <w:rPr>
                      <w:rFonts w:hint="eastAsia"/>
                      <w:snapToGrid w:val="0"/>
                      <w:color w:val="auto"/>
                      <w:kern w:val="0"/>
                      <w:sz w:val="21"/>
                      <w:szCs w:val="21"/>
                    </w:rPr>
                    <w:t>位</w:t>
                  </w:r>
                  <w:r>
                    <w:rPr>
                      <w:snapToGrid w:val="0"/>
                      <w:color w:val="auto"/>
                      <w:kern w:val="0"/>
                      <w:sz w:val="21"/>
                      <w:szCs w:val="21"/>
                    </w:rPr>
                    <w:t>于</w:t>
                  </w:r>
                  <w:r>
                    <w:rPr>
                      <w:rFonts w:hint="eastAsia"/>
                      <w:color w:val="auto"/>
                      <w:sz w:val="21"/>
                      <w:szCs w:val="21"/>
                      <w:lang w:val="en-US" w:eastAsia="zh-CN"/>
                    </w:rPr>
                    <w:t>云南常青树化工有限公司</w:t>
                  </w:r>
                  <w:r>
                    <w:rPr>
                      <w:rFonts w:hint="eastAsia"/>
                      <w:color w:val="auto"/>
                      <w:sz w:val="21"/>
                      <w:szCs w:val="21"/>
                      <w:lang w:eastAsia="zh-CN"/>
                    </w:rPr>
                    <w:t>厂区内</w:t>
                  </w:r>
                  <w:r>
                    <w:rPr>
                      <w:snapToGrid w:val="0"/>
                      <w:color w:val="auto"/>
                      <w:kern w:val="0"/>
                      <w:sz w:val="21"/>
                      <w:szCs w:val="21"/>
                    </w:rPr>
                    <w:t>，</w:t>
                  </w:r>
                  <w:r>
                    <w:rPr>
                      <w:rFonts w:hint="eastAsia" w:ascii="宋体" w:hAnsi="宋体" w:cs="宋体"/>
                      <w:color w:val="auto"/>
                      <w:kern w:val="0"/>
                      <w:sz w:val="21"/>
                      <w:szCs w:val="21"/>
                      <w:lang w:bidi="ar"/>
                    </w:rPr>
                    <w:t>为</w:t>
                  </w:r>
                  <w:r>
                    <w:rPr>
                      <w:rFonts w:hint="eastAsia"/>
                      <w:color w:val="auto"/>
                      <w:sz w:val="21"/>
                      <w:szCs w:val="21"/>
                      <w:lang w:val="en-US" w:eastAsia="zh-CN"/>
                    </w:rPr>
                    <w:t>磷石膏综合利用项目</w:t>
                  </w:r>
                  <w:r>
                    <w:rPr>
                      <w:rFonts w:hint="eastAsia" w:ascii="宋体" w:hAnsi="宋体" w:cs="宋体"/>
                      <w:color w:val="auto"/>
                      <w:kern w:val="0"/>
                      <w:sz w:val="21"/>
                      <w:szCs w:val="21"/>
                      <w:lang w:bidi="ar"/>
                    </w:rPr>
                    <w:t>，不属于违法利用、占用长江流域河湖岸线和投资建设不利于水资源及自然生态保护的项目。</w:t>
                  </w:r>
                </w:p>
              </w:tc>
              <w:tc>
                <w:tcPr>
                  <w:tcW w:w="582" w:type="pct"/>
                  <w:vAlign w:val="center"/>
                </w:tcPr>
                <w:p w14:paraId="1FD9AB2F">
                  <w:pPr>
                    <w:jc w:val="center"/>
                    <w:rPr>
                      <w:color w:val="auto"/>
                      <w:sz w:val="21"/>
                      <w:szCs w:val="21"/>
                    </w:rPr>
                  </w:pPr>
                  <w:r>
                    <w:rPr>
                      <w:rFonts w:hint="eastAsia"/>
                      <w:color w:val="auto"/>
                      <w:sz w:val="21"/>
                      <w:szCs w:val="21"/>
                    </w:rPr>
                    <w:t>符合</w:t>
                  </w:r>
                </w:p>
              </w:tc>
            </w:tr>
            <w:tr w14:paraId="42DA3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vAlign w:val="center"/>
                </w:tcPr>
                <w:p w14:paraId="7770BCFE">
                  <w:pPr>
                    <w:jc w:val="center"/>
                    <w:rPr>
                      <w:color w:val="auto"/>
                      <w:sz w:val="21"/>
                      <w:szCs w:val="21"/>
                    </w:rPr>
                  </w:pPr>
                  <w:r>
                    <w:rPr>
                      <w:rFonts w:hint="eastAsia"/>
                      <w:color w:val="auto"/>
                      <w:sz w:val="21"/>
                      <w:szCs w:val="21"/>
                    </w:rPr>
                    <w:t>7</w:t>
                  </w:r>
                </w:p>
              </w:tc>
              <w:tc>
                <w:tcPr>
                  <w:tcW w:w="2477" w:type="pct"/>
                  <w:vAlign w:val="center"/>
                </w:tcPr>
                <w:p w14:paraId="4CCA88D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ascii="宋体" w:hAnsi="宋体" w:cs="宋体"/>
                      <w:color w:val="auto"/>
                      <w:sz w:val="21"/>
                      <w:szCs w:val="21"/>
                      <w:lang w:bidi="ar"/>
                    </w:rPr>
                  </w:pPr>
                  <w:r>
                    <w:rPr>
                      <w:rFonts w:hint="default" w:ascii="Times New Roman" w:hAnsi="Times New Roman" w:eastAsia="Times New Roman"/>
                      <w:color w:val="auto"/>
                      <w:sz w:val="21"/>
                      <w:szCs w:val="21"/>
                      <w:highlight w:val="none"/>
                      <w:lang w:val="zh-CN"/>
                    </w:rPr>
                    <w:t>第七条</w:t>
                  </w:r>
                  <w:r>
                    <w:rPr>
                      <w:rFonts w:hint="eastAsia" w:ascii="Times New Roman" w:hAnsi="Times New Roman" w:eastAsia="宋体"/>
                      <w:color w:val="auto"/>
                      <w:sz w:val="21"/>
                      <w:szCs w:val="21"/>
                      <w:highlight w:val="none"/>
                      <w:lang w:val="en-US" w:eastAsia="zh-CN"/>
                    </w:rPr>
                    <w:t xml:space="preserve">  </w:t>
                  </w:r>
                  <w:r>
                    <w:rPr>
                      <w:rFonts w:hint="default" w:ascii="Times New Roman" w:hAnsi="Times New Roman" w:eastAsia="Times New Roman"/>
                      <w:color w:val="auto"/>
                      <w:sz w:val="21"/>
                      <w:szCs w:val="21"/>
                      <w:highlight w:val="none"/>
                      <w:lang w:val="zh-CN"/>
                    </w:rPr>
                    <w:t>禁止在金沙江干流、长江一级支流建设除党中央、国务院、国家投资主管部门、省级有关部门批复同意以外的过江基础设施项目</w:t>
                  </w:r>
                  <w:r>
                    <w:rPr>
                      <w:rFonts w:hint="eastAsia" w:ascii="Times New Roman" w:hAnsi="Times New Roman" w:eastAsia="Times New Roman"/>
                      <w:color w:val="auto"/>
                      <w:sz w:val="21"/>
                      <w:szCs w:val="21"/>
                      <w:highlight w:val="none"/>
                      <w:lang w:val="zh-CN"/>
                    </w:rPr>
                    <w:t>；</w:t>
                  </w:r>
                  <w:r>
                    <w:rPr>
                      <w:rFonts w:hint="default" w:ascii="Times New Roman" w:hAnsi="Times New Roman" w:eastAsia="Times New Roman"/>
                      <w:color w:val="auto"/>
                      <w:sz w:val="21"/>
                      <w:szCs w:val="21"/>
                      <w:highlight w:val="none"/>
                      <w:lang w:val="zh-CN"/>
                    </w:rPr>
                    <w:t>禁止未经许可在金沙江干流、长江一级支流、九大高原湖泊流域新设、改设或扩大排污口。</w:t>
                  </w:r>
                </w:p>
              </w:tc>
              <w:tc>
                <w:tcPr>
                  <w:tcW w:w="1602" w:type="pct"/>
                  <w:vAlign w:val="center"/>
                </w:tcPr>
                <w:p w14:paraId="5C082C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color w:val="auto"/>
                      <w:sz w:val="21"/>
                      <w:szCs w:val="21"/>
                    </w:rPr>
                  </w:pPr>
                  <w:r>
                    <w:rPr>
                      <w:rFonts w:hint="eastAsia" w:ascii="Times New Roman" w:hAnsi="Times New Roman" w:eastAsia="宋体"/>
                      <w:color w:val="auto"/>
                      <w:sz w:val="21"/>
                      <w:szCs w:val="21"/>
                      <w:highlight w:val="none"/>
                      <w:lang w:val="en-US" w:eastAsia="zh-CN"/>
                    </w:rPr>
                    <w:t>本项目不涉及</w:t>
                  </w:r>
                  <w:r>
                    <w:rPr>
                      <w:rFonts w:hint="default" w:ascii="Times New Roman" w:hAnsi="Times New Roman" w:eastAsia="Times New Roman"/>
                      <w:color w:val="auto"/>
                      <w:sz w:val="21"/>
                      <w:szCs w:val="21"/>
                      <w:highlight w:val="none"/>
                      <w:lang w:val="zh-CN"/>
                    </w:rPr>
                    <w:t>过江基础设施项目</w:t>
                  </w:r>
                  <w:r>
                    <w:rPr>
                      <w:rFonts w:hint="eastAsia" w:ascii="Times New Roman" w:hAnsi="Times New Roman" w:eastAsia="Times New Roman"/>
                      <w:color w:val="auto"/>
                      <w:sz w:val="21"/>
                      <w:szCs w:val="21"/>
                      <w:highlight w:val="none"/>
                      <w:lang w:val="zh-CN"/>
                    </w:rPr>
                    <w:t>；</w:t>
                  </w:r>
                  <w:r>
                    <w:rPr>
                      <w:rFonts w:hint="eastAsia" w:ascii="Times New Roman" w:hAnsi="Times New Roman" w:eastAsia="宋体"/>
                      <w:color w:val="auto"/>
                      <w:sz w:val="21"/>
                      <w:szCs w:val="21"/>
                      <w:highlight w:val="none"/>
                      <w:lang w:val="en-US" w:eastAsia="zh-CN"/>
                    </w:rPr>
                    <w:t>本项目无污水外排，不设置污水排污口，且项目所在流域不属于</w:t>
                  </w:r>
                  <w:r>
                    <w:rPr>
                      <w:rFonts w:hint="default" w:ascii="Times New Roman" w:hAnsi="Times New Roman" w:eastAsia="Times New Roman"/>
                      <w:color w:val="auto"/>
                      <w:sz w:val="21"/>
                      <w:szCs w:val="21"/>
                      <w:highlight w:val="none"/>
                      <w:lang w:val="zh-CN"/>
                    </w:rPr>
                    <w:t>金沙江干流、长江一级支流、九大高原湖泊流域</w:t>
                  </w:r>
                  <w:r>
                    <w:rPr>
                      <w:rFonts w:hint="eastAsia" w:ascii="Times New Roman" w:hAnsi="Times New Roman" w:eastAsia="Times New Roman"/>
                      <w:color w:val="auto"/>
                      <w:sz w:val="21"/>
                      <w:szCs w:val="21"/>
                      <w:highlight w:val="none"/>
                      <w:lang w:val="zh-CN"/>
                    </w:rPr>
                    <w:t>。</w:t>
                  </w:r>
                </w:p>
              </w:tc>
              <w:tc>
                <w:tcPr>
                  <w:tcW w:w="582" w:type="pct"/>
                  <w:vAlign w:val="center"/>
                </w:tcPr>
                <w:p w14:paraId="6910EC43">
                  <w:pPr>
                    <w:jc w:val="center"/>
                    <w:rPr>
                      <w:color w:val="auto"/>
                      <w:sz w:val="21"/>
                      <w:szCs w:val="21"/>
                    </w:rPr>
                  </w:pPr>
                  <w:r>
                    <w:rPr>
                      <w:rFonts w:hint="eastAsia"/>
                      <w:color w:val="auto"/>
                      <w:sz w:val="21"/>
                      <w:szCs w:val="21"/>
                    </w:rPr>
                    <w:t>符合</w:t>
                  </w:r>
                </w:p>
              </w:tc>
            </w:tr>
            <w:tr w14:paraId="35A5E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vAlign w:val="center"/>
                </w:tcPr>
                <w:p w14:paraId="0338F4FE">
                  <w:pPr>
                    <w:jc w:val="center"/>
                    <w:rPr>
                      <w:color w:val="auto"/>
                      <w:sz w:val="21"/>
                      <w:szCs w:val="21"/>
                    </w:rPr>
                  </w:pPr>
                  <w:r>
                    <w:rPr>
                      <w:rFonts w:hint="eastAsia"/>
                      <w:color w:val="auto"/>
                      <w:sz w:val="21"/>
                      <w:szCs w:val="21"/>
                    </w:rPr>
                    <w:t>8</w:t>
                  </w:r>
                </w:p>
              </w:tc>
              <w:tc>
                <w:tcPr>
                  <w:tcW w:w="2477" w:type="pct"/>
                  <w:vAlign w:val="center"/>
                </w:tcPr>
                <w:p w14:paraId="19C213A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ascii="宋体" w:hAnsi="宋体" w:cs="宋体"/>
                      <w:color w:val="auto"/>
                      <w:sz w:val="21"/>
                      <w:szCs w:val="21"/>
                      <w:lang w:bidi="ar"/>
                    </w:rPr>
                  </w:pPr>
                  <w:r>
                    <w:rPr>
                      <w:rFonts w:hint="default" w:ascii="Times New Roman" w:hAnsi="Times New Roman" w:eastAsia="Times New Roman"/>
                      <w:color w:val="auto"/>
                      <w:sz w:val="21"/>
                      <w:szCs w:val="21"/>
                      <w:highlight w:val="none"/>
                      <w:lang w:val="zh-CN"/>
                    </w:rPr>
                    <w:t>第八条</w:t>
                  </w:r>
                  <w:r>
                    <w:rPr>
                      <w:rFonts w:hint="eastAsia" w:ascii="Times New Roman" w:hAnsi="Times New Roman" w:eastAsia="宋体"/>
                      <w:color w:val="auto"/>
                      <w:sz w:val="21"/>
                      <w:szCs w:val="21"/>
                      <w:highlight w:val="none"/>
                      <w:lang w:val="en-US" w:eastAsia="zh-CN"/>
                    </w:rPr>
                    <w:t xml:space="preserve">  </w:t>
                  </w:r>
                  <w:r>
                    <w:rPr>
                      <w:rFonts w:hint="default" w:ascii="Times New Roman" w:hAnsi="Times New Roman" w:eastAsia="Times New Roman"/>
                      <w:color w:val="auto"/>
                      <w:sz w:val="21"/>
                      <w:szCs w:val="21"/>
                      <w:highlight w:val="none"/>
                      <w:lang w:val="zh-CN"/>
                    </w:rPr>
                    <w:t>禁止在金沙江干流、长江一级支流、水生生物保护区和长江流域禁捕水域开展天然渔业资源生产性捕捞。</w:t>
                  </w:r>
                </w:p>
              </w:tc>
              <w:tc>
                <w:tcPr>
                  <w:tcW w:w="1602" w:type="pct"/>
                  <w:vAlign w:val="center"/>
                </w:tcPr>
                <w:p w14:paraId="4F5CE48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ascii="宋体" w:hAnsi="宋体" w:cs="宋体"/>
                      <w:color w:val="auto"/>
                      <w:sz w:val="21"/>
                      <w:szCs w:val="21"/>
                      <w:lang w:bidi="ar"/>
                    </w:rPr>
                  </w:pPr>
                  <w:r>
                    <w:rPr>
                      <w:rFonts w:hint="eastAsia" w:ascii="Times New Roman" w:hAnsi="Times New Roman" w:eastAsia="宋体"/>
                      <w:color w:val="auto"/>
                      <w:sz w:val="21"/>
                      <w:szCs w:val="21"/>
                      <w:highlight w:val="none"/>
                      <w:lang w:val="en-US" w:eastAsia="zh-CN"/>
                    </w:rPr>
                    <w:t>本项目不涉及</w:t>
                  </w:r>
                  <w:r>
                    <w:rPr>
                      <w:rFonts w:hint="default" w:ascii="Times New Roman" w:hAnsi="Times New Roman" w:eastAsia="Times New Roman"/>
                      <w:color w:val="auto"/>
                      <w:sz w:val="21"/>
                      <w:szCs w:val="21"/>
                      <w:highlight w:val="none"/>
                      <w:lang w:val="zh-CN"/>
                    </w:rPr>
                    <w:t>天然渔业资源生产性捕捞</w:t>
                  </w:r>
                  <w:r>
                    <w:rPr>
                      <w:rFonts w:hint="eastAsia" w:ascii="Times New Roman" w:hAnsi="Times New Roman" w:eastAsia="Times New Roman"/>
                      <w:color w:val="auto"/>
                      <w:sz w:val="21"/>
                      <w:szCs w:val="21"/>
                      <w:highlight w:val="none"/>
                      <w:lang w:val="zh-CN"/>
                    </w:rPr>
                    <w:t>。</w:t>
                  </w:r>
                </w:p>
              </w:tc>
              <w:tc>
                <w:tcPr>
                  <w:tcW w:w="582" w:type="pct"/>
                  <w:vAlign w:val="center"/>
                </w:tcPr>
                <w:p w14:paraId="2020C293">
                  <w:pPr>
                    <w:jc w:val="center"/>
                    <w:rPr>
                      <w:color w:val="auto"/>
                      <w:sz w:val="21"/>
                      <w:szCs w:val="21"/>
                    </w:rPr>
                  </w:pPr>
                  <w:r>
                    <w:rPr>
                      <w:rFonts w:hint="eastAsia"/>
                      <w:color w:val="auto"/>
                      <w:sz w:val="21"/>
                      <w:szCs w:val="21"/>
                    </w:rPr>
                    <w:t>符合</w:t>
                  </w:r>
                </w:p>
              </w:tc>
            </w:tr>
            <w:tr w14:paraId="7463C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vAlign w:val="center"/>
                </w:tcPr>
                <w:p w14:paraId="02BB820A">
                  <w:pPr>
                    <w:jc w:val="center"/>
                    <w:rPr>
                      <w:color w:val="auto"/>
                      <w:sz w:val="21"/>
                      <w:szCs w:val="21"/>
                    </w:rPr>
                  </w:pPr>
                  <w:r>
                    <w:rPr>
                      <w:rFonts w:hint="eastAsia"/>
                      <w:color w:val="auto"/>
                      <w:sz w:val="21"/>
                      <w:szCs w:val="21"/>
                    </w:rPr>
                    <w:t>9</w:t>
                  </w:r>
                </w:p>
              </w:tc>
              <w:tc>
                <w:tcPr>
                  <w:tcW w:w="2477" w:type="pct"/>
                  <w:vAlign w:val="center"/>
                </w:tcPr>
                <w:p w14:paraId="1D99FE7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ascii="宋体" w:hAnsi="宋体" w:cs="宋体"/>
                      <w:color w:val="auto"/>
                      <w:sz w:val="21"/>
                      <w:szCs w:val="21"/>
                      <w:lang w:bidi="ar"/>
                    </w:rPr>
                  </w:pPr>
                  <w:r>
                    <w:rPr>
                      <w:rFonts w:hint="default" w:ascii="Times New Roman" w:hAnsi="Times New Roman" w:eastAsia="Times New Roman"/>
                      <w:color w:val="auto"/>
                      <w:sz w:val="21"/>
                      <w:szCs w:val="21"/>
                      <w:highlight w:val="none"/>
                      <w:lang w:val="zh-CN"/>
                    </w:rPr>
                    <w:t>第九条</w:t>
                  </w:r>
                  <w:r>
                    <w:rPr>
                      <w:rFonts w:hint="eastAsia" w:ascii="Times New Roman" w:hAnsi="Times New Roman" w:eastAsia="宋体"/>
                      <w:color w:val="auto"/>
                      <w:sz w:val="21"/>
                      <w:szCs w:val="21"/>
                      <w:highlight w:val="none"/>
                      <w:lang w:val="en-US" w:eastAsia="zh-CN"/>
                    </w:rPr>
                    <w:t xml:space="preserve">  </w:t>
                  </w:r>
                  <w:r>
                    <w:rPr>
                      <w:rFonts w:hint="default" w:ascii="Times New Roman" w:hAnsi="Times New Roman" w:eastAsia="Times New Roman"/>
                      <w:color w:val="auto"/>
                      <w:sz w:val="21"/>
                      <w:szCs w:val="21"/>
                      <w:highlight w:val="none"/>
                      <w:lang w:val="zh-CN"/>
                    </w:rPr>
                    <w:t>禁止在金沙江干流</w:t>
                  </w:r>
                  <w:r>
                    <w:rPr>
                      <w:rFonts w:hint="eastAsia" w:ascii="Times New Roman" w:hAnsi="Times New Roman" w:eastAsia="Times New Roman"/>
                      <w:color w:val="auto"/>
                      <w:sz w:val="21"/>
                      <w:szCs w:val="21"/>
                      <w:highlight w:val="none"/>
                      <w:lang w:val="zh-CN"/>
                    </w:rPr>
                    <w:t>，</w:t>
                  </w:r>
                  <w:r>
                    <w:rPr>
                      <w:rFonts w:hint="default" w:ascii="Times New Roman" w:hAnsi="Times New Roman" w:eastAsia="Times New Roman"/>
                      <w:color w:val="auto"/>
                      <w:sz w:val="21"/>
                      <w:szCs w:val="21"/>
                      <w:highlight w:val="none"/>
                      <w:lang w:val="zh-CN"/>
                    </w:rPr>
                    <w:t>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602" w:type="pct"/>
                  <w:vAlign w:val="center"/>
                </w:tcPr>
                <w:p w14:paraId="4B1822E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color w:val="auto"/>
                      <w:sz w:val="21"/>
                      <w:szCs w:val="21"/>
                    </w:rPr>
                  </w:pPr>
                  <w:r>
                    <w:rPr>
                      <w:rFonts w:hint="eastAsia" w:ascii="Times New Roman" w:hAnsi="Times New Roman" w:eastAsia="宋体"/>
                      <w:color w:val="auto"/>
                      <w:sz w:val="21"/>
                      <w:szCs w:val="21"/>
                      <w:highlight w:val="none"/>
                      <w:lang w:val="en-US" w:eastAsia="zh-CN"/>
                    </w:rPr>
                    <w:t>项目不属于</w:t>
                  </w:r>
                  <w:r>
                    <w:rPr>
                      <w:rFonts w:hint="default" w:ascii="Times New Roman" w:hAnsi="Times New Roman" w:eastAsia="Times New Roman"/>
                      <w:color w:val="auto"/>
                      <w:sz w:val="21"/>
                      <w:szCs w:val="21"/>
                      <w:highlight w:val="none"/>
                      <w:lang w:val="zh-CN"/>
                    </w:rPr>
                    <w:t>化工项目</w:t>
                  </w:r>
                  <w:r>
                    <w:rPr>
                      <w:rFonts w:hint="eastAsia" w:ascii="Times New Roman" w:hAnsi="Times New Roman" w:eastAsia="Times New Roman"/>
                      <w:color w:val="auto"/>
                      <w:sz w:val="21"/>
                      <w:szCs w:val="21"/>
                      <w:highlight w:val="none"/>
                      <w:lang w:val="zh-CN"/>
                    </w:rPr>
                    <w:t>，</w:t>
                  </w:r>
                  <w:r>
                    <w:rPr>
                      <w:rFonts w:hint="default" w:ascii="Times New Roman" w:hAnsi="Times New Roman" w:eastAsia="Times New Roman"/>
                      <w:color w:val="auto"/>
                      <w:sz w:val="21"/>
                      <w:szCs w:val="21"/>
                      <w:highlight w:val="none"/>
                      <w:lang w:val="zh-CN"/>
                    </w:rPr>
                    <w:t>尾矿库、冶炼渣库和磷石膏库</w:t>
                  </w:r>
                  <w:r>
                    <w:rPr>
                      <w:rFonts w:hint="eastAsia" w:ascii="Times New Roman" w:hAnsi="Times New Roman" w:eastAsia="宋体"/>
                      <w:color w:val="auto"/>
                      <w:sz w:val="21"/>
                      <w:szCs w:val="21"/>
                      <w:highlight w:val="none"/>
                      <w:lang w:val="en-US" w:eastAsia="zh-CN"/>
                    </w:rPr>
                    <w:t>项目，且项目所在流域不属于</w:t>
                  </w:r>
                  <w:r>
                    <w:rPr>
                      <w:rFonts w:hint="default" w:ascii="Times New Roman" w:hAnsi="Times New Roman" w:eastAsia="Times New Roman"/>
                      <w:color w:val="auto"/>
                      <w:sz w:val="21"/>
                      <w:szCs w:val="21"/>
                      <w:highlight w:val="none"/>
                      <w:lang w:val="zh-CN"/>
                    </w:rPr>
                    <w:t>金沙江干流</w:t>
                  </w:r>
                  <w:r>
                    <w:rPr>
                      <w:rFonts w:hint="eastAsia" w:ascii="Times New Roman" w:hAnsi="Times New Roman" w:eastAsia="Times New Roman"/>
                      <w:color w:val="auto"/>
                      <w:sz w:val="21"/>
                      <w:szCs w:val="21"/>
                      <w:highlight w:val="none"/>
                      <w:lang w:val="zh-CN"/>
                    </w:rPr>
                    <w:t>，</w:t>
                  </w:r>
                  <w:r>
                    <w:rPr>
                      <w:rFonts w:hint="default" w:ascii="Times New Roman" w:hAnsi="Times New Roman" w:eastAsia="Times New Roman"/>
                      <w:color w:val="auto"/>
                      <w:sz w:val="21"/>
                      <w:szCs w:val="21"/>
                      <w:highlight w:val="none"/>
                      <w:lang w:val="zh-CN"/>
                    </w:rPr>
                    <w:t>长江一级支流和九大高原湖泊岸线</w:t>
                  </w:r>
                  <w:r>
                    <w:rPr>
                      <w:rFonts w:hint="eastAsia" w:ascii="Times New Roman" w:hAnsi="Times New Roman" w:eastAsia="Times New Roman"/>
                      <w:color w:val="auto"/>
                      <w:sz w:val="21"/>
                      <w:szCs w:val="21"/>
                      <w:highlight w:val="none"/>
                      <w:lang w:val="zh-CN"/>
                    </w:rPr>
                    <w:t>。</w:t>
                  </w:r>
                </w:p>
              </w:tc>
              <w:tc>
                <w:tcPr>
                  <w:tcW w:w="582" w:type="pct"/>
                  <w:vAlign w:val="center"/>
                </w:tcPr>
                <w:p w14:paraId="1FDB7B16">
                  <w:pPr>
                    <w:jc w:val="center"/>
                    <w:rPr>
                      <w:color w:val="auto"/>
                      <w:sz w:val="21"/>
                      <w:szCs w:val="21"/>
                    </w:rPr>
                  </w:pPr>
                  <w:r>
                    <w:rPr>
                      <w:rFonts w:hint="eastAsia"/>
                      <w:color w:val="auto"/>
                      <w:sz w:val="21"/>
                      <w:szCs w:val="21"/>
                    </w:rPr>
                    <w:t>符合</w:t>
                  </w:r>
                </w:p>
              </w:tc>
            </w:tr>
            <w:tr w14:paraId="4465C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vAlign w:val="center"/>
                </w:tcPr>
                <w:p w14:paraId="6C4C705C">
                  <w:pPr>
                    <w:jc w:val="center"/>
                    <w:rPr>
                      <w:color w:val="auto"/>
                      <w:sz w:val="21"/>
                      <w:szCs w:val="21"/>
                    </w:rPr>
                  </w:pPr>
                  <w:r>
                    <w:rPr>
                      <w:rFonts w:hint="eastAsia"/>
                      <w:color w:val="auto"/>
                      <w:sz w:val="21"/>
                      <w:szCs w:val="21"/>
                    </w:rPr>
                    <w:t>10</w:t>
                  </w:r>
                </w:p>
              </w:tc>
              <w:tc>
                <w:tcPr>
                  <w:tcW w:w="2477" w:type="pct"/>
                  <w:vAlign w:val="center"/>
                </w:tcPr>
                <w:p w14:paraId="34BA72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ascii="Times New Roman" w:hAnsi="Times New Roman" w:eastAsia="宋体" w:cs="Times New Roman"/>
                      <w:b w:val="0"/>
                      <w:bCs w:val="0"/>
                      <w:color w:val="auto"/>
                      <w:sz w:val="21"/>
                      <w:szCs w:val="22"/>
                      <w:lang w:val="en-US" w:eastAsia="en-US" w:bidi="ar-SA"/>
                    </w:rPr>
                  </w:pPr>
                  <w:r>
                    <w:rPr>
                      <w:rFonts w:hint="default" w:ascii="Times New Roman" w:hAnsi="Times New Roman" w:eastAsia="Times New Roman"/>
                      <w:color w:val="auto"/>
                      <w:sz w:val="21"/>
                      <w:szCs w:val="21"/>
                      <w:highlight w:val="none"/>
                      <w:lang w:val="zh-CN"/>
                    </w:rPr>
                    <w:t>第十条</w:t>
                  </w:r>
                  <w:r>
                    <w:rPr>
                      <w:rFonts w:hint="eastAsia" w:ascii="Times New Roman" w:hAnsi="Times New Roman" w:eastAsia="宋体"/>
                      <w:color w:val="auto"/>
                      <w:sz w:val="21"/>
                      <w:szCs w:val="21"/>
                      <w:highlight w:val="none"/>
                      <w:lang w:val="en-US" w:eastAsia="zh-CN"/>
                    </w:rPr>
                    <w:t xml:space="preserve">  </w:t>
                  </w:r>
                  <w:r>
                    <w:rPr>
                      <w:rFonts w:hint="default" w:ascii="Times New Roman" w:hAnsi="Times New Roman" w:eastAsia="Times New Roman"/>
                      <w:color w:val="auto"/>
                      <w:sz w:val="21"/>
                      <w:szCs w:val="21"/>
                      <w:highlight w:val="none"/>
                      <w:lang w:val="zh-CN"/>
                    </w:rPr>
                    <w:t>禁止在合规园区外新建、扩建钢铁、石化、化工、焦化、建材、有色、制浆造纸行业中的高污染项目。</w:t>
                  </w:r>
                </w:p>
              </w:tc>
              <w:tc>
                <w:tcPr>
                  <w:tcW w:w="1602" w:type="pct"/>
                  <w:vAlign w:val="center"/>
                </w:tcPr>
                <w:p w14:paraId="0E411A7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ascii="Times New Roman" w:hAnsi="Times New Roman" w:eastAsia="宋体" w:cs="Times New Roman"/>
                      <w:b w:val="0"/>
                      <w:bCs w:val="0"/>
                      <w:color w:val="auto"/>
                      <w:sz w:val="21"/>
                      <w:szCs w:val="22"/>
                      <w:lang w:val="en-US" w:eastAsia="en-US" w:bidi="ar-SA"/>
                    </w:rPr>
                  </w:pPr>
                  <w:r>
                    <w:rPr>
                      <w:rFonts w:hint="eastAsia" w:ascii="Times New Roman" w:hAnsi="Times New Roman" w:eastAsia="宋体"/>
                      <w:color w:val="auto"/>
                      <w:sz w:val="21"/>
                      <w:szCs w:val="21"/>
                      <w:highlight w:val="none"/>
                      <w:lang w:val="en-US" w:eastAsia="zh-CN"/>
                    </w:rPr>
                    <w:t>项目不属于</w:t>
                  </w:r>
                  <w:r>
                    <w:rPr>
                      <w:rFonts w:hint="default" w:ascii="Times New Roman" w:hAnsi="Times New Roman" w:eastAsia="Times New Roman"/>
                      <w:color w:val="auto"/>
                      <w:sz w:val="21"/>
                      <w:szCs w:val="21"/>
                      <w:highlight w:val="none"/>
                      <w:lang w:val="zh-CN"/>
                    </w:rPr>
                    <w:t>钢铁、石化、化工、焦化、建材、有色、制浆造纸行业中的高污染项目</w:t>
                  </w:r>
                  <w:r>
                    <w:rPr>
                      <w:rFonts w:hint="eastAsia" w:ascii="Times New Roman" w:hAnsi="Times New Roman" w:eastAsia="Times New Roman"/>
                      <w:color w:val="auto"/>
                      <w:sz w:val="21"/>
                      <w:szCs w:val="21"/>
                      <w:highlight w:val="none"/>
                      <w:lang w:val="zh-CN"/>
                    </w:rPr>
                    <w:t>。</w:t>
                  </w:r>
                </w:p>
              </w:tc>
              <w:tc>
                <w:tcPr>
                  <w:tcW w:w="582" w:type="pct"/>
                  <w:vAlign w:val="center"/>
                </w:tcPr>
                <w:p w14:paraId="2870834E">
                  <w:pPr>
                    <w:jc w:val="center"/>
                    <w:rPr>
                      <w:color w:val="auto"/>
                      <w:sz w:val="21"/>
                      <w:szCs w:val="21"/>
                    </w:rPr>
                  </w:pPr>
                  <w:r>
                    <w:rPr>
                      <w:rFonts w:hint="eastAsia"/>
                      <w:color w:val="auto"/>
                      <w:sz w:val="21"/>
                      <w:szCs w:val="21"/>
                    </w:rPr>
                    <w:t>符合</w:t>
                  </w:r>
                </w:p>
              </w:tc>
            </w:tr>
            <w:tr w14:paraId="3BA8D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tcBorders>
                    <w:bottom w:val="single" w:color="auto" w:sz="4" w:space="0"/>
                  </w:tcBorders>
                  <w:vAlign w:val="center"/>
                </w:tcPr>
                <w:p w14:paraId="20B73F0B">
                  <w:pPr>
                    <w:jc w:val="center"/>
                    <w:rPr>
                      <w:color w:val="auto"/>
                      <w:sz w:val="21"/>
                      <w:szCs w:val="21"/>
                    </w:rPr>
                  </w:pPr>
                  <w:r>
                    <w:rPr>
                      <w:rFonts w:hint="eastAsia"/>
                      <w:color w:val="auto"/>
                      <w:sz w:val="21"/>
                      <w:szCs w:val="21"/>
                    </w:rPr>
                    <w:t>11</w:t>
                  </w:r>
                </w:p>
              </w:tc>
              <w:tc>
                <w:tcPr>
                  <w:tcW w:w="2477" w:type="pct"/>
                  <w:tcBorders>
                    <w:bottom w:val="single" w:color="auto" w:sz="4" w:space="0"/>
                  </w:tcBorders>
                  <w:vAlign w:val="center"/>
                </w:tcPr>
                <w:p w14:paraId="77C542C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ascii="Times New Roman" w:hAnsi="Times New Roman" w:eastAsia="宋体" w:cs="Times New Roman"/>
                      <w:b w:val="0"/>
                      <w:bCs w:val="0"/>
                      <w:color w:val="auto"/>
                      <w:sz w:val="21"/>
                      <w:szCs w:val="22"/>
                      <w:lang w:val="en-US" w:eastAsia="en-US" w:bidi="ar-SA"/>
                    </w:rPr>
                  </w:pPr>
                  <w:r>
                    <w:rPr>
                      <w:rFonts w:hint="default" w:ascii="Times New Roman" w:hAnsi="Times New Roman" w:eastAsia="宋体" w:cs="Times New Roman"/>
                      <w:color w:val="auto"/>
                      <w:sz w:val="21"/>
                      <w:szCs w:val="21"/>
                      <w:highlight w:val="none"/>
                      <w:lang w:val="en-US" w:eastAsia="zh-CN"/>
                    </w:rPr>
                    <w:t>第十一条</w:t>
                  </w:r>
                  <w:r>
                    <w:rPr>
                      <w:rFonts w:hint="eastAsia"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禁止新建、扩建不符合国家石化、现代煤化工等产业布局规划的项目。禁止列入《云南省城镇人口密集区危险化学品生产企业搬迁改造名单》的搬迁改造企业在原址新建、扩建危险化学品生产项目。</w:t>
                  </w:r>
                </w:p>
              </w:tc>
              <w:tc>
                <w:tcPr>
                  <w:tcW w:w="1602" w:type="pct"/>
                  <w:tcBorders>
                    <w:bottom w:val="single" w:color="auto" w:sz="4" w:space="0"/>
                  </w:tcBorders>
                  <w:vAlign w:val="center"/>
                </w:tcPr>
                <w:p w14:paraId="168D9C6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ascii="Times New Roman" w:hAnsi="Times New Roman" w:eastAsia="宋体" w:cs="Times New Roman"/>
                      <w:b w:val="0"/>
                      <w:bCs w:val="0"/>
                      <w:color w:val="auto"/>
                      <w:sz w:val="21"/>
                      <w:szCs w:val="22"/>
                      <w:lang w:val="en-US" w:eastAsia="en-US" w:bidi="ar-SA"/>
                    </w:rPr>
                  </w:pPr>
                  <w:r>
                    <w:rPr>
                      <w:rFonts w:hint="eastAsia" w:cs="Times New Roman"/>
                      <w:color w:val="auto"/>
                      <w:sz w:val="21"/>
                      <w:szCs w:val="21"/>
                      <w:highlight w:val="none"/>
                      <w:lang w:val="en-US" w:eastAsia="zh-CN"/>
                    </w:rPr>
                    <w:t>项目不涉及石化、煤化工业，项目不属于</w:t>
                  </w:r>
                  <w:r>
                    <w:rPr>
                      <w:rFonts w:hint="default" w:ascii="Times New Roman" w:hAnsi="Times New Roman" w:eastAsia="宋体" w:cs="Times New Roman"/>
                      <w:color w:val="auto"/>
                      <w:sz w:val="21"/>
                      <w:szCs w:val="21"/>
                      <w:highlight w:val="none"/>
                      <w:lang w:val="en-US" w:eastAsia="zh-CN"/>
                    </w:rPr>
                    <w:t>《云南省城镇人口密集区危险化学品生产企业搬迁改造名单》的搬迁改造企业</w:t>
                  </w:r>
                  <w:r>
                    <w:rPr>
                      <w:rFonts w:hint="eastAsia" w:ascii="Times New Roman" w:hAnsi="Times New Roman" w:eastAsia="宋体" w:cs="Times New Roman"/>
                      <w:color w:val="auto"/>
                      <w:sz w:val="21"/>
                      <w:szCs w:val="21"/>
                      <w:highlight w:val="none"/>
                      <w:lang w:val="en-US" w:eastAsia="zh-CN"/>
                    </w:rPr>
                    <w:t>。</w:t>
                  </w:r>
                </w:p>
              </w:tc>
              <w:tc>
                <w:tcPr>
                  <w:tcW w:w="582" w:type="pct"/>
                  <w:tcBorders>
                    <w:bottom w:val="single" w:color="auto" w:sz="4" w:space="0"/>
                  </w:tcBorders>
                  <w:vAlign w:val="center"/>
                </w:tcPr>
                <w:p w14:paraId="26E3C2C9">
                  <w:pPr>
                    <w:jc w:val="center"/>
                    <w:rPr>
                      <w:color w:val="auto"/>
                      <w:sz w:val="21"/>
                      <w:szCs w:val="21"/>
                    </w:rPr>
                  </w:pPr>
                  <w:r>
                    <w:rPr>
                      <w:rFonts w:hint="eastAsia"/>
                      <w:color w:val="auto"/>
                      <w:sz w:val="21"/>
                      <w:szCs w:val="21"/>
                    </w:rPr>
                    <w:t>符合</w:t>
                  </w:r>
                </w:p>
              </w:tc>
            </w:tr>
            <w:tr w14:paraId="1DB30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vAlign w:val="center"/>
                </w:tcPr>
                <w:p w14:paraId="6626ACA8">
                  <w:pPr>
                    <w:jc w:val="center"/>
                    <w:rPr>
                      <w:rFonts w:hint="default" w:eastAsia="宋体"/>
                      <w:color w:val="auto"/>
                      <w:sz w:val="21"/>
                      <w:szCs w:val="21"/>
                      <w:lang w:val="en-US" w:eastAsia="zh-CN"/>
                    </w:rPr>
                  </w:pPr>
                  <w:r>
                    <w:rPr>
                      <w:rFonts w:hint="eastAsia"/>
                      <w:color w:val="auto"/>
                      <w:sz w:val="21"/>
                      <w:szCs w:val="21"/>
                      <w:lang w:val="en-US" w:eastAsia="zh-CN"/>
                    </w:rPr>
                    <w:t>12</w:t>
                  </w:r>
                </w:p>
              </w:tc>
              <w:tc>
                <w:tcPr>
                  <w:tcW w:w="2477" w:type="pct"/>
                  <w:vAlign w:val="center"/>
                </w:tcPr>
                <w:p w14:paraId="3BB4CD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ascii="Times New Roman" w:hAnsi="Times New Roman" w:eastAsia="宋体" w:cs="Times New Roman"/>
                      <w:b w:val="0"/>
                      <w:bCs w:val="0"/>
                      <w:color w:val="auto"/>
                      <w:sz w:val="21"/>
                      <w:szCs w:val="22"/>
                      <w:lang w:val="en-US" w:eastAsia="en-US" w:bidi="ar-SA"/>
                    </w:rPr>
                  </w:pPr>
                  <w:r>
                    <w:rPr>
                      <w:rFonts w:hint="default" w:ascii="Times New Roman" w:hAnsi="Times New Roman" w:eastAsia="宋体" w:cs="Times New Roman"/>
                      <w:color w:val="auto"/>
                      <w:sz w:val="21"/>
                      <w:szCs w:val="21"/>
                      <w:highlight w:val="none"/>
                      <w:lang w:val="en-US" w:eastAsia="zh-CN"/>
                    </w:rPr>
                    <w:t>第十二条</w:t>
                  </w:r>
                  <w:r>
                    <w:rPr>
                      <w:rFonts w:hint="eastAsia"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禁止新建、扩建法律法规和相关政策明合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限制类</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产能。禁止建设高毒高残留以及对环境影响大的农药原药生产装置，严控尿素、磷铵、电石、焦炭、黄磷、烧碱、纯碱、聚氯乙烯等行业新增产能。</w:t>
                  </w:r>
                </w:p>
              </w:tc>
              <w:tc>
                <w:tcPr>
                  <w:tcW w:w="1602" w:type="pct"/>
                  <w:vAlign w:val="center"/>
                </w:tcPr>
                <w:p w14:paraId="4DC9463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ascii="Times New Roman" w:hAnsi="Times New Roman" w:eastAsia="宋体" w:cs="Times New Roman"/>
                      <w:b w:val="0"/>
                      <w:bCs w:val="0"/>
                      <w:color w:val="auto"/>
                      <w:sz w:val="21"/>
                      <w:szCs w:val="22"/>
                      <w:lang w:val="en-US" w:eastAsia="en-US" w:bidi="ar-SA"/>
                    </w:rPr>
                  </w:pPr>
                  <w:r>
                    <w:rPr>
                      <w:rFonts w:hint="default" w:ascii="Times New Roman" w:hAnsi="Times New Roman" w:cs="Times New Roman"/>
                      <w:color w:val="auto"/>
                      <w:sz w:val="21"/>
                      <w:szCs w:val="21"/>
                    </w:rPr>
                    <w:t>根据国家发改委《产业结构调整指导目录（20</w:t>
                  </w:r>
                  <w:r>
                    <w:rPr>
                      <w:rFonts w:hint="eastAsia" w:ascii="Times New Roman" w:hAnsi="Times New Roman" w:cs="Times New Roman"/>
                      <w:color w:val="auto"/>
                      <w:sz w:val="21"/>
                      <w:szCs w:val="21"/>
                      <w:lang w:val="en-US" w:eastAsia="zh-CN"/>
                    </w:rPr>
                    <w:t>24</w:t>
                  </w:r>
                  <w:r>
                    <w:rPr>
                      <w:rFonts w:hint="default" w:ascii="Times New Roman" w:hAnsi="Times New Roman" w:cs="Times New Roman"/>
                      <w:color w:val="auto"/>
                      <w:sz w:val="21"/>
                      <w:szCs w:val="21"/>
                      <w:lang w:eastAsia="zh-CN"/>
                    </w:rPr>
                    <w:t>年本</w:t>
                  </w:r>
                  <w:r>
                    <w:rPr>
                      <w:rFonts w:hint="default" w:ascii="Times New Roman" w:hAnsi="Times New Roman" w:cs="Times New Roman"/>
                      <w:color w:val="auto"/>
                      <w:sz w:val="21"/>
                      <w:szCs w:val="21"/>
                    </w:rPr>
                    <w:t>）》中的相关内容，项目不属于产业政策中的限制和淘汰类行业，</w:t>
                  </w:r>
                  <w:r>
                    <w:rPr>
                      <w:rFonts w:hint="eastAsia"/>
                      <w:color w:val="auto"/>
                      <w:sz w:val="21"/>
                      <w:szCs w:val="21"/>
                    </w:rPr>
                    <w:t>本项目所选设备、工艺均</w:t>
                  </w:r>
                  <w:r>
                    <w:rPr>
                      <w:rFonts w:hint="eastAsia"/>
                      <w:color w:val="auto"/>
                      <w:sz w:val="21"/>
                      <w:szCs w:val="21"/>
                      <w:lang w:eastAsia="zh-CN"/>
                    </w:rPr>
                    <w:t>未</w:t>
                  </w:r>
                  <w:r>
                    <w:rPr>
                      <w:rFonts w:hint="eastAsia"/>
                      <w:color w:val="auto"/>
                      <w:sz w:val="21"/>
                      <w:szCs w:val="21"/>
                    </w:rPr>
                    <w:t>列入《淘汰落后生产力、工艺和产品目录》中</w:t>
                  </w:r>
                  <w:r>
                    <w:rPr>
                      <w:rFonts w:hint="eastAsia" w:ascii="Times New Roman" w:hAnsi="Times New Roman" w:eastAsia="宋体" w:cs="Times New Roman"/>
                      <w:color w:val="auto"/>
                      <w:sz w:val="21"/>
                      <w:szCs w:val="21"/>
                      <w:lang w:val="en-US" w:eastAsia="zh-CN"/>
                    </w:rPr>
                    <w:t>；项目</w:t>
                  </w:r>
                  <w:r>
                    <w:rPr>
                      <w:rFonts w:hint="eastAsia" w:ascii="宋体" w:hAnsi="宋体" w:eastAsia="宋体" w:cs="宋体"/>
                      <w:color w:val="auto"/>
                      <w:kern w:val="0"/>
                      <w:sz w:val="21"/>
                      <w:szCs w:val="21"/>
                      <w:lang w:val="en-US" w:eastAsia="zh-CN" w:bidi="ar"/>
                    </w:rPr>
                    <w:t>不属于国家产能置换要求的严重过剩产能行业的项目。</w:t>
                  </w:r>
                </w:p>
              </w:tc>
              <w:tc>
                <w:tcPr>
                  <w:tcW w:w="582" w:type="pct"/>
                  <w:vAlign w:val="center"/>
                </w:tcPr>
                <w:p w14:paraId="654777CF">
                  <w:pPr>
                    <w:jc w:val="center"/>
                    <w:rPr>
                      <w:rFonts w:hint="eastAsia" w:eastAsia="宋体"/>
                      <w:color w:val="auto"/>
                      <w:sz w:val="21"/>
                      <w:szCs w:val="21"/>
                      <w:lang w:val="en-US" w:eastAsia="zh-CN"/>
                    </w:rPr>
                  </w:pPr>
                  <w:r>
                    <w:rPr>
                      <w:rFonts w:hint="eastAsia"/>
                      <w:color w:val="auto"/>
                      <w:sz w:val="21"/>
                      <w:szCs w:val="21"/>
                      <w:lang w:val="en-US" w:eastAsia="zh-CN"/>
                    </w:rPr>
                    <w:t>符合</w:t>
                  </w:r>
                </w:p>
              </w:tc>
            </w:tr>
          </w:tbl>
          <w:p w14:paraId="6E18EFCF">
            <w:pPr>
              <w:adjustRightInd w:val="0"/>
              <w:snapToGrid w:val="0"/>
              <w:spacing w:line="360" w:lineRule="auto"/>
              <w:ind w:firstLine="480" w:firstLineChars="200"/>
              <w:rPr>
                <w:color w:val="auto"/>
                <w:sz w:val="24"/>
              </w:rPr>
            </w:pPr>
            <w:r>
              <w:rPr>
                <w:rFonts w:hint="eastAsia"/>
                <w:color w:val="auto"/>
                <w:sz w:val="24"/>
              </w:rPr>
              <w:t>综上所述，本项目符合</w:t>
            </w:r>
            <w:r>
              <w:rPr>
                <w:rFonts w:hint="eastAsia" w:hAnsi="宋体"/>
                <w:bCs/>
                <w:color w:val="auto"/>
                <w:sz w:val="24"/>
              </w:rPr>
              <w:t>《云南省长江经济带发展负面清单指南实施细则（试行，2022年版）》</w:t>
            </w:r>
            <w:r>
              <w:rPr>
                <w:rFonts w:hint="eastAsia"/>
                <w:color w:val="auto"/>
                <w:sz w:val="24"/>
              </w:rPr>
              <w:t>中相应要求。</w:t>
            </w:r>
          </w:p>
          <w:p w14:paraId="4D5B5CA8">
            <w:pPr>
              <w:adjustRightInd w:val="0"/>
              <w:snapToGrid w:val="0"/>
              <w:spacing w:line="360" w:lineRule="auto"/>
              <w:ind w:firstLine="482" w:firstLineChars="200"/>
              <w:rPr>
                <w:b/>
                <w:bCs/>
                <w:color w:val="auto"/>
                <w:sz w:val="24"/>
              </w:rPr>
            </w:pPr>
            <w:r>
              <w:rPr>
                <w:rFonts w:hint="eastAsia"/>
                <w:b/>
                <w:bCs/>
                <w:color w:val="auto"/>
                <w:sz w:val="24"/>
                <w:lang w:val="en-US" w:eastAsia="zh-CN"/>
              </w:rPr>
              <w:t>9</w:t>
            </w:r>
            <w:r>
              <w:rPr>
                <w:b/>
                <w:bCs/>
                <w:color w:val="auto"/>
                <w:sz w:val="24"/>
              </w:rPr>
              <w:t>、与《中华人民共和国长江保护法》相符性分析</w:t>
            </w:r>
          </w:p>
          <w:p w14:paraId="39C08A5A">
            <w:pPr>
              <w:snapToGrid w:val="0"/>
              <w:spacing w:line="360" w:lineRule="auto"/>
              <w:ind w:firstLine="480" w:firstLineChars="200"/>
              <w:rPr>
                <w:color w:val="auto"/>
                <w:sz w:val="24"/>
              </w:rPr>
            </w:pPr>
            <w:r>
              <w:rPr>
                <w:color w:val="auto"/>
                <w:sz w:val="24"/>
              </w:rPr>
              <w:t>2020年12月26日第十三届全国人民代表大会常务委员会第二十四次会议通过《中华人民共和国长江保护法》，于</w:t>
            </w:r>
            <w:r>
              <w:rPr>
                <w:rFonts w:hint="eastAsia"/>
                <w:color w:val="auto"/>
                <w:sz w:val="24"/>
              </w:rPr>
              <w:t>2021年3月1日起施行</w:t>
            </w:r>
            <w:r>
              <w:rPr>
                <w:color w:val="auto"/>
                <w:sz w:val="24"/>
              </w:rPr>
              <w:t>。</w:t>
            </w:r>
          </w:p>
          <w:p w14:paraId="31881812">
            <w:pPr>
              <w:jc w:val="center"/>
              <w:rPr>
                <w:b/>
                <w:bCs/>
                <w:color w:val="auto"/>
                <w:sz w:val="24"/>
              </w:rPr>
            </w:pPr>
            <w:r>
              <w:rPr>
                <w:b/>
                <w:bCs/>
                <w:color w:val="auto"/>
                <w:sz w:val="24"/>
              </w:rPr>
              <w:t>表1</w:t>
            </w:r>
            <w:r>
              <w:rPr>
                <w:rFonts w:hint="eastAsia"/>
                <w:b/>
                <w:bCs/>
                <w:color w:val="auto"/>
                <w:sz w:val="24"/>
              </w:rPr>
              <w:t>-</w:t>
            </w:r>
            <w:r>
              <w:rPr>
                <w:rFonts w:hint="eastAsia"/>
                <w:b/>
                <w:bCs/>
                <w:color w:val="auto"/>
                <w:sz w:val="24"/>
                <w:lang w:val="en-US" w:eastAsia="zh-CN"/>
              </w:rPr>
              <w:t>9</w:t>
            </w:r>
            <w:r>
              <w:rPr>
                <w:rFonts w:hint="eastAsia"/>
                <w:b/>
                <w:bCs/>
                <w:color w:val="auto"/>
                <w:sz w:val="24"/>
              </w:rPr>
              <w:t xml:space="preserve">  </w:t>
            </w:r>
            <w:r>
              <w:rPr>
                <w:b/>
                <w:bCs/>
                <w:color w:val="auto"/>
                <w:sz w:val="24"/>
              </w:rPr>
              <w:t>项目与《</w:t>
            </w:r>
            <w:r>
              <w:rPr>
                <w:rFonts w:hint="eastAsia"/>
                <w:b/>
                <w:bCs/>
                <w:color w:val="auto"/>
                <w:sz w:val="24"/>
              </w:rPr>
              <w:t>中华人民共和国长江保护法</w:t>
            </w:r>
            <w:r>
              <w:rPr>
                <w:b/>
                <w:bCs/>
                <w:color w:val="auto"/>
                <w:sz w:val="24"/>
              </w:rPr>
              <w:t>》</w:t>
            </w:r>
            <w:r>
              <w:rPr>
                <w:rFonts w:hint="eastAsia"/>
                <w:b/>
                <w:bCs/>
                <w:color w:val="auto"/>
                <w:sz w:val="24"/>
              </w:rPr>
              <w:t>相符性</w:t>
            </w:r>
            <w:r>
              <w:rPr>
                <w:b/>
                <w:bCs/>
                <w:color w:val="auto"/>
                <w:sz w:val="24"/>
              </w:rPr>
              <w:t>分析</w:t>
            </w:r>
          </w:p>
          <w:tbl>
            <w:tblPr>
              <w:tblStyle w:val="45"/>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128"/>
              <w:gridCol w:w="3354"/>
              <w:gridCol w:w="797"/>
            </w:tblGrid>
            <w:tr w14:paraId="5067DA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3128" w:type="dxa"/>
                  <w:tcBorders>
                    <w:top w:val="single" w:color="auto" w:sz="4" w:space="0"/>
                    <w:left w:val="single" w:color="auto" w:sz="4" w:space="0"/>
                    <w:bottom w:val="single" w:color="auto" w:sz="4" w:space="0"/>
                    <w:right w:val="single" w:color="auto" w:sz="4" w:space="0"/>
                  </w:tcBorders>
                  <w:vAlign w:val="center"/>
                </w:tcPr>
                <w:p w14:paraId="4C1DE0B5">
                  <w:pPr>
                    <w:jc w:val="center"/>
                    <w:rPr>
                      <w:rFonts w:ascii="宋体" w:hAnsi="宋体"/>
                      <w:color w:val="auto"/>
                      <w:sz w:val="21"/>
                      <w:szCs w:val="21"/>
                    </w:rPr>
                  </w:pPr>
                  <w:r>
                    <w:rPr>
                      <w:rFonts w:hint="eastAsia" w:ascii="宋体" w:hAnsi="宋体"/>
                      <w:color w:val="auto"/>
                      <w:sz w:val="21"/>
                      <w:szCs w:val="21"/>
                    </w:rPr>
                    <w:t>相关</w:t>
                  </w:r>
                  <w:r>
                    <w:rPr>
                      <w:rFonts w:ascii="宋体" w:hAnsi="宋体"/>
                      <w:color w:val="auto"/>
                      <w:sz w:val="21"/>
                      <w:szCs w:val="21"/>
                    </w:rPr>
                    <w:t>要求</w:t>
                  </w:r>
                </w:p>
              </w:tc>
              <w:tc>
                <w:tcPr>
                  <w:tcW w:w="3354" w:type="dxa"/>
                  <w:tcBorders>
                    <w:top w:val="single" w:color="auto" w:sz="4" w:space="0"/>
                    <w:left w:val="single" w:color="auto" w:sz="4" w:space="0"/>
                    <w:bottom w:val="single" w:color="auto" w:sz="4" w:space="0"/>
                    <w:right w:val="single" w:color="auto" w:sz="4" w:space="0"/>
                  </w:tcBorders>
                  <w:vAlign w:val="center"/>
                </w:tcPr>
                <w:p w14:paraId="3A4CC9D2">
                  <w:pPr>
                    <w:jc w:val="center"/>
                    <w:rPr>
                      <w:rFonts w:ascii="宋体" w:hAnsi="宋体"/>
                      <w:color w:val="auto"/>
                      <w:sz w:val="21"/>
                      <w:szCs w:val="21"/>
                    </w:rPr>
                  </w:pPr>
                  <w:r>
                    <w:rPr>
                      <w:rFonts w:ascii="宋体" w:hAnsi="宋体"/>
                      <w:color w:val="auto"/>
                      <w:sz w:val="21"/>
                      <w:szCs w:val="21"/>
                    </w:rPr>
                    <w:t>拟建项目的</w:t>
                  </w:r>
                  <w:r>
                    <w:rPr>
                      <w:rFonts w:hint="eastAsia" w:ascii="宋体" w:hAnsi="宋体"/>
                      <w:color w:val="auto"/>
                      <w:sz w:val="21"/>
                      <w:szCs w:val="21"/>
                    </w:rPr>
                    <w:t>情况</w:t>
                  </w:r>
                </w:p>
              </w:tc>
              <w:tc>
                <w:tcPr>
                  <w:tcW w:w="797" w:type="dxa"/>
                  <w:tcBorders>
                    <w:top w:val="single" w:color="auto" w:sz="4" w:space="0"/>
                    <w:left w:val="single" w:color="auto" w:sz="4" w:space="0"/>
                    <w:bottom w:val="single" w:color="auto" w:sz="4" w:space="0"/>
                    <w:right w:val="single" w:color="auto" w:sz="4" w:space="0"/>
                  </w:tcBorders>
                  <w:vAlign w:val="center"/>
                </w:tcPr>
                <w:p w14:paraId="26E8572C">
                  <w:pPr>
                    <w:jc w:val="center"/>
                    <w:rPr>
                      <w:rFonts w:ascii="宋体" w:hAnsi="宋体"/>
                      <w:color w:val="auto"/>
                      <w:sz w:val="21"/>
                      <w:szCs w:val="21"/>
                    </w:rPr>
                  </w:pPr>
                  <w:r>
                    <w:rPr>
                      <w:rFonts w:ascii="宋体" w:hAnsi="宋体"/>
                      <w:color w:val="auto"/>
                      <w:sz w:val="21"/>
                      <w:szCs w:val="21"/>
                    </w:rPr>
                    <w:t>符合性</w:t>
                  </w:r>
                </w:p>
              </w:tc>
            </w:tr>
            <w:tr w14:paraId="65BBBB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128" w:type="dxa"/>
                  <w:tcBorders>
                    <w:top w:val="single" w:color="auto" w:sz="4" w:space="0"/>
                    <w:left w:val="single" w:color="auto" w:sz="4" w:space="0"/>
                    <w:bottom w:val="single" w:color="auto" w:sz="4" w:space="0"/>
                    <w:right w:val="single" w:color="auto" w:sz="4" w:space="0"/>
                  </w:tcBorders>
                  <w:vAlign w:val="center"/>
                </w:tcPr>
                <w:p w14:paraId="18ECEA52">
                  <w:pPr>
                    <w:widowControl/>
                    <w:shd w:val="clear" w:color="auto" w:fill="FFFFFF"/>
                    <w:spacing w:line="270" w:lineRule="atLeast"/>
                    <w:ind w:firstLine="480"/>
                    <w:jc w:val="center"/>
                    <w:rPr>
                      <w:rFonts w:ascii="宋体" w:hAnsi="宋体" w:cs="宋体"/>
                      <w:color w:val="auto"/>
                      <w:sz w:val="21"/>
                      <w:szCs w:val="21"/>
                    </w:rPr>
                  </w:pPr>
                  <w:r>
                    <w:rPr>
                      <w:rFonts w:hint="eastAsia" w:ascii="宋体" w:hAnsi="宋体" w:cs="宋体"/>
                      <w:color w:val="auto"/>
                      <w:sz w:val="21"/>
                      <w:szCs w:val="21"/>
                    </w:rPr>
                    <w:t>禁止在长江干支流岸线一公里范围内新建、扩建化工园区和化工项目。</w:t>
                  </w:r>
                </w:p>
                <w:p w14:paraId="7684402B">
                  <w:pPr>
                    <w:widowControl/>
                    <w:shd w:val="clear" w:color="auto" w:fill="FFFFFF"/>
                    <w:spacing w:line="270" w:lineRule="atLeast"/>
                    <w:ind w:firstLine="480"/>
                    <w:jc w:val="center"/>
                    <w:rPr>
                      <w:rFonts w:ascii="宋体" w:hAnsi="宋体" w:cs="宋体"/>
                      <w:color w:val="auto"/>
                      <w:sz w:val="21"/>
                      <w:szCs w:val="21"/>
                    </w:rPr>
                  </w:pPr>
                  <w:r>
                    <w:rPr>
                      <w:rFonts w:hint="eastAsia" w:ascii="宋体" w:hAnsi="宋体" w:cs="宋体"/>
                      <w:color w:val="auto"/>
                      <w:sz w:val="21"/>
                      <w:szCs w:val="21"/>
                    </w:rPr>
                    <w:t>禁止在长江干流岸线三公里范围内和重要支流岸线一公里范围内新建、改建、扩建尾矿库；但是以提升安全、生态环境保护水平为目的的改建除外。</w:t>
                  </w:r>
                </w:p>
              </w:tc>
              <w:tc>
                <w:tcPr>
                  <w:tcW w:w="3354" w:type="dxa"/>
                  <w:tcBorders>
                    <w:top w:val="single" w:color="auto" w:sz="4" w:space="0"/>
                    <w:left w:val="single" w:color="auto" w:sz="4" w:space="0"/>
                    <w:bottom w:val="single" w:color="auto" w:sz="4" w:space="0"/>
                    <w:right w:val="single" w:color="auto" w:sz="4" w:space="0"/>
                  </w:tcBorders>
                  <w:vAlign w:val="center"/>
                </w:tcPr>
                <w:p w14:paraId="46B98C87">
                  <w:pPr>
                    <w:jc w:val="center"/>
                    <w:rPr>
                      <w:rFonts w:ascii="宋体" w:hAnsi="宋体"/>
                      <w:color w:val="auto"/>
                      <w:sz w:val="21"/>
                      <w:szCs w:val="21"/>
                    </w:rPr>
                  </w:pPr>
                  <w:r>
                    <w:rPr>
                      <w:rFonts w:ascii="宋体" w:hAnsi="宋体"/>
                      <w:color w:val="auto"/>
                      <w:sz w:val="21"/>
                      <w:szCs w:val="21"/>
                    </w:rPr>
                    <w:t>本</w:t>
                  </w:r>
                  <w:r>
                    <w:rPr>
                      <w:rFonts w:hint="eastAsia" w:ascii="宋体" w:hAnsi="宋体"/>
                      <w:color w:val="auto"/>
                      <w:sz w:val="21"/>
                      <w:szCs w:val="21"/>
                    </w:rPr>
                    <w:t>项目</w:t>
                  </w:r>
                  <w:r>
                    <w:rPr>
                      <w:rFonts w:ascii="宋体" w:hAnsi="宋体"/>
                      <w:color w:val="auto"/>
                      <w:sz w:val="21"/>
                      <w:szCs w:val="21"/>
                    </w:rPr>
                    <w:t>位于</w:t>
                  </w:r>
                  <w:r>
                    <w:rPr>
                      <w:rFonts w:hint="eastAsia" w:ascii="宋体" w:hAnsi="宋体" w:cs="宋体"/>
                      <w:color w:val="auto"/>
                      <w:sz w:val="21"/>
                      <w:szCs w:val="21"/>
                      <w:lang w:eastAsia="zh-CN" w:bidi="ar"/>
                    </w:rPr>
                    <w:t>昆明市寻甸县塘子镇</w:t>
                  </w:r>
                  <w:r>
                    <w:rPr>
                      <w:rFonts w:hint="eastAsia" w:cs="Times New Roman"/>
                      <w:color w:val="auto"/>
                      <w:sz w:val="21"/>
                      <w:szCs w:val="21"/>
                      <w:lang w:val="en-US" w:eastAsia="zh-CN"/>
                    </w:rPr>
                    <w:t>云南常青树化工有限公司</w:t>
                  </w:r>
                  <w:r>
                    <w:rPr>
                      <w:rFonts w:hint="eastAsia" w:ascii="宋体" w:hAnsi="宋体" w:cs="宋体"/>
                      <w:color w:val="auto"/>
                      <w:sz w:val="21"/>
                      <w:szCs w:val="21"/>
                      <w:lang w:eastAsia="zh-CN" w:bidi="ar"/>
                    </w:rPr>
                    <w:t>厂区内</w:t>
                  </w:r>
                  <w:r>
                    <w:rPr>
                      <w:rFonts w:ascii="宋体" w:hAnsi="宋体"/>
                      <w:color w:val="auto"/>
                      <w:sz w:val="21"/>
                      <w:szCs w:val="21"/>
                    </w:rPr>
                    <w:t>，属牛栏江支流</w:t>
                  </w:r>
                  <w:r>
                    <w:rPr>
                      <w:rFonts w:hint="eastAsia" w:ascii="宋体" w:hAnsi="宋体"/>
                      <w:color w:val="auto"/>
                      <w:sz w:val="21"/>
                      <w:szCs w:val="21"/>
                    </w:rPr>
                    <w:t>流域，不属于</w:t>
                  </w:r>
                  <w:r>
                    <w:rPr>
                      <w:rFonts w:hint="eastAsia" w:ascii="宋体" w:hAnsi="宋体" w:cs="宋体"/>
                      <w:color w:val="auto"/>
                      <w:sz w:val="21"/>
                      <w:szCs w:val="21"/>
                    </w:rPr>
                    <w:t>长江干支流岸线一公里范围、长江干流岸线三公里范围内和重要支流岸线一公里范围内</w:t>
                  </w:r>
                  <w:r>
                    <w:rPr>
                      <w:rFonts w:ascii="宋体" w:hAnsi="宋体"/>
                      <w:color w:val="auto"/>
                      <w:sz w:val="21"/>
                      <w:szCs w:val="21"/>
                    </w:rPr>
                    <w:t>。</w:t>
                  </w:r>
                </w:p>
              </w:tc>
              <w:tc>
                <w:tcPr>
                  <w:tcW w:w="797" w:type="dxa"/>
                  <w:tcBorders>
                    <w:top w:val="single" w:color="auto" w:sz="4" w:space="0"/>
                    <w:left w:val="single" w:color="auto" w:sz="4" w:space="0"/>
                    <w:bottom w:val="single" w:color="auto" w:sz="4" w:space="0"/>
                    <w:right w:val="single" w:color="auto" w:sz="4" w:space="0"/>
                  </w:tcBorders>
                  <w:vAlign w:val="center"/>
                </w:tcPr>
                <w:p w14:paraId="6D15752A">
                  <w:pPr>
                    <w:rPr>
                      <w:rFonts w:ascii="宋体" w:hAnsi="宋体"/>
                      <w:color w:val="auto"/>
                      <w:sz w:val="21"/>
                      <w:szCs w:val="21"/>
                    </w:rPr>
                  </w:pPr>
                  <w:r>
                    <w:rPr>
                      <w:rFonts w:hint="eastAsia" w:ascii="宋体" w:hAnsi="宋体"/>
                      <w:color w:val="auto"/>
                      <w:sz w:val="21"/>
                      <w:szCs w:val="21"/>
                    </w:rPr>
                    <w:t>符合</w:t>
                  </w:r>
                </w:p>
              </w:tc>
            </w:tr>
            <w:tr w14:paraId="094A8E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3128" w:type="dxa"/>
                  <w:tcBorders>
                    <w:top w:val="single" w:color="auto" w:sz="4" w:space="0"/>
                    <w:left w:val="single" w:color="auto" w:sz="4" w:space="0"/>
                    <w:bottom w:val="single" w:color="auto" w:sz="4" w:space="0"/>
                    <w:right w:val="single" w:color="auto" w:sz="4" w:space="0"/>
                  </w:tcBorders>
                  <w:vAlign w:val="center"/>
                </w:tcPr>
                <w:p w14:paraId="12D009CC">
                  <w:pPr>
                    <w:jc w:val="center"/>
                    <w:rPr>
                      <w:rFonts w:ascii="宋体" w:hAnsi="宋体"/>
                      <w:color w:val="auto"/>
                      <w:sz w:val="21"/>
                      <w:szCs w:val="21"/>
                    </w:rPr>
                  </w:pPr>
                  <w:r>
                    <w:rPr>
                      <w:rFonts w:hint="eastAsia" w:ascii="宋体" w:hAnsi="宋体"/>
                      <w:color w:val="auto"/>
                      <w:sz w:val="21"/>
                      <w:szCs w:val="21"/>
                    </w:rPr>
                    <w:t>禁止在长江流域河湖管理范围内倾倒、填埋、堆放、弃置、处理固体废物。</w:t>
                  </w:r>
                </w:p>
              </w:tc>
              <w:tc>
                <w:tcPr>
                  <w:tcW w:w="3354" w:type="dxa"/>
                  <w:tcBorders>
                    <w:top w:val="single" w:color="auto" w:sz="4" w:space="0"/>
                    <w:left w:val="single" w:color="auto" w:sz="4" w:space="0"/>
                    <w:bottom w:val="single" w:color="auto" w:sz="4" w:space="0"/>
                    <w:right w:val="single" w:color="auto" w:sz="4" w:space="0"/>
                  </w:tcBorders>
                  <w:vAlign w:val="center"/>
                </w:tcPr>
                <w:p w14:paraId="6CB1EF60">
                  <w:pPr>
                    <w:jc w:val="center"/>
                    <w:rPr>
                      <w:rFonts w:ascii="宋体" w:hAnsi="宋体"/>
                      <w:color w:val="auto"/>
                      <w:sz w:val="21"/>
                      <w:szCs w:val="21"/>
                    </w:rPr>
                  </w:pPr>
                  <w:r>
                    <w:rPr>
                      <w:rFonts w:ascii="宋体" w:hAnsi="宋体"/>
                      <w:color w:val="auto"/>
                      <w:sz w:val="21"/>
                      <w:szCs w:val="21"/>
                    </w:rPr>
                    <w:t>该</w:t>
                  </w:r>
                  <w:r>
                    <w:rPr>
                      <w:rFonts w:hint="eastAsia" w:ascii="宋体" w:hAnsi="宋体"/>
                      <w:color w:val="auto"/>
                      <w:sz w:val="21"/>
                      <w:szCs w:val="21"/>
                    </w:rPr>
                    <w:t>项目</w:t>
                  </w:r>
                  <w:r>
                    <w:rPr>
                      <w:rFonts w:ascii="宋体" w:hAnsi="宋体"/>
                      <w:color w:val="auto"/>
                      <w:sz w:val="21"/>
                      <w:szCs w:val="21"/>
                    </w:rPr>
                    <w:t>位于</w:t>
                  </w:r>
                  <w:r>
                    <w:rPr>
                      <w:rFonts w:hint="eastAsia" w:ascii="宋体" w:hAnsi="宋体" w:cs="宋体"/>
                      <w:color w:val="auto"/>
                      <w:sz w:val="21"/>
                      <w:szCs w:val="21"/>
                      <w:lang w:eastAsia="zh-CN" w:bidi="ar"/>
                    </w:rPr>
                    <w:t>昆明市寻甸县塘子镇</w:t>
                  </w:r>
                  <w:r>
                    <w:rPr>
                      <w:rFonts w:hint="eastAsia" w:cs="Times New Roman"/>
                      <w:color w:val="auto"/>
                      <w:sz w:val="21"/>
                      <w:szCs w:val="21"/>
                      <w:lang w:val="en-US" w:eastAsia="zh-CN"/>
                    </w:rPr>
                    <w:t>云南常青树化工有限公司</w:t>
                  </w:r>
                  <w:r>
                    <w:rPr>
                      <w:rFonts w:hint="eastAsia" w:ascii="宋体" w:hAnsi="宋体" w:cs="宋体"/>
                      <w:color w:val="auto"/>
                      <w:sz w:val="21"/>
                      <w:szCs w:val="21"/>
                      <w:lang w:eastAsia="zh-CN" w:bidi="ar"/>
                    </w:rPr>
                    <w:t>厂区内</w:t>
                  </w:r>
                  <w:r>
                    <w:rPr>
                      <w:rFonts w:ascii="宋体" w:hAnsi="宋体"/>
                      <w:color w:val="auto"/>
                      <w:sz w:val="21"/>
                      <w:szCs w:val="21"/>
                    </w:rPr>
                    <w:t>，</w:t>
                  </w:r>
                  <w:r>
                    <w:rPr>
                      <w:rFonts w:hint="eastAsia" w:ascii="宋体" w:hAnsi="宋体"/>
                      <w:color w:val="auto"/>
                      <w:sz w:val="21"/>
                      <w:szCs w:val="21"/>
                    </w:rPr>
                    <w:t>不属于长江流域河湖管理范围</w:t>
                  </w:r>
                  <w:r>
                    <w:rPr>
                      <w:rFonts w:ascii="宋体" w:hAnsi="宋体"/>
                      <w:color w:val="auto"/>
                      <w:sz w:val="21"/>
                      <w:szCs w:val="21"/>
                    </w:rPr>
                    <w:t>。</w:t>
                  </w:r>
                </w:p>
              </w:tc>
              <w:tc>
                <w:tcPr>
                  <w:tcW w:w="797" w:type="dxa"/>
                  <w:tcBorders>
                    <w:top w:val="single" w:color="auto" w:sz="4" w:space="0"/>
                    <w:left w:val="single" w:color="auto" w:sz="4" w:space="0"/>
                    <w:bottom w:val="single" w:color="auto" w:sz="4" w:space="0"/>
                    <w:right w:val="single" w:color="auto" w:sz="4" w:space="0"/>
                  </w:tcBorders>
                  <w:vAlign w:val="center"/>
                </w:tcPr>
                <w:p w14:paraId="501DE687">
                  <w:pPr>
                    <w:rPr>
                      <w:rFonts w:ascii="宋体" w:hAnsi="宋体"/>
                      <w:color w:val="auto"/>
                      <w:sz w:val="21"/>
                      <w:szCs w:val="21"/>
                    </w:rPr>
                  </w:pPr>
                  <w:r>
                    <w:rPr>
                      <w:rFonts w:hint="eastAsia" w:ascii="宋体" w:hAnsi="宋体"/>
                      <w:color w:val="auto"/>
                      <w:sz w:val="21"/>
                      <w:szCs w:val="21"/>
                    </w:rPr>
                    <w:t>符合</w:t>
                  </w:r>
                </w:p>
              </w:tc>
            </w:tr>
            <w:tr w14:paraId="5B9B6B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99" w:hRule="atLeast"/>
                <w:jc w:val="center"/>
              </w:trPr>
              <w:tc>
                <w:tcPr>
                  <w:tcW w:w="3128" w:type="dxa"/>
                  <w:tcBorders>
                    <w:top w:val="single" w:color="auto" w:sz="4" w:space="0"/>
                    <w:left w:val="single" w:color="auto" w:sz="4" w:space="0"/>
                    <w:bottom w:val="single" w:color="auto" w:sz="4" w:space="0"/>
                    <w:right w:val="single" w:color="auto" w:sz="4" w:space="0"/>
                  </w:tcBorders>
                  <w:vAlign w:val="center"/>
                </w:tcPr>
                <w:p w14:paraId="60C4270C">
                  <w:pPr>
                    <w:jc w:val="center"/>
                    <w:rPr>
                      <w:rFonts w:ascii="宋体" w:hAnsi="宋体"/>
                      <w:color w:val="auto"/>
                      <w:sz w:val="21"/>
                      <w:szCs w:val="21"/>
                    </w:rPr>
                  </w:pPr>
                  <w:r>
                    <w:rPr>
                      <w:rFonts w:hint="eastAsia" w:ascii="宋体" w:hAnsi="宋体"/>
                      <w:color w:val="auto"/>
                      <w:sz w:val="21"/>
                      <w:szCs w:val="21"/>
                    </w:rPr>
                    <w:t>禁止在长江流域水上运输剧毒化学品和国家规定禁止通过内河运输的其他危险化学品。</w:t>
                  </w:r>
                </w:p>
              </w:tc>
              <w:tc>
                <w:tcPr>
                  <w:tcW w:w="3354" w:type="dxa"/>
                  <w:tcBorders>
                    <w:top w:val="single" w:color="auto" w:sz="4" w:space="0"/>
                    <w:left w:val="single" w:color="auto" w:sz="4" w:space="0"/>
                    <w:bottom w:val="single" w:color="auto" w:sz="4" w:space="0"/>
                    <w:right w:val="single" w:color="auto" w:sz="4" w:space="0"/>
                  </w:tcBorders>
                  <w:vAlign w:val="center"/>
                </w:tcPr>
                <w:p w14:paraId="3D3170EB">
                  <w:pPr>
                    <w:jc w:val="center"/>
                    <w:rPr>
                      <w:rFonts w:ascii="宋体" w:hAnsi="宋体"/>
                      <w:color w:val="auto"/>
                      <w:sz w:val="21"/>
                      <w:szCs w:val="21"/>
                    </w:rPr>
                  </w:pPr>
                  <w:r>
                    <w:rPr>
                      <w:rFonts w:hint="eastAsia" w:ascii="宋体" w:hAnsi="宋体"/>
                      <w:color w:val="auto"/>
                      <w:sz w:val="21"/>
                      <w:szCs w:val="21"/>
                    </w:rPr>
                    <w:t>本项目</w:t>
                  </w:r>
                  <w:r>
                    <w:rPr>
                      <w:rFonts w:ascii="宋体" w:hAnsi="宋体"/>
                      <w:color w:val="auto"/>
                      <w:sz w:val="21"/>
                      <w:szCs w:val="21"/>
                    </w:rPr>
                    <w:t>不涉及</w:t>
                  </w:r>
                  <w:r>
                    <w:rPr>
                      <w:rFonts w:hint="eastAsia" w:ascii="宋体" w:hAnsi="宋体"/>
                      <w:color w:val="auto"/>
                      <w:sz w:val="21"/>
                      <w:szCs w:val="21"/>
                    </w:rPr>
                    <w:t>长江流域水上运输。</w:t>
                  </w:r>
                </w:p>
              </w:tc>
              <w:tc>
                <w:tcPr>
                  <w:tcW w:w="797" w:type="dxa"/>
                  <w:tcBorders>
                    <w:top w:val="single" w:color="auto" w:sz="4" w:space="0"/>
                    <w:left w:val="single" w:color="auto" w:sz="4" w:space="0"/>
                    <w:bottom w:val="single" w:color="auto" w:sz="4" w:space="0"/>
                    <w:right w:val="single" w:color="auto" w:sz="4" w:space="0"/>
                  </w:tcBorders>
                  <w:vAlign w:val="center"/>
                </w:tcPr>
                <w:p w14:paraId="2E40C5EA">
                  <w:pPr>
                    <w:jc w:val="center"/>
                    <w:rPr>
                      <w:rFonts w:ascii="宋体" w:hAnsi="宋体"/>
                      <w:color w:val="auto"/>
                      <w:sz w:val="21"/>
                      <w:szCs w:val="21"/>
                    </w:rPr>
                  </w:pPr>
                  <w:r>
                    <w:rPr>
                      <w:rFonts w:hint="eastAsia" w:ascii="宋体" w:hAnsi="宋体"/>
                      <w:color w:val="auto"/>
                      <w:sz w:val="21"/>
                      <w:szCs w:val="21"/>
                    </w:rPr>
                    <w:t>符合</w:t>
                  </w:r>
                </w:p>
              </w:tc>
            </w:tr>
            <w:tr w14:paraId="098DF4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128" w:type="dxa"/>
                  <w:tcBorders>
                    <w:top w:val="single" w:color="auto" w:sz="4" w:space="0"/>
                    <w:left w:val="single" w:color="auto" w:sz="4" w:space="0"/>
                    <w:bottom w:val="single" w:color="auto" w:sz="4" w:space="0"/>
                    <w:right w:val="single" w:color="auto" w:sz="4" w:space="0"/>
                  </w:tcBorders>
                  <w:vAlign w:val="center"/>
                </w:tcPr>
                <w:p w14:paraId="7139D784">
                  <w:pPr>
                    <w:jc w:val="center"/>
                    <w:rPr>
                      <w:rFonts w:ascii="宋体" w:hAnsi="宋体"/>
                      <w:color w:val="auto"/>
                      <w:sz w:val="21"/>
                      <w:szCs w:val="21"/>
                    </w:rPr>
                  </w:pPr>
                  <w:r>
                    <w:rPr>
                      <w:rFonts w:hint="eastAsia" w:ascii="宋体" w:hAnsi="宋体"/>
                      <w:color w:val="auto"/>
                      <w:sz w:val="21"/>
                      <w:szCs w:val="21"/>
                    </w:rPr>
                    <w:t>禁止违法利用、占用长江流域河湖岸线。</w:t>
                  </w:r>
                </w:p>
              </w:tc>
              <w:tc>
                <w:tcPr>
                  <w:tcW w:w="3354" w:type="dxa"/>
                  <w:tcBorders>
                    <w:top w:val="single" w:color="auto" w:sz="4" w:space="0"/>
                    <w:left w:val="single" w:color="auto" w:sz="4" w:space="0"/>
                    <w:bottom w:val="single" w:color="auto" w:sz="4" w:space="0"/>
                    <w:right w:val="single" w:color="auto" w:sz="4" w:space="0"/>
                  </w:tcBorders>
                  <w:vAlign w:val="center"/>
                </w:tcPr>
                <w:p w14:paraId="5C85556C">
                  <w:pPr>
                    <w:jc w:val="center"/>
                    <w:rPr>
                      <w:rFonts w:ascii="宋体" w:hAnsi="宋体"/>
                      <w:color w:val="auto"/>
                      <w:sz w:val="21"/>
                      <w:szCs w:val="21"/>
                    </w:rPr>
                  </w:pPr>
                  <w:r>
                    <w:rPr>
                      <w:rFonts w:hint="eastAsia" w:ascii="宋体" w:hAnsi="宋体"/>
                      <w:color w:val="auto"/>
                      <w:sz w:val="21"/>
                      <w:szCs w:val="21"/>
                    </w:rPr>
                    <w:t>本项目</w:t>
                  </w:r>
                  <w:r>
                    <w:rPr>
                      <w:rFonts w:ascii="宋体" w:hAnsi="宋体"/>
                      <w:color w:val="auto"/>
                      <w:sz w:val="21"/>
                      <w:szCs w:val="21"/>
                    </w:rPr>
                    <w:t>不涉及</w:t>
                  </w:r>
                  <w:r>
                    <w:rPr>
                      <w:rFonts w:hint="eastAsia" w:ascii="宋体" w:hAnsi="宋体"/>
                      <w:color w:val="auto"/>
                      <w:sz w:val="21"/>
                      <w:szCs w:val="21"/>
                    </w:rPr>
                    <w:t>长江流域河湖岸线。</w:t>
                  </w:r>
                </w:p>
              </w:tc>
              <w:tc>
                <w:tcPr>
                  <w:tcW w:w="797" w:type="dxa"/>
                  <w:tcBorders>
                    <w:top w:val="single" w:color="auto" w:sz="4" w:space="0"/>
                    <w:left w:val="single" w:color="auto" w:sz="4" w:space="0"/>
                    <w:bottom w:val="single" w:color="auto" w:sz="4" w:space="0"/>
                    <w:right w:val="single" w:color="auto" w:sz="4" w:space="0"/>
                  </w:tcBorders>
                  <w:vAlign w:val="center"/>
                </w:tcPr>
                <w:p w14:paraId="33BDC780">
                  <w:pPr>
                    <w:jc w:val="center"/>
                    <w:rPr>
                      <w:rFonts w:ascii="宋体" w:hAnsi="宋体"/>
                      <w:color w:val="auto"/>
                      <w:sz w:val="21"/>
                      <w:szCs w:val="21"/>
                    </w:rPr>
                  </w:pPr>
                  <w:r>
                    <w:rPr>
                      <w:rFonts w:hint="eastAsia" w:ascii="宋体" w:hAnsi="宋体"/>
                      <w:color w:val="auto"/>
                      <w:sz w:val="21"/>
                      <w:szCs w:val="21"/>
                    </w:rPr>
                    <w:t>符合</w:t>
                  </w:r>
                </w:p>
              </w:tc>
            </w:tr>
            <w:tr w14:paraId="717FC6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128" w:type="dxa"/>
                  <w:tcBorders>
                    <w:top w:val="single" w:color="auto" w:sz="4" w:space="0"/>
                    <w:left w:val="single" w:color="auto" w:sz="4" w:space="0"/>
                    <w:bottom w:val="single" w:color="auto" w:sz="4" w:space="0"/>
                    <w:right w:val="single" w:color="auto" w:sz="4" w:space="0"/>
                  </w:tcBorders>
                  <w:vAlign w:val="center"/>
                </w:tcPr>
                <w:p w14:paraId="472FF78C">
                  <w:pPr>
                    <w:jc w:val="center"/>
                    <w:rPr>
                      <w:rFonts w:ascii="宋体" w:hAnsi="宋体"/>
                      <w:color w:val="auto"/>
                      <w:sz w:val="21"/>
                      <w:szCs w:val="21"/>
                    </w:rPr>
                  </w:pPr>
                  <w:r>
                    <w:rPr>
                      <w:rFonts w:hint="eastAsia" w:ascii="宋体" w:hAnsi="宋体"/>
                      <w:color w:val="auto"/>
                      <w:sz w:val="21"/>
                      <w:szCs w:val="21"/>
                    </w:rPr>
                    <w:t>禁止在长江流域水土流失严重、生态脆弱的区域开展可能造成水土流失的生产建设活动。</w:t>
                  </w:r>
                </w:p>
              </w:tc>
              <w:tc>
                <w:tcPr>
                  <w:tcW w:w="3354" w:type="dxa"/>
                  <w:tcBorders>
                    <w:top w:val="single" w:color="auto" w:sz="4" w:space="0"/>
                    <w:left w:val="single" w:color="auto" w:sz="4" w:space="0"/>
                    <w:bottom w:val="single" w:color="auto" w:sz="4" w:space="0"/>
                    <w:right w:val="single" w:color="auto" w:sz="4" w:space="0"/>
                  </w:tcBorders>
                  <w:vAlign w:val="center"/>
                </w:tcPr>
                <w:p w14:paraId="448C2CBE">
                  <w:pPr>
                    <w:jc w:val="center"/>
                    <w:rPr>
                      <w:rFonts w:ascii="宋体" w:hAnsi="宋体"/>
                      <w:color w:val="auto"/>
                      <w:sz w:val="21"/>
                      <w:szCs w:val="21"/>
                    </w:rPr>
                  </w:pPr>
                  <w:r>
                    <w:rPr>
                      <w:rFonts w:hint="eastAsia" w:ascii="宋体" w:hAnsi="宋体"/>
                      <w:color w:val="auto"/>
                      <w:sz w:val="21"/>
                      <w:szCs w:val="21"/>
                    </w:rPr>
                    <w:t>本</w:t>
                  </w:r>
                  <w:r>
                    <w:rPr>
                      <w:rFonts w:ascii="宋体" w:hAnsi="宋体"/>
                      <w:color w:val="auto"/>
                      <w:sz w:val="21"/>
                      <w:szCs w:val="21"/>
                    </w:rPr>
                    <w:t>项目</w:t>
                  </w:r>
                  <w:r>
                    <w:rPr>
                      <w:rFonts w:hint="eastAsia" w:ascii="宋体" w:hAnsi="宋体"/>
                      <w:color w:val="auto"/>
                      <w:sz w:val="21"/>
                      <w:szCs w:val="21"/>
                      <w:lang w:val="en-US" w:eastAsia="zh-CN"/>
                    </w:rPr>
                    <w:t>位于</w:t>
                  </w:r>
                  <w:r>
                    <w:rPr>
                      <w:rFonts w:hint="eastAsia" w:ascii="宋体" w:hAnsi="宋体" w:cs="宋体"/>
                      <w:color w:val="auto"/>
                      <w:sz w:val="21"/>
                      <w:szCs w:val="21"/>
                      <w:lang w:eastAsia="zh-CN" w:bidi="ar"/>
                    </w:rPr>
                    <w:t>昆明市寻甸县塘子镇</w:t>
                  </w:r>
                  <w:r>
                    <w:rPr>
                      <w:rFonts w:hint="eastAsia" w:cs="Times New Roman"/>
                      <w:color w:val="auto"/>
                      <w:sz w:val="21"/>
                      <w:szCs w:val="21"/>
                      <w:lang w:val="en-US" w:eastAsia="zh-CN"/>
                    </w:rPr>
                    <w:t>云南常青树化工有限公司</w:t>
                  </w:r>
                  <w:r>
                    <w:rPr>
                      <w:rFonts w:hint="eastAsia" w:ascii="宋体" w:hAnsi="宋体" w:cs="宋体"/>
                      <w:color w:val="auto"/>
                      <w:sz w:val="21"/>
                      <w:szCs w:val="21"/>
                      <w:lang w:eastAsia="zh-CN" w:bidi="ar"/>
                    </w:rPr>
                    <w:t>厂区内</w:t>
                  </w:r>
                  <w:r>
                    <w:rPr>
                      <w:rFonts w:ascii="宋体" w:hAnsi="宋体"/>
                      <w:color w:val="auto"/>
                      <w:sz w:val="21"/>
                      <w:szCs w:val="21"/>
                    </w:rPr>
                    <w:t>，</w:t>
                  </w:r>
                  <w:r>
                    <w:rPr>
                      <w:rFonts w:hint="eastAsia" w:ascii="宋体" w:hAnsi="宋体"/>
                      <w:color w:val="auto"/>
                      <w:sz w:val="21"/>
                      <w:szCs w:val="21"/>
                    </w:rPr>
                    <w:t>不属于长江流域水土流失严重、生态脆弱的区域。</w:t>
                  </w:r>
                </w:p>
              </w:tc>
              <w:tc>
                <w:tcPr>
                  <w:tcW w:w="797" w:type="dxa"/>
                  <w:tcBorders>
                    <w:top w:val="single" w:color="auto" w:sz="4" w:space="0"/>
                    <w:left w:val="single" w:color="auto" w:sz="4" w:space="0"/>
                    <w:bottom w:val="single" w:color="auto" w:sz="4" w:space="0"/>
                    <w:right w:val="single" w:color="auto" w:sz="4" w:space="0"/>
                  </w:tcBorders>
                  <w:vAlign w:val="center"/>
                </w:tcPr>
                <w:p w14:paraId="072536A6">
                  <w:pPr>
                    <w:jc w:val="center"/>
                    <w:rPr>
                      <w:rFonts w:ascii="宋体" w:hAnsi="宋体"/>
                      <w:color w:val="auto"/>
                      <w:sz w:val="21"/>
                      <w:szCs w:val="21"/>
                    </w:rPr>
                  </w:pPr>
                  <w:r>
                    <w:rPr>
                      <w:rFonts w:hint="eastAsia" w:ascii="宋体" w:hAnsi="宋体"/>
                      <w:color w:val="auto"/>
                      <w:sz w:val="21"/>
                      <w:szCs w:val="21"/>
                    </w:rPr>
                    <w:t>符合</w:t>
                  </w:r>
                </w:p>
              </w:tc>
            </w:tr>
            <w:tr w14:paraId="1CD63D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6" w:hRule="atLeast"/>
                <w:jc w:val="center"/>
              </w:trPr>
              <w:tc>
                <w:tcPr>
                  <w:tcW w:w="3128" w:type="dxa"/>
                  <w:tcBorders>
                    <w:top w:val="single" w:color="auto" w:sz="4" w:space="0"/>
                    <w:left w:val="single" w:color="auto" w:sz="4" w:space="0"/>
                    <w:bottom w:val="single" w:color="auto" w:sz="4" w:space="0"/>
                    <w:right w:val="single" w:color="auto" w:sz="4" w:space="0"/>
                  </w:tcBorders>
                  <w:vAlign w:val="center"/>
                </w:tcPr>
                <w:p w14:paraId="41BB922D">
                  <w:pPr>
                    <w:jc w:val="center"/>
                    <w:rPr>
                      <w:rFonts w:ascii="宋体" w:hAnsi="宋体"/>
                      <w:color w:val="auto"/>
                      <w:sz w:val="21"/>
                      <w:szCs w:val="21"/>
                    </w:rPr>
                  </w:pPr>
                  <w:r>
                    <w:rPr>
                      <w:rFonts w:hint="eastAsia" w:ascii="宋体" w:hAnsi="宋体"/>
                      <w:color w:val="auto"/>
                      <w:sz w:val="21"/>
                      <w:szCs w:val="21"/>
                    </w:rPr>
                    <w:t>磷矿开采加工、磷肥和含磷农药制造等企业，应当按照排污许可要求，采取有效措施控制总磷排放浓度和排放总量；</w:t>
                  </w:r>
                </w:p>
              </w:tc>
              <w:tc>
                <w:tcPr>
                  <w:tcW w:w="3354" w:type="dxa"/>
                  <w:tcBorders>
                    <w:top w:val="single" w:color="auto" w:sz="4" w:space="0"/>
                    <w:left w:val="single" w:color="auto" w:sz="4" w:space="0"/>
                    <w:bottom w:val="single" w:color="auto" w:sz="4" w:space="0"/>
                    <w:right w:val="single" w:color="auto" w:sz="4" w:space="0"/>
                  </w:tcBorders>
                  <w:vAlign w:val="center"/>
                </w:tcPr>
                <w:p w14:paraId="03021B29">
                  <w:pPr>
                    <w:jc w:val="center"/>
                    <w:rPr>
                      <w:rFonts w:ascii="宋体" w:hAnsi="宋体"/>
                      <w:color w:val="auto"/>
                      <w:sz w:val="21"/>
                      <w:szCs w:val="21"/>
                    </w:rPr>
                  </w:pPr>
                  <w:r>
                    <w:rPr>
                      <w:rFonts w:hint="eastAsia" w:ascii="宋体" w:hAnsi="宋体"/>
                      <w:color w:val="auto"/>
                      <w:sz w:val="21"/>
                      <w:szCs w:val="21"/>
                    </w:rPr>
                    <w:t>本项目</w:t>
                  </w:r>
                  <w:r>
                    <w:rPr>
                      <w:rFonts w:ascii="宋体" w:hAnsi="宋体"/>
                      <w:color w:val="auto"/>
                      <w:sz w:val="21"/>
                      <w:szCs w:val="21"/>
                    </w:rPr>
                    <w:t>不涉及</w:t>
                  </w:r>
                  <w:r>
                    <w:rPr>
                      <w:rFonts w:hint="eastAsia" w:ascii="宋体" w:hAnsi="宋体"/>
                      <w:color w:val="auto"/>
                      <w:sz w:val="21"/>
                      <w:szCs w:val="21"/>
                    </w:rPr>
                    <w:t>磷矿开采加工、磷肥和含磷农药制造。</w:t>
                  </w:r>
                </w:p>
              </w:tc>
              <w:tc>
                <w:tcPr>
                  <w:tcW w:w="797" w:type="dxa"/>
                  <w:tcBorders>
                    <w:top w:val="single" w:color="auto" w:sz="4" w:space="0"/>
                    <w:left w:val="single" w:color="auto" w:sz="4" w:space="0"/>
                    <w:bottom w:val="single" w:color="auto" w:sz="4" w:space="0"/>
                    <w:right w:val="single" w:color="auto" w:sz="4" w:space="0"/>
                  </w:tcBorders>
                  <w:vAlign w:val="center"/>
                </w:tcPr>
                <w:p w14:paraId="022B95EC">
                  <w:pPr>
                    <w:jc w:val="center"/>
                    <w:rPr>
                      <w:rFonts w:ascii="宋体" w:hAnsi="宋体"/>
                      <w:color w:val="auto"/>
                      <w:sz w:val="21"/>
                      <w:szCs w:val="21"/>
                    </w:rPr>
                  </w:pPr>
                  <w:r>
                    <w:rPr>
                      <w:rFonts w:hint="eastAsia" w:ascii="宋体" w:hAnsi="宋体"/>
                      <w:color w:val="auto"/>
                      <w:sz w:val="21"/>
                      <w:szCs w:val="21"/>
                    </w:rPr>
                    <w:t>符合</w:t>
                  </w:r>
                </w:p>
              </w:tc>
            </w:tr>
          </w:tbl>
          <w:p w14:paraId="638F465E">
            <w:pPr>
              <w:pStyle w:val="102"/>
              <w:spacing w:before="2" w:line="364" w:lineRule="auto"/>
              <w:ind w:left="107" w:right="96" w:firstLine="600" w:firstLineChars="250"/>
              <w:jc w:val="both"/>
              <w:rPr>
                <w:color w:val="auto"/>
                <w:sz w:val="24"/>
                <w:szCs w:val="24"/>
                <w:lang w:eastAsia="zh-CN"/>
              </w:rPr>
            </w:pPr>
            <w:r>
              <w:rPr>
                <w:rFonts w:hint="eastAsia"/>
                <w:color w:val="auto"/>
                <w:sz w:val="24"/>
                <w:szCs w:val="24"/>
                <w:lang w:eastAsia="zh-CN"/>
              </w:rPr>
              <w:t>综上</w:t>
            </w:r>
            <w:r>
              <w:rPr>
                <w:color w:val="auto"/>
                <w:sz w:val="24"/>
                <w:szCs w:val="24"/>
                <w:lang w:eastAsia="zh-CN"/>
              </w:rPr>
              <w:t>，项目符合</w:t>
            </w:r>
            <w:r>
              <w:rPr>
                <w:rFonts w:ascii="Times New Roman" w:hAnsi="Times New Roman"/>
                <w:color w:val="auto"/>
                <w:kern w:val="2"/>
                <w:sz w:val="24"/>
                <w:szCs w:val="24"/>
                <w:lang w:eastAsia="zh-CN"/>
              </w:rPr>
              <w:t>《</w:t>
            </w:r>
            <w:r>
              <w:rPr>
                <w:rFonts w:hint="eastAsia"/>
                <w:color w:val="auto"/>
                <w:sz w:val="24"/>
                <w:szCs w:val="24"/>
                <w:lang w:eastAsia="zh-CN"/>
              </w:rPr>
              <w:t>中华人民共和国长江保护法</w:t>
            </w:r>
            <w:r>
              <w:rPr>
                <w:rFonts w:ascii="Times New Roman" w:hAnsi="Times New Roman"/>
                <w:color w:val="auto"/>
                <w:kern w:val="2"/>
                <w:sz w:val="24"/>
                <w:szCs w:val="24"/>
                <w:lang w:eastAsia="zh-CN"/>
              </w:rPr>
              <w:t>》</w:t>
            </w:r>
            <w:r>
              <w:rPr>
                <w:color w:val="auto"/>
                <w:sz w:val="24"/>
                <w:szCs w:val="24"/>
                <w:lang w:eastAsia="zh-CN"/>
              </w:rPr>
              <w:t>要求。</w:t>
            </w:r>
          </w:p>
          <w:p w14:paraId="3B74492C">
            <w:pPr>
              <w:spacing w:line="360" w:lineRule="auto"/>
              <w:ind w:firstLine="482" w:firstLineChars="200"/>
              <w:jc w:val="left"/>
              <w:rPr>
                <w:b/>
                <w:bCs/>
                <w:color w:val="auto"/>
                <w:sz w:val="24"/>
              </w:rPr>
            </w:pPr>
            <w:r>
              <w:rPr>
                <w:rFonts w:hint="eastAsia"/>
                <w:b/>
                <w:bCs/>
                <w:color w:val="auto"/>
                <w:sz w:val="24"/>
                <w:lang w:val="en-US" w:eastAsia="zh-CN"/>
              </w:rPr>
              <w:t>10</w:t>
            </w:r>
            <w:r>
              <w:rPr>
                <w:rFonts w:hint="eastAsia"/>
                <w:b/>
                <w:bCs/>
                <w:color w:val="auto"/>
                <w:sz w:val="24"/>
              </w:rPr>
              <w:t>、与《昆明市大气污染防治条例》相符性分析</w:t>
            </w:r>
          </w:p>
          <w:p w14:paraId="02E89432">
            <w:pPr>
              <w:spacing w:line="360" w:lineRule="auto"/>
              <w:ind w:firstLine="480" w:firstLineChars="200"/>
              <w:jc w:val="left"/>
              <w:rPr>
                <w:color w:val="auto"/>
              </w:rPr>
            </w:pPr>
            <w:r>
              <w:rPr>
                <w:rFonts w:hint="eastAsia"/>
                <w:color w:val="auto"/>
                <w:sz w:val="24"/>
              </w:rPr>
              <w:t>项目与</w:t>
            </w:r>
            <w:r>
              <w:rPr>
                <w:rFonts w:hint="eastAsia" w:ascii="宋体" w:hAnsi="宋体" w:cs="宋体"/>
                <w:color w:val="auto"/>
                <w:sz w:val="24"/>
                <w:lang w:bidi="ar"/>
              </w:rPr>
              <w:t>《</w:t>
            </w:r>
            <w:r>
              <w:rPr>
                <w:rFonts w:hint="eastAsia"/>
                <w:color w:val="auto"/>
                <w:sz w:val="24"/>
              </w:rPr>
              <w:t>昆明市</w:t>
            </w:r>
            <w:r>
              <w:rPr>
                <w:rFonts w:hint="eastAsia" w:ascii="宋体" w:hAnsi="宋体" w:cs="宋体"/>
                <w:color w:val="auto"/>
                <w:sz w:val="24"/>
                <w:lang w:bidi="ar"/>
              </w:rPr>
              <w:t>大气污染防治条例》相符性分析</w:t>
            </w:r>
            <w:r>
              <w:rPr>
                <w:color w:val="auto"/>
                <w:sz w:val="24"/>
                <w:lang w:bidi="ar"/>
              </w:rPr>
              <w:t>见表1-</w:t>
            </w:r>
            <w:r>
              <w:rPr>
                <w:rFonts w:hint="eastAsia"/>
                <w:color w:val="auto"/>
                <w:sz w:val="24"/>
                <w:lang w:bidi="ar"/>
              </w:rPr>
              <w:t>9</w:t>
            </w:r>
            <w:r>
              <w:rPr>
                <w:color w:val="auto"/>
                <w:sz w:val="24"/>
                <w:lang w:bidi="ar"/>
              </w:rPr>
              <w:t>。</w:t>
            </w:r>
          </w:p>
          <w:p w14:paraId="48A5F335">
            <w:pPr>
              <w:jc w:val="center"/>
              <w:rPr>
                <w:rFonts w:ascii="宋体" w:hAnsi="宋体" w:cs="宋体"/>
                <w:b/>
                <w:bCs/>
                <w:color w:val="auto"/>
                <w:sz w:val="24"/>
                <w:lang w:bidi="ar"/>
              </w:rPr>
            </w:pPr>
            <w:r>
              <w:rPr>
                <w:rFonts w:hint="eastAsia"/>
                <w:b/>
                <w:bCs/>
                <w:color w:val="auto"/>
                <w:sz w:val="24"/>
              </w:rPr>
              <w:t>表1-</w:t>
            </w:r>
            <w:r>
              <w:rPr>
                <w:rFonts w:hint="eastAsia"/>
                <w:b/>
                <w:bCs/>
                <w:color w:val="auto"/>
                <w:sz w:val="24"/>
                <w:lang w:val="en-US" w:eastAsia="zh-CN"/>
              </w:rPr>
              <w:t>10</w:t>
            </w:r>
            <w:r>
              <w:rPr>
                <w:rFonts w:hint="eastAsia"/>
                <w:b/>
                <w:bCs/>
                <w:color w:val="auto"/>
                <w:sz w:val="24"/>
              </w:rPr>
              <w:t xml:space="preserve">  项目与</w:t>
            </w:r>
            <w:r>
              <w:rPr>
                <w:rFonts w:hint="eastAsia" w:ascii="宋体" w:hAnsi="宋体" w:cs="宋体"/>
                <w:b/>
                <w:bCs/>
                <w:color w:val="auto"/>
                <w:sz w:val="24"/>
                <w:lang w:bidi="ar"/>
              </w:rPr>
              <w:t>《</w:t>
            </w:r>
            <w:r>
              <w:rPr>
                <w:rFonts w:hint="eastAsia"/>
                <w:b/>
                <w:bCs/>
                <w:color w:val="auto"/>
                <w:sz w:val="24"/>
              </w:rPr>
              <w:t>昆明市</w:t>
            </w:r>
            <w:r>
              <w:rPr>
                <w:rFonts w:hint="eastAsia" w:ascii="宋体" w:hAnsi="宋体" w:cs="宋体"/>
                <w:b/>
                <w:bCs/>
                <w:color w:val="auto"/>
                <w:sz w:val="24"/>
                <w:lang w:bidi="ar"/>
              </w:rPr>
              <w:t>大气污染防治条例》符合性分析</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3325"/>
              <w:gridCol w:w="2587"/>
              <w:gridCol w:w="834"/>
            </w:tblGrid>
            <w:tr w14:paraId="4A6BD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 w:type="pct"/>
                  <w:vAlign w:val="center"/>
                </w:tcPr>
                <w:p w14:paraId="06745904">
                  <w:pPr>
                    <w:jc w:val="center"/>
                    <w:rPr>
                      <w:b/>
                      <w:bCs/>
                      <w:color w:val="auto"/>
                      <w:sz w:val="21"/>
                      <w:szCs w:val="21"/>
                    </w:rPr>
                  </w:pPr>
                  <w:r>
                    <w:rPr>
                      <w:b/>
                      <w:bCs/>
                      <w:color w:val="auto"/>
                      <w:sz w:val="21"/>
                      <w:szCs w:val="21"/>
                    </w:rPr>
                    <w:t>序号</w:t>
                  </w:r>
                </w:p>
              </w:tc>
              <w:tc>
                <w:tcPr>
                  <w:tcW w:w="2316" w:type="pct"/>
                  <w:vAlign w:val="center"/>
                </w:tcPr>
                <w:p w14:paraId="1995D7A0">
                  <w:pPr>
                    <w:jc w:val="center"/>
                    <w:rPr>
                      <w:b/>
                      <w:bCs/>
                      <w:color w:val="auto"/>
                      <w:sz w:val="21"/>
                      <w:szCs w:val="21"/>
                    </w:rPr>
                  </w:pPr>
                  <w:r>
                    <w:rPr>
                      <w:rFonts w:hint="eastAsia"/>
                      <w:b/>
                      <w:bCs/>
                      <w:color w:val="auto"/>
                      <w:sz w:val="21"/>
                      <w:szCs w:val="21"/>
                    </w:rPr>
                    <w:t>《昆明市大气污染防治条例》</w:t>
                  </w:r>
                </w:p>
              </w:tc>
              <w:tc>
                <w:tcPr>
                  <w:tcW w:w="1802" w:type="pct"/>
                  <w:vAlign w:val="center"/>
                </w:tcPr>
                <w:p w14:paraId="70FEC9E4">
                  <w:pPr>
                    <w:jc w:val="center"/>
                    <w:rPr>
                      <w:b/>
                      <w:bCs/>
                      <w:color w:val="auto"/>
                      <w:sz w:val="21"/>
                      <w:szCs w:val="21"/>
                    </w:rPr>
                  </w:pPr>
                  <w:r>
                    <w:rPr>
                      <w:b/>
                      <w:bCs/>
                      <w:color w:val="auto"/>
                      <w:sz w:val="21"/>
                      <w:szCs w:val="21"/>
                    </w:rPr>
                    <w:t>本项目实际情况</w:t>
                  </w:r>
                </w:p>
              </w:tc>
              <w:tc>
                <w:tcPr>
                  <w:tcW w:w="582" w:type="pct"/>
                  <w:vAlign w:val="center"/>
                </w:tcPr>
                <w:p w14:paraId="188CDDCF">
                  <w:pPr>
                    <w:jc w:val="center"/>
                    <w:rPr>
                      <w:b/>
                      <w:bCs/>
                      <w:color w:val="auto"/>
                      <w:sz w:val="21"/>
                      <w:szCs w:val="21"/>
                    </w:rPr>
                  </w:pPr>
                  <w:r>
                    <w:rPr>
                      <w:b/>
                      <w:bCs/>
                      <w:color w:val="auto"/>
                      <w:sz w:val="21"/>
                      <w:szCs w:val="21"/>
                    </w:rPr>
                    <w:t>符合性</w:t>
                  </w:r>
                </w:p>
              </w:tc>
            </w:tr>
            <w:tr w14:paraId="33C29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 w:type="pct"/>
                  <w:vAlign w:val="center"/>
                </w:tcPr>
                <w:p w14:paraId="11955A6E">
                  <w:pPr>
                    <w:jc w:val="center"/>
                    <w:rPr>
                      <w:color w:val="auto"/>
                      <w:sz w:val="21"/>
                      <w:szCs w:val="21"/>
                    </w:rPr>
                  </w:pPr>
                  <w:r>
                    <w:rPr>
                      <w:color w:val="auto"/>
                      <w:sz w:val="21"/>
                      <w:szCs w:val="21"/>
                    </w:rPr>
                    <w:t>1</w:t>
                  </w:r>
                </w:p>
              </w:tc>
              <w:tc>
                <w:tcPr>
                  <w:tcW w:w="2316" w:type="pct"/>
                  <w:vAlign w:val="center"/>
                </w:tcPr>
                <w:p w14:paraId="4C9FCDDB">
                  <w:pPr>
                    <w:jc w:val="center"/>
                    <w:rPr>
                      <w:color w:val="auto"/>
                      <w:sz w:val="21"/>
                      <w:szCs w:val="21"/>
                    </w:rPr>
                  </w:pPr>
                  <w:r>
                    <w:rPr>
                      <w:rFonts w:hint="eastAsia"/>
                      <w:color w:val="auto"/>
                      <w:sz w:val="21"/>
                      <w:szCs w:val="21"/>
                    </w:rPr>
                    <w:t>禁止排放超过排放标准或者超过重点大气污染物排放总量控制指标的大气污染物。排放大气污染物的企业事业单位和其他生产经营者应当加强精细化管理，严格按照有关规定，配套建设、使用和维护大气污染防治装备。大气排放污染物的企业事业单位和其他生产经营者，应当按照有关规定设置大气污染物排放口。禁止通过偷排、篡改或者伪造监测数据、以逃避现场检查为目的的临时停产、非紧急情况下开启应急排放通道、擅自拆除或者不正常运行大气污染防治设施等逃避监管的方式排放大气污染物。</w:t>
                  </w:r>
                </w:p>
              </w:tc>
              <w:tc>
                <w:tcPr>
                  <w:tcW w:w="1802" w:type="pct"/>
                  <w:vAlign w:val="center"/>
                </w:tcPr>
                <w:p w14:paraId="3DE58917">
                  <w:pPr>
                    <w:jc w:val="center"/>
                    <w:rPr>
                      <w:color w:val="auto"/>
                      <w:sz w:val="21"/>
                      <w:szCs w:val="21"/>
                    </w:rPr>
                  </w:pPr>
                  <w:r>
                    <w:rPr>
                      <w:color w:val="auto"/>
                      <w:sz w:val="21"/>
                      <w:szCs w:val="21"/>
                    </w:rPr>
                    <w:t>本项目不涉及排放超过排放标准或者超过重点大气污染物排放总量控制指标的大气污染物；</w:t>
                  </w:r>
                  <w:r>
                    <w:rPr>
                      <w:color w:val="auto"/>
                      <w:sz w:val="21"/>
                      <w:szCs w:val="21"/>
                      <w:highlight w:val="none"/>
                    </w:rPr>
                    <w:t>本</w:t>
                  </w:r>
                  <w:r>
                    <w:rPr>
                      <w:rFonts w:hint="eastAsia"/>
                      <w:color w:val="auto"/>
                      <w:sz w:val="21"/>
                      <w:szCs w:val="21"/>
                      <w:highlight w:val="none"/>
                      <w:lang w:val="en-US" w:eastAsia="zh-CN"/>
                    </w:rPr>
                    <w:t>项目</w:t>
                  </w:r>
                  <w:r>
                    <w:rPr>
                      <w:color w:val="auto"/>
                      <w:sz w:val="21"/>
                      <w:szCs w:val="21"/>
                      <w:highlight w:val="none"/>
                    </w:rPr>
                    <w:t>采取</w:t>
                  </w:r>
                  <w:r>
                    <w:rPr>
                      <w:rFonts w:hint="eastAsia"/>
                      <w:color w:val="auto"/>
                      <w:sz w:val="21"/>
                      <w:szCs w:val="21"/>
                      <w:highlight w:val="none"/>
                    </w:rPr>
                    <w:t>所有</w:t>
                  </w:r>
                  <w:r>
                    <w:rPr>
                      <w:rFonts w:hint="eastAsia"/>
                      <w:bCs/>
                      <w:color w:val="auto"/>
                      <w:sz w:val="21"/>
                      <w:szCs w:val="21"/>
                      <w:highlight w:val="none"/>
                    </w:rPr>
                    <w:t>厂房</w:t>
                  </w:r>
                  <w:r>
                    <w:rPr>
                      <w:rFonts w:hint="eastAsia"/>
                      <w:color w:val="auto"/>
                      <w:sz w:val="21"/>
                      <w:szCs w:val="21"/>
                      <w:highlight w:val="none"/>
                    </w:rPr>
                    <w:t>三面封闭</w:t>
                  </w:r>
                  <w:r>
                    <w:rPr>
                      <w:rFonts w:hint="eastAsia"/>
                      <w:bCs/>
                      <w:color w:val="auto"/>
                      <w:sz w:val="21"/>
                      <w:szCs w:val="21"/>
                      <w:highlight w:val="none"/>
                    </w:rPr>
                    <w:t>，仅在厂房一侧留有出入口，</w:t>
                  </w:r>
                  <w:r>
                    <w:rPr>
                      <w:rFonts w:hint="eastAsia" w:ascii="Times New Roman" w:hAnsi="Times New Roman" w:cs="Times New Roman"/>
                      <w:color w:val="auto"/>
                      <w:sz w:val="21"/>
                      <w:szCs w:val="21"/>
                      <w:lang w:val="en-US" w:eastAsia="zh-CN"/>
                    </w:rPr>
                    <w:t>物料编织覆盖，</w:t>
                  </w:r>
                  <w:r>
                    <w:rPr>
                      <w:rFonts w:hint="eastAsia"/>
                      <w:bCs/>
                      <w:color w:val="auto"/>
                      <w:sz w:val="21"/>
                      <w:szCs w:val="21"/>
                      <w:highlight w:val="none"/>
                    </w:rPr>
                    <w:t>且</w:t>
                  </w:r>
                  <w:r>
                    <w:rPr>
                      <w:rFonts w:hint="eastAsia"/>
                      <w:color w:val="auto"/>
                      <w:sz w:val="21"/>
                      <w:szCs w:val="21"/>
                      <w:highlight w:val="none"/>
                    </w:rPr>
                    <w:t>整套双轴搅拌机设备机身为封闭式，下料口连接皮带输送系统；所有皮带运输、计量系统设备采用彩钢瓦全封闭；</w:t>
                  </w:r>
                  <w:r>
                    <w:rPr>
                      <w:color w:val="auto"/>
                      <w:sz w:val="21"/>
                      <w:szCs w:val="21"/>
                      <w:highlight w:val="none"/>
                    </w:rPr>
                    <w:t>运输道路洒水降尘等措施控制项目区无组织粉尘</w:t>
                  </w:r>
                  <w:r>
                    <w:rPr>
                      <w:rFonts w:hint="eastAsia"/>
                      <w:color w:val="auto"/>
                      <w:sz w:val="21"/>
                      <w:szCs w:val="21"/>
                      <w:highlight w:val="none"/>
                    </w:rPr>
                    <w:t>。</w:t>
                  </w:r>
                  <w:r>
                    <w:rPr>
                      <w:rFonts w:hint="eastAsia"/>
                      <w:color w:val="auto"/>
                      <w:sz w:val="21"/>
                      <w:szCs w:val="21"/>
                      <w:highlight w:val="none"/>
                      <w:lang w:val="en-US" w:eastAsia="zh-CN"/>
                    </w:rPr>
                    <w:t>电石渣筛分</w:t>
                  </w:r>
                  <w:r>
                    <w:rPr>
                      <w:rFonts w:hint="eastAsia"/>
                      <w:color w:val="auto"/>
                      <w:sz w:val="21"/>
                      <w:szCs w:val="21"/>
                      <w:highlight w:val="none"/>
                    </w:rPr>
                    <w:t>产生的粉尘经集气罩收集后同</w:t>
                  </w:r>
                  <w:r>
                    <w:rPr>
                      <w:rFonts w:hint="eastAsia"/>
                      <w:color w:val="auto"/>
                      <w:sz w:val="21"/>
                      <w:szCs w:val="21"/>
                      <w:highlight w:val="none"/>
                      <w:lang w:val="en-US" w:eastAsia="zh-CN"/>
                    </w:rPr>
                    <w:t>经仓顶除尘器处理后的</w:t>
                  </w:r>
                  <w:r>
                    <w:rPr>
                      <w:rFonts w:hint="eastAsia"/>
                      <w:color w:val="auto"/>
                      <w:sz w:val="21"/>
                      <w:szCs w:val="21"/>
                      <w:highlight w:val="none"/>
                    </w:rPr>
                    <w:t>生石灰筒仓进料产生的粉尘进</w:t>
                  </w:r>
                  <w:r>
                    <w:rPr>
                      <w:rFonts w:hint="eastAsia"/>
                      <w:bCs/>
                      <w:color w:val="auto"/>
                      <w:sz w:val="21"/>
                      <w:szCs w:val="21"/>
                      <w:highlight w:val="none"/>
                    </w:rPr>
                    <w:t>入一套布袋除尘器处理后，经1个排气筒DA0</w:t>
                  </w:r>
                  <w:r>
                    <w:rPr>
                      <w:rFonts w:hint="eastAsia"/>
                      <w:bCs/>
                      <w:color w:val="auto"/>
                      <w:sz w:val="21"/>
                      <w:szCs w:val="21"/>
                      <w:highlight w:val="none"/>
                      <w:lang w:val="en-US" w:eastAsia="zh-CN"/>
                    </w:rPr>
                    <w:t>08</w:t>
                  </w:r>
                  <w:r>
                    <w:rPr>
                      <w:rFonts w:hint="eastAsia"/>
                      <w:bCs/>
                      <w:color w:val="auto"/>
                      <w:sz w:val="21"/>
                      <w:szCs w:val="21"/>
                      <w:highlight w:val="none"/>
                    </w:rPr>
                    <w:t>（</w:t>
                  </w:r>
                  <w:r>
                    <w:rPr>
                      <w:rFonts w:hint="eastAsia"/>
                      <w:color w:val="auto"/>
                      <w:sz w:val="21"/>
                      <w:szCs w:val="21"/>
                      <w:highlight w:val="none"/>
                    </w:rPr>
                    <w:t>φ0.5m×15m</w:t>
                  </w:r>
                  <w:r>
                    <w:rPr>
                      <w:rFonts w:hint="eastAsia"/>
                      <w:bCs/>
                      <w:color w:val="auto"/>
                      <w:sz w:val="21"/>
                      <w:szCs w:val="21"/>
                      <w:highlight w:val="none"/>
                    </w:rPr>
                    <w:t>）有组织排放。</w:t>
                  </w:r>
                  <w:r>
                    <w:rPr>
                      <w:color w:val="auto"/>
                      <w:sz w:val="21"/>
                      <w:szCs w:val="21"/>
                    </w:rPr>
                    <w:t>本项目废气均设置合理的处置措施处理达标后排</w:t>
                  </w:r>
                  <w:r>
                    <w:rPr>
                      <w:rFonts w:hint="eastAsia"/>
                      <w:color w:val="auto"/>
                      <w:sz w:val="21"/>
                      <w:szCs w:val="21"/>
                    </w:rPr>
                    <w:t>放，不存在偷排。</w:t>
                  </w:r>
                </w:p>
              </w:tc>
              <w:tc>
                <w:tcPr>
                  <w:tcW w:w="582" w:type="pct"/>
                  <w:vAlign w:val="center"/>
                </w:tcPr>
                <w:p w14:paraId="4C611D6D">
                  <w:pPr>
                    <w:jc w:val="center"/>
                    <w:rPr>
                      <w:color w:val="auto"/>
                      <w:sz w:val="21"/>
                      <w:szCs w:val="21"/>
                    </w:rPr>
                  </w:pPr>
                  <w:r>
                    <w:rPr>
                      <w:rFonts w:hint="eastAsia"/>
                      <w:color w:val="auto"/>
                      <w:sz w:val="21"/>
                      <w:szCs w:val="21"/>
                    </w:rPr>
                    <w:t>符合</w:t>
                  </w:r>
                </w:p>
              </w:tc>
            </w:tr>
            <w:tr w14:paraId="5A9B0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 w:type="pct"/>
                  <w:vAlign w:val="center"/>
                </w:tcPr>
                <w:p w14:paraId="137F154B">
                  <w:pPr>
                    <w:jc w:val="center"/>
                    <w:rPr>
                      <w:color w:val="auto"/>
                      <w:sz w:val="21"/>
                      <w:szCs w:val="21"/>
                    </w:rPr>
                  </w:pPr>
                  <w:r>
                    <w:rPr>
                      <w:rFonts w:hint="eastAsia"/>
                      <w:color w:val="auto"/>
                      <w:sz w:val="21"/>
                      <w:szCs w:val="21"/>
                    </w:rPr>
                    <w:t>2</w:t>
                  </w:r>
                </w:p>
              </w:tc>
              <w:tc>
                <w:tcPr>
                  <w:tcW w:w="2316" w:type="pct"/>
                  <w:vAlign w:val="center"/>
                </w:tcPr>
                <w:p w14:paraId="1F39D958">
                  <w:pPr>
                    <w:jc w:val="center"/>
                    <w:rPr>
                      <w:color w:val="auto"/>
                      <w:sz w:val="21"/>
                      <w:szCs w:val="21"/>
                    </w:rPr>
                  </w:pPr>
                  <w:r>
                    <w:rPr>
                      <w:rFonts w:hint="eastAsia"/>
                      <w:color w:val="auto"/>
                      <w:sz w:val="21"/>
                      <w:szCs w:val="21"/>
                    </w:rPr>
                    <w:t xml:space="preserve">运输煤炭、垃圾、渣土、砂石、土方、灰浆等散装、流体物料的车辆应当采取密闭或者其他措施防止物料遗撒造成扬尘污染，并按照规定的路线和时间行驶。  </w:t>
                  </w:r>
                </w:p>
              </w:tc>
              <w:tc>
                <w:tcPr>
                  <w:tcW w:w="1802" w:type="pct"/>
                  <w:vAlign w:val="center"/>
                </w:tcPr>
                <w:p w14:paraId="454DEFDF">
                  <w:pPr>
                    <w:widowControl/>
                    <w:jc w:val="left"/>
                    <w:rPr>
                      <w:color w:val="auto"/>
                      <w:sz w:val="21"/>
                      <w:szCs w:val="21"/>
                    </w:rPr>
                  </w:pPr>
                  <w:r>
                    <w:rPr>
                      <w:color w:val="auto"/>
                      <w:sz w:val="21"/>
                      <w:szCs w:val="21"/>
                    </w:rPr>
                    <w:t>本项目运输物料的车辆均覆盖运输，</w:t>
                  </w:r>
                  <w:r>
                    <w:rPr>
                      <w:rFonts w:hint="eastAsia"/>
                      <w:color w:val="auto"/>
                      <w:sz w:val="21"/>
                      <w:szCs w:val="21"/>
                    </w:rPr>
                    <w:t>并按照规定的路线和时间行驶。</w:t>
                  </w:r>
                </w:p>
              </w:tc>
              <w:tc>
                <w:tcPr>
                  <w:tcW w:w="582" w:type="pct"/>
                  <w:vAlign w:val="center"/>
                </w:tcPr>
                <w:p w14:paraId="7B5C452F">
                  <w:pPr>
                    <w:jc w:val="center"/>
                    <w:rPr>
                      <w:color w:val="auto"/>
                      <w:sz w:val="21"/>
                      <w:szCs w:val="21"/>
                    </w:rPr>
                  </w:pPr>
                  <w:r>
                    <w:rPr>
                      <w:rFonts w:hint="eastAsia"/>
                      <w:color w:val="auto"/>
                      <w:sz w:val="21"/>
                      <w:szCs w:val="21"/>
                    </w:rPr>
                    <w:t>符合</w:t>
                  </w:r>
                </w:p>
              </w:tc>
            </w:tr>
            <w:tr w14:paraId="01C11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 w:type="pct"/>
                  <w:vAlign w:val="center"/>
                </w:tcPr>
                <w:p w14:paraId="674F09F5">
                  <w:pPr>
                    <w:jc w:val="center"/>
                    <w:rPr>
                      <w:color w:val="auto"/>
                      <w:sz w:val="21"/>
                      <w:szCs w:val="21"/>
                    </w:rPr>
                  </w:pPr>
                  <w:r>
                    <w:rPr>
                      <w:rFonts w:hint="eastAsia"/>
                      <w:color w:val="auto"/>
                      <w:sz w:val="21"/>
                      <w:szCs w:val="21"/>
                    </w:rPr>
                    <w:t>3</w:t>
                  </w:r>
                </w:p>
              </w:tc>
              <w:tc>
                <w:tcPr>
                  <w:tcW w:w="2316" w:type="pct"/>
                  <w:vAlign w:val="center"/>
                </w:tcPr>
                <w:p w14:paraId="60702B61">
                  <w:pPr>
                    <w:jc w:val="center"/>
                    <w:rPr>
                      <w:color w:val="auto"/>
                      <w:sz w:val="21"/>
                      <w:szCs w:val="21"/>
                    </w:rPr>
                  </w:pPr>
                  <w:r>
                    <w:rPr>
                      <w:rFonts w:hint="eastAsia"/>
                      <w:color w:val="auto"/>
                      <w:sz w:val="21"/>
                      <w:szCs w:val="21"/>
                    </w:rPr>
                    <w:t>矿产资源开采、露天物料堆场等应当采用防风抑尘工艺、技术和设备，采取有效措施防治扬尘污染。</w:t>
                  </w:r>
                </w:p>
              </w:tc>
              <w:tc>
                <w:tcPr>
                  <w:tcW w:w="1802" w:type="pct"/>
                  <w:vAlign w:val="center"/>
                </w:tcPr>
                <w:p w14:paraId="66184690">
                  <w:pPr>
                    <w:jc w:val="center"/>
                    <w:rPr>
                      <w:color w:val="auto"/>
                      <w:sz w:val="21"/>
                      <w:szCs w:val="21"/>
                    </w:rPr>
                  </w:pPr>
                  <w:r>
                    <w:rPr>
                      <w:color w:val="auto"/>
                      <w:sz w:val="21"/>
                      <w:szCs w:val="21"/>
                    </w:rPr>
                    <w:t>本项目</w:t>
                  </w:r>
                  <w:r>
                    <w:rPr>
                      <w:rFonts w:hint="eastAsia"/>
                      <w:color w:val="auto"/>
                      <w:sz w:val="21"/>
                      <w:szCs w:val="21"/>
                    </w:rPr>
                    <w:t>的</w:t>
                  </w:r>
                  <w:r>
                    <w:rPr>
                      <w:color w:val="auto"/>
                      <w:sz w:val="21"/>
                      <w:szCs w:val="21"/>
                    </w:rPr>
                    <w:t>物料堆场均在厂房内，且厂房三面密闭，仅保留一个出入口，不是露天堆场。</w:t>
                  </w:r>
                </w:p>
              </w:tc>
              <w:tc>
                <w:tcPr>
                  <w:tcW w:w="582" w:type="pct"/>
                  <w:vAlign w:val="center"/>
                </w:tcPr>
                <w:p w14:paraId="524668E8">
                  <w:pPr>
                    <w:jc w:val="center"/>
                    <w:rPr>
                      <w:color w:val="auto"/>
                      <w:sz w:val="21"/>
                      <w:szCs w:val="21"/>
                    </w:rPr>
                  </w:pPr>
                  <w:r>
                    <w:rPr>
                      <w:rFonts w:hint="eastAsia"/>
                      <w:color w:val="auto"/>
                      <w:sz w:val="21"/>
                      <w:szCs w:val="21"/>
                    </w:rPr>
                    <w:t>符合</w:t>
                  </w:r>
                </w:p>
              </w:tc>
            </w:tr>
          </w:tbl>
          <w:p w14:paraId="75000570">
            <w:pPr>
              <w:spacing w:line="360" w:lineRule="auto"/>
              <w:ind w:firstLine="480" w:firstLineChars="200"/>
              <w:jc w:val="left"/>
              <w:rPr>
                <w:color w:val="auto"/>
                <w:sz w:val="24"/>
              </w:rPr>
            </w:pPr>
            <w:r>
              <w:rPr>
                <w:rFonts w:hint="eastAsia"/>
                <w:color w:val="auto"/>
                <w:sz w:val="24"/>
              </w:rPr>
              <w:t>综上所述，项目符合</w:t>
            </w:r>
            <w:r>
              <w:rPr>
                <w:rFonts w:hint="eastAsia" w:ascii="宋体" w:hAnsi="宋体" w:cs="宋体"/>
                <w:color w:val="auto"/>
                <w:sz w:val="24"/>
                <w:lang w:bidi="ar"/>
              </w:rPr>
              <w:t>《</w:t>
            </w:r>
            <w:r>
              <w:rPr>
                <w:rFonts w:hint="eastAsia"/>
                <w:color w:val="auto"/>
                <w:sz w:val="24"/>
              </w:rPr>
              <w:t>昆明市</w:t>
            </w:r>
            <w:r>
              <w:rPr>
                <w:rFonts w:hint="eastAsia" w:ascii="宋体" w:hAnsi="宋体" w:cs="宋体"/>
                <w:color w:val="auto"/>
                <w:sz w:val="24"/>
                <w:lang w:bidi="ar"/>
              </w:rPr>
              <w:t>大气污染防治条例》中的相关要求。</w:t>
            </w:r>
          </w:p>
          <w:p w14:paraId="05A313A0">
            <w:pPr>
              <w:spacing w:line="360" w:lineRule="auto"/>
              <w:ind w:firstLine="482" w:firstLineChars="200"/>
              <w:jc w:val="left"/>
              <w:rPr>
                <w:b/>
                <w:bCs/>
                <w:color w:val="auto"/>
                <w:sz w:val="24"/>
              </w:rPr>
            </w:pPr>
            <w:r>
              <w:rPr>
                <w:rFonts w:hint="eastAsia"/>
                <w:b/>
                <w:bCs/>
                <w:color w:val="auto"/>
                <w:sz w:val="24"/>
                <w:lang w:val="en-US" w:eastAsia="zh-CN"/>
              </w:rPr>
              <w:t>11</w:t>
            </w:r>
            <w:r>
              <w:rPr>
                <w:rFonts w:hint="eastAsia"/>
                <w:b/>
                <w:bCs/>
                <w:color w:val="auto"/>
                <w:sz w:val="24"/>
              </w:rPr>
              <w:t>、</w:t>
            </w:r>
            <w:r>
              <w:rPr>
                <w:b/>
                <w:bCs/>
                <w:color w:val="auto"/>
                <w:sz w:val="24"/>
              </w:rPr>
              <w:t>《关于做好“三磷”建设项目环境影响评价与排污许可管理工作的通知》符合性分析</w:t>
            </w:r>
          </w:p>
          <w:p w14:paraId="1617E19A">
            <w:pPr>
              <w:pStyle w:val="102"/>
              <w:jc w:val="center"/>
              <w:rPr>
                <w:rFonts w:ascii="Times New Roman" w:hAnsi="Times New Roman"/>
                <w:b/>
                <w:color w:val="auto"/>
                <w:kern w:val="2"/>
                <w:sz w:val="24"/>
                <w:szCs w:val="24"/>
                <w:lang w:eastAsia="zh-CN"/>
              </w:rPr>
            </w:pPr>
            <w:r>
              <w:rPr>
                <w:rFonts w:hint="eastAsia" w:ascii="Times New Roman" w:hAnsi="Times New Roman"/>
                <w:b/>
                <w:color w:val="auto"/>
                <w:kern w:val="2"/>
                <w:sz w:val="24"/>
                <w:szCs w:val="24"/>
                <w:lang w:eastAsia="zh-CN"/>
              </w:rPr>
              <w:t>表1</w:t>
            </w:r>
            <w:r>
              <w:rPr>
                <w:rFonts w:ascii="Times New Roman" w:hAnsi="Times New Roman"/>
                <w:b/>
                <w:color w:val="auto"/>
                <w:kern w:val="2"/>
                <w:sz w:val="24"/>
                <w:szCs w:val="24"/>
                <w:lang w:eastAsia="zh-CN"/>
              </w:rPr>
              <w:t>-</w:t>
            </w:r>
            <w:r>
              <w:rPr>
                <w:rFonts w:hint="eastAsia" w:ascii="Times New Roman" w:hAnsi="Times New Roman"/>
                <w:b/>
                <w:color w:val="auto"/>
                <w:kern w:val="2"/>
                <w:sz w:val="24"/>
                <w:szCs w:val="24"/>
                <w:lang w:eastAsia="zh-CN"/>
              </w:rPr>
              <w:t xml:space="preserve">10 </w:t>
            </w:r>
            <w:r>
              <w:rPr>
                <w:rFonts w:ascii="Times New Roman" w:hAnsi="Times New Roman"/>
                <w:b/>
                <w:color w:val="auto"/>
                <w:kern w:val="2"/>
                <w:sz w:val="24"/>
                <w:szCs w:val="24"/>
                <w:lang w:eastAsia="zh-CN"/>
              </w:rPr>
              <w:t xml:space="preserve"> </w:t>
            </w:r>
            <w:r>
              <w:rPr>
                <w:rFonts w:hint="eastAsia" w:ascii="Times New Roman" w:hAnsi="Times New Roman"/>
                <w:b/>
                <w:color w:val="auto"/>
                <w:kern w:val="2"/>
                <w:sz w:val="24"/>
                <w:szCs w:val="24"/>
                <w:lang w:eastAsia="zh-CN"/>
              </w:rPr>
              <w:t>项目</w:t>
            </w:r>
            <w:r>
              <w:rPr>
                <w:rFonts w:ascii="Times New Roman" w:hAnsi="Times New Roman"/>
                <w:b/>
                <w:color w:val="auto"/>
                <w:kern w:val="2"/>
                <w:sz w:val="24"/>
                <w:szCs w:val="24"/>
                <w:lang w:eastAsia="zh-CN"/>
              </w:rPr>
              <w:t>与《关于做好“三磷”建设项目环境影响评价与排污许可管理工作的通知》符合性分析</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03"/>
              <w:gridCol w:w="2899"/>
              <w:gridCol w:w="773"/>
            </w:tblGrid>
            <w:tr w14:paraId="72487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1" w:type="pct"/>
                  <w:vAlign w:val="center"/>
                </w:tcPr>
                <w:p w14:paraId="739CEA1C">
                  <w:pPr>
                    <w:jc w:val="center"/>
                    <w:rPr>
                      <w:color w:val="auto"/>
                      <w:sz w:val="21"/>
                      <w:szCs w:val="21"/>
                    </w:rPr>
                  </w:pPr>
                  <w:r>
                    <w:rPr>
                      <w:color w:val="auto"/>
                      <w:sz w:val="21"/>
                      <w:szCs w:val="21"/>
                    </w:rPr>
                    <w:t>通知要求</w:t>
                  </w:r>
                </w:p>
              </w:tc>
              <w:tc>
                <w:tcPr>
                  <w:tcW w:w="2020" w:type="pct"/>
                  <w:vAlign w:val="center"/>
                </w:tcPr>
                <w:p w14:paraId="11B048CD">
                  <w:pPr>
                    <w:jc w:val="center"/>
                    <w:rPr>
                      <w:color w:val="auto"/>
                      <w:sz w:val="21"/>
                      <w:szCs w:val="21"/>
                    </w:rPr>
                  </w:pPr>
                  <w:r>
                    <w:rPr>
                      <w:rFonts w:hint="eastAsia"/>
                      <w:color w:val="auto"/>
                      <w:sz w:val="21"/>
                      <w:szCs w:val="21"/>
                    </w:rPr>
                    <w:t>本项目</w:t>
                  </w:r>
                </w:p>
              </w:tc>
              <w:tc>
                <w:tcPr>
                  <w:tcW w:w="539" w:type="pct"/>
                  <w:vAlign w:val="center"/>
                </w:tcPr>
                <w:p w14:paraId="1F2ED5AB">
                  <w:pPr>
                    <w:jc w:val="center"/>
                    <w:rPr>
                      <w:color w:val="auto"/>
                      <w:sz w:val="21"/>
                      <w:szCs w:val="21"/>
                    </w:rPr>
                  </w:pPr>
                  <w:r>
                    <w:rPr>
                      <w:rFonts w:hint="eastAsia"/>
                      <w:color w:val="auto"/>
                      <w:sz w:val="21"/>
                      <w:szCs w:val="21"/>
                    </w:rPr>
                    <w:t>符合性</w:t>
                  </w:r>
                </w:p>
              </w:tc>
            </w:tr>
            <w:tr w14:paraId="4D28D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1" w:type="pct"/>
                  <w:vAlign w:val="center"/>
                </w:tcPr>
                <w:p w14:paraId="0A9C4DD2">
                  <w:pPr>
                    <w:pStyle w:val="102"/>
                    <w:spacing w:before="81"/>
                    <w:rPr>
                      <w:rFonts w:ascii="Times New Roman" w:hAnsi="Times New Roman"/>
                      <w:color w:val="auto"/>
                      <w:kern w:val="2"/>
                      <w:sz w:val="21"/>
                      <w:szCs w:val="21"/>
                      <w:lang w:eastAsia="zh-CN"/>
                    </w:rPr>
                  </w:pPr>
                  <w:r>
                    <w:rPr>
                      <w:rFonts w:ascii="Times New Roman" w:hAnsi="Times New Roman"/>
                      <w:color w:val="auto"/>
                      <w:kern w:val="2"/>
                      <w:sz w:val="21"/>
                      <w:szCs w:val="21"/>
                      <w:lang w:eastAsia="zh-CN"/>
                    </w:rPr>
                    <w:t>一、严格环境影响评价，源头防范环境风险</w:t>
                  </w:r>
                </w:p>
                <w:p w14:paraId="03ED2A47">
                  <w:pPr>
                    <w:pStyle w:val="102"/>
                    <w:spacing w:before="161"/>
                    <w:ind w:right="-29"/>
                    <w:rPr>
                      <w:rFonts w:ascii="Times New Roman" w:hAnsi="Times New Roman"/>
                      <w:color w:val="auto"/>
                      <w:kern w:val="2"/>
                      <w:sz w:val="21"/>
                      <w:szCs w:val="21"/>
                      <w:lang w:eastAsia="zh-CN"/>
                    </w:rPr>
                  </w:pPr>
                  <w:r>
                    <w:rPr>
                      <w:rFonts w:ascii="Times New Roman" w:hAnsi="Times New Roman"/>
                      <w:color w:val="auto"/>
                      <w:kern w:val="2"/>
                      <w:sz w:val="21"/>
                      <w:szCs w:val="21"/>
                      <w:lang w:eastAsia="zh-CN"/>
                    </w:rPr>
                    <w:t>（一）优化产业规划布局，严格项目选址要求。新建、扩建磷化工项目应布设在依法合规设立的化工园区或具有化工定位的产业园区内，所在化工园区或产业园区应依法开展规划环境影响评价工作，并与所在省（区、市）生态保护红线、环境质量底线、资源利用上线和生态环境准入清单成果做好衔接， 落实相应管控要求。磷化工建设项目应符合园区规划及规划环评要求。“三磷”建设项目应论证是否符合生态环境准入清单， 对不符合的依法不予审批。</w:t>
                  </w:r>
                </w:p>
                <w:p w14:paraId="2E8B62C2">
                  <w:pPr>
                    <w:pStyle w:val="102"/>
                    <w:spacing w:before="5"/>
                    <w:ind w:left="107" w:right="96" w:firstLine="420" w:firstLineChars="200"/>
                    <w:rPr>
                      <w:rFonts w:ascii="Times New Roman" w:hAnsi="Times New Roman"/>
                      <w:color w:val="auto"/>
                      <w:kern w:val="2"/>
                      <w:sz w:val="21"/>
                      <w:szCs w:val="21"/>
                      <w:lang w:eastAsia="zh-CN"/>
                    </w:rPr>
                  </w:pPr>
                  <w:r>
                    <w:rPr>
                      <w:rFonts w:ascii="Times New Roman" w:hAnsi="Times New Roman"/>
                      <w:color w:val="auto"/>
                      <w:kern w:val="2"/>
                      <w:sz w:val="21"/>
                      <w:szCs w:val="21"/>
                      <w:lang w:eastAsia="zh-CN"/>
                    </w:rPr>
                    <w:t>三磷建设项目选址不得位于饮用水水源保护区、自然保护区、风景名胜区以及国家法律法规明确的其他禁止建设区域。选址应避开岩溶强发育、存在较多落水洞或岩溶漏斗的区域。长江干流及主要支流岸线1公里范围内禁止新建、扩建磷矿、磷化工项目，长江干流3公里范围内、主要支流岸线1公里范围内禁止新建、扩建尾矿库和磷石膏库。磷石膏库、尾矿库、暂存场按第</w:t>
                  </w:r>
                  <w:r>
                    <w:rPr>
                      <w:rFonts w:hint="eastAsia"/>
                      <w:color w:val="auto"/>
                      <w:kern w:val="2"/>
                      <w:sz w:val="21"/>
                      <w:szCs w:val="21"/>
                      <w:lang w:eastAsia="zh-CN"/>
                    </w:rPr>
                    <w:t>Ⅱ</w:t>
                  </w:r>
                  <w:r>
                    <w:rPr>
                      <w:rFonts w:ascii="Times New Roman" w:hAnsi="Times New Roman"/>
                      <w:color w:val="auto"/>
                      <w:kern w:val="2"/>
                      <w:sz w:val="21"/>
                      <w:szCs w:val="21"/>
                      <w:lang w:eastAsia="zh-CN"/>
                    </w:rPr>
                    <w:t>类一般工业固体废物处置要求采取防渗、地下水导排等措施，并建设地下水监测井，开展日常监控，防范地下水环境污染。</w:t>
                  </w:r>
                </w:p>
                <w:p w14:paraId="0F24FC96">
                  <w:pPr>
                    <w:jc w:val="center"/>
                    <w:rPr>
                      <w:color w:val="auto"/>
                      <w:sz w:val="21"/>
                      <w:szCs w:val="21"/>
                    </w:rPr>
                  </w:pPr>
                </w:p>
              </w:tc>
              <w:tc>
                <w:tcPr>
                  <w:tcW w:w="2020" w:type="pct"/>
                  <w:vAlign w:val="center"/>
                </w:tcPr>
                <w:p w14:paraId="54F50B3C">
                  <w:pPr>
                    <w:pStyle w:val="102"/>
                    <w:spacing w:before="2"/>
                    <w:ind w:left="107" w:right="96"/>
                    <w:jc w:val="left"/>
                    <w:rPr>
                      <w:rFonts w:ascii="Times New Roman" w:hAnsi="Times New Roman"/>
                      <w:color w:val="auto"/>
                      <w:kern w:val="2"/>
                      <w:sz w:val="21"/>
                      <w:szCs w:val="21"/>
                      <w:lang w:eastAsia="zh-CN"/>
                    </w:rPr>
                  </w:pPr>
                  <w:r>
                    <w:rPr>
                      <w:rFonts w:hint="eastAsia" w:ascii="Times New Roman" w:hAnsi="Times New Roman"/>
                      <w:color w:val="auto"/>
                      <w:kern w:val="2"/>
                      <w:sz w:val="21"/>
                      <w:szCs w:val="21"/>
                      <w:lang w:val="en-US" w:eastAsia="zh-CN"/>
                    </w:rPr>
                    <w:t>扩建</w:t>
                  </w:r>
                  <w:r>
                    <w:rPr>
                      <w:rFonts w:hint="eastAsia" w:ascii="Times New Roman" w:hAnsi="Times New Roman"/>
                      <w:color w:val="auto"/>
                      <w:kern w:val="2"/>
                      <w:sz w:val="21"/>
                      <w:szCs w:val="21"/>
                      <w:lang w:eastAsia="zh-CN"/>
                    </w:rPr>
                    <w:t>项目</w:t>
                  </w:r>
                  <w:r>
                    <w:rPr>
                      <w:rFonts w:ascii="Times New Roman" w:hAnsi="Times New Roman"/>
                      <w:color w:val="auto"/>
                      <w:kern w:val="2"/>
                      <w:sz w:val="21"/>
                      <w:szCs w:val="21"/>
                      <w:lang w:eastAsia="zh-CN"/>
                    </w:rPr>
                    <w:t>位于</w:t>
                  </w:r>
                  <w:r>
                    <w:rPr>
                      <w:rFonts w:hint="eastAsia" w:ascii="宋体" w:hAnsi="宋体" w:cs="宋体"/>
                      <w:color w:val="auto"/>
                      <w:sz w:val="21"/>
                      <w:szCs w:val="21"/>
                      <w:lang w:eastAsia="zh-CN" w:bidi="ar"/>
                    </w:rPr>
                    <w:t>昆明市寻甸县塘子镇</w:t>
                  </w:r>
                  <w:r>
                    <w:rPr>
                      <w:rFonts w:hint="eastAsia" w:cs="Times New Roman"/>
                      <w:color w:val="auto"/>
                      <w:sz w:val="21"/>
                      <w:szCs w:val="21"/>
                      <w:lang w:val="en-US" w:eastAsia="zh-CN"/>
                    </w:rPr>
                    <w:t>云南常青树化工有限公司</w:t>
                  </w:r>
                  <w:r>
                    <w:rPr>
                      <w:rFonts w:hint="eastAsia" w:ascii="宋体" w:hAnsi="宋体" w:cs="宋体"/>
                      <w:color w:val="auto"/>
                      <w:sz w:val="21"/>
                      <w:szCs w:val="21"/>
                      <w:lang w:eastAsia="zh-CN" w:bidi="ar"/>
                    </w:rPr>
                    <w:t>厂区内</w:t>
                  </w:r>
                  <w:r>
                    <w:rPr>
                      <w:rFonts w:ascii="Times New Roman" w:hAnsi="Times New Roman"/>
                      <w:color w:val="auto"/>
                      <w:kern w:val="2"/>
                      <w:sz w:val="21"/>
                      <w:szCs w:val="21"/>
                      <w:lang w:eastAsia="zh-CN"/>
                    </w:rPr>
                    <w:t>，</w:t>
                  </w:r>
                  <w:r>
                    <w:rPr>
                      <w:rFonts w:hint="eastAsia" w:ascii="Times New Roman" w:hAnsi="Times New Roman"/>
                      <w:color w:val="auto"/>
                      <w:kern w:val="2"/>
                      <w:sz w:val="21"/>
                      <w:szCs w:val="21"/>
                      <w:lang w:val="en-US" w:eastAsia="zh-CN"/>
                    </w:rPr>
                    <w:t>属于</w:t>
                  </w:r>
                  <w:r>
                    <w:rPr>
                      <w:rFonts w:ascii="Times New Roman" w:hAnsi="Times New Roman"/>
                      <w:color w:val="auto"/>
                      <w:kern w:val="2"/>
                      <w:sz w:val="21"/>
                      <w:szCs w:val="21"/>
                      <w:lang w:eastAsia="zh-CN"/>
                    </w:rPr>
                    <w:t>利用</w:t>
                  </w:r>
                  <w:r>
                    <w:rPr>
                      <w:rFonts w:hint="eastAsia" w:ascii="Times New Roman" w:hAnsi="Times New Roman"/>
                      <w:color w:val="auto"/>
                      <w:kern w:val="2"/>
                      <w:sz w:val="21"/>
                      <w:szCs w:val="21"/>
                      <w:lang w:val="en-US" w:eastAsia="zh-CN"/>
                    </w:rPr>
                    <w:t>公司内</w:t>
                  </w:r>
                  <w:r>
                    <w:rPr>
                      <w:rFonts w:ascii="Times New Roman" w:hAnsi="Times New Roman"/>
                      <w:color w:val="auto"/>
                      <w:kern w:val="2"/>
                      <w:sz w:val="21"/>
                      <w:szCs w:val="21"/>
                      <w:lang w:eastAsia="zh-CN"/>
                    </w:rPr>
                    <w:t>现有的</w:t>
                  </w:r>
                  <w:r>
                    <w:rPr>
                      <w:rFonts w:hint="eastAsia" w:ascii="Times New Roman" w:hAnsi="Times New Roman"/>
                      <w:color w:val="auto"/>
                      <w:kern w:val="2"/>
                      <w:sz w:val="21"/>
                      <w:szCs w:val="21"/>
                      <w:lang w:eastAsia="zh-CN"/>
                    </w:rPr>
                    <w:t>湿法磷酸生产线副产品</w:t>
                  </w:r>
                  <w:r>
                    <w:rPr>
                      <w:rFonts w:ascii="Times New Roman" w:hAnsi="Times New Roman"/>
                      <w:color w:val="auto"/>
                      <w:kern w:val="2"/>
                      <w:sz w:val="21"/>
                      <w:szCs w:val="21"/>
                      <w:lang w:eastAsia="zh-CN"/>
                    </w:rPr>
                    <w:t>磷石膏进行综合利用</w:t>
                  </w:r>
                  <w:r>
                    <w:rPr>
                      <w:rFonts w:hint="eastAsia" w:ascii="Times New Roman" w:hAnsi="Times New Roman"/>
                      <w:color w:val="auto"/>
                      <w:kern w:val="2"/>
                      <w:sz w:val="21"/>
                      <w:szCs w:val="21"/>
                      <w:lang w:eastAsia="zh-CN"/>
                    </w:rPr>
                    <w:t>生产</w:t>
                  </w:r>
                  <w:r>
                    <w:rPr>
                      <w:rFonts w:ascii="Times New Roman" w:hAnsi="Times New Roman"/>
                      <w:color w:val="auto"/>
                      <w:kern w:val="2"/>
                      <w:sz w:val="21"/>
                      <w:szCs w:val="21"/>
                      <w:lang w:eastAsia="zh-CN"/>
                    </w:rPr>
                    <w:t>土壤</w:t>
                  </w:r>
                  <w:r>
                    <w:rPr>
                      <w:rFonts w:hint="eastAsia" w:ascii="Times New Roman" w:hAnsi="Times New Roman"/>
                      <w:color w:val="auto"/>
                      <w:kern w:val="2"/>
                      <w:sz w:val="21"/>
                      <w:szCs w:val="21"/>
                      <w:lang w:val="en-US" w:eastAsia="zh-CN"/>
                    </w:rPr>
                    <w:t>改良</w:t>
                  </w:r>
                  <w:r>
                    <w:rPr>
                      <w:rFonts w:ascii="Times New Roman" w:hAnsi="Times New Roman"/>
                      <w:color w:val="auto"/>
                      <w:kern w:val="2"/>
                      <w:sz w:val="21"/>
                      <w:szCs w:val="21"/>
                      <w:lang w:eastAsia="zh-CN"/>
                    </w:rPr>
                    <w:t>剂、路基材料、生态修复材料</w:t>
                  </w:r>
                  <w:r>
                    <w:rPr>
                      <w:rFonts w:hint="eastAsia" w:ascii="Times New Roman" w:hAnsi="Times New Roman"/>
                      <w:color w:val="auto"/>
                      <w:kern w:val="2"/>
                      <w:sz w:val="21"/>
                      <w:szCs w:val="21"/>
                      <w:lang w:eastAsia="zh-CN"/>
                    </w:rPr>
                    <w:t>，</w:t>
                  </w:r>
                  <w:r>
                    <w:rPr>
                      <w:rFonts w:hint="eastAsia" w:ascii="Times New Roman" w:hAnsi="Times New Roman"/>
                      <w:color w:val="auto"/>
                      <w:kern w:val="2"/>
                      <w:sz w:val="21"/>
                      <w:szCs w:val="21"/>
                      <w:lang w:val="en-US" w:eastAsia="zh-CN"/>
                    </w:rPr>
                    <w:t>不属于磷化工项目，</w:t>
                  </w:r>
                  <w:r>
                    <w:rPr>
                      <w:rFonts w:ascii="Times New Roman" w:hAnsi="Times New Roman"/>
                      <w:color w:val="auto"/>
                      <w:kern w:val="2"/>
                      <w:sz w:val="21"/>
                      <w:szCs w:val="21"/>
                      <w:lang w:eastAsia="zh-CN"/>
                    </w:rPr>
                    <w:t>符合</w:t>
                  </w:r>
                  <w:r>
                    <w:rPr>
                      <w:rFonts w:hint="eastAsia" w:ascii="Times New Roman" w:hAnsi="Times New Roman"/>
                      <w:color w:val="auto"/>
                      <w:kern w:val="2"/>
                      <w:sz w:val="21"/>
                      <w:szCs w:val="21"/>
                      <w:lang w:val="en-US" w:eastAsia="zh-CN"/>
                    </w:rPr>
                    <w:t>区域</w:t>
                  </w:r>
                  <w:r>
                    <w:rPr>
                      <w:rFonts w:ascii="Times New Roman" w:hAnsi="Times New Roman"/>
                      <w:color w:val="auto"/>
                      <w:kern w:val="2"/>
                      <w:sz w:val="21"/>
                      <w:szCs w:val="21"/>
                      <w:lang w:eastAsia="zh-CN"/>
                    </w:rPr>
                    <w:t>环境准入清单要求</w:t>
                  </w:r>
                  <w:r>
                    <w:rPr>
                      <w:rFonts w:hint="eastAsia" w:ascii="Times New Roman" w:hAnsi="Times New Roman"/>
                      <w:color w:val="auto"/>
                      <w:kern w:val="2"/>
                      <w:sz w:val="21"/>
                      <w:szCs w:val="21"/>
                      <w:lang w:eastAsia="zh-CN"/>
                    </w:rPr>
                    <w:t>；</w:t>
                  </w:r>
                </w:p>
                <w:p w14:paraId="5286D370">
                  <w:pPr>
                    <w:pStyle w:val="102"/>
                    <w:spacing w:before="2"/>
                    <w:ind w:left="107" w:right="96"/>
                    <w:jc w:val="left"/>
                    <w:rPr>
                      <w:rFonts w:ascii="Times New Roman" w:hAnsi="Times New Roman"/>
                      <w:color w:val="auto"/>
                      <w:kern w:val="2"/>
                      <w:sz w:val="21"/>
                      <w:szCs w:val="21"/>
                      <w:lang w:eastAsia="zh-CN"/>
                    </w:rPr>
                  </w:pPr>
                  <w:r>
                    <w:rPr>
                      <w:rFonts w:ascii="Times New Roman" w:hAnsi="Times New Roman"/>
                      <w:color w:val="auto"/>
                      <w:kern w:val="2"/>
                      <w:sz w:val="21"/>
                      <w:szCs w:val="21"/>
                      <w:lang w:eastAsia="zh-CN"/>
                    </w:rPr>
                    <w:t>项目选址不涉及饮用水水源保护区、自然保护区、风景名胜区以及国家法律法规明确的其他禁止建设区域。</w:t>
                  </w:r>
                  <w:r>
                    <w:rPr>
                      <w:rFonts w:hint="eastAsia" w:ascii="Times New Roman" w:hAnsi="Times New Roman"/>
                      <w:color w:val="auto"/>
                      <w:kern w:val="2"/>
                      <w:sz w:val="21"/>
                      <w:szCs w:val="21"/>
                      <w:lang w:eastAsia="zh-CN"/>
                    </w:rPr>
                    <w:t>项目</w:t>
                  </w:r>
                  <w:r>
                    <w:rPr>
                      <w:rFonts w:ascii="Times New Roman" w:hAnsi="Times New Roman"/>
                      <w:color w:val="auto"/>
                      <w:kern w:val="2"/>
                      <w:sz w:val="21"/>
                      <w:szCs w:val="21"/>
                      <w:lang w:eastAsia="zh-CN"/>
                    </w:rPr>
                    <w:t>为牛栏江流域</w:t>
                  </w:r>
                  <w:r>
                    <w:rPr>
                      <w:rFonts w:hint="eastAsia" w:ascii="Times New Roman" w:hAnsi="Times New Roman"/>
                      <w:color w:val="auto"/>
                      <w:kern w:val="2"/>
                      <w:sz w:val="21"/>
                      <w:szCs w:val="21"/>
                      <w:lang w:eastAsia="zh-CN"/>
                    </w:rPr>
                    <w:t>，</w:t>
                  </w:r>
                  <w:r>
                    <w:rPr>
                      <w:rFonts w:ascii="Times New Roman" w:hAnsi="Times New Roman"/>
                      <w:color w:val="auto"/>
                      <w:kern w:val="2"/>
                      <w:sz w:val="21"/>
                      <w:szCs w:val="21"/>
                      <w:lang w:eastAsia="zh-CN"/>
                    </w:rPr>
                    <w:t>不</w:t>
                  </w:r>
                  <w:r>
                    <w:rPr>
                      <w:rFonts w:hint="eastAsia" w:ascii="Times New Roman" w:hAnsi="Times New Roman"/>
                      <w:color w:val="auto"/>
                      <w:kern w:val="2"/>
                      <w:sz w:val="21"/>
                      <w:szCs w:val="21"/>
                      <w:lang w:eastAsia="zh-CN"/>
                    </w:rPr>
                    <w:t>涉及</w:t>
                  </w:r>
                  <w:r>
                    <w:rPr>
                      <w:rFonts w:ascii="Times New Roman" w:hAnsi="Times New Roman"/>
                      <w:color w:val="auto"/>
                      <w:kern w:val="2"/>
                      <w:sz w:val="21"/>
                      <w:szCs w:val="21"/>
                      <w:lang w:eastAsia="zh-CN"/>
                    </w:rPr>
                    <w:t>长江干流及主要支流</w:t>
                  </w:r>
                  <w:r>
                    <w:rPr>
                      <w:rFonts w:hint="eastAsia" w:ascii="Times New Roman" w:hAnsi="Times New Roman"/>
                      <w:color w:val="auto"/>
                      <w:kern w:val="2"/>
                      <w:sz w:val="21"/>
                      <w:szCs w:val="21"/>
                      <w:lang w:eastAsia="zh-CN"/>
                    </w:rPr>
                    <w:t>；</w:t>
                  </w:r>
                </w:p>
                <w:p w14:paraId="5032B742">
                  <w:pPr>
                    <w:pStyle w:val="102"/>
                    <w:spacing w:before="2"/>
                    <w:ind w:left="107" w:right="96"/>
                    <w:jc w:val="left"/>
                    <w:rPr>
                      <w:rFonts w:hint="default"/>
                      <w:color w:val="auto"/>
                      <w:sz w:val="21"/>
                      <w:szCs w:val="21"/>
                      <w:lang w:val="en-US" w:eastAsia="zh-CN"/>
                    </w:rPr>
                  </w:pPr>
                  <w:r>
                    <w:rPr>
                      <w:rFonts w:hint="eastAsia" w:ascii="Times New Roman" w:hAnsi="Times New Roman"/>
                      <w:color w:val="auto"/>
                      <w:kern w:val="2"/>
                      <w:sz w:val="21"/>
                      <w:szCs w:val="21"/>
                      <w:highlight w:val="none"/>
                      <w:lang w:val="en-US" w:eastAsia="zh-CN"/>
                    </w:rPr>
                    <w:t>扩建</w:t>
                  </w:r>
                  <w:r>
                    <w:rPr>
                      <w:rFonts w:ascii="Times New Roman" w:hAnsi="Times New Roman"/>
                      <w:color w:val="auto"/>
                      <w:kern w:val="2"/>
                      <w:sz w:val="21"/>
                      <w:szCs w:val="21"/>
                      <w:highlight w:val="none"/>
                      <w:lang w:eastAsia="zh-CN"/>
                    </w:rPr>
                    <w:t>项目对生态修复材料熟化及成品堆场</w:t>
                  </w:r>
                  <w:r>
                    <w:rPr>
                      <w:rFonts w:hint="eastAsia" w:ascii="Times New Roman" w:hAnsi="Times New Roman"/>
                      <w:color w:val="auto"/>
                      <w:kern w:val="2"/>
                      <w:sz w:val="21"/>
                      <w:szCs w:val="21"/>
                      <w:highlight w:val="none"/>
                      <w:lang w:eastAsia="zh-CN"/>
                    </w:rPr>
                    <w:t>、土壤</w:t>
                  </w:r>
                  <w:r>
                    <w:rPr>
                      <w:rFonts w:hint="eastAsia" w:ascii="Times New Roman" w:hAnsi="Times New Roman"/>
                      <w:color w:val="auto"/>
                      <w:kern w:val="2"/>
                      <w:sz w:val="21"/>
                      <w:szCs w:val="21"/>
                      <w:lang w:val="en-US" w:eastAsia="zh-CN"/>
                    </w:rPr>
                    <w:t>改良</w:t>
                  </w:r>
                  <w:r>
                    <w:rPr>
                      <w:rFonts w:hint="eastAsia" w:ascii="Times New Roman" w:hAnsi="Times New Roman"/>
                      <w:color w:val="auto"/>
                      <w:kern w:val="2"/>
                      <w:sz w:val="21"/>
                      <w:szCs w:val="21"/>
                      <w:highlight w:val="none"/>
                      <w:lang w:eastAsia="zh-CN"/>
                    </w:rPr>
                    <w:t>剂熟化及成品堆场和路基材料熟化及成品堆场</w:t>
                  </w:r>
                  <w:r>
                    <w:rPr>
                      <w:rFonts w:hint="eastAsia" w:ascii="Times New Roman" w:hAnsi="Times New Roman"/>
                      <w:color w:val="auto"/>
                      <w:kern w:val="2"/>
                      <w:sz w:val="21"/>
                      <w:szCs w:val="21"/>
                      <w:lang w:eastAsia="zh-CN"/>
                    </w:rPr>
                    <w:t>均</w:t>
                  </w:r>
                  <w:r>
                    <w:rPr>
                      <w:rFonts w:ascii="Times New Roman" w:hAnsi="Times New Roman"/>
                      <w:color w:val="auto"/>
                      <w:kern w:val="2"/>
                      <w:sz w:val="21"/>
                      <w:szCs w:val="21"/>
                      <w:lang w:eastAsia="zh-CN"/>
                    </w:rPr>
                    <w:t>按《一般工业固体废物贮存和填埋污染控制标准》（GB 18599-2020）要求进行了防渗。</w:t>
                  </w:r>
                  <w:r>
                    <w:rPr>
                      <w:rFonts w:hint="eastAsia" w:ascii="Times New Roman" w:hAnsi="Times New Roman"/>
                      <w:color w:val="auto"/>
                      <w:kern w:val="2"/>
                      <w:sz w:val="21"/>
                      <w:szCs w:val="21"/>
                      <w:lang w:val="en-US" w:eastAsia="zh-CN"/>
                    </w:rPr>
                    <w:t>项目在常青树现有厂区内进行扩建，设置有3个地下水跟踪监测井，并且每年均根据排污许可要求开展跟踪监测。</w:t>
                  </w:r>
                </w:p>
              </w:tc>
              <w:tc>
                <w:tcPr>
                  <w:tcW w:w="539" w:type="pct"/>
                  <w:vAlign w:val="center"/>
                </w:tcPr>
                <w:p w14:paraId="061CB0FD">
                  <w:pPr>
                    <w:jc w:val="center"/>
                    <w:rPr>
                      <w:color w:val="auto"/>
                      <w:sz w:val="21"/>
                      <w:szCs w:val="21"/>
                    </w:rPr>
                  </w:pPr>
                  <w:r>
                    <w:rPr>
                      <w:rFonts w:hint="eastAsia"/>
                      <w:color w:val="auto"/>
                      <w:sz w:val="21"/>
                      <w:szCs w:val="21"/>
                    </w:rPr>
                    <w:t>符合</w:t>
                  </w:r>
                </w:p>
              </w:tc>
            </w:tr>
            <w:tr w14:paraId="68F7D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1" w:type="pct"/>
                  <w:vAlign w:val="center"/>
                </w:tcPr>
                <w:p w14:paraId="7B838F09">
                  <w:pPr>
                    <w:pStyle w:val="102"/>
                    <w:spacing w:before="3"/>
                    <w:ind w:left="107" w:right="-29"/>
                    <w:rPr>
                      <w:rFonts w:ascii="Times New Roman" w:hAnsi="Times New Roman"/>
                      <w:color w:val="auto"/>
                      <w:kern w:val="2"/>
                      <w:sz w:val="21"/>
                      <w:szCs w:val="21"/>
                      <w:lang w:eastAsia="zh-CN"/>
                    </w:rPr>
                  </w:pPr>
                  <w:r>
                    <w:rPr>
                      <w:rFonts w:ascii="Times New Roman" w:hAnsi="Times New Roman"/>
                      <w:color w:val="auto"/>
                      <w:kern w:val="2"/>
                      <w:sz w:val="21"/>
                      <w:szCs w:val="21"/>
                      <w:lang w:eastAsia="zh-CN"/>
                    </w:rPr>
                    <w:t>（二）严格总磷排放控制，规范区域消减替代要求。地方生态环境部门应以环境质量改善为核心，严格总磷等主要污染物区域削减要求。建设项目所在水环境控制单元或断面总磷超标的，实施总磷排放量 2 倍或以上削减替代。所在水环境控制单元或断面总磷达标的，实施总磷排放量等量或以上削减替代。替代量应来源于项目同一水环境控制单元或断面上游拟实施关停、升级改造的工业企业，不得来源于农业源、城市污水处理厂或已列入流域环境质量改善计划的工业企业。</w:t>
                  </w:r>
                </w:p>
                <w:p w14:paraId="4751A193">
                  <w:pPr>
                    <w:jc w:val="center"/>
                    <w:rPr>
                      <w:color w:val="auto"/>
                      <w:sz w:val="21"/>
                      <w:szCs w:val="21"/>
                    </w:rPr>
                  </w:pPr>
                </w:p>
              </w:tc>
              <w:tc>
                <w:tcPr>
                  <w:tcW w:w="2020" w:type="pct"/>
                  <w:vAlign w:val="center"/>
                </w:tcPr>
                <w:p w14:paraId="2D0E21FB">
                  <w:pPr>
                    <w:jc w:val="center"/>
                    <w:rPr>
                      <w:color w:val="auto"/>
                      <w:sz w:val="21"/>
                      <w:szCs w:val="21"/>
                    </w:rPr>
                  </w:pPr>
                  <w:r>
                    <w:rPr>
                      <w:rFonts w:hint="eastAsia"/>
                      <w:color w:val="auto"/>
                      <w:sz w:val="21"/>
                      <w:szCs w:val="21"/>
                      <w:lang w:val="en-US" w:eastAsia="zh-CN"/>
                    </w:rPr>
                    <w:t>项目改扩建工程没有新增生活污水，且无生产废水产生，</w:t>
                  </w:r>
                  <w:r>
                    <w:rPr>
                      <w:color w:val="auto"/>
                      <w:sz w:val="21"/>
                      <w:szCs w:val="21"/>
                    </w:rPr>
                    <w:t>不涉及总磷排放。</w:t>
                  </w:r>
                </w:p>
              </w:tc>
              <w:tc>
                <w:tcPr>
                  <w:tcW w:w="539" w:type="pct"/>
                  <w:vAlign w:val="center"/>
                </w:tcPr>
                <w:p w14:paraId="5029BF36">
                  <w:pPr>
                    <w:jc w:val="center"/>
                    <w:rPr>
                      <w:color w:val="auto"/>
                      <w:sz w:val="21"/>
                      <w:szCs w:val="21"/>
                    </w:rPr>
                  </w:pPr>
                  <w:r>
                    <w:rPr>
                      <w:rFonts w:hint="eastAsia"/>
                      <w:color w:val="auto"/>
                      <w:sz w:val="21"/>
                      <w:szCs w:val="21"/>
                    </w:rPr>
                    <w:t>符合</w:t>
                  </w:r>
                </w:p>
                <w:p w14:paraId="757C79B4">
                  <w:pPr>
                    <w:pStyle w:val="18"/>
                    <w:wordWrap/>
                    <w:rPr>
                      <w:i w:val="0"/>
                      <w:color w:val="auto"/>
                      <w:kern w:val="2"/>
                      <w:szCs w:val="21"/>
                    </w:rPr>
                  </w:pPr>
                </w:p>
              </w:tc>
            </w:tr>
            <w:tr w14:paraId="0719D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1" w:type="pct"/>
                  <w:vAlign w:val="center"/>
                </w:tcPr>
                <w:p w14:paraId="47D4F500">
                  <w:pPr>
                    <w:pStyle w:val="102"/>
                    <w:spacing w:before="6"/>
                    <w:rPr>
                      <w:rFonts w:ascii="Times New Roman" w:hAnsi="Times New Roman"/>
                      <w:color w:val="auto"/>
                      <w:kern w:val="2"/>
                      <w:sz w:val="21"/>
                      <w:szCs w:val="21"/>
                      <w:lang w:eastAsia="zh-CN"/>
                    </w:rPr>
                  </w:pPr>
                  <w:r>
                    <w:rPr>
                      <w:rFonts w:ascii="Times New Roman" w:hAnsi="Times New Roman"/>
                      <w:color w:val="auto"/>
                      <w:kern w:val="2"/>
                      <w:sz w:val="21"/>
                      <w:szCs w:val="21"/>
                      <w:lang w:eastAsia="zh-CN"/>
                    </w:rPr>
                    <w:t>二、落实排污许可制度，强化事中事后监管</w:t>
                  </w:r>
                </w:p>
                <w:p w14:paraId="2A6C0620">
                  <w:pPr>
                    <w:pStyle w:val="102"/>
                    <w:spacing w:before="81"/>
                    <w:ind w:right="-29"/>
                    <w:rPr>
                      <w:rFonts w:ascii="Times New Roman" w:hAnsi="Times New Roman"/>
                      <w:color w:val="auto"/>
                      <w:kern w:val="2"/>
                      <w:sz w:val="21"/>
                      <w:szCs w:val="21"/>
                      <w:lang w:eastAsia="zh-CN"/>
                    </w:rPr>
                  </w:pPr>
                  <w:r>
                    <w:rPr>
                      <w:rFonts w:ascii="Times New Roman" w:hAnsi="Times New Roman"/>
                      <w:color w:val="auto"/>
                      <w:kern w:val="2"/>
                      <w:sz w:val="21"/>
                      <w:szCs w:val="21"/>
                      <w:lang w:eastAsia="zh-CN"/>
                    </w:rPr>
                    <w:t>（五）按期完成排污许可证核发，实现排污许可全覆盖。新建、改建、扩建“三磷”建设项目在实际排污之前核发（变更）排污许可证，实现“三磷”行业固定污染源排污许可全覆盖。</w:t>
                  </w:r>
                </w:p>
              </w:tc>
              <w:tc>
                <w:tcPr>
                  <w:tcW w:w="2020" w:type="pct"/>
                  <w:vAlign w:val="center"/>
                </w:tcPr>
                <w:p w14:paraId="5950C9C8">
                  <w:pPr>
                    <w:jc w:val="center"/>
                    <w:rPr>
                      <w:color w:val="auto"/>
                      <w:sz w:val="21"/>
                      <w:szCs w:val="21"/>
                    </w:rPr>
                  </w:pPr>
                  <w:r>
                    <w:rPr>
                      <w:rFonts w:hint="eastAsia"/>
                      <w:color w:val="auto"/>
                      <w:sz w:val="21"/>
                      <w:szCs w:val="21"/>
                      <w:lang w:val="en-US" w:eastAsia="zh-CN"/>
                    </w:rPr>
                    <w:t>项目改扩建工程没有新增生活污水，且无生产废水产生，</w:t>
                  </w:r>
                  <w:r>
                    <w:rPr>
                      <w:color w:val="auto"/>
                      <w:sz w:val="21"/>
                      <w:szCs w:val="21"/>
                    </w:rPr>
                    <w:t>不涉及总磷排放。建设单位应在实际发生排污行为之前申领排污许可证。</w:t>
                  </w:r>
                </w:p>
              </w:tc>
              <w:tc>
                <w:tcPr>
                  <w:tcW w:w="539" w:type="pct"/>
                  <w:vAlign w:val="center"/>
                </w:tcPr>
                <w:p w14:paraId="3919E0F8">
                  <w:pPr>
                    <w:jc w:val="center"/>
                    <w:rPr>
                      <w:color w:val="auto"/>
                      <w:sz w:val="21"/>
                      <w:szCs w:val="21"/>
                    </w:rPr>
                  </w:pPr>
                  <w:r>
                    <w:rPr>
                      <w:rFonts w:hint="eastAsia"/>
                      <w:color w:val="auto"/>
                      <w:sz w:val="21"/>
                      <w:szCs w:val="21"/>
                    </w:rPr>
                    <w:t>符合</w:t>
                  </w:r>
                </w:p>
              </w:tc>
            </w:tr>
          </w:tbl>
          <w:p w14:paraId="121686EA">
            <w:pPr>
              <w:pStyle w:val="102"/>
              <w:spacing w:before="2" w:line="364" w:lineRule="auto"/>
              <w:ind w:left="107" w:right="96" w:firstLine="480" w:firstLineChars="200"/>
              <w:jc w:val="both"/>
              <w:rPr>
                <w:rFonts w:ascii="Times New Roman" w:hAnsi="Times New Roman"/>
                <w:color w:val="auto"/>
                <w:kern w:val="2"/>
                <w:sz w:val="24"/>
                <w:szCs w:val="24"/>
                <w:lang w:eastAsia="zh-CN"/>
              </w:rPr>
            </w:pPr>
            <w:r>
              <w:rPr>
                <w:rFonts w:hint="eastAsia" w:ascii="Times New Roman" w:hAnsi="Times New Roman"/>
                <w:color w:val="auto"/>
                <w:kern w:val="2"/>
                <w:sz w:val="24"/>
                <w:szCs w:val="24"/>
                <w:lang w:eastAsia="zh-CN"/>
              </w:rPr>
              <w:t>综上</w:t>
            </w:r>
            <w:r>
              <w:rPr>
                <w:rFonts w:ascii="Times New Roman" w:hAnsi="Times New Roman"/>
                <w:color w:val="auto"/>
                <w:kern w:val="2"/>
                <w:sz w:val="24"/>
                <w:szCs w:val="24"/>
                <w:lang w:eastAsia="zh-CN"/>
              </w:rPr>
              <w:t>所述，项目符合《关于做好“三磷”建设项目环境影响评价与排污许可管理工作的通知》</w:t>
            </w:r>
            <w:r>
              <w:rPr>
                <w:rFonts w:hint="eastAsia" w:ascii="Times New Roman" w:hAnsi="Times New Roman"/>
                <w:color w:val="auto"/>
                <w:kern w:val="2"/>
                <w:sz w:val="24"/>
                <w:szCs w:val="24"/>
                <w:lang w:eastAsia="zh-CN"/>
              </w:rPr>
              <w:t>相符。</w:t>
            </w:r>
          </w:p>
          <w:p w14:paraId="65CD446E">
            <w:pPr>
              <w:pStyle w:val="102"/>
              <w:spacing w:line="360" w:lineRule="auto"/>
              <w:ind w:firstLine="482"/>
              <w:jc w:val="both"/>
              <w:rPr>
                <w:b/>
                <w:color w:val="auto"/>
                <w:sz w:val="24"/>
                <w:szCs w:val="24"/>
                <w:lang w:eastAsia="zh-CN"/>
              </w:rPr>
            </w:pPr>
            <w:r>
              <w:rPr>
                <w:rFonts w:ascii="Times New Roman" w:hAnsi="Times New Roman"/>
                <w:b/>
                <w:color w:val="auto"/>
                <w:sz w:val="24"/>
                <w:szCs w:val="24"/>
                <w:lang w:eastAsia="zh-CN"/>
              </w:rPr>
              <w:t>1</w:t>
            </w:r>
            <w:r>
              <w:rPr>
                <w:rFonts w:hint="eastAsia" w:ascii="Times New Roman" w:hAnsi="Times New Roman"/>
                <w:b/>
                <w:color w:val="auto"/>
                <w:sz w:val="24"/>
                <w:szCs w:val="24"/>
                <w:lang w:val="en-US" w:eastAsia="zh-CN"/>
              </w:rPr>
              <w:t>2</w:t>
            </w:r>
            <w:r>
              <w:rPr>
                <w:rFonts w:ascii="Times New Roman" w:hAnsi="Times New Roman"/>
                <w:b/>
                <w:color w:val="auto"/>
                <w:sz w:val="24"/>
                <w:szCs w:val="24"/>
                <w:lang w:eastAsia="zh-CN"/>
              </w:rPr>
              <w:t>、与</w:t>
            </w:r>
            <w:r>
              <w:rPr>
                <w:rFonts w:hint="eastAsia"/>
                <w:b/>
                <w:color w:val="auto"/>
                <w:sz w:val="24"/>
                <w:szCs w:val="24"/>
                <w:lang w:eastAsia="zh-CN"/>
              </w:rPr>
              <w:t>关于“十四五”大宗固体废弃物综合利用的指导意见相符性分析</w:t>
            </w:r>
          </w:p>
          <w:p w14:paraId="67AE21D6">
            <w:pPr>
              <w:jc w:val="center"/>
              <w:rPr>
                <w:b/>
                <w:bCs/>
                <w:color w:val="auto"/>
                <w:sz w:val="24"/>
                <w:shd w:val="clear" w:color="auto" w:fill="FFFFFF"/>
              </w:rPr>
            </w:pPr>
            <w:r>
              <w:rPr>
                <w:b/>
                <w:bCs/>
                <w:color w:val="auto"/>
                <w:sz w:val="24"/>
              </w:rPr>
              <w:t>表1</w:t>
            </w:r>
            <w:r>
              <w:rPr>
                <w:rFonts w:hint="eastAsia"/>
                <w:b/>
                <w:bCs/>
                <w:color w:val="auto"/>
                <w:sz w:val="24"/>
              </w:rPr>
              <w:t xml:space="preserve">-11  </w:t>
            </w:r>
            <w:r>
              <w:rPr>
                <w:b/>
                <w:color w:val="auto"/>
                <w:sz w:val="24"/>
              </w:rPr>
              <w:t>项目与</w:t>
            </w:r>
            <w:r>
              <w:rPr>
                <w:rFonts w:hint="eastAsia"/>
                <w:b/>
                <w:color w:val="auto"/>
                <w:sz w:val="24"/>
              </w:rPr>
              <w:t>关于“十四五”大宗固体废弃物综合利用的指导意见</w:t>
            </w:r>
          </w:p>
          <w:p w14:paraId="55EA19ED">
            <w:pPr>
              <w:jc w:val="center"/>
              <w:rPr>
                <w:b/>
                <w:bCs/>
                <w:color w:val="auto"/>
                <w:sz w:val="24"/>
              </w:rPr>
            </w:pPr>
            <w:r>
              <w:rPr>
                <w:rFonts w:hint="eastAsia"/>
                <w:b/>
                <w:color w:val="auto"/>
                <w:sz w:val="24"/>
              </w:rPr>
              <w:t>相符性</w:t>
            </w:r>
            <w:r>
              <w:rPr>
                <w:b/>
                <w:color w:val="auto"/>
                <w:sz w:val="24"/>
              </w:rPr>
              <w:t>分析</w:t>
            </w:r>
          </w:p>
          <w:tbl>
            <w:tblPr>
              <w:tblStyle w:val="45"/>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859"/>
              <w:gridCol w:w="3763"/>
              <w:gridCol w:w="657"/>
            </w:tblGrid>
            <w:tr w14:paraId="3C8985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2859" w:type="dxa"/>
                  <w:tcBorders>
                    <w:top w:val="single" w:color="auto" w:sz="4" w:space="0"/>
                    <w:left w:val="single" w:color="auto" w:sz="4" w:space="0"/>
                    <w:bottom w:val="single" w:color="auto" w:sz="4" w:space="0"/>
                    <w:right w:val="single" w:color="auto" w:sz="4" w:space="0"/>
                  </w:tcBorders>
                  <w:vAlign w:val="center"/>
                </w:tcPr>
                <w:p w14:paraId="4FB75478">
                  <w:pPr>
                    <w:jc w:val="center"/>
                    <w:rPr>
                      <w:rFonts w:ascii="宋体" w:hAnsi="宋体"/>
                      <w:color w:val="auto"/>
                      <w:sz w:val="21"/>
                      <w:szCs w:val="21"/>
                    </w:rPr>
                  </w:pPr>
                  <w:r>
                    <w:rPr>
                      <w:rFonts w:hint="eastAsia" w:ascii="宋体" w:hAnsi="宋体"/>
                      <w:color w:val="auto"/>
                      <w:sz w:val="21"/>
                      <w:szCs w:val="21"/>
                    </w:rPr>
                    <w:t>相关</w:t>
                  </w:r>
                  <w:r>
                    <w:rPr>
                      <w:rFonts w:ascii="宋体" w:hAnsi="宋体"/>
                      <w:color w:val="auto"/>
                      <w:sz w:val="21"/>
                      <w:szCs w:val="21"/>
                    </w:rPr>
                    <w:t>要求</w:t>
                  </w:r>
                </w:p>
              </w:tc>
              <w:tc>
                <w:tcPr>
                  <w:tcW w:w="3763" w:type="dxa"/>
                  <w:tcBorders>
                    <w:top w:val="single" w:color="auto" w:sz="4" w:space="0"/>
                    <w:left w:val="single" w:color="auto" w:sz="4" w:space="0"/>
                    <w:bottom w:val="single" w:color="auto" w:sz="4" w:space="0"/>
                    <w:right w:val="single" w:color="auto" w:sz="4" w:space="0"/>
                  </w:tcBorders>
                  <w:vAlign w:val="center"/>
                </w:tcPr>
                <w:p w14:paraId="59A7ECB6">
                  <w:pPr>
                    <w:jc w:val="center"/>
                    <w:rPr>
                      <w:rFonts w:ascii="宋体" w:hAnsi="宋体"/>
                      <w:color w:val="auto"/>
                      <w:sz w:val="21"/>
                      <w:szCs w:val="21"/>
                    </w:rPr>
                  </w:pPr>
                  <w:r>
                    <w:rPr>
                      <w:rFonts w:ascii="宋体" w:hAnsi="宋体"/>
                      <w:color w:val="auto"/>
                      <w:sz w:val="21"/>
                      <w:szCs w:val="21"/>
                    </w:rPr>
                    <w:t>拟建项目的</w:t>
                  </w:r>
                  <w:r>
                    <w:rPr>
                      <w:rFonts w:hint="eastAsia" w:ascii="宋体" w:hAnsi="宋体"/>
                      <w:color w:val="auto"/>
                      <w:sz w:val="21"/>
                      <w:szCs w:val="21"/>
                    </w:rPr>
                    <w:t>情况</w:t>
                  </w:r>
                </w:p>
              </w:tc>
              <w:tc>
                <w:tcPr>
                  <w:tcW w:w="657" w:type="dxa"/>
                  <w:tcBorders>
                    <w:top w:val="single" w:color="auto" w:sz="4" w:space="0"/>
                    <w:left w:val="single" w:color="auto" w:sz="4" w:space="0"/>
                    <w:bottom w:val="single" w:color="auto" w:sz="4" w:space="0"/>
                    <w:right w:val="single" w:color="auto" w:sz="4" w:space="0"/>
                  </w:tcBorders>
                </w:tcPr>
                <w:p w14:paraId="7430FE18">
                  <w:pPr>
                    <w:jc w:val="center"/>
                    <w:rPr>
                      <w:rFonts w:ascii="宋体" w:hAnsi="宋体"/>
                      <w:color w:val="auto"/>
                      <w:sz w:val="21"/>
                      <w:szCs w:val="21"/>
                    </w:rPr>
                  </w:pPr>
                  <w:r>
                    <w:rPr>
                      <w:rFonts w:ascii="宋体" w:hAnsi="宋体"/>
                      <w:color w:val="auto"/>
                      <w:sz w:val="21"/>
                      <w:szCs w:val="21"/>
                    </w:rPr>
                    <w:t>符合性</w:t>
                  </w:r>
                </w:p>
              </w:tc>
            </w:tr>
            <w:tr w14:paraId="76E264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859" w:type="dxa"/>
                  <w:tcBorders>
                    <w:top w:val="single" w:color="auto" w:sz="4" w:space="0"/>
                    <w:left w:val="single" w:color="auto" w:sz="4" w:space="0"/>
                    <w:bottom w:val="single" w:color="auto" w:sz="4" w:space="0"/>
                    <w:right w:val="single" w:color="auto" w:sz="4" w:space="0"/>
                  </w:tcBorders>
                  <w:vAlign w:val="center"/>
                </w:tcPr>
                <w:p w14:paraId="262B4B19">
                  <w:pPr>
                    <w:widowControl/>
                    <w:shd w:val="clear" w:color="auto" w:fill="FFFFFF"/>
                    <w:spacing w:after="225"/>
                    <w:jc w:val="left"/>
                    <w:rPr>
                      <w:rFonts w:ascii="宋体" w:hAnsi="宋体" w:cs="宋体"/>
                      <w:color w:val="auto"/>
                      <w:sz w:val="21"/>
                      <w:szCs w:val="21"/>
                    </w:rPr>
                  </w:pPr>
                  <w:r>
                    <w:rPr>
                      <w:rFonts w:hint="eastAsia" w:ascii="宋体" w:hAnsi="宋体" w:cs="宋体"/>
                      <w:color w:val="auto"/>
                      <w:sz w:val="21"/>
                      <w:szCs w:val="21"/>
                    </w:rPr>
                    <w:t>坚持消纳存量与控制增量相结合。依法依规、科学有序消纳存量大宗固废；因地制宜、综合施策，有效降低大宗固废产排强度，加大综合利用力度，严控新增大宗固废堆存量。</w:t>
                  </w:r>
                </w:p>
                <w:p w14:paraId="38EB1F71">
                  <w:pPr>
                    <w:widowControl/>
                    <w:shd w:val="clear" w:color="auto" w:fill="FFFFFF"/>
                    <w:spacing w:after="225"/>
                    <w:ind w:firstLine="420" w:firstLineChars="200"/>
                    <w:jc w:val="left"/>
                    <w:rPr>
                      <w:rFonts w:ascii="宋体" w:hAnsi="宋体" w:cs="宋体"/>
                      <w:color w:val="auto"/>
                      <w:sz w:val="21"/>
                      <w:szCs w:val="21"/>
                    </w:rPr>
                  </w:pPr>
                  <w:r>
                    <w:rPr>
                      <w:rFonts w:hint="eastAsia" w:ascii="宋体" w:hAnsi="宋体" w:cs="宋体"/>
                      <w:color w:val="auto"/>
                      <w:sz w:val="21"/>
                      <w:szCs w:val="21"/>
                    </w:rPr>
                    <w:t>坚持突出重点与系统治理相结合。加强大宗固废综合利用全过程管理，协同推进产废、利废和规范处置各环节，严守大宗固废综合利用和安全处置的环境底线。</w:t>
                  </w:r>
                </w:p>
                <w:p w14:paraId="00E57D67">
                  <w:pPr>
                    <w:widowControl/>
                    <w:shd w:val="clear" w:color="auto" w:fill="FFFFFF"/>
                    <w:spacing w:after="225"/>
                    <w:ind w:firstLine="480"/>
                    <w:jc w:val="left"/>
                    <w:rPr>
                      <w:rFonts w:ascii="宋体" w:hAnsi="宋体" w:cs="宋体"/>
                      <w:color w:val="auto"/>
                      <w:sz w:val="21"/>
                      <w:szCs w:val="21"/>
                    </w:rPr>
                  </w:pPr>
                  <w:r>
                    <w:rPr>
                      <w:rFonts w:hint="eastAsia" w:ascii="宋体" w:hAnsi="宋体" w:cs="宋体"/>
                      <w:color w:val="auto"/>
                      <w:sz w:val="21"/>
                      <w:szCs w:val="21"/>
                    </w:rPr>
                    <w:t>坚持技术创新与模式创新相结合。强化创新引领，突破大宗固废综合利用技术瓶颈，加快先进适用技术推广应用，加强示范引领，培育大宗固废综合利用新模式。</w:t>
                  </w:r>
                </w:p>
                <w:p w14:paraId="18686FEC">
                  <w:pPr>
                    <w:widowControl/>
                    <w:shd w:val="clear" w:color="auto" w:fill="FFFFFF"/>
                    <w:ind w:firstLine="480"/>
                    <w:jc w:val="left"/>
                    <w:rPr>
                      <w:rFonts w:ascii="宋体" w:hAnsi="宋体" w:cs="宋体"/>
                      <w:color w:val="auto"/>
                      <w:sz w:val="21"/>
                      <w:szCs w:val="21"/>
                    </w:rPr>
                  </w:pPr>
                </w:p>
              </w:tc>
              <w:tc>
                <w:tcPr>
                  <w:tcW w:w="3763" w:type="dxa"/>
                  <w:tcBorders>
                    <w:top w:val="single" w:color="auto" w:sz="4" w:space="0"/>
                    <w:left w:val="single" w:color="auto" w:sz="4" w:space="0"/>
                    <w:bottom w:val="single" w:color="auto" w:sz="4" w:space="0"/>
                    <w:right w:val="single" w:color="auto" w:sz="4" w:space="0"/>
                  </w:tcBorders>
                  <w:vAlign w:val="center"/>
                </w:tcPr>
                <w:p w14:paraId="2F349C0A">
                  <w:pPr>
                    <w:rPr>
                      <w:rFonts w:ascii="宋体" w:hAnsi="宋体"/>
                      <w:color w:val="auto"/>
                      <w:sz w:val="21"/>
                      <w:szCs w:val="21"/>
                    </w:rPr>
                  </w:pPr>
                  <w:r>
                    <w:rPr>
                      <w:rFonts w:ascii="宋体" w:hAnsi="宋体"/>
                      <w:color w:val="auto"/>
                      <w:sz w:val="21"/>
                      <w:szCs w:val="21"/>
                    </w:rPr>
                    <w:t>该</w:t>
                  </w:r>
                  <w:r>
                    <w:rPr>
                      <w:rFonts w:hint="eastAsia" w:ascii="宋体" w:hAnsi="宋体"/>
                      <w:color w:val="auto"/>
                      <w:sz w:val="21"/>
                      <w:szCs w:val="21"/>
                    </w:rPr>
                    <w:t>项目对</w:t>
                  </w:r>
                  <w:r>
                    <w:rPr>
                      <w:rFonts w:hint="eastAsia"/>
                      <w:color w:val="auto"/>
                      <w:szCs w:val="32"/>
                    </w:rPr>
                    <w:t>属于工业固体废物的磷石膏、电石渣进行综合利用</w:t>
                  </w:r>
                  <w:r>
                    <w:rPr>
                      <w:rFonts w:hint="eastAsia" w:ascii="宋体" w:hAnsi="宋体"/>
                      <w:color w:val="auto"/>
                      <w:sz w:val="21"/>
                      <w:szCs w:val="21"/>
                    </w:rPr>
                    <w:t>，利用</w:t>
                  </w:r>
                  <w:r>
                    <w:rPr>
                      <w:rFonts w:ascii="宋体" w:hAnsi="宋体"/>
                      <w:color w:val="auto"/>
                      <w:sz w:val="21"/>
                      <w:szCs w:val="21"/>
                    </w:rPr>
                    <w:t>磷石膏</w:t>
                  </w:r>
                  <w:r>
                    <w:rPr>
                      <w:rFonts w:hint="eastAsia" w:ascii="宋体" w:hAnsi="宋体"/>
                      <w:color w:val="auto"/>
                      <w:sz w:val="21"/>
                      <w:szCs w:val="21"/>
                    </w:rPr>
                    <w:t>和</w:t>
                  </w:r>
                  <w:r>
                    <w:rPr>
                      <w:rFonts w:ascii="宋体" w:hAnsi="宋体"/>
                      <w:color w:val="auto"/>
                      <w:sz w:val="21"/>
                      <w:szCs w:val="21"/>
                    </w:rPr>
                    <w:t>电石渣进行土壤</w:t>
                  </w:r>
                  <w:r>
                    <w:rPr>
                      <w:rFonts w:hint="eastAsia" w:ascii="Times New Roman" w:hAnsi="Times New Roman"/>
                      <w:color w:val="auto"/>
                      <w:kern w:val="2"/>
                      <w:sz w:val="21"/>
                      <w:szCs w:val="21"/>
                      <w:lang w:val="en-US" w:eastAsia="zh-CN"/>
                    </w:rPr>
                    <w:t>改良</w:t>
                  </w:r>
                  <w:r>
                    <w:rPr>
                      <w:rFonts w:ascii="宋体" w:hAnsi="宋体"/>
                      <w:color w:val="auto"/>
                      <w:sz w:val="21"/>
                      <w:szCs w:val="21"/>
                    </w:rPr>
                    <w:t>剂、路基材料、生态修复材料的</w:t>
                  </w:r>
                  <w:r>
                    <w:rPr>
                      <w:color w:val="auto"/>
                      <w:sz w:val="21"/>
                      <w:szCs w:val="21"/>
                    </w:rPr>
                    <w:t>生产，生产过程中废气得到有效的处置，</w:t>
                  </w:r>
                  <w:r>
                    <w:rPr>
                      <w:color w:val="auto"/>
                      <w:sz w:val="21"/>
                      <w:szCs w:val="21"/>
                      <w:highlight w:val="none"/>
                    </w:rPr>
                    <w:t>生态修复材料熟化及成品堆场</w:t>
                  </w:r>
                  <w:r>
                    <w:rPr>
                      <w:rFonts w:hint="eastAsia"/>
                      <w:color w:val="auto"/>
                      <w:sz w:val="21"/>
                      <w:szCs w:val="21"/>
                      <w:highlight w:val="none"/>
                      <w:lang w:eastAsia="zh-CN"/>
                    </w:rPr>
                    <w:t>、</w:t>
                  </w:r>
                  <w:r>
                    <w:rPr>
                      <w:rFonts w:hint="eastAsia"/>
                      <w:color w:val="auto"/>
                      <w:sz w:val="21"/>
                      <w:szCs w:val="21"/>
                      <w:highlight w:val="none"/>
                    </w:rPr>
                    <w:t>土壤</w:t>
                  </w:r>
                  <w:r>
                    <w:rPr>
                      <w:rFonts w:hint="eastAsia" w:ascii="Times New Roman" w:hAnsi="Times New Roman"/>
                      <w:color w:val="auto"/>
                      <w:kern w:val="2"/>
                      <w:sz w:val="21"/>
                      <w:szCs w:val="21"/>
                      <w:lang w:val="en-US" w:eastAsia="zh-CN"/>
                    </w:rPr>
                    <w:t>改良</w:t>
                  </w:r>
                  <w:r>
                    <w:rPr>
                      <w:rFonts w:hint="eastAsia"/>
                      <w:color w:val="auto"/>
                      <w:sz w:val="21"/>
                      <w:szCs w:val="21"/>
                      <w:highlight w:val="none"/>
                    </w:rPr>
                    <w:t>剂熟化及成品堆场和路基材料熟化及成品堆场</w:t>
                  </w:r>
                  <w:r>
                    <w:rPr>
                      <w:color w:val="auto"/>
                      <w:sz w:val="21"/>
                      <w:szCs w:val="21"/>
                    </w:rPr>
                    <w:t>均采取三防措施，满足《一般工业固体废物贮存和填埋污染控制标准》（GB 18599-2020）要求，符合指导意见的要求。</w:t>
                  </w:r>
                </w:p>
              </w:tc>
              <w:tc>
                <w:tcPr>
                  <w:tcW w:w="657" w:type="dxa"/>
                  <w:tcBorders>
                    <w:top w:val="single" w:color="auto" w:sz="4" w:space="0"/>
                    <w:left w:val="single" w:color="auto" w:sz="4" w:space="0"/>
                    <w:bottom w:val="single" w:color="auto" w:sz="4" w:space="0"/>
                    <w:right w:val="single" w:color="auto" w:sz="4" w:space="0"/>
                  </w:tcBorders>
                </w:tcPr>
                <w:p w14:paraId="67C7661F">
                  <w:pPr>
                    <w:ind w:firstLine="840" w:firstLineChars="400"/>
                    <w:rPr>
                      <w:rFonts w:ascii="宋体" w:hAnsi="宋体"/>
                      <w:color w:val="auto"/>
                      <w:sz w:val="21"/>
                      <w:szCs w:val="21"/>
                    </w:rPr>
                  </w:pPr>
                </w:p>
                <w:p w14:paraId="02E13F6C">
                  <w:pPr>
                    <w:ind w:firstLine="840" w:firstLineChars="400"/>
                    <w:rPr>
                      <w:rFonts w:ascii="宋体" w:hAnsi="宋体"/>
                      <w:color w:val="auto"/>
                      <w:sz w:val="21"/>
                      <w:szCs w:val="21"/>
                    </w:rPr>
                  </w:pPr>
                </w:p>
                <w:p w14:paraId="35A27908">
                  <w:pPr>
                    <w:ind w:firstLine="840" w:firstLineChars="400"/>
                    <w:rPr>
                      <w:rFonts w:ascii="宋体" w:hAnsi="宋体"/>
                      <w:color w:val="auto"/>
                      <w:sz w:val="21"/>
                      <w:szCs w:val="21"/>
                    </w:rPr>
                  </w:pPr>
                </w:p>
                <w:p w14:paraId="6DDA1BD6">
                  <w:pPr>
                    <w:ind w:firstLine="840" w:firstLineChars="400"/>
                    <w:rPr>
                      <w:rFonts w:ascii="宋体" w:hAnsi="宋体"/>
                      <w:color w:val="auto"/>
                      <w:sz w:val="21"/>
                      <w:szCs w:val="21"/>
                    </w:rPr>
                  </w:pPr>
                </w:p>
                <w:p w14:paraId="24900EC6">
                  <w:pPr>
                    <w:ind w:firstLine="840" w:firstLineChars="400"/>
                    <w:rPr>
                      <w:rFonts w:ascii="宋体" w:hAnsi="宋体"/>
                      <w:color w:val="auto"/>
                      <w:sz w:val="21"/>
                      <w:szCs w:val="21"/>
                    </w:rPr>
                  </w:pPr>
                </w:p>
                <w:p w14:paraId="145D6521">
                  <w:pPr>
                    <w:ind w:firstLine="840" w:firstLineChars="400"/>
                    <w:rPr>
                      <w:rFonts w:ascii="宋体" w:hAnsi="宋体"/>
                      <w:color w:val="auto"/>
                      <w:sz w:val="21"/>
                      <w:szCs w:val="21"/>
                    </w:rPr>
                  </w:pPr>
                </w:p>
                <w:p w14:paraId="008A925D">
                  <w:pPr>
                    <w:jc w:val="center"/>
                    <w:rPr>
                      <w:rFonts w:ascii="宋体" w:hAnsi="宋体"/>
                      <w:color w:val="auto"/>
                      <w:sz w:val="21"/>
                      <w:szCs w:val="21"/>
                    </w:rPr>
                  </w:pPr>
                  <w:r>
                    <w:rPr>
                      <w:rFonts w:hint="eastAsia" w:ascii="宋体" w:hAnsi="宋体"/>
                      <w:color w:val="auto"/>
                      <w:sz w:val="21"/>
                      <w:szCs w:val="21"/>
                    </w:rPr>
                    <w:t>符合</w:t>
                  </w:r>
                </w:p>
              </w:tc>
            </w:tr>
            <w:tr w14:paraId="1AF212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2859" w:type="dxa"/>
                  <w:tcBorders>
                    <w:top w:val="single" w:color="auto" w:sz="4" w:space="0"/>
                    <w:left w:val="single" w:color="auto" w:sz="4" w:space="0"/>
                    <w:bottom w:val="single" w:color="auto" w:sz="4" w:space="0"/>
                    <w:right w:val="single" w:color="auto" w:sz="4" w:space="0"/>
                  </w:tcBorders>
                  <w:vAlign w:val="center"/>
                </w:tcPr>
                <w:p w14:paraId="4E3140DA">
                  <w:pPr>
                    <w:rPr>
                      <w:rFonts w:ascii="宋体" w:hAnsi="宋体"/>
                      <w:color w:val="auto"/>
                      <w:sz w:val="21"/>
                      <w:szCs w:val="21"/>
                    </w:rPr>
                  </w:pPr>
                  <w:r>
                    <w:rPr>
                      <w:rFonts w:hint="eastAsia"/>
                      <w:color w:val="auto"/>
                      <w:sz w:val="21"/>
                      <w:szCs w:val="21"/>
                      <w:shd w:val="clear" w:color="auto" w:fill="FFFFFF"/>
                    </w:rPr>
                    <w:t>拓宽磷石膏利用途径，继续推广磷石膏在生产水泥和新型建筑材料等领域的利用，在确保环境安全的前提下，探索磷石膏在土壤改良、井下充填、路基材料等领域的应用。</w:t>
                  </w:r>
                </w:p>
              </w:tc>
              <w:tc>
                <w:tcPr>
                  <w:tcW w:w="3763" w:type="dxa"/>
                  <w:tcBorders>
                    <w:top w:val="single" w:color="auto" w:sz="4" w:space="0"/>
                    <w:left w:val="single" w:color="auto" w:sz="4" w:space="0"/>
                    <w:bottom w:val="single" w:color="auto" w:sz="4" w:space="0"/>
                    <w:right w:val="single" w:color="auto" w:sz="4" w:space="0"/>
                  </w:tcBorders>
                  <w:vAlign w:val="center"/>
                </w:tcPr>
                <w:p w14:paraId="5E72CAF7">
                  <w:pPr>
                    <w:rPr>
                      <w:rFonts w:ascii="宋体" w:hAnsi="宋体"/>
                      <w:color w:val="auto"/>
                      <w:sz w:val="21"/>
                      <w:szCs w:val="21"/>
                    </w:rPr>
                  </w:pPr>
                  <w:r>
                    <w:rPr>
                      <w:rFonts w:hint="eastAsia" w:ascii="宋体" w:hAnsi="宋体"/>
                      <w:color w:val="auto"/>
                      <w:sz w:val="21"/>
                      <w:szCs w:val="21"/>
                      <w:lang w:val="en-US" w:eastAsia="zh-CN"/>
                    </w:rPr>
                    <w:t>扩建</w:t>
                  </w:r>
                  <w:r>
                    <w:rPr>
                      <w:rFonts w:hint="eastAsia" w:ascii="宋体" w:hAnsi="宋体"/>
                      <w:color w:val="auto"/>
                      <w:sz w:val="21"/>
                      <w:szCs w:val="21"/>
                    </w:rPr>
                    <w:t>项目对</w:t>
                  </w:r>
                  <w:r>
                    <w:rPr>
                      <w:rFonts w:hint="eastAsia"/>
                      <w:color w:val="auto"/>
                      <w:szCs w:val="32"/>
                    </w:rPr>
                    <w:t>属于工业固体废物的磷石膏、电石渣进行综合利用</w:t>
                  </w:r>
                  <w:r>
                    <w:rPr>
                      <w:rFonts w:hint="eastAsia" w:ascii="宋体" w:hAnsi="宋体"/>
                      <w:color w:val="auto"/>
                      <w:sz w:val="21"/>
                      <w:szCs w:val="21"/>
                    </w:rPr>
                    <w:t>，利用</w:t>
                  </w:r>
                  <w:r>
                    <w:rPr>
                      <w:rFonts w:ascii="宋体" w:hAnsi="宋体"/>
                      <w:color w:val="auto"/>
                      <w:sz w:val="21"/>
                      <w:szCs w:val="21"/>
                    </w:rPr>
                    <w:t>磷石膏</w:t>
                  </w:r>
                  <w:r>
                    <w:rPr>
                      <w:rFonts w:hint="eastAsia" w:ascii="宋体" w:hAnsi="宋体"/>
                      <w:color w:val="auto"/>
                      <w:sz w:val="21"/>
                      <w:szCs w:val="21"/>
                    </w:rPr>
                    <w:t>和</w:t>
                  </w:r>
                  <w:r>
                    <w:rPr>
                      <w:rFonts w:ascii="宋体" w:hAnsi="宋体"/>
                      <w:color w:val="auto"/>
                      <w:sz w:val="21"/>
                      <w:szCs w:val="21"/>
                    </w:rPr>
                    <w:t>电石渣进行土壤</w:t>
                  </w:r>
                  <w:r>
                    <w:rPr>
                      <w:rFonts w:hint="eastAsia" w:ascii="Times New Roman" w:hAnsi="Times New Roman"/>
                      <w:color w:val="auto"/>
                      <w:kern w:val="2"/>
                      <w:sz w:val="21"/>
                      <w:szCs w:val="21"/>
                      <w:lang w:val="en-US" w:eastAsia="zh-CN"/>
                    </w:rPr>
                    <w:t>改良</w:t>
                  </w:r>
                  <w:r>
                    <w:rPr>
                      <w:rFonts w:ascii="宋体" w:hAnsi="宋体"/>
                      <w:color w:val="auto"/>
                      <w:sz w:val="21"/>
                      <w:szCs w:val="21"/>
                    </w:rPr>
                    <w:t>剂、路基材料、生态修复材料的</w:t>
                  </w:r>
                  <w:r>
                    <w:rPr>
                      <w:color w:val="auto"/>
                      <w:sz w:val="21"/>
                      <w:szCs w:val="21"/>
                    </w:rPr>
                    <w:t>生产，经生态修复材料改性磷石膏的检测，产品为</w:t>
                  </w:r>
                  <w:r>
                    <w:rPr>
                      <w:rFonts w:hint="eastAsia"/>
                      <w:color w:val="auto"/>
                      <w:sz w:val="21"/>
                      <w:szCs w:val="21"/>
                    </w:rPr>
                    <w:t>第</w:t>
                  </w:r>
                  <w:r>
                    <w:rPr>
                      <w:rFonts w:hint="default" w:ascii="Times New Roman" w:hAnsi="Times New Roman" w:cs="Times New Roman"/>
                      <w:color w:val="auto"/>
                      <w:sz w:val="21"/>
                      <w:szCs w:val="21"/>
                    </w:rPr>
                    <w:t>Ⅰ类</w:t>
                  </w:r>
                  <w:r>
                    <w:rPr>
                      <w:rFonts w:hint="eastAsia"/>
                      <w:color w:val="auto"/>
                      <w:sz w:val="21"/>
                      <w:szCs w:val="21"/>
                    </w:rPr>
                    <w:t>一般工业固体废物，确保了环境安全，</w:t>
                  </w:r>
                  <w:r>
                    <w:rPr>
                      <w:rFonts w:ascii="宋体" w:hAnsi="宋体"/>
                      <w:color w:val="auto"/>
                      <w:sz w:val="21"/>
                      <w:szCs w:val="21"/>
                    </w:rPr>
                    <w:t>符合</w:t>
                  </w:r>
                  <w:r>
                    <w:rPr>
                      <w:rFonts w:hint="eastAsia" w:ascii="宋体" w:hAnsi="宋体"/>
                      <w:color w:val="auto"/>
                      <w:sz w:val="21"/>
                      <w:szCs w:val="21"/>
                    </w:rPr>
                    <w:t>指导意见</w:t>
                  </w:r>
                  <w:r>
                    <w:rPr>
                      <w:rFonts w:ascii="宋体" w:hAnsi="宋体"/>
                      <w:color w:val="auto"/>
                      <w:sz w:val="21"/>
                      <w:szCs w:val="21"/>
                    </w:rPr>
                    <w:t>的</w:t>
                  </w:r>
                  <w:r>
                    <w:rPr>
                      <w:rFonts w:hint="eastAsia" w:ascii="宋体" w:hAnsi="宋体"/>
                      <w:color w:val="auto"/>
                      <w:sz w:val="21"/>
                      <w:szCs w:val="21"/>
                    </w:rPr>
                    <w:t>要求</w:t>
                  </w:r>
                  <w:r>
                    <w:rPr>
                      <w:rFonts w:ascii="宋体" w:hAnsi="宋体"/>
                      <w:color w:val="auto"/>
                      <w:sz w:val="21"/>
                      <w:szCs w:val="21"/>
                    </w:rPr>
                    <w:t>。</w:t>
                  </w:r>
                </w:p>
              </w:tc>
              <w:tc>
                <w:tcPr>
                  <w:tcW w:w="657" w:type="dxa"/>
                  <w:tcBorders>
                    <w:top w:val="single" w:color="auto" w:sz="4" w:space="0"/>
                    <w:left w:val="single" w:color="auto" w:sz="4" w:space="0"/>
                    <w:bottom w:val="single" w:color="auto" w:sz="4" w:space="0"/>
                    <w:right w:val="single" w:color="auto" w:sz="4" w:space="0"/>
                  </w:tcBorders>
                  <w:vAlign w:val="center"/>
                </w:tcPr>
                <w:p w14:paraId="7C366535">
                  <w:pPr>
                    <w:jc w:val="center"/>
                    <w:rPr>
                      <w:rFonts w:ascii="宋体" w:hAnsi="宋体"/>
                      <w:color w:val="auto"/>
                      <w:sz w:val="21"/>
                      <w:szCs w:val="21"/>
                    </w:rPr>
                  </w:pPr>
                  <w:r>
                    <w:rPr>
                      <w:rFonts w:hint="eastAsia" w:ascii="宋体" w:hAnsi="宋体"/>
                      <w:color w:val="auto"/>
                      <w:sz w:val="21"/>
                      <w:szCs w:val="21"/>
                    </w:rPr>
                    <w:t>符合</w:t>
                  </w:r>
                </w:p>
              </w:tc>
            </w:tr>
          </w:tbl>
          <w:p w14:paraId="7C8FF2C8">
            <w:pPr>
              <w:pStyle w:val="102"/>
              <w:spacing w:before="120" w:line="364" w:lineRule="auto"/>
              <w:ind w:left="107" w:right="96" w:firstLine="600" w:firstLineChars="250"/>
              <w:jc w:val="both"/>
              <w:rPr>
                <w:rFonts w:ascii="Times New Roman" w:hAnsi="Times New Roman"/>
                <w:color w:val="auto"/>
                <w:sz w:val="24"/>
                <w:szCs w:val="24"/>
                <w:lang w:eastAsia="zh-CN"/>
              </w:rPr>
            </w:pPr>
            <w:r>
              <w:rPr>
                <w:rFonts w:hint="eastAsia"/>
                <w:color w:val="auto"/>
                <w:sz w:val="24"/>
                <w:szCs w:val="24"/>
                <w:lang w:eastAsia="zh-CN"/>
              </w:rPr>
              <w:t>综上</w:t>
            </w:r>
            <w:r>
              <w:rPr>
                <w:color w:val="auto"/>
                <w:sz w:val="24"/>
                <w:szCs w:val="24"/>
                <w:lang w:eastAsia="zh-CN"/>
              </w:rPr>
              <w:t>，</w:t>
            </w:r>
            <w:r>
              <w:rPr>
                <w:rFonts w:hint="eastAsia"/>
                <w:color w:val="auto"/>
                <w:sz w:val="24"/>
                <w:szCs w:val="24"/>
                <w:lang w:eastAsia="zh-CN"/>
              </w:rPr>
              <w:t>项目对属于工业固体废物的磷石膏、电石渣进行综合利用，</w:t>
            </w:r>
            <w:r>
              <w:rPr>
                <w:color w:val="auto"/>
                <w:sz w:val="24"/>
                <w:szCs w:val="24"/>
                <w:lang w:eastAsia="zh-CN"/>
              </w:rPr>
              <w:t>符合</w:t>
            </w:r>
            <w:r>
              <w:rPr>
                <w:rFonts w:hint="eastAsia"/>
                <w:bCs/>
                <w:color w:val="auto"/>
                <w:sz w:val="24"/>
                <w:szCs w:val="24"/>
                <w:shd w:val="clear" w:color="auto" w:fill="FFFFFF"/>
                <w:lang w:eastAsia="zh-CN"/>
              </w:rPr>
              <w:t>“十四五”大宗固体废弃物综合利用的指导意见</w:t>
            </w:r>
            <w:r>
              <w:rPr>
                <w:rFonts w:ascii="Times New Roman" w:hAnsi="Times New Roman"/>
                <w:color w:val="auto"/>
                <w:sz w:val="24"/>
                <w:szCs w:val="24"/>
                <w:lang w:eastAsia="zh-CN"/>
              </w:rPr>
              <w:t>要求。</w:t>
            </w:r>
          </w:p>
          <w:p w14:paraId="79A05AFD">
            <w:pPr>
              <w:pStyle w:val="102"/>
              <w:spacing w:before="2" w:line="364" w:lineRule="auto"/>
              <w:ind w:left="107" w:right="96" w:firstLine="482" w:firstLineChars="200"/>
              <w:jc w:val="both"/>
              <w:rPr>
                <w:rFonts w:ascii="Times New Roman" w:hAnsi="Times New Roman"/>
                <w:color w:val="auto"/>
                <w:sz w:val="24"/>
                <w:lang w:eastAsia="zh-CN"/>
              </w:rPr>
            </w:pPr>
            <w:r>
              <w:rPr>
                <w:rFonts w:ascii="Times New Roman" w:hAnsi="Times New Roman"/>
                <w:b/>
                <w:color w:val="auto"/>
                <w:sz w:val="24"/>
                <w:szCs w:val="24"/>
                <w:lang w:eastAsia="zh-CN"/>
              </w:rPr>
              <w:t>1</w:t>
            </w:r>
            <w:r>
              <w:rPr>
                <w:rFonts w:hint="eastAsia" w:ascii="Times New Roman" w:hAnsi="Times New Roman"/>
                <w:b/>
                <w:color w:val="auto"/>
                <w:sz w:val="24"/>
                <w:szCs w:val="24"/>
                <w:lang w:val="en-US" w:eastAsia="zh-CN"/>
              </w:rPr>
              <w:t>3</w:t>
            </w:r>
            <w:r>
              <w:rPr>
                <w:rFonts w:ascii="Times New Roman" w:hAnsi="Times New Roman"/>
                <w:b/>
                <w:color w:val="auto"/>
                <w:sz w:val="24"/>
                <w:szCs w:val="24"/>
                <w:lang w:eastAsia="zh-CN"/>
              </w:rPr>
              <w:t>、与《一般工业固体废物贮存和填埋污染控制标准》（GB 18599-2020）相符性分析</w:t>
            </w:r>
          </w:p>
          <w:p w14:paraId="2C56CB6A">
            <w:pPr>
              <w:jc w:val="center"/>
              <w:rPr>
                <w:b/>
                <w:bCs/>
                <w:color w:val="auto"/>
                <w:sz w:val="24"/>
              </w:rPr>
            </w:pPr>
            <w:r>
              <w:rPr>
                <w:b/>
                <w:bCs/>
                <w:color w:val="auto"/>
                <w:sz w:val="24"/>
              </w:rPr>
              <w:t>表1</w:t>
            </w:r>
            <w:r>
              <w:rPr>
                <w:rFonts w:hint="eastAsia"/>
                <w:b/>
                <w:bCs/>
                <w:color w:val="auto"/>
                <w:sz w:val="24"/>
              </w:rPr>
              <w:t>-</w:t>
            </w:r>
            <w:r>
              <w:rPr>
                <w:b/>
                <w:bCs/>
                <w:color w:val="auto"/>
                <w:sz w:val="24"/>
              </w:rPr>
              <w:t>1</w:t>
            </w:r>
            <w:r>
              <w:rPr>
                <w:rFonts w:hint="eastAsia"/>
                <w:b/>
                <w:bCs/>
                <w:color w:val="auto"/>
                <w:sz w:val="24"/>
              </w:rPr>
              <w:t>2  项目</w:t>
            </w:r>
            <w:r>
              <w:rPr>
                <w:rFonts w:hint="eastAsia"/>
                <w:b/>
                <w:color w:val="auto"/>
                <w:sz w:val="24"/>
              </w:rPr>
              <w:t>与</w:t>
            </w:r>
            <w:r>
              <w:rPr>
                <w:b/>
                <w:color w:val="auto"/>
                <w:sz w:val="24"/>
              </w:rPr>
              <w:t>《一般工业固体废物贮存和填埋污染控制标准》（GB 18599-2020）</w:t>
            </w:r>
            <w:r>
              <w:rPr>
                <w:rFonts w:hint="eastAsia"/>
                <w:b/>
                <w:color w:val="auto"/>
                <w:sz w:val="24"/>
              </w:rPr>
              <w:t>相符性分析</w:t>
            </w:r>
          </w:p>
          <w:tbl>
            <w:tblPr>
              <w:tblStyle w:val="45"/>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099"/>
              <w:gridCol w:w="3299"/>
              <w:gridCol w:w="780"/>
            </w:tblGrid>
            <w:tr w14:paraId="6AB362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2159" w:type="pct"/>
                  <w:tcBorders>
                    <w:top w:val="single" w:color="auto" w:sz="4" w:space="0"/>
                    <w:left w:val="single" w:color="auto" w:sz="4" w:space="0"/>
                    <w:bottom w:val="single" w:color="auto" w:sz="4" w:space="0"/>
                    <w:right w:val="single" w:color="auto" w:sz="4" w:space="0"/>
                  </w:tcBorders>
                  <w:vAlign w:val="center"/>
                </w:tcPr>
                <w:p w14:paraId="1728AB99">
                  <w:pPr>
                    <w:jc w:val="center"/>
                    <w:rPr>
                      <w:color w:val="auto"/>
                      <w:sz w:val="21"/>
                      <w:szCs w:val="21"/>
                    </w:rPr>
                  </w:pPr>
                  <w:r>
                    <w:rPr>
                      <w:color w:val="auto"/>
                      <w:sz w:val="21"/>
                      <w:szCs w:val="21"/>
                    </w:rPr>
                    <w:t>场址选择的要求</w:t>
                  </w:r>
                </w:p>
              </w:tc>
              <w:tc>
                <w:tcPr>
                  <w:tcW w:w="2298" w:type="pct"/>
                  <w:tcBorders>
                    <w:top w:val="single" w:color="auto" w:sz="4" w:space="0"/>
                    <w:left w:val="single" w:color="auto" w:sz="4" w:space="0"/>
                    <w:bottom w:val="single" w:color="auto" w:sz="4" w:space="0"/>
                    <w:right w:val="single" w:color="auto" w:sz="4" w:space="0"/>
                  </w:tcBorders>
                  <w:vAlign w:val="center"/>
                </w:tcPr>
                <w:p w14:paraId="6443C149">
                  <w:pPr>
                    <w:jc w:val="center"/>
                    <w:rPr>
                      <w:color w:val="auto"/>
                      <w:sz w:val="21"/>
                      <w:szCs w:val="21"/>
                    </w:rPr>
                  </w:pPr>
                  <w:r>
                    <w:rPr>
                      <w:color w:val="auto"/>
                      <w:sz w:val="21"/>
                      <w:szCs w:val="21"/>
                    </w:rPr>
                    <w:t>拟建项目的符合性</w:t>
                  </w:r>
                </w:p>
              </w:tc>
              <w:tc>
                <w:tcPr>
                  <w:tcW w:w="544" w:type="pct"/>
                  <w:tcBorders>
                    <w:top w:val="single" w:color="auto" w:sz="4" w:space="0"/>
                    <w:left w:val="single" w:color="auto" w:sz="4" w:space="0"/>
                    <w:bottom w:val="single" w:color="auto" w:sz="4" w:space="0"/>
                    <w:right w:val="single" w:color="auto" w:sz="4" w:space="0"/>
                  </w:tcBorders>
                  <w:vAlign w:val="center"/>
                </w:tcPr>
                <w:p w14:paraId="33F8B532">
                  <w:pPr>
                    <w:jc w:val="center"/>
                    <w:rPr>
                      <w:color w:val="auto"/>
                      <w:sz w:val="21"/>
                      <w:szCs w:val="21"/>
                    </w:rPr>
                  </w:pPr>
                  <w:r>
                    <w:rPr>
                      <w:color w:val="auto"/>
                      <w:sz w:val="21"/>
                      <w:szCs w:val="21"/>
                    </w:rPr>
                    <w:t>符合性</w:t>
                  </w:r>
                </w:p>
              </w:tc>
            </w:tr>
            <w:tr w14:paraId="4752D7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59" w:type="pct"/>
                  <w:tcBorders>
                    <w:top w:val="single" w:color="auto" w:sz="4" w:space="0"/>
                    <w:left w:val="single" w:color="auto" w:sz="4" w:space="0"/>
                    <w:bottom w:val="single" w:color="auto" w:sz="4" w:space="0"/>
                    <w:right w:val="single" w:color="auto" w:sz="4" w:space="0"/>
                  </w:tcBorders>
                  <w:vAlign w:val="center"/>
                </w:tcPr>
                <w:p w14:paraId="19343801">
                  <w:pPr>
                    <w:jc w:val="center"/>
                    <w:rPr>
                      <w:color w:val="auto"/>
                      <w:sz w:val="21"/>
                      <w:szCs w:val="21"/>
                    </w:rPr>
                  </w:pPr>
                  <w:r>
                    <w:rPr>
                      <w:color w:val="auto"/>
                      <w:sz w:val="21"/>
                      <w:szCs w:val="21"/>
                      <w:shd w:val="clear" w:color="auto" w:fill="FFFFFF"/>
                    </w:rPr>
                    <w:t>一般工业固体废物贮存场、填埋场的选址应符合环境保护法律法规及相关法定规划要求。</w:t>
                  </w:r>
                </w:p>
              </w:tc>
              <w:tc>
                <w:tcPr>
                  <w:tcW w:w="2298" w:type="pct"/>
                  <w:tcBorders>
                    <w:top w:val="single" w:color="auto" w:sz="4" w:space="0"/>
                    <w:left w:val="single" w:color="auto" w:sz="4" w:space="0"/>
                    <w:bottom w:val="single" w:color="auto" w:sz="4" w:space="0"/>
                    <w:right w:val="single" w:color="auto" w:sz="4" w:space="0"/>
                  </w:tcBorders>
                  <w:vAlign w:val="center"/>
                </w:tcPr>
                <w:p w14:paraId="1F66E597">
                  <w:pPr>
                    <w:jc w:val="center"/>
                    <w:rPr>
                      <w:color w:val="auto"/>
                      <w:sz w:val="21"/>
                      <w:szCs w:val="21"/>
                    </w:rPr>
                  </w:pPr>
                  <w:r>
                    <w:rPr>
                      <w:color w:val="auto"/>
                      <w:sz w:val="21"/>
                      <w:szCs w:val="21"/>
                      <w:highlight w:val="none"/>
                    </w:rPr>
                    <w:t>本项目</w:t>
                  </w:r>
                  <w:r>
                    <w:rPr>
                      <w:rFonts w:hint="eastAsia"/>
                      <w:color w:val="auto"/>
                      <w:sz w:val="21"/>
                      <w:szCs w:val="21"/>
                      <w:highlight w:val="none"/>
                    </w:rPr>
                    <w:t>新增的</w:t>
                  </w:r>
                  <w:r>
                    <w:rPr>
                      <w:color w:val="auto"/>
                      <w:sz w:val="21"/>
                      <w:szCs w:val="21"/>
                      <w:highlight w:val="none"/>
                    </w:rPr>
                    <w:t>生态修复材料熟化及成品堆场</w:t>
                  </w:r>
                  <w:r>
                    <w:rPr>
                      <w:rFonts w:hint="eastAsia"/>
                      <w:color w:val="auto"/>
                      <w:sz w:val="21"/>
                      <w:szCs w:val="21"/>
                      <w:highlight w:val="none"/>
                      <w:lang w:eastAsia="zh-CN"/>
                    </w:rPr>
                    <w:t>、</w:t>
                  </w:r>
                  <w:r>
                    <w:rPr>
                      <w:rFonts w:hint="eastAsia"/>
                      <w:color w:val="auto"/>
                      <w:sz w:val="21"/>
                      <w:szCs w:val="21"/>
                      <w:highlight w:val="none"/>
                    </w:rPr>
                    <w:t>土壤</w:t>
                  </w:r>
                  <w:r>
                    <w:rPr>
                      <w:rFonts w:hint="eastAsia" w:ascii="Times New Roman" w:hAnsi="Times New Roman"/>
                      <w:color w:val="auto"/>
                      <w:kern w:val="2"/>
                      <w:sz w:val="21"/>
                      <w:szCs w:val="21"/>
                      <w:lang w:val="en-US" w:eastAsia="zh-CN"/>
                    </w:rPr>
                    <w:t>改良</w:t>
                  </w:r>
                  <w:r>
                    <w:rPr>
                      <w:rFonts w:hint="eastAsia"/>
                      <w:color w:val="auto"/>
                      <w:sz w:val="21"/>
                      <w:szCs w:val="21"/>
                      <w:highlight w:val="none"/>
                    </w:rPr>
                    <w:t>剂熟化及成品堆场和路基材料熟化及成品堆场</w:t>
                  </w:r>
                  <w:r>
                    <w:rPr>
                      <w:color w:val="auto"/>
                      <w:sz w:val="21"/>
                      <w:szCs w:val="21"/>
                    </w:rPr>
                    <w:t>位于</w:t>
                  </w:r>
                  <w:r>
                    <w:rPr>
                      <w:rFonts w:hint="eastAsia" w:ascii="宋体" w:hAnsi="宋体" w:cs="宋体"/>
                      <w:color w:val="auto"/>
                      <w:sz w:val="21"/>
                      <w:szCs w:val="21"/>
                      <w:lang w:eastAsia="zh-CN" w:bidi="ar"/>
                    </w:rPr>
                    <w:t>昆明市寻甸县塘子镇</w:t>
                  </w:r>
                  <w:r>
                    <w:rPr>
                      <w:rFonts w:hint="eastAsia" w:cs="Times New Roman"/>
                      <w:color w:val="auto"/>
                      <w:sz w:val="21"/>
                      <w:szCs w:val="21"/>
                      <w:lang w:val="en-US" w:eastAsia="zh-CN"/>
                    </w:rPr>
                    <w:t>云南常青树化工有限公司</w:t>
                  </w:r>
                  <w:r>
                    <w:rPr>
                      <w:rFonts w:hint="eastAsia" w:ascii="宋体" w:hAnsi="宋体" w:cs="宋体"/>
                      <w:color w:val="auto"/>
                      <w:sz w:val="21"/>
                      <w:szCs w:val="21"/>
                      <w:lang w:eastAsia="zh-CN" w:bidi="ar"/>
                    </w:rPr>
                    <w:t>厂区内</w:t>
                  </w:r>
                  <w:r>
                    <w:rPr>
                      <w:color w:val="auto"/>
                      <w:sz w:val="21"/>
                      <w:szCs w:val="21"/>
                    </w:rPr>
                    <w:t>，项目选址符合《云南省牛栏江保护条例》中的选址要求</w:t>
                  </w:r>
                </w:p>
              </w:tc>
              <w:tc>
                <w:tcPr>
                  <w:tcW w:w="544" w:type="pct"/>
                  <w:tcBorders>
                    <w:top w:val="single" w:color="auto" w:sz="4" w:space="0"/>
                    <w:left w:val="single" w:color="auto" w:sz="4" w:space="0"/>
                    <w:bottom w:val="single" w:color="auto" w:sz="4" w:space="0"/>
                    <w:right w:val="single" w:color="auto" w:sz="4" w:space="0"/>
                  </w:tcBorders>
                  <w:vAlign w:val="center"/>
                </w:tcPr>
                <w:p w14:paraId="33A576DE">
                  <w:pPr>
                    <w:jc w:val="center"/>
                    <w:rPr>
                      <w:color w:val="auto"/>
                      <w:sz w:val="21"/>
                      <w:szCs w:val="21"/>
                    </w:rPr>
                  </w:pPr>
                  <w:r>
                    <w:rPr>
                      <w:color w:val="auto"/>
                      <w:sz w:val="21"/>
                      <w:szCs w:val="21"/>
                    </w:rPr>
                    <w:t>符合</w:t>
                  </w:r>
                </w:p>
              </w:tc>
            </w:tr>
            <w:tr w14:paraId="2D70E6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2159" w:type="pct"/>
                  <w:tcBorders>
                    <w:top w:val="single" w:color="auto" w:sz="4" w:space="0"/>
                    <w:left w:val="single" w:color="auto" w:sz="4" w:space="0"/>
                    <w:bottom w:val="single" w:color="auto" w:sz="4" w:space="0"/>
                    <w:right w:val="single" w:color="auto" w:sz="4" w:space="0"/>
                  </w:tcBorders>
                  <w:vAlign w:val="center"/>
                </w:tcPr>
                <w:p w14:paraId="6C13C65F">
                  <w:pPr>
                    <w:jc w:val="center"/>
                    <w:rPr>
                      <w:color w:val="auto"/>
                      <w:sz w:val="21"/>
                      <w:szCs w:val="21"/>
                    </w:rPr>
                  </w:pPr>
                  <w:r>
                    <w:rPr>
                      <w:color w:val="auto"/>
                      <w:sz w:val="21"/>
                      <w:szCs w:val="21"/>
                      <w:shd w:val="clear" w:color="auto" w:fill="FFFFFF"/>
                    </w:rPr>
                    <w:t>贮存场、填埋场的位置与周围居民区的距离应依据环境影响评价文件及审批意见确定。</w:t>
                  </w:r>
                </w:p>
              </w:tc>
              <w:tc>
                <w:tcPr>
                  <w:tcW w:w="2298" w:type="pct"/>
                  <w:tcBorders>
                    <w:top w:val="single" w:color="auto" w:sz="4" w:space="0"/>
                    <w:left w:val="single" w:color="auto" w:sz="4" w:space="0"/>
                    <w:bottom w:val="single" w:color="auto" w:sz="4" w:space="0"/>
                    <w:right w:val="single" w:color="auto" w:sz="4" w:space="0"/>
                  </w:tcBorders>
                  <w:vAlign w:val="center"/>
                </w:tcPr>
                <w:p w14:paraId="08E1202A">
                  <w:pPr>
                    <w:jc w:val="center"/>
                    <w:rPr>
                      <w:color w:val="auto"/>
                      <w:sz w:val="21"/>
                      <w:szCs w:val="21"/>
                    </w:rPr>
                  </w:pPr>
                  <w:r>
                    <w:rPr>
                      <w:color w:val="auto"/>
                      <w:sz w:val="21"/>
                      <w:szCs w:val="21"/>
                      <w:highlight w:val="none"/>
                    </w:rPr>
                    <w:t>本项目</w:t>
                  </w:r>
                  <w:r>
                    <w:rPr>
                      <w:rFonts w:hint="eastAsia"/>
                      <w:color w:val="auto"/>
                      <w:sz w:val="21"/>
                      <w:szCs w:val="21"/>
                      <w:highlight w:val="none"/>
                    </w:rPr>
                    <w:t>新增的</w:t>
                  </w:r>
                  <w:r>
                    <w:rPr>
                      <w:color w:val="auto"/>
                      <w:sz w:val="21"/>
                      <w:szCs w:val="21"/>
                      <w:highlight w:val="none"/>
                    </w:rPr>
                    <w:t>生态修复材料熟化及成品堆场</w:t>
                  </w:r>
                  <w:r>
                    <w:rPr>
                      <w:rFonts w:hint="eastAsia"/>
                      <w:color w:val="auto"/>
                      <w:sz w:val="21"/>
                      <w:szCs w:val="21"/>
                      <w:highlight w:val="none"/>
                      <w:lang w:eastAsia="zh-CN"/>
                    </w:rPr>
                    <w:t>、</w:t>
                  </w:r>
                  <w:r>
                    <w:rPr>
                      <w:rFonts w:hint="eastAsia"/>
                      <w:color w:val="auto"/>
                      <w:sz w:val="21"/>
                      <w:szCs w:val="21"/>
                      <w:highlight w:val="none"/>
                    </w:rPr>
                    <w:t>土壤</w:t>
                  </w:r>
                  <w:r>
                    <w:rPr>
                      <w:rFonts w:hint="eastAsia" w:ascii="Times New Roman" w:hAnsi="Times New Roman"/>
                      <w:color w:val="auto"/>
                      <w:kern w:val="2"/>
                      <w:sz w:val="21"/>
                      <w:szCs w:val="21"/>
                      <w:lang w:val="en-US" w:eastAsia="zh-CN"/>
                    </w:rPr>
                    <w:t>改良</w:t>
                  </w:r>
                  <w:r>
                    <w:rPr>
                      <w:rFonts w:hint="eastAsia"/>
                      <w:color w:val="auto"/>
                      <w:sz w:val="21"/>
                      <w:szCs w:val="21"/>
                      <w:highlight w:val="none"/>
                    </w:rPr>
                    <w:t>剂熟化及成品堆场和路基材料熟化及成品堆场</w:t>
                  </w:r>
                  <w:r>
                    <w:rPr>
                      <w:color w:val="auto"/>
                      <w:sz w:val="21"/>
                      <w:szCs w:val="21"/>
                    </w:rPr>
                    <w:t>位于</w:t>
                  </w:r>
                  <w:r>
                    <w:rPr>
                      <w:rFonts w:hint="eastAsia" w:ascii="宋体" w:hAnsi="宋体" w:cs="宋体"/>
                      <w:color w:val="auto"/>
                      <w:sz w:val="21"/>
                      <w:szCs w:val="21"/>
                      <w:lang w:eastAsia="zh-CN" w:bidi="ar"/>
                    </w:rPr>
                    <w:t>昆明市寻甸县塘子镇</w:t>
                  </w:r>
                  <w:r>
                    <w:rPr>
                      <w:rFonts w:hint="eastAsia" w:cs="Times New Roman"/>
                      <w:color w:val="auto"/>
                      <w:sz w:val="21"/>
                      <w:szCs w:val="21"/>
                      <w:lang w:val="en-US" w:eastAsia="zh-CN"/>
                    </w:rPr>
                    <w:t>云南常青树化工有限公司</w:t>
                  </w:r>
                  <w:r>
                    <w:rPr>
                      <w:rFonts w:hint="eastAsia" w:ascii="宋体" w:hAnsi="宋体" w:cs="宋体"/>
                      <w:color w:val="auto"/>
                      <w:sz w:val="21"/>
                      <w:szCs w:val="21"/>
                      <w:lang w:eastAsia="zh-CN" w:bidi="ar"/>
                    </w:rPr>
                    <w:t>厂区内</w:t>
                  </w:r>
                  <w:r>
                    <w:rPr>
                      <w:color w:val="auto"/>
                      <w:sz w:val="21"/>
                      <w:szCs w:val="21"/>
                    </w:rPr>
                    <w:t>，距离项目最近的居民区为</w:t>
                  </w:r>
                  <w:r>
                    <w:rPr>
                      <w:rFonts w:hint="eastAsia"/>
                      <w:color w:val="auto"/>
                      <w:sz w:val="21"/>
                      <w:szCs w:val="21"/>
                      <w:highlight w:val="none"/>
                    </w:rPr>
                    <w:t>项目区</w:t>
                  </w:r>
                  <w:r>
                    <w:rPr>
                      <w:rFonts w:hint="eastAsia"/>
                      <w:color w:val="auto"/>
                      <w:sz w:val="21"/>
                      <w:szCs w:val="21"/>
                      <w:highlight w:val="none"/>
                      <w:lang w:val="en-US" w:eastAsia="zh-CN"/>
                    </w:rPr>
                    <w:t>西北</w:t>
                  </w:r>
                  <w:r>
                    <w:rPr>
                      <w:rFonts w:hint="eastAsia"/>
                      <w:color w:val="auto"/>
                      <w:sz w:val="21"/>
                      <w:szCs w:val="21"/>
                      <w:highlight w:val="none"/>
                    </w:rPr>
                    <w:t>侧</w:t>
                  </w:r>
                  <w:r>
                    <w:rPr>
                      <w:rFonts w:hint="eastAsia"/>
                      <w:color w:val="auto"/>
                      <w:sz w:val="21"/>
                      <w:szCs w:val="21"/>
                      <w:highlight w:val="none"/>
                      <w:lang w:val="en-US" w:eastAsia="zh-CN"/>
                    </w:rPr>
                    <w:t>413</w:t>
                  </w:r>
                  <w:r>
                    <w:rPr>
                      <w:rFonts w:hint="eastAsia"/>
                      <w:color w:val="auto"/>
                      <w:sz w:val="21"/>
                      <w:szCs w:val="21"/>
                      <w:highlight w:val="none"/>
                    </w:rPr>
                    <w:t>m</w:t>
                  </w:r>
                  <w:r>
                    <w:rPr>
                      <w:rFonts w:hint="eastAsia"/>
                      <w:color w:val="auto"/>
                      <w:sz w:val="21"/>
                      <w:szCs w:val="21"/>
                      <w:highlight w:val="none"/>
                      <w:lang w:eastAsia="zh-CN"/>
                    </w:rPr>
                    <w:t>、云南常青树化工有限公司</w:t>
                  </w:r>
                  <w:r>
                    <w:rPr>
                      <w:rFonts w:hint="eastAsia"/>
                      <w:color w:val="auto"/>
                      <w:sz w:val="21"/>
                      <w:szCs w:val="21"/>
                      <w:highlight w:val="none"/>
                    </w:rPr>
                    <w:t>厂界</w:t>
                  </w:r>
                  <w:r>
                    <w:rPr>
                      <w:rFonts w:hint="eastAsia"/>
                      <w:color w:val="auto"/>
                      <w:sz w:val="21"/>
                      <w:szCs w:val="21"/>
                      <w:highlight w:val="none"/>
                      <w:lang w:val="en-US" w:eastAsia="zh-CN"/>
                    </w:rPr>
                    <w:t>西</w:t>
                  </w:r>
                  <w:r>
                    <w:rPr>
                      <w:rFonts w:hint="eastAsia"/>
                      <w:color w:val="auto"/>
                      <w:sz w:val="21"/>
                      <w:szCs w:val="21"/>
                      <w:highlight w:val="none"/>
                    </w:rPr>
                    <w:t>侧</w:t>
                  </w:r>
                  <w:r>
                    <w:rPr>
                      <w:rFonts w:hint="eastAsia"/>
                      <w:color w:val="auto"/>
                      <w:sz w:val="21"/>
                      <w:szCs w:val="21"/>
                      <w:highlight w:val="none"/>
                      <w:lang w:val="en-US" w:eastAsia="zh-CN"/>
                    </w:rPr>
                    <w:t>130</w:t>
                  </w:r>
                  <w:r>
                    <w:rPr>
                      <w:rFonts w:hint="eastAsia"/>
                      <w:color w:val="auto"/>
                      <w:sz w:val="21"/>
                      <w:szCs w:val="21"/>
                      <w:highlight w:val="none"/>
                    </w:rPr>
                    <w:t>m处的</w:t>
                  </w:r>
                  <w:r>
                    <w:rPr>
                      <w:rFonts w:hint="eastAsia"/>
                      <w:color w:val="auto"/>
                      <w:sz w:val="21"/>
                      <w:szCs w:val="21"/>
                      <w:highlight w:val="none"/>
                      <w:lang w:val="en-US" w:eastAsia="zh-CN"/>
                    </w:rPr>
                    <w:t>云集村</w:t>
                  </w:r>
                  <w:r>
                    <w:rPr>
                      <w:color w:val="auto"/>
                      <w:sz w:val="21"/>
                      <w:szCs w:val="21"/>
                      <w:highlight w:val="none"/>
                    </w:rPr>
                    <w:t>，</w:t>
                  </w:r>
                  <w:r>
                    <w:rPr>
                      <w:color w:val="auto"/>
                      <w:sz w:val="21"/>
                      <w:szCs w:val="21"/>
                    </w:rPr>
                    <w:t>根据本次环评分析，项目废气达标排放，对大气环境影响小。</w:t>
                  </w:r>
                </w:p>
              </w:tc>
              <w:tc>
                <w:tcPr>
                  <w:tcW w:w="544" w:type="pct"/>
                  <w:tcBorders>
                    <w:top w:val="single" w:color="auto" w:sz="4" w:space="0"/>
                    <w:left w:val="single" w:color="auto" w:sz="4" w:space="0"/>
                    <w:bottom w:val="single" w:color="auto" w:sz="4" w:space="0"/>
                    <w:right w:val="single" w:color="auto" w:sz="4" w:space="0"/>
                  </w:tcBorders>
                  <w:vAlign w:val="center"/>
                </w:tcPr>
                <w:p w14:paraId="0F9B9565">
                  <w:pPr>
                    <w:jc w:val="center"/>
                    <w:rPr>
                      <w:color w:val="auto"/>
                      <w:sz w:val="21"/>
                      <w:szCs w:val="21"/>
                    </w:rPr>
                  </w:pPr>
                  <w:r>
                    <w:rPr>
                      <w:color w:val="auto"/>
                      <w:sz w:val="21"/>
                      <w:szCs w:val="21"/>
                    </w:rPr>
                    <w:t>符合</w:t>
                  </w:r>
                </w:p>
              </w:tc>
            </w:tr>
            <w:tr w14:paraId="576528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99" w:hRule="atLeast"/>
                <w:jc w:val="center"/>
              </w:trPr>
              <w:tc>
                <w:tcPr>
                  <w:tcW w:w="2159" w:type="pct"/>
                  <w:tcBorders>
                    <w:top w:val="single" w:color="auto" w:sz="4" w:space="0"/>
                    <w:left w:val="single" w:color="auto" w:sz="4" w:space="0"/>
                    <w:bottom w:val="single" w:color="auto" w:sz="4" w:space="0"/>
                    <w:right w:val="single" w:color="auto" w:sz="4" w:space="0"/>
                  </w:tcBorders>
                  <w:vAlign w:val="center"/>
                </w:tcPr>
                <w:p w14:paraId="0A0B092A">
                  <w:pPr>
                    <w:jc w:val="center"/>
                    <w:rPr>
                      <w:color w:val="auto"/>
                      <w:sz w:val="21"/>
                      <w:szCs w:val="21"/>
                    </w:rPr>
                  </w:pPr>
                  <w:r>
                    <w:rPr>
                      <w:color w:val="auto"/>
                      <w:sz w:val="21"/>
                      <w:szCs w:val="21"/>
                      <w:shd w:val="clear" w:color="auto" w:fill="FFFFFF"/>
                    </w:rPr>
                    <w:t>贮存场、填埋场不得选在生态保护红线区域、永久基本农田集中区域和其他需要特别保护的区域内。</w:t>
                  </w:r>
                </w:p>
              </w:tc>
              <w:tc>
                <w:tcPr>
                  <w:tcW w:w="2298" w:type="pct"/>
                  <w:tcBorders>
                    <w:top w:val="single" w:color="auto" w:sz="4" w:space="0"/>
                    <w:left w:val="single" w:color="auto" w:sz="4" w:space="0"/>
                    <w:bottom w:val="single" w:color="auto" w:sz="4" w:space="0"/>
                    <w:right w:val="single" w:color="auto" w:sz="4" w:space="0"/>
                  </w:tcBorders>
                  <w:vAlign w:val="center"/>
                </w:tcPr>
                <w:p w14:paraId="6EF6DAD2">
                  <w:pPr>
                    <w:jc w:val="center"/>
                    <w:rPr>
                      <w:rFonts w:hint="eastAsia" w:eastAsia="宋体"/>
                      <w:color w:val="auto"/>
                      <w:sz w:val="21"/>
                      <w:szCs w:val="21"/>
                      <w:lang w:eastAsia="zh-CN"/>
                    </w:rPr>
                  </w:pPr>
                  <w:r>
                    <w:rPr>
                      <w:color w:val="auto"/>
                      <w:sz w:val="21"/>
                      <w:szCs w:val="21"/>
                      <w:highlight w:val="none"/>
                    </w:rPr>
                    <w:t>本项目</w:t>
                  </w:r>
                  <w:r>
                    <w:rPr>
                      <w:rFonts w:hint="eastAsia"/>
                      <w:color w:val="auto"/>
                      <w:sz w:val="21"/>
                      <w:szCs w:val="21"/>
                      <w:highlight w:val="none"/>
                    </w:rPr>
                    <w:t>新增的</w:t>
                  </w:r>
                  <w:r>
                    <w:rPr>
                      <w:color w:val="auto"/>
                      <w:sz w:val="21"/>
                      <w:szCs w:val="21"/>
                      <w:highlight w:val="none"/>
                    </w:rPr>
                    <w:t>生态修复材料熟化及成品堆场</w:t>
                  </w:r>
                  <w:r>
                    <w:rPr>
                      <w:rFonts w:hint="eastAsia"/>
                      <w:color w:val="auto"/>
                      <w:sz w:val="21"/>
                      <w:szCs w:val="21"/>
                      <w:highlight w:val="none"/>
                      <w:lang w:eastAsia="zh-CN"/>
                    </w:rPr>
                    <w:t>、</w:t>
                  </w:r>
                  <w:r>
                    <w:rPr>
                      <w:rFonts w:hint="eastAsia"/>
                      <w:color w:val="auto"/>
                      <w:sz w:val="21"/>
                      <w:szCs w:val="21"/>
                      <w:highlight w:val="none"/>
                    </w:rPr>
                    <w:t>土壤</w:t>
                  </w:r>
                  <w:r>
                    <w:rPr>
                      <w:rFonts w:hint="eastAsia" w:ascii="Times New Roman" w:hAnsi="Times New Roman"/>
                      <w:color w:val="auto"/>
                      <w:kern w:val="2"/>
                      <w:sz w:val="21"/>
                      <w:szCs w:val="21"/>
                      <w:lang w:val="en-US" w:eastAsia="zh-CN"/>
                    </w:rPr>
                    <w:t>改良</w:t>
                  </w:r>
                  <w:r>
                    <w:rPr>
                      <w:rFonts w:hint="eastAsia"/>
                      <w:color w:val="auto"/>
                      <w:sz w:val="21"/>
                      <w:szCs w:val="21"/>
                      <w:highlight w:val="none"/>
                    </w:rPr>
                    <w:t>剂熟化及成品堆场和路基材料熟化及成品堆场</w:t>
                  </w:r>
                  <w:r>
                    <w:rPr>
                      <w:color w:val="auto"/>
                      <w:sz w:val="21"/>
                      <w:szCs w:val="21"/>
                    </w:rPr>
                    <w:t>位于</w:t>
                  </w:r>
                  <w:r>
                    <w:rPr>
                      <w:rFonts w:hint="eastAsia" w:ascii="宋体" w:hAnsi="宋体" w:cs="宋体"/>
                      <w:color w:val="auto"/>
                      <w:sz w:val="21"/>
                      <w:szCs w:val="21"/>
                      <w:lang w:eastAsia="zh-CN" w:bidi="ar"/>
                    </w:rPr>
                    <w:t>昆明市寻甸县塘子镇</w:t>
                  </w:r>
                  <w:r>
                    <w:rPr>
                      <w:rFonts w:hint="eastAsia" w:cs="Times New Roman"/>
                      <w:color w:val="auto"/>
                      <w:sz w:val="21"/>
                      <w:szCs w:val="21"/>
                      <w:lang w:val="en-US" w:eastAsia="zh-CN"/>
                    </w:rPr>
                    <w:t>云南常青树化工有限公司</w:t>
                  </w:r>
                  <w:r>
                    <w:rPr>
                      <w:rFonts w:hint="eastAsia" w:ascii="宋体" w:hAnsi="宋体" w:cs="宋体"/>
                      <w:color w:val="auto"/>
                      <w:sz w:val="21"/>
                      <w:szCs w:val="21"/>
                      <w:lang w:eastAsia="zh-CN" w:bidi="ar"/>
                    </w:rPr>
                    <w:t>厂区内</w:t>
                  </w:r>
                  <w:r>
                    <w:rPr>
                      <w:color w:val="auto"/>
                      <w:sz w:val="21"/>
                      <w:szCs w:val="21"/>
                    </w:rPr>
                    <w:t>，不属于</w:t>
                  </w:r>
                  <w:r>
                    <w:rPr>
                      <w:color w:val="auto"/>
                      <w:sz w:val="21"/>
                      <w:szCs w:val="21"/>
                      <w:shd w:val="clear" w:color="auto" w:fill="FFFFFF"/>
                    </w:rPr>
                    <w:t>生态保护红线区域、永久基本农田集中区域和其他需要特别保护的区域</w:t>
                  </w:r>
                  <w:r>
                    <w:rPr>
                      <w:rFonts w:hint="eastAsia"/>
                      <w:color w:val="auto"/>
                      <w:sz w:val="21"/>
                      <w:szCs w:val="21"/>
                      <w:shd w:val="clear" w:color="auto" w:fill="FFFFFF"/>
                      <w:lang w:eastAsia="zh-CN"/>
                    </w:rPr>
                    <w:t>。</w:t>
                  </w:r>
                </w:p>
              </w:tc>
              <w:tc>
                <w:tcPr>
                  <w:tcW w:w="544" w:type="pct"/>
                  <w:tcBorders>
                    <w:top w:val="single" w:color="auto" w:sz="4" w:space="0"/>
                    <w:left w:val="single" w:color="auto" w:sz="4" w:space="0"/>
                    <w:bottom w:val="single" w:color="auto" w:sz="4" w:space="0"/>
                    <w:right w:val="single" w:color="auto" w:sz="4" w:space="0"/>
                  </w:tcBorders>
                  <w:vAlign w:val="center"/>
                </w:tcPr>
                <w:p w14:paraId="1FC4AF8C">
                  <w:pPr>
                    <w:jc w:val="center"/>
                    <w:rPr>
                      <w:color w:val="auto"/>
                      <w:sz w:val="21"/>
                      <w:szCs w:val="21"/>
                    </w:rPr>
                  </w:pPr>
                  <w:r>
                    <w:rPr>
                      <w:color w:val="auto"/>
                      <w:sz w:val="21"/>
                      <w:szCs w:val="21"/>
                    </w:rPr>
                    <w:t>符合</w:t>
                  </w:r>
                </w:p>
              </w:tc>
            </w:tr>
            <w:tr w14:paraId="1A34AA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59" w:type="pct"/>
                  <w:tcBorders>
                    <w:top w:val="single" w:color="auto" w:sz="4" w:space="0"/>
                    <w:left w:val="single" w:color="auto" w:sz="4" w:space="0"/>
                    <w:bottom w:val="single" w:color="auto" w:sz="4" w:space="0"/>
                    <w:right w:val="single" w:color="auto" w:sz="4" w:space="0"/>
                  </w:tcBorders>
                  <w:vAlign w:val="center"/>
                </w:tcPr>
                <w:p w14:paraId="077EF00C">
                  <w:pPr>
                    <w:widowControl/>
                    <w:shd w:val="clear" w:color="auto" w:fill="FFFFFF"/>
                    <w:spacing w:before="75" w:after="75"/>
                    <w:jc w:val="center"/>
                    <w:rPr>
                      <w:color w:val="auto"/>
                      <w:sz w:val="21"/>
                      <w:szCs w:val="21"/>
                    </w:rPr>
                  </w:pPr>
                  <w:r>
                    <w:rPr>
                      <w:color w:val="auto"/>
                      <w:sz w:val="21"/>
                      <w:szCs w:val="21"/>
                    </w:rPr>
                    <w:t>贮存场、填埋场应避开活动断层、溶洞区、天然滑坡或泥石流影响区以及湿地等区域。</w:t>
                  </w:r>
                </w:p>
              </w:tc>
              <w:tc>
                <w:tcPr>
                  <w:tcW w:w="2298" w:type="pct"/>
                  <w:tcBorders>
                    <w:top w:val="single" w:color="auto" w:sz="4" w:space="0"/>
                    <w:left w:val="single" w:color="auto" w:sz="4" w:space="0"/>
                    <w:bottom w:val="single" w:color="auto" w:sz="4" w:space="0"/>
                    <w:right w:val="single" w:color="auto" w:sz="4" w:space="0"/>
                  </w:tcBorders>
                  <w:vAlign w:val="center"/>
                </w:tcPr>
                <w:p w14:paraId="3F8284AB">
                  <w:pPr>
                    <w:jc w:val="center"/>
                    <w:rPr>
                      <w:color w:val="auto"/>
                      <w:sz w:val="21"/>
                      <w:szCs w:val="21"/>
                    </w:rPr>
                  </w:pPr>
                  <w:r>
                    <w:rPr>
                      <w:color w:val="auto"/>
                      <w:sz w:val="21"/>
                      <w:szCs w:val="21"/>
                      <w:highlight w:val="none"/>
                    </w:rPr>
                    <w:t>本项目</w:t>
                  </w:r>
                  <w:r>
                    <w:rPr>
                      <w:rFonts w:hint="eastAsia"/>
                      <w:color w:val="auto"/>
                      <w:sz w:val="21"/>
                      <w:szCs w:val="21"/>
                      <w:highlight w:val="none"/>
                    </w:rPr>
                    <w:t>新增的</w:t>
                  </w:r>
                  <w:r>
                    <w:rPr>
                      <w:color w:val="auto"/>
                      <w:sz w:val="21"/>
                      <w:szCs w:val="21"/>
                      <w:highlight w:val="none"/>
                    </w:rPr>
                    <w:t>生态修复材料熟化及成品堆场</w:t>
                  </w:r>
                  <w:r>
                    <w:rPr>
                      <w:rFonts w:hint="eastAsia"/>
                      <w:color w:val="auto"/>
                      <w:sz w:val="21"/>
                      <w:szCs w:val="21"/>
                      <w:highlight w:val="none"/>
                      <w:lang w:eastAsia="zh-CN"/>
                    </w:rPr>
                    <w:t>、</w:t>
                  </w:r>
                  <w:r>
                    <w:rPr>
                      <w:rFonts w:hint="eastAsia"/>
                      <w:color w:val="auto"/>
                      <w:sz w:val="21"/>
                      <w:szCs w:val="21"/>
                      <w:highlight w:val="none"/>
                    </w:rPr>
                    <w:t>土壤</w:t>
                  </w:r>
                  <w:r>
                    <w:rPr>
                      <w:rFonts w:hint="eastAsia" w:ascii="Times New Roman" w:hAnsi="Times New Roman"/>
                      <w:color w:val="auto"/>
                      <w:kern w:val="2"/>
                      <w:sz w:val="21"/>
                      <w:szCs w:val="21"/>
                      <w:lang w:val="en-US" w:eastAsia="zh-CN"/>
                    </w:rPr>
                    <w:t>改良</w:t>
                  </w:r>
                  <w:r>
                    <w:rPr>
                      <w:rFonts w:hint="eastAsia"/>
                      <w:color w:val="auto"/>
                      <w:sz w:val="21"/>
                      <w:szCs w:val="21"/>
                      <w:highlight w:val="none"/>
                    </w:rPr>
                    <w:t>剂熟化及成品堆场和路基材料熟化及成品堆场</w:t>
                  </w:r>
                  <w:r>
                    <w:rPr>
                      <w:color w:val="auto"/>
                      <w:sz w:val="21"/>
                      <w:szCs w:val="21"/>
                    </w:rPr>
                    <w:t>位置内未发育断层、断层破碎带及溶洞区。据现场调查，在场区内未发育天然滑坡及泥石流影响区。符合该条要求。</w:t>
                  </w:r>
                </w:p>
              </w:tc>
              <w:tc>
                <w:tcPr>
                  <w:tcW w:w="544" w:type="pct"/>
                  <w:tcBorders>
                    <w:top w:val="single" w:color="auto" w:sz="4" w:space="0"/>
                    <w:left w:val="single" w:color="auto" w:sz="4" w:space="0"/>
                    <w:bottom w:val="single" w:color="auto" w:sz="4" w:space="0"/>
                    <w:right w:val="single" w:color="auto" w:sz="4" w:space="0"/>
                  </w:tcBorders>
                  <w:vAlign w:val="center"/>
                </w:tcPr>
                <w:p w14:paraId="1A749D7D">
                  <w:pPr>
                    <w:jc w:val="center"/>
                    <w:rPr>
                      <w:color w:val="auto"/>
                      <w:sz w:val="21"/>
                      <w:szCs w:val="21"/>
                    </w:rPr>
                  </w:pPr>
                  <w:r>
                    <w:rPr>
                      <w:color w:val="auto"/>
                      <w:sz w:val="21"/>
                      <w:szCs w:val="21"/>
                    </w:rPr>
                    <w:t>符合</w:t>
                  </w:r>
                </w:p>
              </w:tc>
            </w:tr>
            <w:tr w14:paraId="42B4E1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59" w:type="pct"/>
                  <w:tcBorders>
                    <w:top w:val="single" w:color="auto" w:sz="4" w:space="0"/>
                    <w:left w:val="single" w:color="auto" w:sz="4" w:space="0"/>
                    <w:bottom w:val="single" w:color="auto" w:sz="4" w:space="0"/>
                    <w:right w:val="single" w:color="auto" w:sz="4" w:space="0"/>
                  </w:tcBorders>
                  <w:vAlign w:val="center"/>
                </w:tcPr>
                <w:p w14:paraId="470B5D59">
                  <w:pPr>
                    <w:widowControl/>
                    <w:shd w:val="clear" w:color="auto" w:fill="FFFFFF"/>
                    <w:spacing w:before="75" w:after="75"/>
                    <w:jc w:val="center"/>
                    <w:rPr>
                      <w:color w:val="auto"/>
                      <w:sz w:val="21"/>
                      <w:szCs w:val="21"/>
                    </w:rPr>
                  </w:pPr>
                  <w:r>
                    <w:rPr>
                      <w:color w:val="auto"/>
                      <w:sz w:val="21"/>
                      <w:szCs w:val="21"/>
                    </w:rPr>
                    <w:t>贮存场、填埋场不得选在江河、湖泊、运河、渠道、水库最高水位线以下的滩地和岸坡，以及国家和地方长远规划中的水库等人工蓄水设施的淹没区和保护区之内。</w:t>
                  </w:r>
                </w:p>
              </w:tc>
              <w:tc>
                <w:tcPr>
                  <w:tcW w:w="2298" w:type="pct"/>
                  <w:tcBorders>
                    <w:top w:val="single" w:color="auto" w:sz="4" w:space="0"/>
                    <w:left w:val="single" w:color="auto" w:sz="4" w:space="0"/>
                    <w:bottom w:val="single" w:color="auto" w:sz="4" w:space="0"/>
                    <w:right w:val="single" w:color="auto" w:sz="4" w:space="0"/>
                  </w:tcBorders>
                  <w:vAlign w:val="center"/>
                </w:tcPr>
                <w:p w14:paraId="6D1BB4AE">
                  <w:pPr>
                    <w:jc w:val="center"/>
                    <w:rPr>
                      <w:color w:val="auto"/>
                      <w:sz w:val="21"/>
                      <w:szCs w:val="21"/>
                    </w:rPr>
                  </w:pPr>
                  <w:r>
                    <w:rPr>
                      <w:color w:val="auto"/>
                      <w:sz w:val="21"/>
                      <w:szCs w:val="21"/>
                      <w:highlight w:val="none"/>
                    </w:rPr>
                    <w:t>本项目</w:t>
                  </w:r>
                  <w:r>
                    <w:rPr>
                      <w:rFonts w:hint="eastAsia"/>
                      <w:color w:val="auto"/>
                      <w:sz w:val="21"/>
                      <w:szCs w:val="21"/>
                      <w:highlight w:val="none"/>
                    </w:rPr>
                    <w:t>新增的</w:t>
                  </w:r>
                  <w:r>
                    <w:rPr>
                      <w:color w:val="auto"/>
                      <w:sz w:val="21"/>
                      <w:szCs w:val="21"/>
                      <w:highlight w:val="none"/>
                    </w:rPr>
                    <w:t>生态修复材料熟化及成品堆场</w:t>
                  </w:r>
                  <w:r>
                    <w:rPr>
                      <w:rFonts w:hint="eastAsia"/>
                      <w:color w:val="auto"/>
                      <w:sz w:val="21"/>
                      <w:szCs w:val="21"/>
                      <w:highlight w:val="none"/>
                      <w:lang w:eastAsia="zh-CN"/>
                    </w:rPr>
                    <w:t>、</w:t>
                  </w:r>
                  <w:r>
                    <w:rPr>
                      <w:rFonts w:hint="eastAsia"/>
                      <w:color w:val="auto"/>
                      <w:sz w:val="21"/>
                      <w:szCs w:val="21"/>
                      <w:highlight w:val="none"/>
                    </w:rPr>
                    <w:t>土壤</w:t>
                  </w:r>
                  <w:r>
                    <w:rPr>
                      <w:rFonts w:hint="eastAsia" w:ascii="Times New Roman" w:hAnsi="Times New Roman"/>
                      <w:color w:val="auto"/>
                      <w:kern w:val="2"/>
                      <w:sz w:val="21"/>
                      <w:szCs w:val="21"/>
                      <w:lang w:val="en-US" w:eastAsia="zh-CN"/>
                    </w:rPr>
                    <w:t>改良</w:t>
                  </w:r>
                  <w:r>
                    <w:rPr>
                      <w:rFonts w:hint="eastAsia"/>
                      <w:color w:val="auto"/>
                      <w:sz w:val="21"/>
                      <w:szCs w:val="21"/>
                      <w:highlight w:val="none"/>
                    </w:rPr>
                    <w:t>剂熟化及成品堆场和路基材料熟化及成品堆场</w:t>
                  </w:r>
                  <w:r>
                    <w:rPr>
                      <w:color w:val="auto"/>
                      <w:sz w:val="21"/>
                      <w:szCs w:val="21"/>
                      <w:highlight w:val="none"/>
                    </w:rPr>
                    <w:t>位置</w:t>
                  </w:r>
                  <w:r>
                    <w:rPr>
                      <w:color w:val="auto"/>
                      <w:sz w:val="21"/>
                      <w:szCs w:val="21"/>
                    </w:rPr>
                    <w:t>不属湖泊、水库洪泛区。场址符合该条要求。</w:t>
                  </w:r>
                </w:p>
              </w:tc>
              <w:tc>
                <w:tcPr>
                  <w:tcW w:w="544" w:type="pct"/>
                  <w:tcBorders>
                    <w:top w:val="single" w:color="auto" w:sz="4" w:space="0"/>
                    <w:left w:val="single" w:color="auto" w:sz="4" w:space="0"/>
                    <w:bottom w:val="single" w:color="auto" w:sz="4" w:space="0"/>
                    <w:right w:val="single" w:color="auto" w:sz="4" w:space="0"/>
                  </w:tcBorders>
                  <w:vAlign w:val="center"/>
                </w:tcPr>
                <w:p w14:paraId="44AA5786">
                  <w:pPr>
                    <w:jc w:val="center"/>
                    <w:rPr>
                      <w:color w:val="auto"/>
                      <w:sz w:val="21"/>
                      <w:szCs w:val="21"/>
                    </w:rPr>
                  </w:pPr>
                  <w:r>
                    <w:rPr>
                      <w:color w:val="auto"/>
                      <w:sz w:val="21"/>
                      <w:szCs w:val="21"/>
                    </w:rPr>
                    <w:t>符合</w:t>
                  </w:r>
                </w:p>
              </w:tc>
            </w:tr>
            <w:tr w14:paraId="79A5FC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6" w:hRule="atLeast"/>
                <w:jc w:val="center"/>
              </w:trPr>
              <w:tc>
                <w:tcPr>
                  <w:tcW w:w="2159" w:type="pct"/>
                  <w:tcBorders>
                    <w:top w:val="single" w:color="auto" w:sz="4" w:space="0"/>
                    <w:left w:val="single" w:color="auto" w:sz="4" w:space="0"/>
                    <w:bottom w:val="single" w:color="auto" w:sz="4" w:space="0"/>
                    <w:right w:val="single" w:color="auto" w:sz="4" w:space="0"/>
                  </w:tcBorders>
                  <w:vAlign w:val="center"/>
                </w:tcPr>
                <w:p w14:paraId="40715DE2">
                  <w:pPr>
                    <w:jc w:val="center"/>
                    <w:rPr>
                      <w:color w:val="auto"/>
                      <w:sz w:val="21"/>
                      <w:szCs w:val="21"/>
                    </w:rPr>
                  </w:pPr>
                  <w:r>
                    <w:rPr>
                      <w:bCs/>
                      <w:color w:val="auto"/>
                      <w:sz w:val="21"/>
                      <w:szCs w:val="21"/>
                      <w:shd w:val="clear" w:color="auto" w:fill="FFFFFF"/>
                    </w:rPr>
                    <w:t>Ⅱ类场技术要求</w:t>
                  </w:r>
                </w:p>
              </w:tc>
              <w:tc>
                <w:tcPr>
                  <w:tcW w:w="2298" w:type="pct"/>
                  <w:tcBorders>
                    <w:top w:val="single" w:color="auto" w:sz="4" w:space="0"/>
                    <w:left w:val="single" w:color="auto" w:sz="4" w:space="0"/>
                    <w:bottom w:val="single" w:color="auto" w:sz="4" w:space="0"/>
                    <w:right w:val="single" w:color="auto" w:sz="4" w:space="0"/>
                  </w:tcBorders>
                  <w:vAlign w:val="center"/>
                </w:tcPr>
                <w:p w14:paraId="1619212F">
                  <w:pPr>
                    <w:jc w:val="center"/>
                    <w:rPr>
                      <w:color w:val="auto"/>
                      <w:sz w:val="21"/>
                      <w:szCs w:val="21"/>
                    </w:rPr>
                  </w:pPr>
                  <w:r>
                    <w:rPr>
                      <w:color w:val="auto"/>
                      <w:sz w:val="21"/>
                      <w:szCs w:val="21"/>
                    </w:rPr>
                    <w:t>拟建项目的符合性</w:t>
                  </w:r>
                </w:p>
              </w:tc>
              <w:tc>
                <w:tcPr>
                  <w:tcW w:w="544" w:type="pct"/>
                  <w:tcBorders>
                    <w:top w:val="single" w:color="auto" w:sz="4" w:space="0"/>
                    <w:left w:val="single" w:color="auto" w:sz="4" w:space="0"/>
                    <w:bottom w:val="single" w:color="auto" w:sz="4" w:space="0"/>
                    <w:right w:val="single" w:color="auto" w:sz="4" w:space="0"/>
                  </w:tcBorders>
                  <w:vAlign w:val="center"/>
                </w:tcPr>
                <w:p w14:paraId="52D9415F">
                  <w:pPr>
                    <w:jc w:val="center"/>
                    <w:rPr>
                      <w:color w:val="auto"/>
                      <w:sz w:val="21"/>
                      <w:szCs w:val="21"/>
                    </w:rPr>
                  </w:pPr>
                  <w:r>
                    <w:rPr>
                      <w:color w:val="auto"/>
                      <w:sz w:val="21"/>
                      <w:szCs w:val="21"/>
                    </w:rPr>
                    <w:t>符合性</w:t>
                  </w:r>
                </w:p>
              </w:tc>
            </w:tr>
            <w:tr w14:paraId="1F5A0A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49" w:hRule="atLeast"/>
                <w:jc w:val="center"/>
              </w:trPr>
              <w:tc>
                <w:tcPr>
                  <w:tcW w:w="2159" w:type="pct"/>
                  <w:tcBorders>
                    <w:top w:val="single" w:color="auto" w:sz="4" w:space="0"/>
                    <w:left w:val="single" w:color="auto" w:sz="4" w:space="0"/>
                    <w:bottom w:val="single" w:color="auto" w:sz="4" w:space="0"/>
                    <w:right w:val="single" w:color="auto" w:sz="4" w:space="0"/>
                  </w:tcBorders>
                  <w:vAlign w:val="center"/>
                </w:tcPr>
                <w:p w14:paraId="1870A4ED">
                  <w:pPr>
                    <w:widowControl/>
                    <w:shd w:val="clear" w:color="auto" w:fill="FFFFFF"/>
                    <w:spacing w:before="75" w:after="75"/>
                    <w:ind w:firstLine="480"/>
                    <w:jc w:val="center"/>
                    <w:rPr>
                      <w:color w:val="auto"/>
                      <w:sz w:val="21"/>
                      <w:szCs w:val="21"/>
                    </w:rPr>
                  </w:pPr>
                  <w:r>
                    <w:rPr>
                      <w:color w:val="auto"/>
                      <w:sz w:val="21"/>
                      <w:szCs w:val="21"/>
                    </w:rPr>
                    <w:t>人工合成材料应采用高密度聚乙烯膜，厚度不小于1.5mm，并满足GB/T 17643规定的技术指标要求。采用其他人工合成材料的，其防渗性能至少相当于1.5mm高密度聚乙烯膜的防渗性能。</w:t>
                  </w:r>
                </w:p>
              </w:tc>
              <w:tc>
                <w:tcPr>
                  <w:tcW w:w="3345" w:type="dxa"/>
                  <w:tcBorders>
                    <w:top w:val="single" w:color="auto" w:sz="4" w:space="0"/>
                    <w:left w:val="single" w:color="auto" w:sz="4" w:space="0"/>
                    <w:bottom w:val="single" w:color="auto" w:sz="4" w:space="0"/>
                    <w:right w:val="single" w:color="auto" w:sz="4" w:space="0"/>
                  </w:tcBorders>
                  <w:vAlign w:val="center"/>
                </w:tcPr>
                <w:p w14:paraId="56B868D1">
                  <w:pPr>
                    <w:jc w:val="center"/>
                    <w:rPr>
                      <w:color w:val="auto"/>
                      <w:sz w:val="21"/>
                      <w:szCs w:val="21"/>
                    </w:rPr>
                  </w:pPr>
                  <w:r>
                    <w:rPr>
                      <w:color w:val="auto"/>
                      <w:sz w:val="21"/>
                      <w:szCs w:val="21"/>
                    </w:rPr>
                    <w:t>现状闲置库房内场地</w:t>
                  </w:r>
                  <w:r>
                    <w:rPr>
                      <w:rFonts w:hint="eastAsia"/>
                      <w:color w:val="auto"/>
                      <w:sz w:val="21"/>
                      <w:szCs w:val="21"/>
                      <w:lang w:val="en-US" w:eastAsia="zh-CN"/>
                    </w:rPr>
                    <w:t>已采取了粘土铺地压实（</w:t>
                  </w:r>
                  <w:r>
                    <w:rPr>
                      <w:color w:val="auto"/>
                      <w:sz w:val="21"/>
                      <w:szCs w:val="21"/>
                    </w:rPr>
                    <w:t>厚度</w:t>
                  </w:r>
                  <w:r>
                    <w:rPr>
                      <w:rFonts w:hint="eastAsia"/>
                      <w:color w:val="auto"/>
                      <w:sz w:val="21"/>
                      <w:szCs w:val="21"/>
                    </w:rPr>
                    <w:t>0.75</w:t>
                  </w:r>
                  <w:r>
                    <w:rPr>
                      <w:color w:val="auto"/>
                      <w:sz w:val="21"/>
                      <w:szCs w:val="21"/>
                    </w:rPr>
                    <w:t>m，K≤1×10</w:t>
                  </w:r>
                  <w:r>
                    <w:rPr>
                      <w:color w:val="auto"/>
                      <w:sz w:val="21"/>
                      <w:szCs w:val="21"/>
                      <w:vertAlign w:val="superscript"/>
                    </w:rPr>
                    <w:t>-7</w:t>
                  </w:r>
                  <w:r>
                    <w:rPr>
                      <w:color w:val="auto"/>
                      <w:sz w:val="21"/>
                      <w:szCs w:val="21"/>
                    </w:rPr>
                    <w:t>cm/s</w:t>
                  </w:r>
                  <w:r>
                    <w:rPr>
                      <w:rFonts w:hint="eastAsia"/>
                      <w:color w:val="auto"/>
                      <w:sz w:val="21"/>
                      <w:szCs w:val="21"/>
                      <w:lang w:val="en-US" w:eastAsia="zh-CN"/>
                    </w:rPr>
                    <w:t>），再在上层铺设</w:t>
                  </w:r>
                  <w:r>
                    <w:rPr>
                      <w:rFonts w:hint="eastAsia"/>
                      <w:color w:val="auto"/>
                      <w:sz w:val="21"/>
                      <w:szCs w:val="21"/>
                    </w:rPr>
                    <w:t>C</w:t>
                  </w:r>
                  <w:r>
                    <w:rPr>
                      <w:rFonts w:hint="eastAsia"/>
                      <w:color w:val="auto"/>
                      <w:sz w:val="21"/>
                      <w:szCs w:val="21"/>
                      <w:lang w:val="en-US" w:eastAsia="zh-CN"/>
                    </w:rPr>
                    <w:t>3</w:t>
                  </w:r>
                  <w:r>
                    <w:rPr>
                      <w:rFonts w:hint="eastAsia"/>
                      <w:color w:val="auto"/>
                      <w:sz w:val="21"/>
                      <w:szCs w:val="21"/>
                    </w:rPr>
                    <w:t>0</w:t>
                  </w:r>
                  <w:r>
                    <w:rPr>
                      <w:color w:val="auto"/>
                      <w:sz w:val="21"/>
                      <w:szCs w:val="21"/>
                    </w:rPr>
                    <w:t>混凝土（厚度</w:t>
                  </w:r>
                  <w:r>
                    <w:rPr>
                      <w:rFonts w:hint="eastAsia"/>
                      <w:color w:val="auto"/>
                      <w:sz w:val="21"/>
                      <w:szCs w:val="21"/>
                      <w:lang w:val="en-US" w:eastAsia="zh-CN"/>
                    </w:rPr>
                    <w:t>300</w:t>
                  </w:r>
                  <w:r>
                    <w:rPr>
                      <w:rFonts w:hint="eastAsia"/>
                      <w:color w:val="auto"/>
                      <w:sz w:val="21"/>
                      <w:szCs w:val="21"/>
                    </w:rPr>
                    <w:t>mm</w:t>
                  </w:r>
                  <w:r>
                    <w:rPr>
                      <w:rFonts w:hint="eastAsia"/>
                      <w:color w:val="auto"/>
                      <w:sz w:val="21"/>
                      <w:szCs w:val="21"/>
                      <w:lang w:eastAsia="zh-CN"/>
                    </w:rPr>
                    <w:t>、</w:t>
                  </w:r>
                  <w:r>
                    <w:rPr>
                      <w:rFonts w:hint="eastAsia"/>
                      <w:color w:val="auto"/>
                      <w:sz w:val="21"/>
                      <w:szCs w:val="21"/>
                      <w:lang w:val="en-US" w:eastAsia="zh-CN"/>
                    </w:rPr>
                    <w:t>抗渗等级为P8</w:t>
                  </w:r>
                  <w:r>
                    <w:rPr>
                      <w:color w:val="auto"/>
                      <w:sz w:val="21"/>
                      <w:szCs w:val="21"/>
                    </w:rPr>
                    <w:t>）。</w:t>
                  </w:r>
                </w:p>
              </w:tc>
              <w:tc>
                <w:tcPr>
                  <w:tcW w:w="544" w:type="pct"/>
                  <w:tcBorders>
                    <w:top w:val="single" w:color="auto" w:sz="4" w:space="0"/>
                    <w:left w:val="single" w:color="auto" w:sz="4" w:space="0"/>
                    <w:bottom w:val="single" w:color="auto" w:sz="4" w:space="0"/>
                    <w:right w:val="single" w:color="auto" w:sz="4" w:space="0"/>
                  </w:tcBorders>
                  <w:vAlign w:val="center"/>
                </w:tcPr>
                <w:p w14:paraId="1D3A6B20">
                  <w:pPr>
                    <w:jc w:val="center"/>
                    <w:rPr>
                      <w:color w:val="auto"/>
                      <w:sz w:val="21"/>
                      <w:szCs w:val="21"/>
                    </w:rPr>
                  </w:pPr>
                  <w:r>
                    <w:rPr>
                      <w:color w:val="auto"/>
                      <w:sz w:val="21"/>
                      <w:szCs w:val="21"/>
                    </w:rPr>
                    <w:t>符合</w:t>
                  </w:r>
                </w:p>
              </w:tc>
            </w:tr>
            <w:tr w14:paraId="35E7B3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681" w:hRule="atLeast"/>
                <w:jc w:val="center"/>
              </w:trPr>
              <w:tc>
                <w:tcPr>
                  <w:tcW w:w="2159" w:type="pct"/>
                  <w:tcBorders>
                    <w:top w:val="single" w:color="auto" w:sz="4" w:space="0"/>
                    <w:left w:val="single" w:color="auto" w:sz="4" w:space="0"/>
                    <w:bottom w:val="single" w:color="auto" w:sz="4" w:space="0"/>
                    <w:right w:val="single" w:color="auto" w:sz="4" w:space="0"/>
                  </w:tcBorders>
                  <w:vAlign w:val="center"/>
                </w:tcPr>
                <w:p w14:paraId="68F12A5E">
                  <w:pPr>
                    <w:widowControl/>
                    <w:shd w:val="clear" w:color="auto" w:fill="FFFFFF"/>
                    <w:spacing w:before="75" w:after="75"/>
                    <w:jc w:val="center"/>
                    <w:rPr>
                      <w:color w:val="auto"/>
                      <w:sz w:val="21"/>
                      <w:szCs w:val="21"/>
                    </w:rPr>
                  </w:pPr>
                  <w:r>
                    <w:rPr>
                      <w:color w:val="auto"/>
                      <w:sz w:val="21"/>
                      <w:szCs w:val="21"/>
                    </w:rPr>
                    <w:t>粘土衬层厚度应不小于0.75m，且经压实、人工改性等措施处理后的饱和渗透系数不应大于1.0×10</w:t>
                  </w:r>
                  <w:r>
                    <w:rPr>
                      <w:color w:val="auto"/>
                      <w:sz w:val="21"/>
                      <w:szCs w:val="21"/>
                      <w:vertAlign w:val="superscript"/>
                    </w:rPr>
                    <w:t>-7</w:t>
                  </w:r>
                  <w:r>
                    <w:rPr>
                      <w:color w:val="auto"/>
                      <w:sz w:val="21"/>
                      <w:szCs w:val="21"/>
                    </w:rPr>
                    <w:t xml:space="preserve"> cm/s。使用其他粘土类防渗衬层材料时，应具有同等以上隔水效力。</w:t>
                  </w:r>
                </w:p>
              </w:tc>
              <w:tc>
                <w:tcPr>
                  <w:tcW w:w="3345" w:type="dxa"/>
                  <w:tcBorders>
                    <w:top w:val="single" w:color="auto" w:sz="4" w:space="0"/>
                    <w:left w:val="single" w:color="auto" w:sz="4" w:space="0"/>
                    <w:bottom w:val="single" w:color="auto" w:sz="4" w:space="0"/>
                    <w:right w:val="single" w:color="auto" w:sz="4" w:space="0"/>
                  </w:tcBorders>
                  <w:vAlign w:val="center"/>
                </w:tcPr>
                <w:p w14:paraId="7E291CF9">
                  <w:pPr>
                    <w:jc w:val="center"/>
                    <w:rPr>
                      <w:color w:val="auto"/>
                      <w:sz w:val="21"/>
                      <w:szCs w:val="21"/>
                    </w:rPr>
                  </w:pPr>
                  <w:r>
                    <w:rPr>
                      <w:color w:val="auto"/>
                      <w:sz w:val="21"/>
                      <w:szCs w:val="21"/>
                    </w:rPr>
                    <w:t>现状闲置库房内场地</w:t>
                  </w:r>
                  <w:r>
                    <w:rPr>
                      <w:rFonts w:hint="eastAsia"/>
                      <w:color w:val="auto"/>
                      <w:sz w:val="21"/>
                      <w:szCs w:val="21"/>
                      <w:lang w:val="en-US" w:eastAsia="zh-CN"/>
                    </w:rPr>
                    <w:t>已采取了粘土铺地压实（</w:t>
                  </w:r>
                  <w:r>
                    <w:rPr>
                      <w:color w:val="auto"/>
                      <w:sz w:val="21"/>
                      <w:szCs w:val="21"/>
                    </w:rPr>
                    <w:t>厚度</w:t>
                  </w:r>
                  <w:r>
                    <w:rPr>
                      <w:rFonts w:hint="eastAsia"/>
                      <w:color w:val="auto"/>
                      <w:sz w:val="21"/>
                      <w:szCs w:val="21"/>
                    </w:rPr>
                    <w:t>0.75</w:t>
                  </w:r>
                  <w:r>
                    <w:rPr>
                      <w:color w:val="auto"/>
                      <w:sz w:val="21"/>
                      <w:szCs w:val="21"/>
                    </w:rPr>
                    <w:t>m，K≤1×10</w:t>
                  </w:r>
                  <w:r>
                    <w:rPr>
                      <w:color w:val="auto"/>
                      <w:sz w:val="21"/>
                      <w:szCs w:val="21"/>
                      <w:vertAlign w:val="superscript"/>
                    </w:rPr>
                    <w:t>-7</w:t>
                  </w:r>
                  <w:r>
                    <w:rPr>
                      <w:color w:val="auto"/>
                      <w:sz w:val="21"/>
                      <w:szCs w:val="21"/>
                    </w:rPr>
                    <w:t>cm/s</w:t>
                  </w:r>
                  <w:r>
                    <w:rPr>
                      <w:rFonts w:hint="eastAsia"/>
                      <w:color w:val="auto"/>
                      <w:sz w:val="21"/>
                      <w:szCs w:val="21"/>
                      <w:lang w:val="en-US" w:eastAsia="zh-CN"/>
                    </w:rPr>
                    <w:t>），再在上层铺设</w:t>
                  </w:r>
                  <w:r>
                    <w:rPr>
                      <w:rFonts w:hint="eastAsia"/>
                      <w:color w:val="auto"/>
                      <w:sz w:val="21"/>
                      <w:szCs w:val="21"/>
                    </w:rPr>
                    <w:t>C</w:t>
                  </w:r>
                  <w:r>
                    <w:rPr>
                      <w:rFonts w:hint="eastAsia"/>
                      <w:color w:val="auto"/>
                      <w:sz w:val="21"/>
                      <w:szCs w:val="21"/>
                      <w:lang w:val="en-US" w:eastAsia="zh-CN"/>
                    </w:rPr>
                    <w:t>3</w:t>
                  </w:r>
                  <w:r>
                    <w:rPr>
                      <w:rFonts w:hint="eastAsia"/>
                      <w:color w:val="auto"/>
                      <w:sz w:val="21"/>
                      <w:szCs w:val="21"/>
                    </w:rPr>
                    <w:t>0</w:t>
                  </w:r>
                  <w:r>
                    <w:rPr>
                      <w:color w:val="auto"/>
                      <w:sz w:val="21"/>
                      <w:szCs w:val="21"/>
                    </w:rPr>
                    <w:t>混凝土（厚度</w:t>
                  </w:r>
                  <w:r>
                    <w:rPr>
                      <w:rFonts w:hint="eastAsia"/>
                      <w:color w:val="auto"/>
                      <w:sz w:val="21"/>
                      <w:szCs w:val="21"/>
                      <w:lang w:val="en-US" w:eastAsia="zh-CN"/>
                    </w:rPr>
                    <w:t>300</w:t>
                  </w:r>
                  <w:r>
                    <w:rPr>
                      <w:rFonts w:hint="eastAsia"/>
                      <w:color w:val="auto"/>
                      <w:sz w:val="21"/>
                      <w:szCs w:val="21"/>
                    </w:rPr>
                    <w:t>mm</w:t>
                  </w:r>
                  <w:r>
                    <w:rPr>
                      <w:rFonts w:hint="eastAsia"/>
                      <w:color w:val="auto"/>
                      <w:sz w:val="21"/>
                      <w:szCs w:val="21"/>
                      <w:lang w:eastAsia="zh-CN"/>
                    </w:rPr>
                    <w:t>、</w:t>
                  </w:r>
                  <w:r>
                    <w:rPr>
                      <w:rFonts w:hint="eastAsia"/>
                      <w:color w:val="auto"/>
                      <w:sz w:val="21"/>
                      <w:szCs w:val="21"/>
                      <w:lang w:val="en-US" w:eastAsia="zh-CN"/>
                    </w:rPr>
                    <w:t>抗渗等级为P8</w:t>
                  </w:r>
                  <w:r>
                    <w:rPr>
                      <w:color w:val="auto"/>
                      <w:sz w:val="21"/>
                      <w:szCs w:val="21"/>
                    </w:rPr>
                    <w:t>）</w:t>
                  </w:r>
                </w:p>
              </w:tc>
              <w:tc>
                <w:tcPr>
                  <w:tcW w:w="544" w:type="pct"/>
                  <w:tcBorders>
                    <w:top w:val="single" w:color="auto" w:sz="4" w:space="0"/>
                    <w:left w:val="single" w:color="auto" w:sz="4" w:space="0"/>
                    <w:bottom w:val="single" w:color="auto" w:sz="4" w:space="0"/>
                    <w:right w:val="single" w:color="auto" w:sz="4" w:space="0"/>
                  </w:tcBorders>
                  <w:vAlign w:val="center"/>
                </w:tcPr>
                <w:p w14:paraId="22ADAEB3">
                  <w:pPr>
                    <w:jc w:val="center"/>
                    <w:rPr>
                      <w:color w:val="auto"/>
                      <w:sz w:val="21"/>
                      <w:szCs w:val="21"/>
                    </w:rPr>
                  </w:pPr>
                  <w:r>
                    <w:rPr>
                      <w:color w:val="auto"/>
                      <w:sz w:val="21"/>
                      <w:szCs w:val="21"/>
                    </w:rPr>
                    <w:t>符合</w:t>
                  </w:r>
                </w:p>
              </w:tc>
            </w:tr>
            <w:tr w14:paraId="091E22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675" w:hRule="atLeast"/>
                <w:jc w:val="center"/>
              </w:trPr>
              <w:tc>
                <w:tcPr>
                  <w:tcW w:w="2159" w:type="pct"/>
                  <w:tcBorders>
                    <w:top w:val="single" w:color="auto" w:sz="4" w:space="0"/>
                    <w:left w:val="single" w:color="auto" w:sz="4" w:space="0"/>
                    <w:bottom w:val="single" w:color="auto" w:sz="4" w:space="0"/>
                    <w:right w:val="single" w:color="auto" w:sz="4" w:space="0"/>
                  </w:tcBorders>
                  <w:vAlign w:val="center"/>
                </w:tcPr>
                <w:p w14:paraId="5BF86356">
                  <w:pPr>
                    <w:widowControl/>
                    <w:shd w:val="clear" w:color="auto" w:fill="FFFFFF"/>
                    <w:spacing w:before="75" w:after="75"/>
                    <w:jc w:val="center"/>
                    <w:rPr>
                      <w:color w:val="auto"/>
                      <w:sz w:val="21"/>
                      <w:szCs w:val="21"/>
                    </w:rPr>
                  </w:pPr>
                  <w:r>
                    <w:rPr>
                      <w:color w:val="auto"/>
                      <w:sz w:val="21"/>
                      <w:szCs w:val="21"/>
                    </w:rPr>
                    <w:t>II类场基础层表面应与地下水年最高水位保持1.5m以上的距离。当场区基础层表面与地下水年最高水位距离不足1.5m时，应建设地下水导排系统。地下水导排系统应确保II类场运行期地下水水位维持在基础层表面1.5m以下。</w:t>
                  </w:r>
                </w:p>
              </w:tc>
              <w:tc>
                <w:tcPr>
                  <w:tcW w:w="2298" w:type="pct"/>
                  <w:tcBorders>
                    <w:top w:val="single" w:color="auto" w:sz="4" w:space="0"/>
                    <w:left w:val="single" w:color="auto" w:sz="4" w:space="0"/>
                    <w:bottom w:val="single" w:color="auto" w:sz="4" w:space="0"/>
                    <w:right w:val="single" w:color="auto" w:sz="4" w:space="0"/>
                  </w:tcBorders>
                  <w:vAlign w:val="center"/>
                </w:tcPr>
                <w:p w14:paraId="7E11C432">
                  <w:pPr>
                    <w:jc w:val="center"/>
                    <w:rPr>
                      <w:color w:val="auto"/>
                      <w:sz w:val="21"/>
                      <w:szCs w:val="21"/>
                    </w:rPr>
                  </w:pPr>
                  <w:r>
                    <w:rPr>
                      <w:color w:val="auto"/>
                      <w:sz w:val="21"/>
                      <w:szCs w:val="21"/>
                    </w:rPr>
                    <w:t>根据</w:t>
                  </w:r>
                  <w:r>
                    <w:rPr>
                      <w:color w:val="auto"/>
                      <w:sz w:val="21"/>
                      <w:szCs w:val="21"/>
                      <w:highlight w:val="none"/>
                    </w:rPr>
                    <w:t>地质勘察报告</w:t>
                  </w:r>
                  <w:r>
                    <w:rPr>
                      <w:color w:val="auto"/>
                      <w:sz w:val="21"/>
                      <w:szCs w:val="21"/>
                    </w:rPr>
                    <w:t>，项目区地下水位距离天然基础层大于1.5m，该条符合要求</w:t>
                  </w:r>
                </w:p>
              </w:tc>
              <w:tc>
                <w:tcPr>
                  <w:tcW w:w="544" w:type="pct"/>
                  <w:tcBorders>
                    <w:top w:val="single" w:color="auto" w:sz="4" w:space="0"/>
                    <w:left w:val="single" w:color="auto" w:sz="4" w:space="0"/>
                    <w:bottom w:val="single" w:color="auto" w:sz="4" w:space="0"/>
                    <w:right w:val="single" w:color="auto" w:sz="4" w:space="0"/>
                  </w:tcBorders>
                  <w:vAlign w:val="center"/>
                </w:tcPr>
                <w:p w14:paraId="73D64047">
                  <w:pPr>
                    <w:jc w:val="center"/>
                    <w:rPr>
                      <w:color w:val="auto"/>
                      <w:sz w:val="21"/>
                      <w:szCs w:val="21"/>
                    </w:rPr>
                  </w:pPr>
                  <w:r>
                    <w:rPr>
                      <w:color w:val="auto"/>
                      <w:sz w:val="21"/>
                      <w:szCs w:val="21"/>
                    </w:rPr>
                    <w:t>符合</w:t>
                  </w:r>
                </w:p>
              </w:tc>
            </w:tr>
            <w:tr w14:paraId="74D994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59" w:type="pct"/>
                  <w:tcBorders>
                    <w:top w:val="single" w:color="auto" w:sz="4" w:space="0"/>
                    <w:left w:val="single" w:color="auto" w:sz="4" w:space="0"/>
                    <w:bottom w:val="single" w:color="auto" w:sz="4" w:space="0"/>
                    <w:right w:val="single" w:color="auto" w:sz="4" w:space="0"/>
                  </w:tcBorders>
                  <w:vAlign w:val="center"/>
                </w:tcPr>
                <w:p w14:paraId="0CFFE376">
                  <w:pPr>
                    <w:jc w:val="center"/>
                    <w:rPr>
                      <w:color w:val="auto"/>
                      <w:sz w:val="21"/>
                      <w:szCs w:val="21"/>
                    </w:rPr>
                  </w:pPr>
                  <w:r>
                    <w:rPr>
                      <w:color w:val="auto"/>
                      <w:sz w:val="21"/>
                      <w:szCs w:val="21"/>
                    </w:rPr>
                    <w:t>II类场应设置渗漏监控系统，监控防渗衬层的完整性。渗漏监控系统的构成包括但不限于防渗衬层渗漏监测设备、地下水监测井。</w:t>
                  </w:r>
                </w:p>
              </w:tc>
              <w:tc>
                <w:tcPr>
                  <w:tcW w:w="2298" w:type="pct"/>
                  <w:tcBorders>
                    <w:top w:val="single" w:color="auto" w:sz="4" w:space="0"/>
                    <w:left w:val="single" w:color="auto" w:sz="4" w:space="0"/>
                    <w:bottom w:val="single" w:color="auto" w:sz="4" w:space="0"/>
                    <w:right w:val="single" w:color="auto" w:sz="4" w:space="0"/>
                  </w:tcBorders>
                  <w:vAlign w:val="center"/>
                </w:tcPr>
                <w:p w14:paraId="29F49869">
                  <w:pPr>
                    <w:jc w:val="center"/>
                    <w:rPr>
                      <w:color w:val="auto"/>
                      <w:sz w:val="21"/>
                      <w:szCs w:val="21"/>
                    </w:rPr>
                  </w:pPr>
                  <w:r>
                    <w:rPr>
                      <w:color w:val="auto"/>
                      <w:sz w:val="21"/>
                      <w:szCs w:val="21"/>
                    </w:rPr>
                    <w:t>项目位于</w:t>
                  </w:r>
                  <w:r>
                    <w:rPr>
                      <w:rFonts w:hint="eastAsia"/>
                      <w:color w:val="auto"/>
                      <w:sz w:val="21"/>
                      <w:szCs w:val="21"/>
                      <w:lang w:eastAsia="zh-CN"/>
                    </w:rPr>
                    <w:t>云南常青树化工有限公司</w:t>
                  </w:r>
                  <w:r>
                    <w:rPr>
                      <w:color w:val="auto"/>
                      <w:sz w:val="21"/>
                      <w:szCs w:val="21"/>
                    </w:rPr>
                    <w:t>现有厂区内，根据现场调查，</w:t>
                  </w:r>
                  <w:r>
                    <w:rPr>
                      <w:color w:val="auto"/>
                      <w:sz w:val="21"/>
                      <w:szCs w:val="21"/>
                      <w:highlight w:val="none"/>
                    </w:rPr>
                    <w:t>现有厂区内</w:t>
                  </w:r>
                  <w:r>
                    <w:rPr>
                      <w:rFonts w:ascii="Times New Roman" w:hAnsi="Times New Roman" w:eastAsia="宋体" w:cs="Times New Roman"/>
                      <w:color w:val="auto"/>
                      <w:sz w:val="21"/>
                      <w:szCs w:val="21"/>
                    </w:rPr>
                    <w:t>已设置有</w:t>
                  </w:r>
                  <w:r>
                    <w:rPr>
                      <w:rFonts w:hint="eastAsia" w:ascii="Times New Roman" w:hAnsi="Times New Roman" w:eastAsia="宋体" w:cs="Times New Roman"/>
                      <w:color w:val="auto"/>
                      <w:sz w:val="21"/>
                      <w:szCs w:val="21"/>
                      <w:lang w:val="en-US" w:eastAsia="zh-CN"/>
                    </w:rPr>
                    <w:t>3个观测井</w:t>
                  </w:r>
                  <w:r>
                    <w:rPr>
                      <w:rFonts w:ascii="Times New Roman" w:hAnsi="Times New Roman" w:eastAsia="宋体" w:cs="Times New Roman"/>
                      <w:color w:val="auto"/>
                      <w:sz w:val="21"/>
                      <w:szCs w:val="21"/>
                    </w:rPr>
                    <w:t>作为对照井和污染监观测井</w:t>
                  </w:r>
                  <w:r>
                    <w:rPr>
                      <w:rFonts w:hint="eastAsia" w:ascii="Times New Roman" w:hAnsi="Times New Roman" w:eastAsia="宋体" w:cs="Times New Roman"/>
                      <w:color w:val="auto"/>
                      <w:sz w:val="21"/>
                      <w:szCs w:val="21"/>
                      <w:lang w:val="en-US" w:eastAsia="zh-CN"/>
                    </w:rPr>
                    <w:t>，分别为1#上游监测井（位于厂区上游东侧263m）、2#下游监测井（位于厂区下游西侧约51m）、3#渣场监测井（位于项目内，渣场东侧约180m）。</w:t>
                  </w:r>
                </w:p>
              </w:tc>
              <w:tc>
                <w:tcPr>
                  <w:tcW w:w="544" w:type="pct"/>
                  <w:tcBorders>
                    <w:top w:val="single" w:color="auto" w:sz="4" w:space="0"/>
                    <w:left w:val="single" w:color="auto" w:sz="4" w:space="0"/>
                    <w:bottom w:val="single" w:color="auto" w:sz="4" w:space="0"/>
                    <w:right w:val="single" w:color="auto" w:sz="4" w:space="0"/>
                  </w:tcBorders>
                  <w:vAlign w:val="center"/>
                </w:tcPr>
                <w:p w14:paraId="078D04C8">
                  <w:pPr>
                    <w:jc w:val="center"/>
                    <w:rPr>
                      <w:color w:val="auto"/>
                      <w:sz w:val="21"/>
                      <w:szCs w:val="21"/>
                    </w:rPr>
                  </w:pPr>
                  <w:r>
                    <w:rPr>
                      <w:color w:val="auto"/>
                      <w:sz w:val="21"/>
                      <w:szCs w:val="21"/>
                    </w:rPr>
                    <w:t>符合</w:t>
                  </w:r>
                </w:p>
              </w:tc>
            </w:tr>
            <w:tr w14:paraId="34FC42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59" w:type="pct"/>
                  <w:tcBorders>
                    <w:top w:val="single" w:color="auto" w:sz="4" w:space="0"/>
                    <w:left w:val="single" w:color="auto" w:sz="4" w:space="0"/>
                    <w:bottom w:val="single" w:color="auto" w:sz="4" w:space="0"/>
                    <w:right w:val="single" w:color="auto" w:sz="4" w:space="0"/>
                  </w:tcBorders>
                  <w:vAlign w:val="center"/>
                </w:tcPr>
                <w:p w14:paraId="55917539">
                  <w:pPr>
                    <w:jc w:val="center"/>
                    <w:rPr>
                      <w:color w:val="auto"/>
                      <w:sz w:val="21"/>
                      <w:szCs w:val="21"/>
                    </w:rPr>
                  </w:pPr>
                  <w:r>
                    <w:rPr>
                      <w:color w:val="auto"/>
                      <w:sz w:val="21"/>
                      <w:szCs w:val="21"/>
                    </w:rPr>
                    <w:t>人工合成材料衬层、渗滤液收集和导排系统的施工不应对粘土衬层造成破坏。</w:t>
                  </w:r>
                </w:p>
              </w:tc>
              <w:tc>
                <w:tcPr>
                  <w:tcW w:w="2298" w:type="pct"/>
                  <w:tcBorders>
                    <w:top w:val="single" w:color="auto" w:sz="4" w:space="0"/>
                    <w:left w:val="single" w:color="auto" w:sz="4" w:space="0"/>
                    <w:bottom w:val="single" w:color="auto" w:sz="4" w:space="0"/>
                    <w:right w:val="single" w:color="auto" w:sz="4" w:space="0"/>
                  </w:tcBorders>
                  <w:vAlign w:val="center"/>
                </w:tcPr>
                <w:p w14:paraId="4F76208A">
                  <w:pPr>
                    <w:jc w:val="center"/>
                    <w:rPr>
                      <w:color w:val="auto"/>
                      <w:sz w:val="21"/>
                      <w:szCs w:val="21"/>
                    </w:rPr>
                  </w:pPr>
                  <w:r>
                    <w:rPr>
                      <w:color w:val="auto"/>
                      <w:sz w:val="21"/>
                      <w:szCs w:val="21"/>
                    </w:rPr>
                    <w:t>本次环评要求，在施工过程中，不得对粘土衬层造成破坏</w:t>
                  </w:r>
                </w:p>
              </w:tc>
              <w:tc>
                <w:tcPr>
                  <w:tcW w:w="544" w:type="pct"/>
                  <w:tcBorders>
                    <w:top w:val="single" w:color="auto" w:sz="4" w:space="0"/>
                    <w:left w:val="single" w:color="auto" w:sz="4" w:space="0"/>
                    <w:bottom w:val="single" w:color="auto" w:sz="4" w:space="0"/>
                    <w:right w:val="single" w:color="auto" w:sz="4" w:space="0"/>
                  </w:tcBorders>
                  <w:vAlign w:val="center"/>
                </w:tcPr>
                <w:p w14:paraId="481EE6A5">
                  <w:pPr>
                    <w:jc w:val="center"/>
                    <w:rPr>
                      <w:color w:val="auto"/>
                      <w:sz w:val="21"/>
                      <w:szCs w:val="21"/>
                    </w:rPr>
                  </w:pPr>
                  <w:r>
                    <w:rPr>
                      <w:color w:val="auto"/>
                      <w:sz w:val="21"/>
                      <w:szCs w:val="21"/>
                    </w:rPr>
                    <w:t>符合</w:t>
                  </w:r>
                </w:p>
              </w:tc>
            </w:tr>
          </w:tbl>
          <w:p w14:paraId="0D2AFCA9">
            <w:pPr>
              <w:spacing w:line="360" w:lineRule="auto"/>
              <w:ind w:firstLine="480" w:firstLineChars="200"/>
              <w:rPr>
                <w:color w:val="auto"/>
                <w:sz w:val="24"/>
              </w:rPr>
            </w:pPr>
            <w:r>
              <w:rPr>
                <w:color w:val="auto"/>
                <w:sz w:val="24"/>
              </w:rPr>
              <w:t>综上，项目的场址选择以及防渗技术要求均符合GB 18599-2020《一般工业固体废物贮存、处置场污染控制标准》Ⅱ类固废处置场要求。</w:t>
            </w:r>
          </w:p>
          <w:p w14:paraId="749E91B8">
            <w:pPr>
              <w:pStyle w:val="102"/>
              <w:spacing w:line="360" w:lineRule="auto"/>
              <w:ind w:firstLine="482"/>
              <w:jc w:val="both"/>
              <w:rPr>
                <w:b/>
                <w:bCs/>
                <w:color w:val="auto"/>
                <w:sz w:val="24"/>
                <w:szCs w:val="24"/>
                <w:shd w:val="clear" w:color="auto" w:fill="FFFFFF"/>
                <w:lang w:eastAsia="zh-CN"/>
              </w:rPr>
            </w:pPr>
            <w:r>
              <w:rPr>
                <w:rFonts w:ascii="Times New Roman" w:hAnsi="Times New Roman"/>
                <w:b/>
                <w:color w:val="auto"/>
                <w:sz w:val="24"/>
                <w:szCs w:val="24"/>
                <w:lang w:eastAsia="zh-CN"/>
              </w:rPr>
              <w:t>1</w:t>
            </w:r>
            <w:r>
              <w:rPr>
                <w:rFonts w:hint="eastAsia" w:ascii="Times New Roman" w:hAnsi="Times New Roman"/>
                <w:b/>
                <w:color w:val="auto"/>
                <w:sz w:val="24"/>
                <w:szCs w:val="24"/>
                <w:lang w:val="en-US" w:eastAsia="zh-CN"/>
              </w:rPr>
              <w:t>4</w:t>
            </w:r>
            <w:r>
              <w:rPr>
                <w:rFonts w:ascii="Times New Roman" w:hAnsi="Times New Roman"/>
                <w:b/>
                <w:color w:val="auto"/>
                <w:sz w:val="24"/>
                <w:szCs w:val="24"/>
                <w:lang w:eastAsia="zh-CN"/>
              </w:rPr>
              <w:t>、与《</w:t>
            </w:r>
            <w:r>
              <w:rPr>
                <w:rFonts w:hint="eastAsia" w:ascii="Times New Roman" w:hAnsi="Times New Roman"/>
                <w:b/>
                <w:color w:val="auto"/>
                <w:sz w:val="24"/>
                <w:szCs w:val="24"/>
                <w:lang w:eastAsia="zh-CN"/>
              </w:rPr>
              <w:t>云南省固体废物污染环境防治条例</w:t>
            </w:r>
            <w:r>
              <w:rPr>
                <w:rFonts w:ascii="Times New Roman" w:hAnsi="Times New Roman"/>
                <w:b/>
                <w:color w:val="auto"/>
                <w:sz w:val="24"/>
                <w:szCs w:val="24"/>
                <w:lang w:eastAsia="zh-CN"/>
              </w:rPr>
              <w:t>》</w:t>
            </w:r>
            <w:r>
              <w:rPr>
                <w:rFonts w:hint="eastAsia"/>
                <w:b/>
                <w:color w:val="auto"/>
                <w:sz w:val="24"/>
                <w:szCs w:val="24"/>
                <w:lang w:eastAsia="zh-CN"/>
              </w:rPr>
              <w:t>相符性分析</w:t>
            </w:r>
          </w:p>
          <w:p w14:paraId="5AF85847">
            <w:pPr>
              <w:jc w:val="center"/>
              <w:rPr>
                <w:b/>
                <w:bCs/>
                <w:color w:val="auto"/>
                <w:sz w:val="24"/>
                <w:shd w:val="clear" w:color="auto" w:fill="FFFFFF"/>
              </w:rPr>
            </w:pPr>
            <w:r>
              <w:rPr>
                <w:b/>
                <w:bCs/>
                <w:color w:val="auto"/>
                <w:sz w:val="24"/>
              </w:rPr>
              <w:t>表1</w:t>
            </w:r>
            <w:r>
              <w:rPr>
                <w:rFonts w:hint="eastAsia"/>
                <w:b/>
                <w:bCs/>
                <w:color w:val="auto"/>
                <w:sz w:val="24"/>
              </w:rPr>
              <w:t xml:space="preserve">-13  </w:t>
            </w:r>
            <w:r>
              <w:rPr>
                <w:b/>
                <w:color w:val="auto"/>
                <w:sz w:val="24"/>
              </w:rPr>
              <w:t>项目与《</w:t>
            </w:r>
            <w:r>
              <w:rPr>
                <w:rFonts w:hint="eastAsia"/>
                <w:b/>
                <w:color w:val="auto"/>
                <w:sz w:val="24"/>
              </w:rPr>
              <w:t>云南省固体废物污染环境防治条例</w:t>
            </w:r>
            <w:r>
              <w:rPr>
                <w:b/>
                <w:color w:val="auto"/>
                <w:sz w:val="24"/>
              </w:rPr>
              <w:t>》</w:t>
            </w:r>
            <w:r>
              <w:rPr>
                <w:rFonts w:hint="eastAsia"/>
                <w:b/>
                <w:color w:val="auto"/>
                <w:sz w:val="24"/>
              </w:rPr>
              <w:t>相符性</w:t>
            </w:r>
            <w:r>
              <w:rPr>
                <w:b/>
                <w:color w:val="auto"/>
                <w:sz w:val="24"/>
              </w:rPr>
              <w:t>分析</w:t>
            </w:r>
          </w:p>
          <w:tbl>
            <w:tblPr>
              <w:tblStyle w:val="45"/>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525"/>
              <w:gridCol w:w="3097"/>
              <w:gridCol w:w="657"/>
            </w:tblGrid>
            <w:tr w14:paraId="2CAB7D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3525" w:type="dxa"/>
                  <w:tcBorders>
                    <w:top w:val="single" w:color="auto" w:sz="4" w:space="0"/>
                    <w:left w:val="single" w:color="auto" w:sz="4" w:space="0"/>
                    <w:bottom w:val="single" w:color="auto" w:sz="4" w:space="0"/>
                    <w:right w:val="single" w:color="auto" w:sz="4" w:space="0"/>
                  </w:tcBorders>
                  <w:vAlign w:val="center"/>
                </w:tcPr>
                <w:p w14:paraId="03BA4D0D">
                  <w:pPr>
                    <w:jc w:val="center"/>
                    <w:rPr>
                      <w:rFonts w:ascii="宋体" w:hAnsi="宋体"/>
                      <w:color w:val="auto"/>
                      <w:sz w:val="21"/>
                      <w:szCs w:val="21"/>
                    </w:rPr>
                  </w:pPr>
                  <w:r>
                    <w:rPr>
                      <w:rFonts w:hint="eastAsia" w:ascii="宋体" w:hAnsi="宋体"/>
                      <w:color w:val="auto"/>
                      <w:sz w:val="21"/>
                      <w:szCs w:val="21"/>
                    </w:rPr>
                    <w:t>相关</w:t>
                  </w:r>
                  <w:r>
                    <w:rPr>
                      <w:rFonts w:ascii="宋体" w:hAnsi="宋体"/>
                      <w:color w:val="auto"/>
                      <w:sz w:val="21"/>
                      <w:szCs w:val="21"/>
                    </w:rPr>
                    <w:t>要求</w:t>
                  </w:r>
                </w:p>
              </w:tc>
              <w:tc>
                <w:tcPr>
                  <w:tcW w:w="3097" w:type="dxa"/>
                  <w:tcBorders>
                    <w:top w:val="single" w:color="auto" w:sz="4" w:space="0"/>
                    <w:left w:val="single" w:color="auto" w:sz="4" w:space="0"/>
                    <w:bottom w:val="single" w:color="auto" w:sz="4" w:space="0"/>
                    <w:right w:val="single" w:color="auto" w:sz="4" w:space="0"/>
                  </w:tcBorders>
                  <w:vAlign w:val="center"/>
                </w:tcPr>
                <w:p w14:paraId="04D089EF">
                  <w:pPr>
                    <w:jc w:val="center"/>
                    <w:rPr>
                      <w:rFonts w:ascii="宋体" w:hAnsi="宋体"/>
                      <w:color w:val="auto"/>
                      <w:sz w:val="21"/>
                      <w:szCs w:val="21"/>
                    </w:rPr>
                  </w:pPr>
                  <w:r>
                    <w:rPr>
                      <w:rFonts w:ascii="宋体" w:hAnsi="宋体"/>
                      <w:color w:val="auto"/>
                      <w:sz w:val="21"/>
                      <w:szCs w:val="21"/>
                    </w:rPr>
                    <w:t>拟建项目的</w:t>
                  </w:r>
                  <w:r>
                    <w:rPr>
                      <w:rFonts w:hint="eastAsia" w:ascii="宋体" w:hAnsi="宋体"/>
                      <w:color w:val="auto"/>
                      <w:sz w:val="21"/>
                      <w:szCs w:val="21"/>
                    </w:rPr>
                    <w:t>情况</w:t>
                  </w:r>
                </w:p>
              </w:tc>
              <w:tc>
                <w:tcPr>
                  <w:tcW w:w="657" w:type="dxa"/>
                  <w:tcBorders>
                    <w:top w:val="single" w:color="auto" w:sz="4" w:space="0"/>
                    <w:left w:val="single" w:color="auto" w:sz="4" w:space="0"/>
                    <w:bottom w:val="single" w:color="auto" w:sz="4" w:space="0"/>
                    <w:right w:val="single" w:color="auto" w:sz="4" w:space="0"/>
                  </w:tcBorders>
                  <w:vAlign w:val="center"/>
                </w:tcPr>
                <w:p w14:paraId="04C7A34E">
                  <w:pPr>
                    <w:jc w:val="center"/>
                    <w:rPr>
                      <w:rFonts w:ascii="宋体" w:hAnsi="宋体"/>
                      <w:color w:val="auto"/>
                      <w:sz w:val="21"/>
                      <w:szCs w:val="21"/>
                    </w:rPr>
                  </w:pPr>
                  <w:r>
                    <w:rPr>
                      <w:rFonts w:ascii="宋体" w:hAnsi="宋体"/>
                      <w:color w:val="auto"/>
                      <w:sz w:val="21"/>
                      <w:szCs w:val="21"/>
                    </w:rPr>
                    <w:t>符合性</w:t>
                  </w:r>
                </w:p>
              </w:tc>
            </w:tr>
            <w:tr w14:paraId="75CDB6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525" w:type="dxa"/>
                  <w:tcBorders>
                    <w:top w:val="single" w:color="auto" w:sz="4" w:space="0"/>
                    <w:left w:val="single" w:color="auto" w:sz="4" w:space="0"/>
                    <w:bottom w:val="single" w:color="auto" w:sz="4" w:space="0"/>
                    <w:right w:val="single" w:color="auto" w:sz="4" w:space="0"/>
                  </w:tcBorders>
                  <w:vAlign w:val="center"/>
                </w:tcPr>
                <w:p w14:paraId="371D6C86">
                  <w:pPr>
                    <w:widowControl/>
                    <w:shd w:val="clear" w:color="auto" w:fill="FFFFFF"/>
                    <w:jc w:val="left"/>
                    <w:rPr>
                      <w:rFonts w:ascii="宋体" w:hAnsi="宋体" w:cs="宋体"/>
                      <w:color w:val="auto"/>
                      <w:sz w:val="21"/>
                      <w:szCs w:val="21"/>
                    </w:rPr>
                  </w:pPr>
                  <w:r>
                    <w:rPr>
                      <w:rFonts w:hint="eastAsia" w:ascii="宋体" w:hAnsi="宋体" w:cs="宋体"/>
                      <w:color w:val="auto"/>
                      <w:sz w:val="21"/>
                      <w:szCs w:val="21"/>
                    </w:rPr>
                    <w:t>生产者、销售者、进口者、使用者应当在国家规定的期限内，分别停止生产、销售、进口或者使用列入前款规定名录中的设备。生产工艺的采用者应当在国家规定的期限内，停止采用列入前款规定名录中的工艺。</w:t>
                  </w:r>
                </w:p>
                <w:p w14:paraId="0F0C4645">
                  <w:pPr>
                    <w:widowControl/>
                    <w:shd w:val="clear" w:color="auto" w:fill="FFFFFF"/>
                    <w:jc w:val="left"/>
                    <w:rPr>
                      <w:rFonts w:ascii="宋体" w:hAnsi="宋体" w:cs="宋体"/>
                      <w:color w:val="auto"/>
                      <w:sz w:val="21"/>
                      <w:szCs w:val="21"/>
                    </w:rPr>
                  </w:pPr>
                  <w:r>
                    <w:rPr>
                      <w:rFonts w:hint="eastAsia" w:ascii="宋体" w:hAnsi="宋体" w:cs="宋体"/>
                      <w:color w:val="auto"/>
                      <w:sz w:val="21"/>
                      <w:szCs w:val="21"/>
                    </w:rPr>
                    <w:t>列入限期淘汰名录被淘汰的设备，不得转让给他人使用。</w:t>
                  </w:r>
                </w:p>
              </w:tc>
              <w:tc>
                <w:tcPr>
                  <w:tcW w:w="3097" w:type="dxa"/>
                  <w:tcBorders>
                    <w:top w:val="single" w:color="auto" w:sz="4" w:space="0"/>
                    <w:left w:val="single" w:color="auto" w:sz="4" w:space="0"/>
                    <w:bottom w:val="single" w:color="auto" w:sz="4" w:space="0"/>
                    <w:right w:val="single" w:color="auto" w:sz="4" w:space="0"/>
                  </w:tcBorders>
                  <w:vAlign w:val="center"/>
                </w:tcPr>
                <w:p w14:paraId="2F5D9BFD">
                  <w:pPr>
                    <w:rPr>
                      <w:rFonts w:ascii="宋体" w:hAnsi="宋体"/>
                      <w:color w:val="auto"/>
                      <w:sz w:val="21"/>
                      <w:szCs w:val="21"/>
                    </w:rPr>
                  </w:pPr>
                  <w:r>
                    <w:rPr>
                      <w:rFonts w:hint="eastAsia" w:ascii="宋体" w:hAnsi="宋体"/>
                      <w:color w:val="auto"/>
                      <w:sz w:val="21"/>
                      <w:szCs w:val="21"/>
                      <w:lang w:val="en-US" w:eastAsia="zh-CN"/>
                    </w:rPr>
                    <w:t>扩建</w:t>
                  </w:r>
                  <w:r>
                    <w:rPr>
                      <w:rFonts w:hint="eastAsia"/>
                      <w:color w:val="auto"/>
                      <w:szCs w:val="32"/>
                    </w:rPr>
                    <w:t>项目对属于工业固体废物的磷石膏、电石渣进行综合利用</w:t>
                  </w:r>
                  <w:r>
                    <w:rPr>
                      <w:rFonts w:hint="eastAsia" w:ascii="宋体" w:hAnsi="宋体"/>
                      <w:color w:val="auto"/>
                      <w:sz w:val="21"/>
                      <w:szCs w:val="21"/>
                    </w:rPr>
                    <w:t>，利用</w:t>
                  </w:r>
                  <w:r>
                    <w:rPr>
                      <w:rFonts w:ascii="宋体" w:hAnsi="宋体"/>
                      <w:color w:val="auto"/>
                      <w:sz w:val="21"/>
                      <w:szCs w:val="21"/>
                    </w:rPr>
                    <w:t>磷石膏</w:t>
                  </w:r>
                  <w:r>
                    <w:rPr>
                      <w:rFonts w:hint="eastAsia" w:ascii="宋体" w:hAnsi="宋体"/>
                      <w:color w:val="auto"/>
                      <w:sz w:val="21"/>
                      <w:szCs w:val="21"/>
                    </w:rPr>
                    <w:t>和</w:t>
                  </w:r>
                  <w:r>
                    <w:rPr>
                      <w:rFonts w:ascii="宋体" w:hAnsi="宋体"/>
                      <w:color w:val="auto"/>
                      <w:sz w:val="21"/>
                      <w:szCs w:val="21"/>
                    </w:rPr>
                    <w:t>电石渣进行土壤</w:t>
                  </w:r>
                  <w:r>
                    <w:rPr>
                      <w:rFonts w:hint="eastAsia" w:ascii="Times New Roman" w:hAnsi="Times New Roman"/>
                      <w:color w:val="auto"/>
                      <w:kern w:val="2"/>
                      <w:sz w:val="21"/>
                      <w:szCs w:val="21"/>
                      <w:lang w:val="en-US" w:eastAsia="zh-CN"/>
                    </w:rPr>
                    <w:t>改良</w:t>
                  </w:r>
                  <w:r>
                    <w:rPr>
                      <w:rFonts w:ascii="宋体" w:hAnsi="宋体"/>
                      <w:color w:val="auto"/>
                      <w:sz w:val="21"/>
                      <w:szCs w:val="21"/>
                    </w:rPr>
                    <w:t>剂、路基材料、生态修复材料的</w:t>
                  </w:r>
                  <w:r>
                    <w:rPr>
                      <w:color w:val="auto"/>
                      <w:sz w:val="21"/>
                      <w:szCs w:val="21"/>
                    </w:rPr>
                    <w:t>生产</w:t>
                  </w:r>
                  <w:r>
                    <w:rPr>
                      <w:rFonts w:hint="eastAsia"/>
                      <w:color w:val="auto"/>
                      <w:sz w:val="21"/>
                      <w:szCs w:val="21"/>
                    </w:rPr>
                    <w:t>。</w:t>
                  </w:r>
                  <w:r>
                    <w:rPr>
                      <w:color w:val="auto"/>
                      <w:sz w:val="21"/>
                      <w:szCs w:val="21"/>
                    </w:rPr>
                    <w:t>不</w:t>
                  </w:r>
                  <w:r>
                    <w:rPr>
                      <w:rFonts w:hint="eastAsia" w:ascii="宋体" w:hAnsi="宋体"/>
                      <w:color w:val="auto"/>
                      <w:sz w:val="21"/>
                      <w:szCs w:val="21"/>
                    </w:rPr>
                    <w:t>生产、销售、进口或者使用列入前款规定名录中的设备；不采用列入前款规定名录中的工艺；</w:t>
                  </w:r>
                </w:p>
                <w:p w14:paraId="108105B9">
                  <w:pPr>
                    <w:rPr>
                      <w:rFonts w:ascii="宋体" w:hAnsi="宋体"/>
                      <w:color w:val="auto"/>
                      <w:sz w:val="21"/>
                      <w:szCs w:val="21"/>
                    </w:rPr>
                  </w:pPr>
                  <w:r>
                    <w:rPr>
                      <w:rFonts w:hint="eastAsia" w:ascii="宋体" w:hAnsi="宋体"/>
                      <w:color w:val="auto"/>
                      <w:sz w:val="21"/>
                      <w:szCs w:val="21"/>
                    </w:rPr>
                    <w:t>不使用列入限期淘汰名录被淘汰的设备，不转让设备给他人使用。</w:t>
                  </w:r>
                </w:p>
              </w:tc>
              <w:tc>
                <w:tcPr>
                  <w:tcW w:w="657" w:type="dxa"/>
                  <w:tcBorders>
                    <w:top w:val="single" w:color="auto" w:sz="4" w:space="0"/>
                    <w:left w:val="single" w:color="auto" w:sz="4" w:space="0"/>
                    <w:bottom w:val="single" w:color="auto" w:sz="4" w:space="0"/>
                    <w:right w:val="single" w:color="auto" w:sz="4" w:space="0"/>
                  </w:tcBorders>
                  <w:vAlign w:val="center"/>
                </w:tcPr>
                <w:p w14:paraId="4B01151F">
                  <w:pPr>
                    <w:ind w:firstLine="840" w:firstLineChars="400"/>
                    <w:jc w:val="center"/>
                    <w:rPr>
                      <w:rFonts w:ascii="宋体" w:hAnsi="宋体"/>
                      <w:color w:val="auto"/>
                      <w:sz w:val="21"/>
                      <w:szCs w:val="21"/>
                    </w:rPr>
                  </w:pPr>
                </w:p>
                <w:p w14:paraId="1E806F13">
                  <w:pPr>
                    <w:ind w:firstLine="840" w:firstLineChars="400"/>
                    <w:jc w:val="center"/>
                    <w:rPr>
                      <w:rFonts w:ascii="宋体" w:hAnsi="宋体"/>
                      <w:color w:val="auto"/>
                      <w:sz w:val="21"/>
                      <w:szCs w:val="21"/>
                    </w:rPr>
                  </w:pPr>
                </w:p>
                <w:p w14:paraId="61D4B624">
                  <w:pPr>
                    <w:ind w:firstLine="840" w:firstLineChars="400"/>
                    <w:jc w:val="center"/>
                    <w:rPr>
                      <w:rFonts w:ascii="宋体" w:hAnsi="宋体"/>
                      <w:color w:val="auto"/>
                      <w:sz w:val="21"/>
                      <w:szCs w:val="21"/>
                    </w:rPr>
                  </w:pPr>
                </w:p>
                <w:p w14:paraId="481E2B57">
                  <w:pPr>
                    <w:ind w:firstLine="840" w:firstLineChars="400"/>
                    <w:jc w:val="center"/>
                    <w:rPr>
                      <w:rFonts w:ascii="宋体" w:hAnsi="宋体"/>
                      <w:color w:val="auto"/>
                      <w:sz w:val="21"/>
                      <w:szCs w:val="21"/>
                    </w:rPr>
                  </w:pPr>
                </w:p>
                <w:p w14:paraId="364ED1E0">
                  <w:pPr>
                    <w:ind w:firstLine="840" w:firstLineChars="400"/>
                    <w:jc w:val="center"/>
                    <w:rPr>
                      <w:rFonts w:ascii="宋体" w:hAnsi="宋体"/>
                      <w:color w:val="auto"/>
                      <w:sz w:val="21"/>
                      <w:szCs w:val="21"/>
                    </w:rPr>
                  </w:pPr>
                </w:p>
                <w:p w14:paraId="118FEB3E">
                  <w:pPr>
                    <w:ind w:firstLine="840" w:firstLineChars="400"/>
                    <w:jc w:val="center"/>
                    <w:rPr>
                      <w:rFonts w:ascii="宋体" w:hAnsi="宋体"/>
                      <w:color w:val="auto"/>
                      <w:sz w:val="21"/>
                      <w:szCs w:val="21"/>
                    </w:rPr>
                  </w:pPr>
                </w:p>
                <w:p w14:paraId="7DD65F0E">
                  <w:pPr>
                    <w:jc w:val="center"/>
                    <w:rPr>
                      <w:rFonts w:ascii="宋体" w:hAnsi="宋体"/>
                      <w:color w:val="auto"/>
                      <w:sz w:val="21"/>
                      <w:szCs w:val="21"/>
                    </w:rPr>
                  </w:pPr>
                  <w:r>
                    <w:rPr>
                      <w:rFonts w:hint="eastAsia" w:ascii="宋体" w:hAnsi="宋体"/>
                      <w:color w:val="auto"/>
                      <w:sz w:val="21"/>
                      <w:szCs w:val="21"/>
                    </w:rPr>
                    <w:t>符合</w:t>
                  </w:r>
                </w:p>
              </w:tc>
            </w:tr>
            <w:tr w14:paraId="70EFD6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3525" w:type="dxa"/>
                  <w:tcBorders>
                    <w:top w:val="single" w:color="auto" w:sz="4" w:space="0"/>
                    <w:left w:val="single" w:color="auto" w:sz="4" w:space="0"/>
                    <w:bottom w:val="single" w:color="auto" w:sz="4" w:space="0"/>
                    <w:right w:val="single" w:color="auto" w:sz="4" w:space="0"/>
                  </w:tcBorders>
                  <w:vAlign w:val="center"/>
                </w:tcPr>
                <w:p w14:paraId="74875263">
                  <w:pPr>
                    <w:rPr>
                      <w:rFonts w:ascii="宋体" w:hAnsi="宋体"/>
                      <w:color w:val="auto"/>
                      <w:sz w:val="21"/>
                      <w:szCs w:val="21"/>
                    </w:rPr>
                  </w:pPr>
                  <w:r>
                    <w:rPr>
                      <w:rFonts w:hint="eastAsia"/>
                      <w:color w:val="auto"/>
                      <w:sz w:val="21"/>
                      <w:szCs w:val="21"/>
                      <w:shd w:val="clear" w:color="auto" w:fill="FFFFFF"/>
                    </w:rPr>
                    <w:t>鼓励产生工业固体废物的开发区、工业园区配套建设或者就近依托其他符合标准的处置设施，保障园区产生的工业固体废物安全处置。</w:t>
                  </w:r>
                </w:p>
              </w:tc>
              <w:tc>
                <w:tcPr>
                  <w:tcW w:w="3097" w:type="dxa"/>
                  <w:tcBorders>
                    <w:top w:val="single" w:color="auto" w:sz="4" w:space="0"/>
                    <w:left w:val="single" w:color="auto" w:sz="4" w:space="0"/>
                    <w:bottom w:val="single" w:color="auto" w:sz="4" w:space="0"/>
                    <w:right w:val="single" w:color="auto" w:sz="4" w:space="0"/>
                  </w:tcBorders>
                  <w:vAlign w:val="center"/>
                </w:tcPr>
                <w:p w14:paraId="05B5E7B0">
                  <w:pPr>
                    <w:rPr>
                      <w:rFonts w:ascii="宋体" w:hAnsi="宋体"/>
                      <w:color w:val="auto"/>
                      <w:sz w:val="21"/>
                      <w:szCs w:val="21"/>
                    </w:rPr>
                  </w:pPr>
                  <w:r>
                    <w:rPr>
                      <w:rFonts w:hint="eastAsia" w:ascii="宋体" w:hAnsi="宋体"/>
                      <w:color w:val="auto"/>
                      <w:sz w:val="21"/>
                      <w:szCs w:val="21"/>
                      <w:lang w:val="en-US" w:eastAsia="zh-CN"/>
                    </w:rPr>
                    <w:t>扩建</w:t>
                  </w:r>
                  <w:r>
                    <w:rPr>
                      <w:rFonts w:hint="eastAsia"/>
                      <w:color w:val="auto"/>
                      <w:szCs w:val="32"/>
                    </w:rPr>
                    <w:t>项目对属于工业固体废物的磷石膏、电石渣进行综合利用</w:t>
                  </w:r>
                  <w:r>
                    <w:rPr>
                      <w:rFonts w:hint="eastAsia" w:ascii="宋体" w:hAnsi="宋体"/>
                      <w:color w:val="auto"/>
                      <w:sz w:val="21"/>
                      <w:szCs w:val="21"/>
                    </w:rPr>
                    <w:t>，利用</w:t>
                  </w:r>
                  <w:r>
                    <w:rPr>
                      <w:rFonts w:ascii="宋体" w:hAnsi="宋体"/>
                      <w:color w:val="auto"/>
                      <w:sz w:val="21"/>
                      <w:szCs w:val="21"/>
                    </w:rPr>
                    <w:t>磷石膏</w:t>
                  </w:r>
                  <w:r>
                    <w:rPr>
                      <w:rFonts w:hint="eastAsia" w:ascii="宋体" w:hAnsi="宋体"/>
                      <w:color w:val="auto"/>
                      <w:sz w:val="21"/>
                      <w:szCs w:val="21"/>
                    </w:rPr>
                    <w:t>和</w:t>
                  </w:r>
                  <w:r>
                    <w:rPr>
                      <w:rFonts w:ascii="宋体" w:hAnsi="宋体"/>
                      <w:color w:val="auto"/>
                      <w:sz w:val="21"/>
                      <w:szCs w:val="21"/>
                    </w:rPr>
                    <w:t>电石渣进行土壤</w:t>
                  </w:r>
                  <w:r>
                    <w:rPr>
                      <w:rFonts w:hint="eastAsia" w:ascii="Times New Roman" w:hAnsi="Times New Roman"/>
                      <w:color w:val="auto"/>
                      <w:kern w:val="2"/>
                      <w:sz w:val="21"/>
                      <w:szCs w:val="21"/>
                      <w:lang w:val="en-US" w:eastAsia="zh-CN"/>
                    </w:rPr>
                    <w:t>改良</w:t>
                  </w:r>
                  <w:r>
                    <w:rPr>
                      <w:rFonts w:ascii="宋体" w:hAnsi="宋体"/>
                      <w:color w:val="auto"/>
                      <w:sz w:val="21"/>
                      <w:szCs w:val="21"/>
                    </w:rPr>
                    <w:t>剂、路基材料、生态修复材料的混合</w:t>
                  </w:r>
                  <w:r>
                    <w:rPr>
                      <w:color w:val="auto"/>
                      <w:sz w:val="21"/>
                      <w:szCs w:val="21"/>
                    </w:rPr>
                    <w:t>生产，</w:t>
                  </w:r>
                  <w:r>
                    <w:rPr>
                      <w:rFonts w:hint="eastAsia" w:ascii="宋体" w:hAnsi="宋体"/>
                      <w:color w:val="auto"/>
                      <w:sz w:val="21"/>
                      <w:szCs w:val="21"/>
                    </w:rPr>
                    <w:t>建设</w:t>
                  </w:r>
                  <w:r>
                    <w:rPr>
                      <w:rFonts w:ascii="宋体" w:hAnsi="宋体"/>
                      <w:color w:val="auto"/>
                      <w:sz w:val="21"/>
                      <w:szCs w:val="21"/>
                    </w:rPr>
                    <w:t>处置固体废物的设施。</w:t>
                  </w:r>
                  <w:r>
                    <w:rPr>
                      <w:rFonts w:hint="eastAsia" w:ascii="宋体" w:hAnsi="宋体"/>
                      <w:color w:val="auto"/>
                      <w:sz w:val="21"/>
                      <w:szCs w:val="21"/>
                    </w:rPr>
                    <w:t>项目的物料堆场均设置在厂房内，在厂房内生产，厂房三面密闭，仅一侧保留出入口且进行防渗。</w:t>
                  </w:r>
                </w:p>
              </w:tc>
              <w:tc>
                <w:tcPr>
                  <w:tcW w:w="657" w:type="dxa"/>
                  <w:tcBorders>
                    <w:top w:val="single" w:color="auto" w:sz="4" w:space="0"/>
                    <w:left w:val="single" w:color="auto" w:sz="4" w:space="0"/>
                    <w:bottom w:val="single" w:color="auto" w:sz="4" w:space="0"/>
                    <w:right w:val="single" w:color="auto" w:sz="4" w:space="0"/>
                  </w:tcBorders>
                  <w:vAlign w:val="center"/>
                </w:tcPr>
                <w:p w14:paraId="06D057A1">
                  <w:pPr>
                    <w:jc w:val="center"/>
                    <w:rPr>
                      <w:rFonts w:ascii="宋体" w:hAnsi="宋体"/>
                      <w:color w:val="auto"/>
                      <w:sz w:val="21"/>
                      <w:szCs w:val="21"/>
                    </w:rPr>
                  </w:pPr>
                </w:p>
                <w:p w14:paraId="63DCAA45">
                  <w:pPr>
                    <w:jc w:val="center"/>
                    <w:rPr>
                      <w:rFonts w:ascii="宋体" w:hAnsi="宋体"/>
                      <w:color w:val="auto"/>
                      <w:sz w:val="21"/>
                      <w:szCs w:val="21"/>
                    </w:rPr>
                  </w:pPr>
                </w:p>
                <w:p w14:paraId="6538A42A">
                  <w:pPr>
                    <w:jc w:val="center"/>
                    <w:rPr>
                      <w:rFonts w:ascii="宋体" w:hAnsi="宋体"/>
                      <w:color w:val="auto"/>
                      <w:sz w:val="21"/>
                      <w:szCs w:val="21"/>
                    </w:rPr>
                  </w:pPr>
                  <w:r>
                    <w:rPr>
                      <w:rFonts w:hint="eastAsia" w:ascii="宋体" w:hAnsi="宋体"/>
                      <w:color w:val="auto"/>
                      <w:sz w:val="21"/>
                      <w:szCs w:val="21"/>
                    </w:rPr>
                    <w:t>符合</w:t>
                  </w:r>
                </w:p>
              </w:tc>
            </w:tr>
            <w:tr w14:paraId="1E762E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3525" w:type="dxa"/>
                  <w:tcBorders>
                    <w:top w:val="single" w:color="auto" w:sz="4" w:space="0"/>
                    <w:left w:val="single" w:color="auto" w:sz="4" w:space="0"/>
                    <w:bottom w:val="single" w:color="auto" w:sz="4" w:space="0"/>
                    <w:right w:val="single" w:color="auto" w:sz="4" w:space="0"/>
                  </w:tcBorders>
                  <w:vAlign w:val="center"/>
                </w:tcPr>
                <w:p w14:paraId="0CEA7B4E">
                  <w:pPr>
                    <w:rPr>
                      <w:color w:val="auto"/>
                      <w:sz w:val="21"/>
                      <w:szCs w:val="21"/>
                      <w:shd w:val="clear" w:color="auto" w:fill="FFFFFF"/>
                    </w:rPr>
                  </w:pPr>
                  <w:r>
                    <w:rPr>
                      <w:rFonts w:hint="eastAsia"/>
                      <w:color w:val="auto"/>
                      <w:sz w:val="21"/>
                      <w:szCs w:val="21"/>
                      <w:shd w:val="clear" w:color="auto" w:fill="FFFFFF"/>
                    </w:rPr>
                    <w:t>产生工业固体废物的单位应当建立健全工业固体废物产生、收集、贮存、运输、利用、处置全过程的污染环境防治责任制度，按照国家有关规定建立工业固体废物管理台账，如实记录产生工业固体废物的种类、时间、数量、流向、贮存、利用、处置等信息，并采取防治工业固体废物污染环境的措施。工业固体废物管理台账应当保存5年以上。</w:t>
                  </w:r>
                </w:p>
                <w:p w14:paraId="5019DE56">
                  <w:pPr>
                    <w:rPr>
                      <w:color w:val="auto"/>
                      <w:sz w:val="21"/>
                      <w:szCs w:val="21"/>
                      <w:shd w:val="clear" w:color="auto" w:fill="FFFFFF"/>
                    </w:rPr>
                  </w:pPr>
                  <w:r>
                    <w:rPr>
                      <w:rFonts w:hint="eastAsia"/>
                      <w:color w:val="auto"/>
                      <w:sz w:val="21"/>
                      <w:szCs w:val="21"/>
                      <w:shd w:val="clear" w:color="auto" w:fill="FFFFFF"/>
                    </w:rPr>
                    <w:t>鼓励产生工业固体废物的单位在固体废物产生场所、贮存场所及计量设备等关键点位设置视频监控，提高台账记录信息的准确性。</w:t>
                  </w:r>
                </w:p>
                <w:p w14:paraId="6A7E5E6B">
                  <w:pPr>
                    <w:rPr>
                      <w:color w:val="auto"/>
                      <w:sz w:val="21"/>
                      <w:szCs w:val="21"/>
                      <w:shd w:val="clear" w:color="auto" w:fill="FFFFFF"/>
                    </w:rPr>
                  </w:pPr>
                  <w:r>
                    <w:rPr>
                      <w:rFonts w:hint="eastAsia"/>
                      <w:color w:val="auto"/>
                      <w:sz w:val="21"/>
                      <w:szCs w:val="21"/>
                      <w:shd w:val="clear" w:color="auto" w:fill="FFFFFF"/>
                    </w:rPr>
                    <w:t>禁止向生活垃圾收集设施中投放工业固体废物。</w:t>
                  </w:r>
                </w:p>
              </w:tc>
              <w:tc>
                <w:tcPr>
                  <w:tcW w:w="3097" w:type="dxa"/>
                  <w:tcBorders>
                    <w:top w:val="single" w:color="auto" w:sz="4" w:space="0"/>
                    <w:left w:val="single" w:color="auto" w:sz="4" w:space="0"/>
                    <w:bottom w:val="single" w:color="auto" w:sz="4" w:space="0"/>
                    <w:right w:val="single" w:color="auto" w:sz="4" w:space="0"/>
                  </w:tcBorders>
                  <w:vAlign w:val="center"/>
                </w:tcPr>
                <w:p w14:paraId="392EEE78">
                  <w:pPr>
                    <w:rPr>
                      <w:color w:val="auto"/>
                      <w:sz w:val="21"/>
                      <w:szCs w:val="21"/>
                      <w:shd w:val="clear" w:color="auto" w:fill="FFFFFF"/>
                    </w:rPr>
                  </w:pPr>
                  <w:r>
                    <w:rPr>
                      <w:rFonts w:hint="eastAsia"/>
                      <w:color w:val="auto"/>
                      <w:sz w:val="21"/>
                      <w:szCs w:val="21"/>
                      <w:shd w:val="clear" w:color="auto" w:fill="FFFFFF"/>
                      <w:lang w:eastAsia="zh-CN"/>
                    </w:rPr>
                    <w:t>云南常青树化工有限公司</w:t>
                  </w:r>
                  <w:r>
                    <w:rPr>
                      <w:rFonts w:hint="eastAsia"/>
                      <w:color w:val="auto"/>
                      <w:sz w:val="21"/>
                      <w:szCs w:val="21"/>
                      <w:shd w:val="clear" w:color="auto" w:fill="FFFFFF"/>
                    </w:rPr>
                    <w:t>现已建立有健全的工业固体废物产生、收集、贮存、运输、利用、处置全过程的污染环境防治责任制度；本次环评提出</w:t>
                  </w:r>
                  <w:r>
                    <w:rPr>
                      <w:rFonts w:hint="eastAsia"/>
                      <w:color w:val="auto"/>
                      <w:sz w:val="21"/>
                      <w:szCs w:val="21"/>
                      <w:shd w:val="clear" w:color="auto" w:fill="FFFFFF"/>
                      <w:lang w:eastAsia="zh-CN"/>
                    </w:rPr>
                    <w:t>云南常青树化工有限公司</w:t>
                  </w:r>
                  <w:r>
                    <w:rPr>
                      <w:rFonts w:hint="eastAsia"/>
                      <w:color w:val="auto"/>
                      <w:sz w:val="21"/>
                      <w:szCs w:val="21"/>
                      <w:shd w:val="clear" w:color="auto" w:fill="FFFFFF"/>
                    </w:rPr>
                    <w:t>的工业固体废物管理台账，要如实记录产生工业固体废物的种类、时间、数量、流向、贮存、利用、处置等信息，并采取防治工业固体废物污染环境的措施；工业固体废物管理台账应当保存5年以上。</w:t>
                  </w:r>
                </w:p>
                <w:p w14:paraId="090C2C4D">
                  <w:pPr>
                    <w:rPr>
                      <w:rFonts w:ascii="宋体" w:hAnsi="宋体"/>
                      <w:color w:val="auto"/>
                      <w:sz w:val="21"/>
                      <w:szCs w:val="21"/>
                    </w:rPr>
                  </w:pPr>
                  <w:r>
                    <w:rPr>
                      <w:rFonts w:hint="eastAsia"/>
                      <w:color w:val="auto"/>
                      <w:sz w:val="21"/>
                      <w:szCs w:val="21"/>
                      <w:shd w:val="clear" w:color="auto" w:fill="FFFFFF"/>
                    </w:rPr>
                    <w:t>本次环评提出禁止向生活垃圾收集设施中投放工业固体废物。</w:t>
                  </w:r>
                </w:p>
              </w:tc>
              <w:tc>
                <w:tcPr>
                  <w:tcW w:w="657" w:type="dxa"/>
                  <w:tcBorders>
                    <w:top w:val="single" w:color="auto" w:sz="4" w:space="0"/>
                    <w:left w:val="single" w:color="auto" w:sz="4" w:space="0"/>
                    <w:bottom w:val="single" w:color="auto" w:sz="4" w:space="0"/>
                    <w:right w:val="single" w:color="auto" w:sz="4" w:space="0"/>
                  </w:tcBorders>
                  <w:vAlign w:val="center"/>
                </w:tcPr>
                <w:p w14:paraId="032A01F7">
                  <w:pPr>
                    <w:jc w:val="center"/>
                    <w:rPr>
                      <w:rFonts w:ascii="宋体" w:hAnsi="宋体"/>
                      <w:color w:val="auto"/>
                      <w:sz w:val="21"/>
                      <w:szCs w:val="21"/>
                    </w:rPr>
                  </w:pPr>
                  <w:r>
                    <w:rPr>
                      <w:rFonts w:hint="eastAsia" w:ascii="宋体" w:hAnsi="宋体"/>
                      <w:color w:val="auto"/>
                      <w:sz w:val="21"/>
                      <w:szCs w:val="21"/>
                    </w:rPr>
                    <w:t>符合</w:t>
                  </w:r>
                </w:p>
              </w:tc>
            </w:tr>
            <w:tr w14:paraId="0B8A5E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3525" w:type="dxa"/>
                  <w:tcBorders>
                    <w:top w:val="single" w:color="auto" w:sz="4" w:space="0"/>
                    <w:left w:val="single" w:color="auto" w:sz="4" w:space="0"/>
                    <w:bottom w:val="single" w:color="auto" w:sz="4" w:space="0"/>
                    <w:right w:val="single" w:color="auto" w:sz="4" w:space="0"/>
                  </w:tcBorders>
                  <w:vAlign w:val="center"/>
                </w:tcPr>
                <w:p w14:paraId="56781892">
                  <w:pPr>
                    <w:rPr>
                      <w:color w:val="auto"/>
                      <w:sz w:val="21"/>
                      <w:szCs w:val="21"/>
                      <w:shd w:val="clear" w:color="auto" w:fill="FFFFFF"/>
                    </w:rPr>
                  </w:pPr>
                  <w:r>
                    <w:rPr>
                      <w:rFonts w:hint="eastAsia"/>
                      <w:color w:val="auto"/>
                      <w:sz w:val="21"/>
                      <w:szCs w:val="21"/>
                      <w:shd w:val="clear" w:color="auto" w:fill="FFFFFF"/>
                    </w:rPr>
                    <w:t>产生工业固体废物的单位委托他人运输、利用、处置工业固体废物的，应当对受托方的主体资格和技术能力进行核实，依法签订书面合同，在合同中约定污染防治要求。</w:t>
                  </w:r>
                </w:p>
                <w:p w14:paraId="7536579E">
                  <w:pPr>
                    <w:rPr>
                      <w:color w:val="auto"/>
                      <w:sz w:val="21"/>
                      <w:szCs w:val="21"/>
                      <w:shd w:val="clear" w:color="auto" w:fill="FFFFFF"/>
                    </w:rPr>
                  </w:pPr>
                  <w:r>
                    <w:rPr>
                      <w:rFonts w:hint="eastAsia"/>
                      <w:color w:val="auto"/>
                      <w:sz w:val="21"/>
                      <w:szCs w:val="21"/>
                      <w:shd w:val="clear" w:color="auto" w:fill="FFFFFF"/>
                    </w:rPr>
                    <w:t>受托方运输、利用、处置工业固体废物，应当依照有关法律法规的规定和合同约定履行污染防治要求，并将运输、利用、处置情况告知产生工业固体废物的单位。</w:t>
                  </w:r>
                </w:p>
                <w:p w14:paraId="3EFB65B5">
                  <w:pPr>
                    <w:rPr>
                      <w:color w:val="auto"/>
                      <w:sz w:val="21"/>
                      <w:szCs w:val="21"/>
                      <w:shd w:val="clear" w:color="auto" w:fill="FFFFFF"/>
                    </w:rPr>
                  </w:pPr>
                  <w:r>
                    <w:rPr>
                      <w:rFonts w:hint="eastAsia"/>
                      <w:color w:val="auto"/>
                      <w:sz w:val="21"/>
                      <w:szCs w:val="21"/>
                      <w:shd w:val="clear" w:color="auto" w:fill="FFFFFF"/>
                    </w:rPr>
                    <w:t>产生工业固体废物的单位违反本条第一款规定的，除依照有关法律法规的规定予以处罚外，还应当与造成环境污染和生态破坏的受托方承担连带责任。</w:t>
                  </w:r>
                </w:p>
              </w:tc>
              <w:tc>
                <w:tcPr>
                  <w:tcW w:w="3097" w:type="dxa"/>
                  <w:tcBorders>
                    <w:top w:val="single" w:color="auto" w:sz="4" w:space="0"/>
                    <w:left w:val="single" w:color="auto" w:sz="4" w:space="0"/>
                    <w:bottom w:val="single" w:color="auto" w:sz="4" w:space="0"/>
                    <w:right w:val="single" w:color="auto" w:sz="4" w:space="0"/>
                  </w:tcBorders>
                  <w:vAlign w:val="center"/>
                </w:tcPr>
                <w:p w14:paraId="04F088E5">
                  <w:pPr>
                    <w:rPr>
                      <w:rFonts w:ascii="宋体" w:hAnsi="宋体"/>
                      <w:color w:val="auto"/>
                      <w:sz w:val="21"/>
                      <w:szCs w:val="21"/>
                    </w:rPr>
                  </w:pPr>
                  <w:r>
                    <w:rPr>
                      <w:rFonts w:hint="eastAsia"/>
                      <w:color w:val="auto"/>
                      <w:szCs w:val="32"/>
                      <w:lang w:val="en-US" w:eastAsia="zh-CN"/>
                    </w:rPr>
                    <w:t>扩建</w:t>
                  </w:r>
                  <w:r>
                    <w:rPr>
                      <w:rFonts w:hint="eastAsia"/>
                      <w:color w:val="auto"/>
                      <w:szCs w:val="32"/>
                    </w:rPr>
                    <w:t>项目对属于工业固体废物的磷石膏、电石渣进行综合利用</w:t>
                  </w:r>
                  <w:r>
                    <w:rPr>
                      <w:rFonts w:hint="eastAsia" w:ascii="宋体" w:hAnsi="宋体"/>
                      <w:color w:val="auto"/>
                      <w:sz w:val="21"/>
                      <w:szCs w:val="21"/>
                    </w:rPr>
                    <w:t>，利用</w:t>
                  </w:r>
                  <w:r>
                    <w:rPr>
                      <w:rFonts w:ascii="宋体" w:hAnsi="宋体"/>
                      <w:color w:val="auto"/>
                      <w:sz w:val="21"/>
                      <w:szCs w:val="21"/>
                    </w:rPr>
                    <w:t>磷石膏</w:t>
                  </w:r>
                  <w:r>
                    <w:rPr>
                      <w:rFonts w:hint="eastAsia" w:ascii="宋体" w:hAnsi="宋体"/>
                      <w:color w:val="auto"/>
                      <w:sz w:val="21"/>
                      <w:szCs w:val="21"/>
                    </w:rPr>
                    <w:t>和</w:t>
                  </w:r>
                  <w:r>
                    <w:rPr>
                      <w:rFonts w:ascii="宋体" w:hAnsi="宋体"/>
                      <w:color w:val="auto"/>
                      <w:sz w:val="21"/>
                      <w:szCs w:val="21"/>
                    </w:rPr>
                    <w:t>电石渣进行壤调理剂、路基材料、生态修复材料的</w:t>
                  </w:r>
                  <w:r>
                    <w:rPr>
                      <w:color w:val="auto"/>
                      <w:sz w:val="21"/>
                      <w:szCs w:val="21"/>
                    </w:rPr>
                    <w:t>生产</w:t>
                  </w:r>
                  <w:r>
                    <w:rPr>
                      <w:rFonts w:hint="eastAsia"/>
                      <w:color w:val="auto"/>
                      <w:sz w:val="21"/>
                      <w:szCs w:val="21"/>
                    </w:rPr>
                    <w:t>。不</w:t>
                  </w:r>
                  <w:r>
                    <w:rPr>
                      <w:rFonts w:hint="eastAsia"/>
                      <w:color w:val="auto"/>
                      <w:sz w:val="21"/>
                      <w:szCs w:val="21"/>
                      <w:shd w:val="clear" w:color="auto" w:fill="FFFFFF"/>
                    </w:rPr>
                    <w:t>委托他人运输、利用、处置工业固体废物。</w:t>
                  </w:r>
                </w:p>
              </w:tc>
              <w:tc>
                <w:tcPr>
                  <w:tcW w:w="657" w:type="dxa"/>
                  <w:tcBorders>
                    <w:top w:val="single" w:color="auto" w:sz="4" w:space="0"/>
                    <w:left w:val="single" w:color="auto" w:sz="4" w:space="0"/>
                    <w:bottom w:val="single" w:color="auto" w:sz="4" w:space="0"/>
                    <w:right w:val="single" w:color="auto" w:sz="4" w:space="0"/>
                  </w:tcBorders>
                  <w:vAlign w:val="center"/>
                </w:tcPr>
                <w:p w14:paraId="29FA839F">
                  <w:pPr>
                    <w:jc w:val="center"/>
                    <w:rPr>
                      <w:rFonts w:ascii="宋体" w:hAnsi="宋体"/>
                      <w:color w:val="auto"/>
                      <w:sz w:val="21"/>
                      <w:szCs w:val="21"/>
                    </w:rPr>
                  </w:pPr>
                  <w:r>
                    <w:rPr>
                      <w:rFonts w:hint="eastAsia" w:ascii="宋体" w:hAnsi="宋体"/>
                      <w:color w:val="auto"/>
                      <w:sz w:val="21"/>
                      <w:szCs w:val="21"/>
                    </w:rPr>
                    <w:t>符合</w:t>
                  </w:r>
                </w:p>
              </w:tc>
            </w:tr>
            <w:tr w14:paraId="6B4796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3525" w:type="dxa"/>
                  <w:tcBorders>
                    <w:top w:val="single" w:color="auto" w:sz="4" w:space="0"/>
                    <w:left w:val="single" w:color="auto" w:sz="4" w:space="0"/>
                    <w:bottom w:val="single" w:color="auto" w:sz="4" w:space="0"/>
                    <w:right w:val="single" w:color="auto" w:sz="4" w:space="0"/>
                  </w:tcBorders>
                  <w:vAlign w:val="center"/>
                </w:tcPr>
                <w:p w14:paraId="28C55AD0">
                  <w:pPr>
                    <w:rPr>
                      <w:color w:val="auto"/>
                      <w:sz w:val="21"/>
                      <w:szCs w:val="21"/>
                      <w:shd w:val="clear" w:color="auto" w:fill="FFFFFF"/>
                    </w:rPr>
                  </w:pPr>
                  <w:r>
                    <w:rPr>
                      <w:rFonts w:hint="eastAsia"/>
                      <w:color w:val="auto"/>
                      <w:sz w:val="21"/>
                      <w:szCs w:val="21"/>
                      <w:shd w:val="clear" w:color="auto" w:fill="FFFFFF"/>
                    </w:rPr>
                    <w:t>产生工业固体废物的单位应当依法实施清洁生产审核，合理选择和利用原材料、能源和其他资源，采用先进的生产工艺和设备，减少工业固体废物的产生量，降低工业固体废物的危害性。</w:t>
                  </w:r>
                </w:p>
                <w:p w14:paraId="718BD811">
                  <w:pPr>
                    <w:rPr>
                      <w:color w:val="auto"/>
                      <w:sz w:val="21"/>
                      <w:szCs w:val="21"/>
                      <w:shd w:val="clear" w:color="auto" w:fill="FFFFFF"/>
                    </w:rPr>
                  </w:pPr>
                  <w:r>
                    <w:rPr>
                      <w:rFonts w:hint="eastAsia"/>
                      <w:color w:val="auto"/>
                      <w:sz w:val="21"/>
                      <w:szCs w:val="21"/>
                      <w:shd w:val="clear" w:color="auto" w:fill="FFFFFF"/>
                    </w:rPr>
                    <w:t>产生工业固体废物的单位应当根据经济、技术条件对工业固体废物加以利用；对暂时不利用或者不能利用的，应当按照国家规定建设贮存设施、场所，安全分类存放，或者采取无害化处置措施。</w:t>
                  </w:r>
                </w:p>
                <w:p w14:paraId="29D89908">
                  <w:pPr>
                    <w:rPr>
                      <w:color w:val="auto"/>
                      <w:sz w:val="21"/>
                      <w:szCs w:val="21"/>
                      <w:shd w:val="clear" w:color="auto" w:fill="FFFFFF"/>
                    </w:rPr>
                  </w:pPr>
                  <w:r>
                    <w:rPr>
                      <w:rFonts w:hint="eastAsia"/>
                      <w:color w:val="auto"/>
                      <w:sz w:val="21"/>
                      <w:szCs w:val="21"/>
                      <w:shd w:val="clear" w:color="auto" w:fill="FFFFFF"/>
                    </w:rPr>
                    <w:t>贮存工业固体废物应当采取符合国家环境保护标准的防护措施。建设工业固体废物贮存、处置的设施、场所，应当符合国家环境保护标准。</w:t>
                  </w:r>
                </w:p>
              </w:tc>
              <w:tc>
                <w:tcPr>
                  <w:tcW w:w="3097" w:type="dxa"/>
                  <w:tcBorders>
                    <w:top w:val="single" w:color="auto" w:sz="4" w:space="0"/>
                    <w:left w:val="single" w:color="auto" w:sz="4" w:space="0"/>
                    <w:bottom w:val="single" w:color="auto" w:sz="4" w:space="0"/>
                    <w:right w:val="single" w:color="auto" w:sz="4" w:space="0"/>
                  </w:tcBorders>
                  <w:vAlign w:val="center"/>
                </w:tcPr>
                <w:p w14:paraId="1A02779A">
                  <w:pPr>
                    <w:rPr>
                      <w:rFonts w:ascii="宋体" w:hAnsi="宋体"/>
                      <w:color w:val="auto"/>
                      <w:sz w:val="21"/>
                      <w:szCs w:val="21"/>
                    </w:rPr>
                  </w:pPr>
                  <w:r>
                    <w:rPr>
                      <w:rFonts w:hint="eastAsia"/>
                      <w:color w:val="auto"/>
                      <w:szCs w:val="32"/>
                      <w:lang w:val="en-US" w:eastAsia="zh-CN"/>
                    </w:rPr>
                    <w:t>扩建</w:t>
                  </w:r>
                  <w:r>
                    <w:rPr>
                      <w:rFonts w:hint="eastAsia"/>
                      <w:color w:val="auto"/>
                      <w:szCs w:val="32"/>
                    </w:rPr>
                    <w:t>项目对属于工业固体废物的磷石膏、电石渣进行综合利用</w:t>
                  </w:r>
                  <w:r>
                    <w:rPr>
                      <w:rFonts w:hint="eastAsia" w:ascii="宋体" w:hAnsi="宋体"/>
                      <w:color w:val="auto"/>
                      <w:sz w:val="21"/>
                      <w:szCs w:val="21"/>
                    </w:rPr>
                    <w:t>，对</w:t>
                  </w:r>
                  <w:r>
                    <w:rPr>
                      <w:rFonts w:hint="eastAsia" w:ascii="宋体" w:hAnsi="宋体"/>
                      <w:color w:val="auto"/>
                      <w:sz w:val="21"/>
                      <w:szCs w:val="21"/>
                      <w:lang w:eastAsia="zh-CN"/>
                    </w:rPr>
                    <w:t>云南常青树化工有限公司</w:t>
                  </w:r>
                  <w:r>
                    <w:rPr>
                      <w:rFonts w:hint="eastAsia" w:ascii="宋体" w:hAnsi="宋体"/>
                      <w:color w:val="auto"/>
                      <w:sz w:val="21"/>
                      <w:szCs w:val="21"/>
                    </w:rPr>
                    <w:t>产生的工业固体废物磷石膏加以利用，利用</w:t>
                  </w:r>
                  <w:r>
                    <w:rPr>
                      <w:rFonts w:ascii="宋体" w:hAnsi="宋体"/>
                      <w:color w:val="auto"/>
                      <w:sz w:val="21"/>
                      <w:szCs w:val="21"/>
                    </w:rPr>
                    <w:t>磷石膏</w:t>
                  </w:r>
                  <w:r>
                    <w:rPr>
                      <w:rFonts w:hint="eastAsia" w:ascii="宋体" w:hAnsi="宋体"/>
                      <w:color w:val="auto"/>
                      <w:sz w:val="21"/>
                      <w:szCs w:val="21"/>
                    </w:rPr>
                    <w:t>和</w:t>
                  </w:r>
                  <w:r>
                    <w:rPr>
                      <w:rFonts w:ascii="宋体" w:hAnsi="宋体"/>
                      <w:color w:val="auto"/>
                      <w:sz w:val="21"/>
                      <w:szCs w:val="21"/>
                    </w:rPr>
                    <w:t>电石渣进行土壤</w:t>
                  </w:r>
                  <w:r>
                    <w:rPr>
                      <w:rFonts w:hint="eastAsia" w:ascii="Times New Roman" w:hAnsi="Times New Roman"/>
                      <w:color w:val="auto"/>
                      <w:kern w:val="2"/>
                      <w:sz w:val="21"/>
                      <w:szCs w:val="21"/>
                      <w:lang w:val="en-US" w:eastAsia="zh-CN"/>
                    </w:rPr>
                    <w:t>改良</w:t>
                  </w:r>
                  <w:r>
                    <w:rPr>
                      <w:rFonts w:ascii="宋体" w:hAnsi="宋体"/>
                      <w:color w:val="auto"/>
                      <w:sz w:val="21"/>
                      <w:szCs w:val="21"/>
                    </w:rPr>
                    <w:t>剂、路基材料、生态修复材料的</w:t>
                  </w:r>
                  <w:r>
                    <w:rPr>
                      <w:color w:val="auto"/>
                      <w:sz w:val="21"/>
                      <w:szCs w:val="21"/>
                    </w:rPr>
                    <w:t>生产，</w:t>
                  </w:r>
                  <w:r>
                    <w:rPr>
                      <w:rFonts w:hint="eastAsia"/>
                      <w:color w:val="auto"/>
                      <w:sz w:val="21"/>
                      <w:szCs w:val="21"/>
                      <w:shd w:val="clear" w:color="auto" w:fill="FFFFFF"/>
                    </w:rPr>
                    <w:t>减少了工业固体废物的产生量，降低了工业固体废物长期堆存、新增占地环境危害性的危害性。</w:t>
                  </w:r>
                </w:p>
              </w:tc>
              <w:tc>
                <w:tcPr>
                  <w:tcW w:w="657" w:type="dxa"/>
                  <w:tcBorders>
                    <w:top w:val="single" w:color="auto" w:sz="4" w:space="0"/>
                    <w:left w:val="single" w:color="auto" w:sz="4" w:space="0"/>
                    <w:bottom w:val="single" w:color="auto" w:sz="4" w:space="0"/>
                    <w:right w:val="single" w:color="auto" w:sz="4" w:space="0"/>
                  </w:tcBorders>
                  <w:vAlign w:val="center"/>
                </w:tcPr>
                <w:p w14:paraId="02299F26">
                  <w:pPr>
                    <w:jc w:val="center"/>
                    <w:rPr>
                      <w:rFonts w:ascii="宋体" w:hAnsi="宋体"/>
                      <w:color w:val="auto"/>
                      <w:sz w:val="21"/>
                      <w:szCs w:val="21"/>
                    </w:rPr>
                  </w:pPr>
                  <w:r>
                    <w:rPr>
                      <w:rFonts w:hint="eastAsia" w:ascii="宋体" w:hAnsi="宋体"/>
                      <w:color w:val="auto"/>
                      <w:sz w:val="21"/>
                      <w:szCs w:val="21"/>
                    </w:rPr>
                    <w:t>符合</w:t>
                  </w:r>
                </w:p>
              </w:tc>
            </w:tr>
            <w:tr w14:paraId="10F7D0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3525" w:type="dxa"/>
                  <w:tcBorders>
                    <w:top w:val="single" w:color="auto" w:sz="4" w:space="0"/>
                    <w:left w:val="single" w:color="auto" w:sz="4" w:space="0"/>
                    <w:bottom w:val="single" w:color="auto" w:sz="4" w:space="0"/>
                    <w:right w:val="single" w:color="auto" w:sz="4" w:space="0"/>
                  </w:tcBorders>
                  <w:vAlign w:val="center"/>
                </w:tcPr>
                <w:p w14:paraId="66D89A9F">
                  <w:pPr>
                    <w:rPr>
                      <w:color w:val="auto"/>
                      <w:sz w:val="21"/>
                      <w:szCs w:val="21"/>
                      <w:shd w:val="clear" w:color="auto" w:fill="FFFFFF"/>
                    </w:rPr>
                  </w:pPr>
                  <w:r>
                    <w:rPr>
                      <w:rFonts w:hint="eastAsia"/>
                      <w:color w:val="auto"/>
                      <w:sz w:val="21"/>
                      <w:szCs w:val="21"/>
                      <w:shd w:val="clear" w:color="auto" w:fill="FFFFFF"/>
                    </w:rPr>
                    <w:t>产生工业固体废物的单位应当依法取得排污许可证，向所在地生态环境主管部门提供工业固体废物的种类、数量、流向、贮存、利用、处置等有关资料，以及减少工业固体废物产生、促进综合利用的具体措施，并执行排污许可管理制度的相关规定。</w:t>
                  </w:r>
                </w:p>
              </w:tc>
              <w:tc>
                <w:tcPr>
                  <w:tcW w:w="3097" w:type="dxa"/>
                  <w:tcBorders>
                    <w:top w:val="single" w:color="auto" w:sz="4" w:space="0"/>
                    <w:left w:val="single" w:color="auto" w:sz="4" w:space="0"/>
                    <w:bottom w:val="single" w:color="auto" w:sz="4" w:space="0"/>
                    <w:right w:val="single" w:color="auto" w:sz="4" w:space="0"/>
                  </w:tcBorders>
                  <w:vAlign w:val="center"/>
                </w:tcPr>
                <w:p w14:paraId="4C75EA19">
                  <w:pPr>
                    <w:rPr>
                      <w:rFonts w:ascii="宋体" w:hAnsi="宋体"/>
                      <w:color w:val="auto"/>
                      <w:sz w:val="21"/>
                      <w:szCs w:val="21"/>
                    </w:rPr>
                  </w:pPr>
                  <w:r>
                    <w:rPr>
                      <w:rFonts w:hint="eastAsia" w:ascii="宋体" w:hAnsi="宋体"/>
                      <w:color w:val="auto"/>
                      <w:sz w:val="21"/>
                      <w:szCs w:val="21"/>
                      <w:lang w:eastAsia="zh-CN"/>
                    </w:rPr>
                    <w:t>云南常青树化工有限公司</w:t>
                  </w:r>
                  <w:r>
                    <w:rPr>
                      <w:rFonts w:ascii="宋体" w:hAnsi="宋体"/>
                      <w:color w:val="auto"/>
                      <w:sz w:val="21"/>
                      <w:szCs w:val="21"/>
                    </w:rPr>
                    <w:t>已依法取得排污许可证，</w:t>
                  </w:r>
                  <w:r>
                    <w:rPr>
                      <w:rFonts w:hint="eastAsia"/>
                      <w:color w:val="auto"/>
                      <w:sz w:val="21"/>
                      <w:szCs w:val="21"/>
                      <w:shd w:val="clear" w:color="auto" w:fill="FFFFFF"/>
                    </w:rPr>
                    <w:t>并执行排污许可管理制度的相关规定。</w:t>
                  </w:r>
                </w:p>
              </w:tc>
              <w:tc>
                <w:tcPr>
                  <w:tcW w:w="657" w:type="dxa"/>
                  <w:tcBorders>
                    <w:top w:val="single" w:color="auto" w:sz="4" w:space="0"/>
                    <w:left w:val="single" w:color="auto" w:sz="4" w:space="0"/>
                    <w:bottom w:val="single" w:color="auto" w:sz="4" w:space="0"/>
                    <w:right w:val="single" w:color="auto" w:sz="4" w:space="0"/>
                  </w:tcBorders>
                  <w:vAlign w:val="center"/>
                </w:tcPr>
                <w:p w14:paraId="35BF3C2C">
                  <w:pPr>
                    <w:jc w:val="center"/>
                    <w:rPr>
                      <w:rFonts w:ascii="宋体" w:hAnsi="宋体"/>
                      <w:color w:val="auto"/>
                      <w:sz w:val="21"/>
                      <w:szCs w:val="21"/>
                    </w:rPr>
                  </w:pPr>
                  <w:r>
                    <w:rPr>
                      <w:rFonts w:hint="eastAsia" w:ascii="宋体" w:hAnsi="宋体"/>
                      <w:color w:val="auto"/>
                      <w:sz w:val="21"/>
                      <w:szCs w:val="21"/>
                    </w:rPr>
                    <w:t>符合</w:t>
                  </w:r>
                </w:p>
              </w:tc>
            </w:tr>
            <w:tr w14:paraId="5F8393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3525" w:type="dxa"/>
                  <w:tcBorders>
                    <w:top w:val="single" w:color="auto" w:sz="4" w:space="0"/>
                    <w:left w:val="single" w:color="auto" w:sz="4" w:space="0"/>
                    <w:bottom w:val="single" w:color="auto" w:sz="4" w:space="0"/>
                    <w:right w:val="single" w:color="auto" w:sz="4" w:space="0"/>
                  </w:tcBorders>
                  <w:vAlign w:val="center"/>
                </w:tcPr>
                <w:p w14:paraId="2614A0BB">
                  <w:pPr>
                    <w:rPr>
                      <w:color w:val="auto"/>
                      <w:sz w:val="21"/>
                      <w:szCs w:val="21"/>
                      <w:shd w:val="clear" w:color="auto" w:fill="FFFFFF"/>
                    </w:rPr>
                  </w:pPr>
                  <w:r>
                    <w:rPr>
                      <w:rFonts w:hint="eastAsia"/>
                      <w:color w:val="auto"/>
                      <w:sz w:val="21"/>
                      <w:szCs w:val="21"/>
                      <w:shd w:val="clear" w:color="auto" w:fill="FFFFFF"/>
                    </w:rPr>
                    <w:t>产生大宗工业固体废物的单位应当采取有效措施，减少大宗工业固体废物的产生量，加强大宗工业固体废物综合利用和无害化处置，制定相关计划逐步消纳大宗工业固体废物历史堆存量。</w:t>
                  </w:r>
                </w:p>
              </w:tc>
              <w:tc>
                <w:tcPr>
                  <w:tcW w:w="3097" w:type="dxa"/>
                  <w:tcBorders>
                    <w:top w:val="single" w:color="auto" w:sz="4" w:space="0"/>
                    <w:left w:val="single" w:color="auto" w:sz="4" w:space="0"/>
                    <w:bottom w:val="single" w:color="auto" w:sz="4" w:space="0"/>
                    <w:right w:val="single" w:color="auto" w:sz="4" w:space="0"/>
                  </w:tcBorders>
                  <w:vAlign w:val="center"/>
                </w:tcPr>
                <w:p w14:paraId="51A4DFE1">
                  <w:pPr>
                    <w:rPr>
                      <w:rFonts w:ascii="宋体" w:hAnsi="宋体"/>
                      <w:color w:val="auto"/>
                      <w:sz w:val="21"/>
                      <w:szCs w:val="21"/>
                    </w:rPr>
                  </w:pPr>
                  <w:r>
                    <w:rPr>
                      <w:rFonts w:hint="eastAsia"/>
                      <w:color w:val="auto"/>
                      <w:szCs w:val="32"/>
                      <w:lang w:val="en-US" w:eastAsia="zh-CN"/>
                    </w:rPr>
                    <w:t>扩建</w:t>
                  </w:r>
                  <w:r>
                    <w:rPr>
                      <w:rFonts w:hint="eastAsia"/>
                      <w:color w:val="auto"/>
                      <w:szCs w:val="32"/>
                    </w:rPr>
                    <w:t>项目对属于工业固体废物的磷石膏、电石渣进行综合利用</w:t>
                  </w:r>
                  <w:r>
                    <w:rPr>
                      <w:rFonts w:hint="eastAsia" w:ascii="宋体" w:hAnsi="宋体"/>
                      <w:color w:val="auto"/>
                      <w:sz w:val="21"/>
                      <w:szCs w:val="21"/>
                    </w:rPr>
                    <w:t>，对</w:t>
                  </w:r>
                  <w:r>
                    <w:rPr>
                      <w:rFonts w:hint="eastAsia" w:ascii="宋体" w:hAnsi="宋体"/>
                      <w:color w:val="auto"/>
                      <w:sz w:val="21"/>
                      <w:szCs w:val="21"/>
                      <w:lang w:eastAsia="zh-CN"/>
                    </w:rPr>
                    <w:t>云南常青树化工有限公司</w:t>
                  </w:r>
                  <w:r>
                    <w:rPr>
                      <w:rFonts w:hint="eastAsia" w:ascii="宋体" w:hAnsi="宋体"/>
                      <w:color w:val="auto"/>
                      <w:sz w:val="21"/>
                      <w:szCs w:val="21"/>
                    </w:rPr>
                    <w:t>产生的工业固体废物磷石膏加以利用，利用</w:t>
                  </w:r>
                  <w:r>
                    <w:rPr>
                      <w:rFonts w:ascii="宋体" w:hAnsi="宋体"/>
                      <w:color w:val="auto"/>
                      <w:sz w:val="21"/>
                      <w:szCs w:val="21"/>
                    </w:rPr>
                    <w:t>磷石膏</w:t>
                  </w:r>
                  <w:r>
                    <w:rPr>
                      <w:rFonts w:hint="eastAsia" w:ascii="宋体" w:hAnsi="宋体"/>
                      <w:color w:val="auto"/>
                      <w:sz w:val="21"/>
                      <w:szCs w:val="21"/>
                    </w:rPr>
                    <w:t>和</w:t>
                  </w:r>
                  <w:r>
                    <w:rPr>
                      <w:rFonts w:ascii="宋体" w:hAnsi="宋体"/>
                      <w:color w:val="auto"/>
                      <w:sz w:val="21"/>
                      <w:szCs w:val="21"/>
                    </w:rPr>
                    <w:t>电石渣进行土壤</w:t>
                  </w:r>
                  <w:r>
                    <w:rPr>
                      <w:rFonts w:hint="eastAsia" w:ascii="Times New Roman" w:hAnsi="Times New Roman"/>
                      <w:color w:val="auto"/>
                      <w:kern w:val="2"/>
                      <w:sz w:val="21"/>
                      <w:szCs w:val="21"/>
                      <w:lang w:val="en-US" w:eastAsia="zh-CN"/>
                    </w:rPr>
                    <w:t>改良</w:t>
                  </w:r>
                  <w:r>
                    <w:rPr>
                      <w:rFonts w:ascii="宋体" w:hAnsi="宋体"/>
                      <w:color w:val="auto"/>
                      <w:sz w:val="21"/>
                      <w:szCs w:val="21"/>
                    </w:rPr>
                    <w:t>剂、路基材料、生态修复材料的</w:t>
                  </w:r>
                  <w:r>
                    <w:rPr>
                      <w:color w:val="auto"/>
                      <w:sz w:val="21"/>
                      <w:szCs w:val="21"/>
                    </w:rPr>
                    <w:t>生产</w:t>
                  </w:r>
                  <w:r>
                    <w:rPr>
                      <w:rFonts w:hint="eastAsia"/>
                      <w:color w:val="auto"/>
                      <w:sz w:val="21"/>
                      <w:szCs w:val="21"/>
                    </w:rPr>
                    <w:t>。</w:t>
                  </w:r>
                </w:p>
              </w:tc>
              <w:tc>
                <w:tcPr>
                  <w:tcW w:w="657" w:type="dxa"/>
                  <w:tcBorders>
                    <w:top w:val="single" w:color="auto" w:sz="4" w:space="0"/>
                    <w:left w:val="single" w:color="auto" w:sz="4" w:space="0"/>
                    <w:bottom w:val="single" w:color="auto" w:sz="4" w:space="0"/>
                    <w:right w:val="single" w:color="auto" w:sz="4" w:space="0"/>
                  </w:tcBorders>
                  <w:vAlign w:val="center"/>
                </w:tcPr>
                <w:p w14:paraId="0D03F403">
                  <w:pPr>
                    <w:jc w:val="center"/>
                    <w:rPr>
                      <w:rFonts w:ascii="宋体" w:hAnsi="宋体"/>
                      <w:color w:val="auto"/>
                      <w:sz w:val="21"/>
                      <w:szCs w:val="21"/>
                    </w:rPr>
                  </w:pPr>
                  <w:r>
                    <w:rPr>
                      <w:rFonts w:hint="eastAsia" w:ascii="宋体" w:hAnsi="宋体"/>
                      <w:color w:val="auto"/>
                      <w:sz w:val="21"/>
                      <w:szCs w:val="21"/>
                    </w:rPr>
                    <w:t>符合</w:t>
                  </w:r>
                </w:p>
              </w:tc>
            </w:tr>
          </w:tbl>
          <w:p w14:paraId="310D7813">
            <w:pPr>
              <w:pStyle w:val="102"/>
              <w:spacing w:line="360" w:lineRule="auto"/>
              <w:ind w:firstLine="482"/>
              <w:jc w:val="both"/>
              <w:rPr>
                <w:b/>
                <w:bCs/>
                <w:color w:val="auto"/>
                <w:sz w:val="24"/>
                <w:szCs w:val="24"/>
                <w:shd w:val="clear" w:color="auto" w:fill="FFFFFF"/>
                <w:lang w:eastAsia="zh-CN"/>
              </w:rPr>
            </w:pPr>
            <w:r>
              <w:rPr>
                <w:rFonts w:ascii="Times New Roman" w:hAnsi="Times New Roman"/>
                <w:b/>
                <w:color w:val="auto"/>
                <w:sz w:val="24"/>
                <w:szCs w:val="24"/>
                <w:lang w:eastAsia="zh-CN"/>
              </w:rPr>
              <w:t>1</w:t>
            </w:r>
            <w:r>
              <w:rPr>
                <w:rFonts w:hint="eastAsia" w:ascii="Times New Roman" w:hAnsi="Times New Roman"/>
                <w:b/>
                <w:color w:val="auto"/>
                <w:sz w:val="24"/>
                <w:szCs w:val="24"/>
                <w:lang w:val="en-US" w:eastAsia="zh-CN"/>
              </w:rPr>
              <w:t>5</w:t>
            </w:r>
            <w:r>
              <w:rPr>
                <w:rFonts w:ascii="Times New Roman" w:hAnsi="Times New Roman"/>
                <w:b/>
                <w:color w:val="auto"/>
                <w:sz w:val="24"/>
                <w:szCs w:val="24"/>
                <w:lang w:eastAsia="zh-CN"/>
              </w:rPr>
              <w:t>、与《</w:t>
            </w:r>
            <w:r>
              <w:rPr>
                <w:rFonts w:hint="eastAsia" w:ascii="Times New Roman" w:hAnsi="Times New Roman"/>
                <w:b/>
                <w:color w:val="auto"/>
                <w:sz w:val="24"/>
                <w:szCs w:val="24"/>
                <w:lang w:eastAsia="zh-CN"/>
              </w:rPr>
              <w:t>云南省工业固体废物和重金属污染防治“十四五”规划</w:t>
            </w:r>
            <w:r>
              <w:rPr>
                <w:rFonts w:ascii="Times New Roman" w:hAnsi="Times New Roman"/>
                <w:b/>
                <w:color w:val="auto"/>
                <w:sz w:val="24"/>
                <w:szCs w:val="24"/>
                <w:lang w:eastAsia="zh-CN"/>
              </w:rPr>
              <w:t>》</w:t>
            </w:r>
            <w:r>
              <w:rPr>
                <w:rFonts w:hint="eastAsia"/>
                <w:b/>
                <w:color w:val="auto"/>
                <w:sz w:val="24"/>
                <w:szCs w:val="24"/>
                <w:lang w:eastAsia="zh-CN"/>
              </w:rPr>
              <w:t>相符性分析</w:t>
            </w:r>
          </w:p>
          <w:p w14:paraId="59C3073E">
            <w:pPr>
              <w:jc w:val="center"/>
              <w:rPr>
                <w:b/>
                <w:bCs/>
                <w:color w:val="auto"/>
                <w:sz w:val="24"/>
                <w:shd w:val="clear" w:color="auto" w:fill="FFFFFF"/>
              </w:rPr>
            </w:pPr>
            <w:r>
              <w:rPr>
                <w:b/>
                <w:bCs/>
                <w:color w:val="auto"/>
                <w:sz w:val="24"/>
              </w:rPr>
              <w:t>表1</w:t>
            </w:r>
            <w:r>
              <w:rPr>
                <w:rFonts w:hint="eastAsia"/>
                <w:b/>
                <w:bCs/>
                <w:color w:val="auto"/>
                <w:sz w:val="24"/>
              </w:rPr>
              <w:t xml:space="preserve">-14  </w:t>
            </w:r>
            <w:r>
              <w:rPr>
                <w:b/>
                <w:color w:val="auto"/>
                <w:sz w:val="24"/>
              </w:rPr>
              <w:t>项目与《</w:t>
            </w:r>
            <w:r>
              <w:rPr>
                <w:rFonts w:hint="eastAsia"/>
                <w:b/>
                <w:color w:val="auto"/>
                <w:sz w:val="24"/>
              </w:rPr>
              <w:t>云南省工业固体废物和重金属污染防治“十四五”规划</w:t>
            </w:r>
            <w:r>
              <w:rPr>
                <w:b/>
                <w:color w:val="auto"/>
                <w:sz w:val="24"/>
              </w:rPr>
              <w:t>》</w:t>
            </w:r>
            <w:r>
              <w:rPr>
                <w:rFonts w:hint="eastAsia"/>
                <w:b/>
                <w:color w:val="auto"/>
                <w:sz w:val="24"/>
              </w:rPr>
              <w:t>相符性</w:t>
            </w:r>
            <w:r>
              <w:rPr>
                <w:b/>
                <w:color w:val="auto"/>
                <w:sz w:val="24"/>
              </w:rPr>
              <w:t>分析</w:t>
            </w:r>
          </w:p>
          <w:tbl>
            <w:tblPr>
              <w:tblStyle w:val="45"/>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525"/>
              <w:gridCol w:w="3097"/>
              <w:gridCol w:w="657"/>
            </w:tblGrid>
            <w:tr w14:paraId="50C40E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3525" w:type="dxa"/>
                  <w:tcBorders>
                    <w:top w:val="single" w:color="auto" w:sz="4" w:space="0"/>
                    <w:left w:val="single" w:color="auto" w:sz="4" w:space="0"/>
                    <w:bottom w:val="single" w:color="auto" w:sz="4" w:space="0"/>
                    <w:right w:val="single" w:color="auto" w:sz="4" w:space="0"/>
                  </w:tcBorders>
                  <w:vAlign w:val="center"/>
                </w:tcPr>
                <w:p w14:paraId="151893DE">
                  <w:pPr>
                    <w:jc w:val="center"/>
                    <w:rPr>
                      <w:rFonts w:ascii="宋体" w:hAnsi="宋体"/>
                      <w:color w:val="auto"/>
                      <w:sz w:val="21"/>
                      <w:szCs w:val="21"/>
                    </w:rPr>
                  </w:pPr>
                  <w:r>
                    <w:rPr>
                      <w:rFonts w:hint="eastAsia" w:ascii="宋体" w:hAnsi="宋体"/>
                      <w:color w:val="auto"/>
                      <w:sz w:val="21"/>
                      <w:szCs w:val="21"/>
                    </w:rPr>
                    <w:t>相关</w:t>
                  </w:r>
                  <w:r>
                    <w:rPr>
                      <w:rFonts w:ascii="宋体" w:hAnsi="宋体"/>
                      <w:color w:val="auto"/>
                      <w:sz w:val="21"/>
                      <w:szCs w:val="21"/>
                    </w:rPr>
                    <w:t>要求</w:t>
                  </w:r>
                </w:p>
              </w:tc>
              <w:tc>
                <w:tcPr>
                  <w:tcW w:w="3097" w:type="dxa"/>
                  <w:tcBorders>
                    <w:top w:val="single" w:color="auto" w:sz="4" w:space="0"/>
                    <w:left w:val="single" w:color="auto" w:sz="4" w:space="0"/>
                    <w:bottom w:val="single" w:color="auto" w:sz="4" w:space="0"/>
                    <w:right w:val="single" w:color="auto" w:sz="4" w:space="0"/>
                  </w:tcBorders>
                  <w:vAlign w:val="center"/>
                </w:tcPr>
                <w:p w14:paraId="19FF3FF8">
                  <w:pPr>
                    <w:jc w:val="center"/>
                    <w:rPr>
                      <w:rFonts w:ascii="宋体" w:hAnsi="宋体"/>
                      <w:color w:val="auto"/>
                      <w:sz w:val="21"/>
                      <w:szCs w:val="21"/>
                    </w:rPr>
                  </w:pPr>
                  <w:r>
                    <w:rPr>
                      <w:rFonts w:ascii="宋体" w:hAnsi="宋体"/>
                      <w:color w:val="auto"/>
                      <w:sz w:val="21"/>
                      <w:szCs w:val="21"/>
                    </w:rPr>
                    <w:t>拟建项目的</w:t>
                  </w:r>
                  <w:r>
                    <w:rPr>
                      <w:rFonts w:hint="eastAsia" w:ascii="宋体" w:hAnsi="宋体"/>
                      <w:color w:val="auto"/>
                      <w:sz w:val="21"/>
                      <w:szCs w:val="21"/>
                    </w:rPr>
                    <w:t>情况</w:t>
                  </w:r>
                </w:p>
              </w:tc>
              <w:tc>
                <w:tcPr>
                  <w:tcW w:w="657" w:type="dxa"/>
                  <w:tcBorders>
                    <w:top w:val="single" w:color="auto" w:sz="4" w:space="0"/>
                    <w:left w:val="single" w:color="auto" w:sz="4" w:space="0"/>
                    <w:bottom w:val="single" w:color="auto" w:sz="4" w:space="0"/>
                    <w:right w:val="single" w:color="auto" w:sz="4" w:space="0"/>
                  </w:tcBorders>
                  <w:vAlign w:val="center"/>
                </w:tcPr>
                <w:p w14:paraId="590C2EB4">
                  <w:pPr>
                    <w:jc w:val="center"/>
                    <w:rPr>
                      <w:rFonts w:ascii="宋体" w:hAnsi="宋体"/>
                      <w:color w:val="auto"/>
                      <w:sz w:val="21"/>
                      <w:szCs w:val="21"/>
                    </w:rPr>
                  </w:pPr>
                  <w:r>
                    <w:rPr>
                      <w:rFonts w:ascii="宋体" w:hAnsi="宋体"/>
                      <w:color w:val="auto"/>
                      <w:sz w:val="21"/>
                      <w:szCs w:val="21"/>
                    </w:rPr>
                    <w:t>符合性</w:t>
                  </w:r>
                </w:p>
              </w:tc>
            </w:tr>
            <w:tr w14:paraId="42795B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3525" w:type="dxa"/>
                  <w:tcBorders>
                    <w:top w:val="single" w:color="auto" w:sz="4" w:space="0"/>
                    <w:left w:val="single" w:color="auto" w:sz="4" w:space="0"/>
                    <w:bottom w:val="single" w:color="auto" w:sz="4" w:space="0"/>
                    <w:right w:val="single" w:color="auto" w:sz="4" w:space="0"/>
                  </w:tcBorders>
                  <w:vAlign w:val="center"/>
                </w:tcPr>
                <w:p w14:paraId="4A22E322">
                  <w:pPr>
                    <w:rPr>
                      <w:rFonts w:ascii="宋体" w:hAnsi="宋体"/>
                      <w:color w:val="auto"/>
                      <w:sz w:val="21"/>
                      <w:szCs w:val="21"/>
                    </w:rPr>
                  </w:pPr>
                  <w:r>
                    <w:rPr>
                      <w:color w:val="auto"/>
                      <w:sz w:val="21"/>
                      <w:szCs w:val="21"/>
                      <w:shd w:val="clear" w:color="auto" w:fill="FFFFFF"/>
                    </w:rPr>
                    <w:t>督促企业合理选择清洁的原料、能源和工艺、设备，减少有毒、有害原料的使用，提高资源利用效率。以有色金属矿采选业、有色金属冶炼和压延加工业、黑色金属冶炼和压延加工业、化学原料和化学制品制造业、环境治理业等工业固体废物产生量大的行业为重点，实施强制性清洁生产审核，督促企业实施清洁生产技术改造，从源头减少工业固体废物及危险废物产生。鼓励引导工业企业开展自愿清洁生产审核工作。</w:t>
                  </w:r>
                </w:p>
              </w:tc>
              <w:tc>
                <w:tcPr>
                  <w:tcW w:w="3097" w:type="dxa"/>
                  <w:tcBorders>
                    <w:top w:val="single" w:color="auto" w:sz="4" w:space="0"/>
                    <w:left w:val="single" w:color="auto" w:sz="4" w:space="0"/>
                    <w:bottom w:val="single" w:color="auto" w:sz="4" w:space="0"/>
                    <w:right w:val="single" w:color="auto" w:sz="4" w:space="0"/>
                  </w:tcBorders>
                  <w:vAlign w:val="center"/>
                </w:tcPr>
                <w:p w14:paraId="10722551">
                  <w:pPr>
                    <w:rPr>
                      <w:rFonts w:ascii="宋体" w:hAnsi="宋体"/>
                      <w:color w:val="auto"/>
                      <w:sz w:val="21"/>
                      <w:szCs w:val="21"/>
                    </w:rPr>
                  </w:pPr>
                  <w:r>
                    <w:rPr>
                      <w:rFonts w:hint="eastAsia"/>
                      <w:color w:val="auto"/>
                      <w:szCs w:val="32"/>
                      <w:lang w:val="en-US" w:eastAsia="zh-CN"/>
                    </w:rPr>
                    <w:t>扩建</w:t>
                  </w:r>
                  <w:r>
                    <w:rPr>
                      <w:rFonts w:hint="eastAsia" w:ascii="宋体" w:hAnsi="宋体"/>
                      <w:color w:val="auto"/>
                      <w:sz w:val="21"/>
                      <w:szCs w:val="21"/>
                    </w:rPr>
                    <w:t>项目为</w:t>
                  </w:r>
                  <w:r>
                    <w:rPr>
                      <w:rFonts w:hint="eastAsia"/>
                      <w:color w:val="auto"/>
                      <w:szCs w:val="32"/>
                    </w:rPr>
                    <w:t>项目对属于工业固体废物的磷石膏、电石渣进行综合利用</w:t>
                  </w:r>
                  <w:r>
                    <w:rPr>
                      <w:rFonts w:hint="eastAsia" w:ascii="宋体" w:hAnsi="宋体"/>
                      <w:color w:val="auto"/>
                      <w:sz w:val="21"/>
                      <w:szCs w:val="21"/>
                    </w:rPr>
                    <w:t>，利用</w:t>
                  </w:r>
                  <w:r>
                    <w:rPr>
                      <w:rFonts w:ascii="宋体" w:hAnsi="宋体"/>
                      <w:color w:val="auto"/>
                      <w:sz w:val="21"/>
                      <w:szCs w:val="21"/>
                    </w:rPr>
                    <w:t>磷石膏</w:t>
                  </w:r>
                  <w:r>
                    <w:rPr>
                      <w:rFonts w:hint="eastAsia" w:ascii="宋体" w:hAnsi="宋体"/>
                      <w:color w:val="auto"/>
                      <w:sz w:val="21"/>
                      <w:szCs w:val="21"/>
                    </w:rPr>
                    <w:t>和</w:t>
                  </w:r>
                  <w:r>
                    <w:rPr>
                      <w:rFonts w:ascii="宋体" w:hAnsi="宋体"/>
                      <w:color w:val="auto"/>
                      <w:sz w:val="21"/>
                      <w:szCs w:val="21"/>
                    </w:rPr>
                    <w:t>电石渣进行土壤</w:t>
                  </w:r>
                  <w:r>
                    <w:rPr>
                      <w:rFonts w:hint="eastAsia" w:ascii="Times New Roman" w:hAnsi="Times New Roman"/>
                      <w:color w:val="auto"/>
                      <w:kern w:val="2"/>
                      <w:sz w:val="21"/>
                      <w:szCs w:val="21"/>
                      <w:lang w:val="en-US" w:eastAsia="zh-CN"/>
                    </w:rPr>
                    <w:t>改良</w:t>
                  </w:r>
                  <w:r>
                    <w:rPr>
                      <w:rFonts w:ascii="宋体" w:hAnsi="宋体"/>
                      <w:color w:val="auto"/>
                      <w:sz w:val="21"/>
                      <w:szCs w:val="21"/>
                    </w:rPr>
                    <w:t>剂、路基材料、生态修复材料的</w:t>
                  </w:r>
                  <w:r>
                    <w:rPr>
                      <w:color w:val="auto"/>
                      <w:sz w:val="21"/>
                      <w:szCs w:val="21"/>
                    </w:rPr>
                    <w:t>生产</w:t>
                  </w:r>
                  <w:r>
                    <w:rPr>
                      <w:rFonts w:ascii="宋体" w:hAnsi="宋体"/>
                      <w:color w:val="auto"/>
                      <w:sz w:val="21"/>
                      <w:szCs w:val="21"/>
                    </w:rPr>
                    <w:t>。</w:t>
                  </w:r>
                  <w:r>
                    <w:rPr>
                      <w:rFonts w:hint="eastAsia"/>
                      <w:color w:val="auto"/>
                      <w:sz w:val="21"/>
                      <w:szCs w:val="21"/>
                      <w:shd w:val="clear" w:color="auto" w:fill="FFFFFF"/>
                    </w:rPr>
                    <w:t>不使用</w:t>
                  </w:r>
                  <w:r>
                    <w:rPr>
                      <w:color w:val="auto"/>
                      <w:sz w:val="21"/>
                      <w:szCs w:val="21"/>
                      <w:shd w:val="clear" w:color="auto" w:fill="FFFFFF"/>
                    </w:rPr>
                    <w:t>有毒、有害的原料。不</w:t>
                  </w:r>
                  <w:r>
                    <w:rPr>
                      <w:rFonts w:hint="eastAsia"/>
                      <w:color w:val="auto"/>
                      <w:sz w:val="21"/>
                      <w:szCs w:val="21"/>
                      <w:shd w:val="clear" w:color="auto" w:fill="FFFFFF"/>
                    </w:rPr>
                    <w:t>产生</w:t>
                  </w:r>
                  <w:r>
                    <w:rPr>
                      <w:color w:val="auto"/>
                      <w:sz w:val="21"/>
                      <w:szCs w:val="21"/>
                      <w:shd w:val="clear" w:color="auto" w:fill="FFFFFF"/>
                    </w:rPr>
                    <w:t>工业固体废物。项目为清洁生产</w:t>
                  </w:r>
                </w:p>
              </w:tc>
              <w:tc>
                <w:tcPr>
                  <w:tcW w:w="657" w:type="dxa"/>
                  <w:tcBorders>
                    <w:top w:val="single" w:color="auto" w:sz="4" w:space="0"/>
                    <w:left w:val="single" w:color="auto" w:sz="4" w:space="0"/>
                    <w:bottom w:val="single" w:color="auto" w:sz="4" w:space="0"/>
                    <w:right w:val="single" w:color="auto" w:sz="4" w:space="0"/>
                  </w:tcBorders>
                  <w:vAlign w:val="center"/>
                </w:tcPr>
                <w:p w14:paraId="0185A530">
                  <w:pPr>
                    <w:jc w:val="center"/>
                    <w:rPr>
                      <w:rFonts w:ascii="宋体" w:hAnsi="宋体"/>
                      <w:color w:val="auto"/>
                      <w:sz w:val="21"/>
                      <w:szCs w:val="21"/>
                    </w:rPr>
                  </w:pPr>
                </w:p>
                <w:p w14:paraId="020C124B">
                  <w:pPr>
                    <w:jc w:val="center"/>
                    <w:rPr>
                      <w:rFonts w:ascii="宋体" w:hAnsi="宋体"/>
                      <w:color w:val="auto"/>
                      <w:sz w:val="21"/>
                      <w:szCs w:val="21"/>
                    </w:rPr>
                  </w:pPr>
                </w:p>
                <w:p w14:paraId="33D25171">
                  <w:pPr>
                    <w:jc w:val="center"/>
                    <w:rPr>
                      <w:rFonts w:ascii="宋体" w:hAnsi="宋体"/>
                      <w:color w:val="auto"/>
                      <w:sz w:val="21"/>
                      <w:szCs w:val="21"/>
                    </w:rPr>
                  </w:pPr>
                  <w:r>
                    <w:rPr>
                      <w:rFonts w:hint="eastAsia" w:ascii="宋体" w:hAnsi="宋体"/>
                      <w:color w:val="auto"/>
                      <w:sz w:val="21"/>
                      <w:szCs w:val="21"/>
                    </w:rPr>
                    <w:t>符合</w:t>
                  </w:r>
                </w:p>
              </w:tc>
            </w:tr>
            <w:tr w14:paraId="2A8BD2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3525" w:type="dxa"/>
                  <w:tcBorders>
                    <w:top w:val="single" w:color="auto" w:sz="4" w:space="0"/>
                    <w:left w:val="single" w:color="auto" w:sz="4" w:space="0"/>
                    <w:bottom w:val="single" w:color="auto" w:sz="4" w:space="0"/>
                    <w:right w:val="single" w:color="auto" w:sz="4" w:space="0"/>
                  </w:tcBorders>
                  <w:vAlign w:val="center"/>
                </w:tcPr>
                <w:p w14:paraId="2F86F1D5">
                  <w:pPr>
                    <w:rPr>
                      <w:color w:val="auto"/>
                      <w:sz w:val="21"/>
                      <w:szCs w:val="21"/>
                      <w:shd w:val="clear" w:color="auto" w:fill="FFFFFF"/>
                    </w:rPr>
                  </w:pPr>
                  <w:r>
                    <w:rPr>
                      <w:color w:val="auto"/>
                      <w:sz w:val="21"/>
                      <w:szCs w:val="21"/>
                      <w:shd w:val="clear" w:color="auto" w:fill="FFFFFF"/>
                    </w:rPr>
                    <w:t>将工业固体废物纳入排污许可证管理，落实管理台账和申报制度，实现可追溯、可查询。规范固体废物跨省转移备案和审批工作，加强转移入省固体废物利用处置监管。</w:t>
                  </w:r>
                </w:p>
              </w:tc>
              <w:tc>
                <w:tcPr>
                  <w:tcW w:w="3097" w:type="dxa"/>
                  <w:tcBorders>
                    <w:top w:val="single" w:color="auto" w:sz="4" w:space="0"/>
                    <w:left w:val="single" w:color="auto" w:sz="4" w:space="0"/>
                    <w:bottom w:val="single" w:color="auto" w:sz="4" w:space="0"/>
                    <w:right w:val="single" w:color="auto" w:sz="4" w:space="0"/>
                  </w:tcBorders>
                  <w:vAlign w:val="center"/>
                </w:tcPr>
                <w:p w14:paraId="399FA6F2">
                  <w:pPr>
                    <w:rPr>
                      <w:color w:val="auto"/>
                      <w:sz w:val="21"/>
                      <w:szCs w:val="21"/>
                      <w:shd w:val="clear" w:color="auto" w:fill="FFFFFF"/>
                    </w:rPr>
                  </w:pPr>
                  <w:r>
                    <w:rPr>
                      <w:rFonts w:hint="eastAsia"/>
                      <w:color w:val="auto"/>
                      <w:sz w:val="21"/>
                      <w:szCs w:val="21"/>
                      <w:shd w:val="clear" w:color="auto" w:fill="FFFFFF"/>
                      <w:lang w:eastAsia="zh-CN"/>
                    </w:rPr>
                    <w:t>云南常青树化工有限公司</w:t>
                  </w:r>
                  <w:r>
                    <w:rPr>
                      <w:rFonts w:hint="eastAsia"/>
                      <w:color w:val="auto"/>
                      <w:sz w:val="21"/>
                      <w:szCs w:val="21"/>
                      <w:shd w:val="clear" w:color="auto" w:fill="FFFFFF"/>
                    </w:rPr>
                    <w:t>建立有健全的工业固体废物产生、收集、贮存、运输、利用、处置全过程的污染环境防治责任制度，</w:t>
                  </w:r>
                  <w:r>
                    <w:rPr>
                      <w:rFonts w:hint="eastAsia"/>
                      <w:color w:val="auto"/>
                      <w:sz w:val="21"/>
                      <w:szCs w:val="21"/>
                      <w:shd w:val="clear" w:color="auto" w:fill="FFFFFF"/>
                      <w:lang w:eastAsia="zh-CN"/>
                    </w:rPr>
                    <w:t>云南常青树化工有限公司</w:t>
                  </w:r>
                  <w:r>
                    <w:rPr>
                      <w:rFonts w:hint="eastAsia"/>
                      <w:color w:val="auto"/>
                      <w:sz w:val="21"/>
                      <w:szCs w:val="21"/>
                      <w:shd w:val="clear" w:color="auto" w:fill="FFFFFF"/>
                    </w:rPr>
                    <w:t>的工业固体废物管理台账，如实记录产生工业固体废物的种类、时间、数量、流向、贮存、利用、处置等信息，并采取防治工业固体废物污染环境的措施。并妥善保存工业固体废物管理台账。</w:t>
                  </w:r>
                </w:p>
              </w:tc>
              <w:tc>
                <w:tcPr>
                  <w:tcW w:w="657" w:type="dxa"/>
                  <w:tcBorders>
                    <w:top w:val="single" w:color="auto" w:sz="4" w:space="0"/>
                    <w:left w:val="single" w:color="auto" w:sz="4" w:space="0"/>
                    <w:bottom w:val="single" w:color="auto" w:sz="4" w:space="0"/>
                    <w:right w:val="single" w:color="auto" w:sz="4" w:space="0"/>
                  </w:tcBorders>
                  <w:vAlign w:val="center"/>
                </w:tcPr>
                <w:p w14:paraId="74D20F89">
                  <w:pPr>
                    <w:jc w:val="center"/>
                    <w:rPr>
                      <w:rFonts w:ascii="宋体" w:hAnsi="宋体"/>
                      <w:color w:val="auto"/>
                      <w:sz w:val="21"/>
                      <w:szCs w:val="21"/>
                    </w:rPr>
                  </w:pPr>
                  <w:r>
                    <w:rPr>
                      <w:rFonts w:hint="eastAsia" w:ascii="宋体" w:hAnsi="宋体"/>
                      <w:color w:val="auto"/>
                      <w:sz w:val="21"/>
                      <w:szCs w:val="21"/>
                    </w:rPr>
                    <w:t>符合</w:t>
                  </w:r>
                </w:p>
              </w:tc>
            </w:tr>
            <w:tr w14:paraId="639452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3525" w:type="dxa"/>
                  <w:tcBorders>
                    <w:top w:val="single" w:color="auto" w:sz="4" w:space="0"/>
                    <w:left w:val="single" w:color="auto" w:sz="4" w:space="0"/>
                    <w:bottom w:val="single" w:color="auto" w:sz="4" w:space="0"/>
                    <w:right w:val="single" w:color="auto" w:sz="4" w:space="0"/>
                  </w:tcBorders>
                  <w:vAlign w:val="center"/>
                </w:tcPr>
                <w:p w14:paraId="47CDF5B5">
                  <w:pPr>
                    <w:rPr>
                      <w:color w:val="auto"/>
                      <w:sz w:val="21"/>
                      <w:szCs w:val="21"/>
                      <w:shd w:val="clear" w:color="auto" w:fill="FFFFFF"/>
                    </w:rPr>
                  </w:pPr>
                  <w:r>
                    <w:rPr>
                      <w:color w:val="auto"/>
                      <w:sz w:val="21"/>
                      <w:szCs w:val="21"/>
                      <w:shd w:val="clear" w:color="auto" w:fill="FFFFFF"/>
                    </w:rPr>
                    <w:t>严格落实尾矿、粉煤灰、冶炼渣、工业副产石膏等工业固体废物综合利用技术和产品标准，规范工业固体废物综合利用行业发展。拓宽磷石膏利用途径，继续推广磷石膏在生产水泥和新型建筑材料等领域的利用，在确保环境安全的前提下，探索磷石膏在土壤改良、生态修复、路基材料等领域的应用。</w:t>
                  </w:r>
                </w:p>
              </w:tc>
              <w:tc>
                <w:tcPr>
                  <w:tcW w:w="3097" w:type="dxa"/>
                  <w:tcBorders>
                    <w:top w:val="single" w:color="auto" w:sz="4" w:space="0"/>
                    <w:left w:val="single" w:color="auto" w:sz="4" w:space="0"/>
                    <w:bottom w:val="single" w:color="auto" w:sz="4" w:space="0"/>
                    <w:right w:val="single" w:color="auto" w:sz="4" w:space="0"/>
                  </w:tcBorders>
                  <w:vAlign w:val="center"/>
                </w:tcPr>
                <w:p w14:paraId="5D1E58D7">
                  <w:pPr>
                    <w:rPr>
                      <w:rFonts w:ascii="宋体" w:hAnsi="宋体"/>
                      <w:color w:val="auto"/>
                      <w:sz w:val="21"/>
                      <w:szCs w:val="21"/>
                    </w:rPr>
                  </w:pPr>
                  <w:r>
                    <w:rPr>
                      <w:rFonts w:hint="eastAsia"/>
                      <w:color w:val="auto"/>
                      <w:szCs w:val="32"/>
                      <w:lang w:val="en-US" w:eastAsia="zh-CN"/>
                    </w:rPr>
                    <w:t>扩建</w:t>
                  </w:r>
                  <w:r>
                    <w:rPr>
                      <w:rFonts w:hint="eastAsia" w:ascii="宋体" w:hAnsi="宋体"/>
                      <w:color w:val="auto"/>
                      <w:sz w:val="21"/>
                      <w:szCs w:val="21"/>
                    </w:rPr>
                    <w:t>项目</w:t>
                  </w:r>
                  <w:r>
                    <w:rPr>
                      <w:rFonts w:hint="eastAsia"/>
                      <w:color w:val="auto"/>
                      <w:szCs w:val="32"/>
                    </w:rPr>
                    <w:t>对属于工业固体废物的磷石膏、电石渣进行综合利用</w:t>
                  </w:r>
                  <w:r>
                    <w:rPr>
                      <w:rFonts w:hint="eastAsia" w:ascii="宋体" w:hAnsi="宋体"/>
                      <w:color w:val="auto"/>
                      <w:sz w:val="21"/>
                      <w:szCs w:val="21"/>
                    </w:rPr>
                    <w:t>，利用</w:t>
                  </w:r>
                  <w:r>
                    <w:rPr>
                      <w:rFonts w:ascii="宋体" w:hAnsi="宋体"/>
                      <w:color w:val="auto"/>
                      <w:sz w:val="21"/>
                      <w:szCs w:val="21"/>
                    </w:rPr>
                    <w:t>磷石膏</w:t>
                  </w:r>
                  <w:r>
                    <w:rPr>
                      <w:rFonts w:hint="eastAsia" w:ascii="宋体" w:hAnsi="宋体"/>
                      <w:color w:val="auto"/>
                      <w:sz w:val="21"/>
                      <w:szCs w:val="21"/>
                    </w:rPr>
                    <w:t>和</w:t>
                  </w:r>
                  <w:r>
                    <w:rPr>
                      <w:rFonts w:ascii="宋体" w:hAnsi="宋体"/>
                      <w:color w:val="auto"/>
                      <w:sz w:val="21"/>
                      <w:szCs w:val="21"/>
                    </w:rPr>
                    <w:t>电石渣进行土壤</w:t>
                  </w:r>
                  <w:r>
                    <w:rPr>
                      <w:rFonts w:hint="eastAsia" w:ascii="Times New Roman" w:hAnsi="Times New Roman"/>
                      <w:color w:val="auto"/>
                      <w:kern w:val="2"/>
                      <w:sz w:val="21"/>
                      <w:szCs w:val="21"/>
                      <w:lang w:val="en-US" w:eastAsia="zh-CN"/>
                    </w:rPr>
                    <w:t>改良</w:t>
                  </w:r>
                  <w:r>
                    <w:rPr>
                      <w:rFonts w:ascii="宋体" w:hAnsi="宋体"/>
                      <w:color w:val="auto"/>
                      <w:sz w:val="21"/>
                      <w:szCs w:val="21"/>
                    </w:rPr>
                    <w:t>剂、路基材料、生态修复材料的</w:t>
                  </w:r>
                  <w:r>
                    <w:rPr>
                      <w:color w:val="auto"/>
                      <w:sz w:val="21"/>
                      <w:szCs w:val="21"/>
                    </w:rPr>
                    <w:t>生产，经生态修复材料改性磷石膏的检测，产品为</w:t>
                  </w:r>
                  <w:r>
                    <w:rPr>
                      <w:rFonts w:hint="eastAsia"/>
                      <w:color w:val="auto"/>
                      <w:sz w:val="21"/>
                      <w:szCs w:val="21"/>
                    </w:rPr>
                    <w:t>第Ⅰ类一般工业固体废物，确保了环境安全。</w:t>
                  </w:r>
                </w:p>
              </w:tc>
              <w:tc>
                <w:tcPr>
                  <w:tcW w:w="657" w:type="dxa"/>
                  <w:tcBorders>
                    <w:top w:val="single" w:color="auto" w:sz="4" w:space="0"/>
                    <w:left w:val="single" w:color="auto" w:sz="4" w:space="0"/>
                    <w:bottom w:val="single" w:color="auto" w:sz="4" w:space="0"/>
                    <w:right w:val="single" w:color="auto" w:sz="4" w:space="0"/>
                  </w:tcBorders>
                  <w:vAlign w:val="center"/>
                </w:tcPr>
                <w:p w14:paraId="54FF7EB0">
                  <w:pPr>
                    <w:jc w:val="center"/>
                    <w:rPr>
                      <w:rFonts w:ascii="宋体" w:hAnsi="宋体"/>
                      <w:color w:val="auto"/>
                      <w:sz w:val="21"/>
                      <w:szCs w:val="21"/>
                    </w:rPr>
                  </w:pPr>
                  <w:r>
                    <w:rPr>
                      <w:rFonts w:hint="eastAsia" w:ascii="宋体" w:hAnsi="宋体"/>
                      <w:color w:val="auto"/>
                      <w:sz w:val="21"/>
                      <w:szCs w:val="21"/>
                    </w:rPr>
                    <w:t>符合</w:t>
                  </w:r>
                </w:p>
              </w:tc>
            </w:tr>
          </w:tbl>
          <w:p w14:paraId="2A81A55A">
            <w:pPr>
              <w:spacing w:line="360" w:lineRule="auto"/>
              <w:ind w:firstLine="482" w:firstLineChars="200"/>
              <w:rPr>
                <w:rFonts w:hint="default" w:hAnsi="宋体" w:eastAsia="宋体"/>
                <w:b/>
                <w:color w:val="auto"/>
                <w:sz w:val="24"/>
                <w:szCs w:val="24"/>
                <w:lang w:val="en-US" w:eastAsia="zh-CN"/>
              </w:rPr>
            </w:pPr>
            <w:r>
              <w:rPr>
                <w:rFonts w:hint="eastAsia" w:hAnsi="宋体"/>
                <w:b/>
                <w:color w:val="auto"/>
                <w:sz w:val="24"/>
                <w:szCs w:val="24"/>
                <w:lang w:val="en-US" w:eastAsia="zh-CN"/>
              </w:rPr>
              <w:t>16、</w:t>
            </w:r>
            <w:r>
              <w:rPr>
                <w:rFonts w:hint="eastAsia"/>
                <w:b/>
                <w:color w:val="auto"/>
                <w:sz w:val="24"/>
                <w:szCs w:val="24"/>
                <w:lang w:val="en-US" w:eastAsia="zh-CN"/>
              </w:rPr>
              <w:t>与</w:t>
            </w:r>
            <w:r>
              <w:rPr>
                <w:rFonts w:hint="eastAsia" w:ascii="仿宋_GB2312" w:hAnsi="宋体" w:cs="仿宋_GB2312"/>
                <w:b/>
                <w:bCs/>
                <w:color w:val="auto"/>
                <w:sz w:val="24"/>
                <w:szCs w:val="24"/>
                <w:highlight w:val="none"/>
              </w:rPr>
              <w:t>《关于推进大宗固体废弃物综合利用产业集聚发展的通知》</w:t>
            </w:r>
            <w:r>
              <w:rPr>
                <w:rFonts w:hint="eastAsia" w:ascii="仿宋_GB2312" w:hAnsi="宋体" w:cs="仿宋_GB2312"/>
                <w:b/>
                <w:bCs/>
                <w:color w:val="auto"/>
                <w:sz w:val="24"/>
                <w:szCs w:val="24"/>
                <w:highlight w:val="none"/>
                <w:lang w:val="en-US" w:eastAsia="zh-CN"/>
              </w:rPr>
              <w:t>符合性分析</w:t>
            </w:r>
          </w:p>
          <w:p w14:paraId="1A7C74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4"/>
                <w:szCs w:val="24"/>
              </w:rPr>
            </w:pPr>
            <w:r>
              <w:rPr>
                <w:b/>
                <w:bCs/>
                <w:color w:val="auto"/>
                <w:sz w:val="24"/>
                <w:szCs w:val="24"/>
              </w:rPr>
              <w:t>表1</w:t>
            </w:r>
            <w:r>
              <w:rPr>
                <w:rFonts w:hint="eastAsia"/>
                <w:b/>
                <w:bCs/>
                <w:color w:val="auto"/>
                <w:sz w:val="24"/>
                <w:szCs w:val="24"/>
              </w:rPr>
              <w:t>-1</w:t>
            </w:r>
            <w:r>
              <w:rPr>
                <w:rFonts w:hint="eastAsia"/>
                <w:b/>
                <w:bCs/>
                <w:color w:val="auto"/>
                <w:sz w:val="24"/>
                <w:szCs w:val="24"/>
                <w:lang w:val="en-US" w:eastAsia="zh-CN"/>
              </w:rPr>
              <w:t>5</w:t>
            </w:r>
            <w:r>
              <w:rPr>
                <w:rFonts w:hint="eastAsia"/>
                <w:b/>
                <w:bCs/>
                <w:color w:val="auto"/>
                <w:sz w:val="24"/>
                <w:szCs w:val="24"/>
              </w:rPr>
              <w:t xml:space="preserve">  </w:t>
            </w:r>
            <w:r>
              <w:rPr>
                <w:b/>
                <w:color w:val="auto"/>
                <w:sz w:val="24"/>
                <w:szCs w:val="24"/>
              </w:rPr>
              <w:t>项目与</w:t>
            </w:r>
            <w:r>
              <w:rPr>
                <w:rFonts w:hint="eastAsia" w:ascii="仿宋_GB2312" w:hAnsi="宋体" w:cs="仿宋_GB2312"/>
                <w:b/>
                <w:bCs/>
                <w:color w:val="auto"/>
                <w:sz w:val="24"/>
                <w:szCs w:val="24"/>
                <w:highlight w:val="none"/>
              </w:rPr>
              <w:t>《关于推进大宗固体废弃物综合利用产业集聚发展的通知》</w:t>
            </w:r>
            <w:r>
              <w:rPr>
                <w:rFonts w:hint="eastAsia"/>
                <w:b/>
                <w:color w:val="auto"/>
                <w:sz w:val="24"/>
                <w:szCs w:val="24"/>
                <w:lang w:val="en-US" w:eastAsia="zh-CN"/>
              </w:rPr>
              <w:t>符合</w:t>
            </w:r>
            <w:r>
              <w:rPr>
                <w:rFonts w:hint="eastAsia"/>
                <w:b/>
                <w:color w:val="auto"/>
                <w:sz w:val="24"/>
                <w:szCs w:val="24"/>
              </w:rPr>
              <w:t>性</w:t>
            </w:r>
            <w:r>
              <w:rPr>
                <w:b/>
                <w:color w:val="auto"/>
                <w:sz w:val="24"/>
                <w:szCs w:val="24"/>
              </w:rPr>
              <w:t>分析</w:t>
            </w:r>
          </w:p>
          <w:tbl>
            <w:tblPr>
              <w:tblStyle w:val="45"/>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767"/>
              <w:gridCol w:w="2758"/>
              <w:gridCol w:w="653"/>
            </w:tblGrid>
            <w:tr w14:paraId="02F8FB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6" w:hRule="atLeast"/>
                <w:jc w:val="center"/>
              </w:trPr>
              <w:tc>
                <w:tcPr>
                  <w:tcW w:w="3767" w:type="dxa"/>
                  <w:tcBorders>
                    <w:top w:val="single" w:color="auto" w:sz="4" w:space="0"/>
                    <w:left w:val="single" w:color="auto" w:sz="4" w:space="0"/>
                    <w:bottom w:val="single" w:color="auto" w:sz="4" w:space="0"/>
                    <w:right w:val="single" w:color="auto" w:sz="4" w:space="0"/>
                  </w:tcBorders>
                  <w:noWrap w:val="0"/>
                  <w:vAlign w:val="center"/>
                </w:tcPr>
                <w:p w14:paraId="4295AD8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auto"/>
                      <w:sz w:val="21"/>
                      <w:szCs w:val="21"/>
                    </w:rPr>
                  </w:pPr>
                  <w:r>
                    <w:rPr>
                      <w:rFonts w:hint="eastAsia" w:ascii="宋体" w:hAnsi="宋体"/>
                      <w:color w:val="auto"/>
                      <w:sz w:val="21"/>
                      <w:szCs w:val="21"/>
                    </w:rPr>
                    <w:t>相关</w:t>
                  </w:r>
                  <w:r>
                    <w:rPr>
                      <w:rFonts w:ascii="宋体" w:hAnsi="宋体"/>
                      <w:color w:val="auto"/>
                      <w:sz w:val="21"/>
                      <w:szCs w:val="21"/>
                    </w:rPr>
                    <w:t>要求</w:t>
                  </w:r>
                </w:p>
              </w:tc>
              <w:tc>
                <w:tcPr>
                  <w:tcW w:w="2758" w:type="dxa"/>
                  <w:tcBorders>
                    <w:top w:val="single" w:color="auto" w:sz="4" w:space="0"/>
                    <w:left w:val="single" w:color="auto" w:sz="4" w:space="0"/>
                    <w:bottom w:val="single" w:color="auto" w:sz="4" w:space="0"/>
                    <w:right w:val="single" w:color="auto" w:sz="4" w:space="0"/>
                  </w:tcBorders>
                  <w:noWrap w:val="0"/>
                  <w:vAlign w:val="center"/>
                </w:tcPr>
                <w:p w14:paraId="58B5A36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auto"/>
                      <w:sz w:val="21"/>
                      <w:szCs w:val="21"/>
                    </w:rPr>
                  </w:pPr>
                  <w:r>
                    <w:rPr>
                      <w:rFonts w:ascii="宋体" w:hAnsi="宋体"/>
                      <w:color w:val="auto"/>
                      <w:sz w:val="21"/>
                      <w:szCs w:val="21"/>
                    </w:rPr>
                    <w:t>拟建项目的</w:t>
                  </w:r>
                  <w:r>
                    <w:rPr>
                      <w:rFonts w:hint="eastAsia" w:ascii="宋体" w:hAnsi="宋体"/>
                      <w:color w:val="auto"/>
                      <w:sz w:val="21"/>
                      <w:szCs w:val="21"/>
                    </w:rPr>
                    <w:t>情况</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570E4BE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auto"/>
                      <w:sz w:val="21"/>
                      <w:szCs w:val="21"/>
                    </w:rPr>
                  </w:pPr>
                  <w:r>
                    <w:rPr>
                      <w:rFonts w:ascii="宋体" w:hAnsi="宋体"/>
                      <w:color w:val="auto"/>
                      <w:sz w:val="21"/>
                      <w:szCs w:val="21"/>
                    </w:rPr>
                    <w:t>符合性</w:t>
                  </w:r>
                </w:p>
              </w:tc>
            </w:tr>
            <w:tr w14:paraId="495463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6" w:hRule="atLeast"/>
                <w:jc w:val="center"/>
              </w:trPr>
              <w:tc>
                <w:tcPr>
                  <w:tcW w:w="3767" w:type="dxa"/>
                  <w:tcBorders>
                    <w:top w:val="single" w:color="auto" w:sz="4" w:space="0"/>
                    <w:left w:val="single" w:color="auto" w:sz="4" w:space="0"/>
                    <w:bottom w:val="single" w:color="auto" w:sz="4" w:space="0"/>
                    <w:right w:val="single" w:color="auto" w:sz="4" w:space="0"/>
                  </w:tcBorders>
                  <w:noWrap w:val="0"/>
                  <w:vAlign w:val="center"/>
                </w:tcPr>
                <w:p w14:paraId="24A26A4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z w:val="21"/>
                      <w:szCs w:val="21"/>
                      <w:lang w:val="en-US" w:eastAsia="zh-CN" w:bidi="ar-SA"/>
                    </w:rPr>
                  </w:pPr>
                  <w:r>
                    <w:rPr>
                      <w:rFonts w:hint="eastAsia" w:ascii="宋体" w:hAnsi="宋体"/>
                      <w:color w:val="auto"/>
                      <w:sz w:val="21"/>
                      <w:szCs w:val="21"/>
                    </w:rPr>
                    <w:t>推动电石渣、氨碱废渣、铬盐废渣、黄磷渣、盐泥无害化处置与深度综合利用，强化工业脱硫、生产化工产品等应用，加强化工废渣与水泥、室内装饰等建材方面的应用相结合，提高综合利用水平。推广脱硫石膏、磷石膏等工业副产石膏替代天然石膏的资源化利用，推动副产石膏分级利用，扩大副产石膏生产高强石膏粉、纸面石膏板等高附加值产品规模，鼓励工业副产石膏综合利用产业集约发展。</w:t>
                  </w:r>
                </w:p>
              </w:tc>
              <w:tc>
                <w:tcPr>
                  <w:tcW w:w="2758" w:type="dxa"/>
                  <w:tcBorders>
                    <w:top w:val="single" w:color="auto" w:sz="4" w:space="0"/>
                    <w:left w:val="single" w:color="auto" w:sz="4" w:space="0"/>
                    <w:bottom w:val="single" w:color="auto" w:sz="4" w:space="0"/>
                    <w:right w:val="single" w:color="auto" w:sz="4" w:space="0"/>
                  </w:tcBorders>
                  <w:noWrap w:val="0"/>
                  <w:vAlign w:val="center"/>
                </w:tcPr>
                <w:p w14:paraId="1151958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auto"/>
                      <w:sz w:val="21"/>
                      <w:szCs w:val="21"/>
                      <w:lang w:val="en-US" w:eastAsia="zh-CN" w:bidi="ar-SA"/>
                    </w:rPr>
                  </w:pPr>
                  <w:r>
                    <w:rPr>
                      <w:rFonts w:hint="eastAsia" w:ascii="宋体" w:hAnsi="宋体"/>
                      <w:color w:val="auto"/>
                      <w:sz w:val="21"/>
                      <w:szCs w:val="21"/>
                      <w:lang w:val="en-US" w:eastAsia="zh-CN"/>
                    </w:rPr>
                    <w:t>本项目</w:t>
                  </w:r>
                  <w:r>
                    <w:rPr>
                      <w:rFonts w:hint="eastAsia" w:ascii="宋体" w:hAnsi="宋体"/>
                      <w:color w:val="auto"/>
                      <w:sz w:val="21"/>
                      <w:szCs w:val="21"/>
                    </w:rPr>
                    <w:t>利用</w:t>
                  </w:r>
                  <w:r>
                    <w:rPr>
                      <w:rFonts w:ascii="宋体" w:hAnsi="宋体"/>
                      <w:color w:val="auto"/>
                      <w:sz w:val="21"/>
                      <w:szCs w:val="21"/>
                    </w:rPr>
                    <w:t>磷石膏</w:t>
                  </w:r>
                  <w:r>
                    <w:rPr>
                      <w:rFonts w:hint="eastAsia" w:ascii="宋体" w:hAnsi="宋体"/>
                      <w:color w:val="auto"/>
                      <w:sz w:val="21"/>
                      <w:szCs w:val="21"/>
                    </w:rPr>
                    <w:t>和</w:t>
                  </w:r>
                  <w:r>
                    <w:rPr>
                      <w:rFonts w:ascii="宋体" w:hAnsi="宋体"/>
                      <w:color w:val="auto"/>
                      <w:sz w:val="21"/>
                      <w:szCs w:val="21"/>
                    </w:rPr>
                    <w:t>电石渣进行土壤</w:t>
                  </w:r>
                  <w:r>
                    <w:rPr>
                      <w:rFonts w:hint="eastAsia" w:ascii="Times New Roman" w:hAnsi="Times New Roman"/>
                      <w:color w:val="auto"/>
                      <w:kern w:val="2"/>
                      <w:sz w:val="21"/>
                      <w:szCs w:val="21"/>
                      <w:lang w:val="en-US" w:eastAsia="zh-CN"/>
                    </w:rPr>
                    <w:t>改良</w:t>
                  </w:r>
                  <w:r>
                    <w:rPr>
                      <w:rFonts w:ascii="宋体" w:hAnsi="宋体"/>
                      <w:color w:val="auto"/>
                      <w:sz w:val="21"/>
                      <w:szCs w:val="21"/>
                    </w:rPr>
                    <w:t>剂、路基材料、生态修复材料的</w:t>
                  </w:r>
                  <w:r>
                    <w:rPr>
                      <w:color w:val="auto"/>
                      <w:sz w:val="21"/>
                      <w:szCs w:val="21"/>
                    </w:rPr>
                    <w:t>生产，</w:t>
                  </w:r>
                  <w:r>
                    <w:rPr>
                      <w:rFonts w:hint="eastAsia"/>
                      <w:color w:val="auto"/>
                      <w:sz w:val="21"/>
                      <w:szCs w:val="21"/>
                      <w:lang w:val="en-US" w:eastAsia="zh-CN"/>
                    </w:rPr>
                    <w:t>属于对磷石膏的综合利用。</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227D355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olor w:val="auto"/>
                      <w:sz w:val="21"/>
                      <w:szCs w:val="21"/>
                      <w:lang w:val="en-US" w:eastAsia="zh-CN"/>
                    </w:rPr>
                  </w:pPr>
                  <w:r>
                    <w:rPr>
                      <w:rFonts w:hint="eastAsia" w:ascii="宋体" w:hAnsi="宋体"/>
                      <w:color w:val="auto"/>
                      <w:sz w:val="21"/>
                      <w:szCs w:val="21"/>
                      <w:lang w:val="en-US" w:eastAsia="zh-CN"/>
                    </w:rPr>
                    <w:t>符合</w:t>
                  </w:r>
                </w:p>
              </w:tc>
            </w:tr>
          </w:tbl>
          <w:p w14:paraId="2F44C813">
            <w:pPr>
              <w:pStyle w:val="93"/>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eastAsia="宋体"/>
                <w:b/>
                <w:color w:val="auto"/>
                <w:sz w:val="24"/>
                <w:szCs w:val="24"/>
                <w:lang w:val="en-US" w:eastAsia="zh-CN"/>
              </w:rPr>
            </w:pPr>
            <w:r>
              <w:rPr>
                <w:rFonts w:hint="eastAsia" w:hAnsi="宋体"/>
                <w:b/>
                <w:color w:val="auto"/>
                <w:sz w:val="24"/>
                <w:szCs w:val="28"/>
                <w:lang w:val="en-US" w:eastAsia="zh-CN"/>
              </w:rPr>
              <w:t>17、</w:t>
            </w:r>
            <w:r>
              <w:rPr>
                <w:rFonts w:hint="eastAsia"/>
                <w:b/>
                <w:color w:val="auto"/>
                <w:sz w:val="24"/>
                <w:szCs w:val="24"/>
                <w:lang w:val="en-US" w:eastAsia="zh-CN"/>
              </w:rPr>
              <w:t>与《</w:t>
            </w:r>
            <w:r>
              <w:rPr>
                <w:rFonts w:hint="eastAsia" w:ascii="仿宋_GB2312" w:hAnsi="宋体" w:cs="仿宋_GB2312"/>
                <w:b/>
                <w:bCs/>
                <w:color w:val="auto"/>
                <w:sz w:val="24"/>
                <w:szCs w:val="24"/>
                <w:highlight w:val="none"/>
                <w:lang w:val="en-US" w:eastAsia="zh-CN"/>
              </w:rPr>
              <w:t>磷石膏综合利用行动方案</w:t>
            </w:r>
            <w:r>
              <w:rPr>
                <w:rFonts w:hint="eastAsia"/>
                <w:b/>
                <w:color w:val="auto"/>
                <w:sz w:val="24"/>
                <w:szCs w:val="24"/>
                <w:lang w:val="en-US" w:eastAsia="zh-CN"/>
              </w:rPr>
              <w:t>》符合性分析</w:t>
            </w:r>
          </w:p>
          <w:p w14:paraId="7A9A9DF1">
            <w:pPr>
              <w:pStyle w:val="9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lang w:val="en-US" w:eastAsia="zh-CN"/>
              </w:rPr>
            </w:pPr>
            <w:r>
              <w:rPr>
                <w:rStyle w:val="48"/>
                <w:rFonts w:ascii="宋体" w:hAnsi="宋体" w:eastAsia="宋体" w:cs="宋体"/>
                <w:b w:val="0"/>
                <w:bCs w:val="0"/>
                <w:i w:val="0"/>
                <w:iCs w:val="0"/>
                <w:caps w:val="0"/>
                <w:color w:val="auto"/>
                <w:spacing w:val="0"/>
                <w:sz w:val="24"/>
                <w:szCs w:val="24"/>
              </w:rPr>
              <w:t>工业和信息化部</w:t>
            </w:r>
            <w:r>
              <w:rPr>
                <w:rStyle w:val="48"/>
                <w:rFonts w:hint="default" w:ascii="Times New Roman" w:hAnsi="Times New Roman" w:eastAsia="宋体" w:cs="Times New Roman"/>
                <w:b w:val="0"/>
                <w:bCs w:val="0"/>
                <w:i w:val="0"/>
                <w:iCs w:val="0"/>
                <w:caps w:val="0"/>
                <w:color w:val="auto"/>
                <w:spacing w:val="0"/>
                <w:sz w:val="24"/>
                <w:szCs w:val="24"/>
                <w:lang w:eastAsia="zh-CN"/>
              </w:rPr>
              <w:t>、</w:t>
            </w:r>
            <w:r>
              <w:rPr>
                <w:rStyle w:val="48"/>
                <w:rFonts w:hint="default" w:ascii="Times New Roman" w:hAnsi="Times New Roman" w:eastAsia="宋体" w:cs="Times New Roman"/>
                <w:b w:val="0"/>
                <w:bCs w:val="0"/>
                <w:i w:val="0"/>
                <w:iCs w:val="0"/>
                <w:caps w:val="0"/>
                <w:color w:val="auto"/>
                <w:spacing w:val="0"/>
                <w:sz w:val="24"/>
                <w:szCs w:val="24"/>
              </w:rPr>
              <w:t>国家发展改革委</w:t>
            </w:r>
            <w:r>
              <w:rPr>
                <w:rStyle w:val="48"/>
                <w:rFonts w:hint="default" w:ascii="Times New Roman" w:hAnsi="Times New Roman" w:eastAsia="宋体" w:cs="Times New Roman"/>
                <w:b w:val="0"/>
                <w:bCs w:val="0"/>
                <w:i w:val="0"/>
                <w:iCs w:val="0"/>
                <w:caps w:val="0"/>
                <w:color w:val="auto"/>
                <w:spacing w:val="0"/>
                <w:sz w:val="24"/>
                <w:szCs w:val="24"/>
                <w:lang w:eastAsia="zh-CN"/>
              </w:rPr>
              <w:t>、</w:t>
            </w:r>
            <w:r>
              <w:rPr>
                <w:rStyle w:val="48"/>
                <w:rFonts w:hint="default" w:ascii="Times New Roman" w:hAnsi="Times New Roman" w:eastAsia="宋体" w:cs="Times New Roman"/>
                <w:b w:val="0"/>
                <w:bCs w:val="0"/>
                <w:i w:val="0"/>
                <w:iCs w:val="0"/>
                <w:caps w:val="0"/>
                <w:color w:val="auto"/>
                <w:spacing w:val="0"/>
                <w:sz w:val="24"/>
                <w:szCs w:val="24"/>
              </w:rPr>
              <w:t>财政部</w:t>
            </w:r>
            <w:r>
              <w:rPr>
                <w:rStyle w:val="48"/>
                <w:rFonts w:hint="default" w:ascii="Times New Roman" w:hAnsi="Times New Roman" w:eastAsia="宋体" w:cs="Times New Roman"/>
                <w:b w:val="0"/>
                <w:bCs w:val="0"/>
                <w:i w:val="0"/>
                <w:iCs w:val="0"/>
                <w:caps w:val="0"/>
                <w:color w:val="auto"/>
                <w:spacing w:val="0"/>
                <w:sz w:val="24"/>
                <w:szCs w:val="24"/>
                <w:lang w:eastAsia="zh-CN"/>
              </w:rPr>
              <w:t>、</w:t>
            </w:r>
            <w:r>
              <w:rPr>
                <w:rStyle w:val="48"/>
                <w:rFonts w:hint="default" w:ascii="Times New Roman" w:hAnsi="Times New Roman" w:eastAsia="宋体" w:cs="Times New Roman"/>
                <w:b w:val="0"/>
                <w:bCs w:val="0"/>
                <w:i w:val="0"/>
                <w:iCs w:val="0"/>
                <w:caps w:val="0"/>
                <w:color w:val="auto"/>
                <w:spacing w:val="0"/>
                <w:sz w:val="24"/>
                <w:szCs w:val="24"/>
              </w:rPr>
              <w:t>生态环境部</w:t>
            </w:r>
            <w:r>
              <w:rPr>
                <w:rStyle w:val="48"/>
                <w:rFonts w:hint="default" w:ascii="Times New Roman" w:hAnsi="Times New Roman" w:eastAsia="宋体" w:cs="Times New Roman"/>
                <w:b w:val="0"/>
                <w:bCs w:val="0"/>
                <w:i w:val="0"/>
                <w:iCs w:val="0"/>
                <w:caps w:val="0"/>
                <w:color w:val="auto"/>
                <w:spacing w:val="0"/>
                <w:sz w:val="24"/>
                <w:szCs w:val="24"/>
                <w:lang w:eastAsia="zh-CN"/>
              </w:rPr>
              <w:t>、</w:t>
            </w:r>
            <w:r>
              <w:rPr>
                <w:rStyle w:val="48"/>
                <w:rFonts w:hint="default" w:ascii="Times New Roman" w:hAnsi="Times New Roman" w:eastAsia="宋体" w:cs="Times New Roman"/>
                <w:b w:val="0"/>
                <w:bCs w:val="0"/>
                <w:i w:val="0"/>
                <w:iCs w:val="0"/>
                <w:caps w:val="0"/>
                <w:color w:val="auto"/>
                <w:spacing w:val="0"/>
                <w:sz w:val="24"/>
                <w:szCs w:val="24"/>
              </w:rPr>
              <w:t>住房城乡建设部</w:t>
            </w:r>
            <w:r>
              <w:rPr>
                <w:rStyle w:val="48"/>
                <w:rFonts w:hint="default" w:ascii="Times New Roman" w:hAnsi="Times New Roman" w:eastAsia="宋体" w:cs="Times New Roman"/>
                <w:b w:val="0"/>
                <w:bCs w:val="0"/>
                <w:i w:val="0"/>
                <w:iCs w:val="0"/>
                <w:caps w:val="0"/>
                <w:color w:val="auto"/>
                <w:spacing w:val="0"/>
                <w:sz w:val="24"/>
                <w:szCs w:val="24"/>
                <w:lang w:eastAsia="zh-CN"/>
              </w:rPr>
              <w:t>、</w:t>
            </w:r>
            <w:r>
              <w:rPr>
                <w:rStyle w:val="48"/>
                <w:rFonts w:hint="default" w:ascii="Times New Roman" w:hAnsi="Times New Roman" w:eastAsia="宋体" w:cs="Times New Roman"/>
                <w:b w:val="0"/>
                <w:bCs w:val="0"/>
                <w:i w:val="0"/>
                <w:iCs w:val="0"/>
                <w:caps w:val="0"/>
                <w:color w:val="auto"/>
                <w:spacing w:val="0"/>
                <w:sz w:val="24"/>
                <w:szCs w:val="24"/>
              </w:rPr>
              <w:t>交通运输部</w:t>
            </w:r>
            <w:r>
              <w:rPr>
                <w:rStyle w:val="48"/>
                <w:rFonts w:hint="default" w:ascii="Times New Roman" w:hAnsi="Times New Roman" w:eastAsia="宋体" w:cs="Times New Roman"/>
                <w:b w:val="0"/>
                <w:bCs w:val="0"/>
                <w:i w:val="0"/>
                <w:iCs w:val="0"/>
                <w:caps w:val="0"/>
                <w:color w:val="auto"/>
                <w:spacing w:val="0"/>
                <w:sz w:val="24"/>
                <w:szCs w:val="24"/>
                <w:lang w:eastAsia="zh-CN"/>
              </w:rPr>
              <w:t>、</w:t>
            </w:r>
            <w:r>
              <w:rPr>
                <w:rStyle w:val="48"/>
                <w:rFonts w:hint="default" w:ascii="Times New Roman" w:hAnsi="Times New Roman" w:eastAsia="宋体" w:cs="Times New Roman"/>
                <w:b w:val="0"/>
                <w:bCs w:val="0"/>
                <w:i w:val="0"/>
                <w:iCs w:val="0"/>
                <w:caps w:val="0"/>
                <w:color w:val="auto"/>
                <w:spacing w:val="0"/>
                <w:sz w:val="24"/>
                <w:szCs w:val="24"/>
              </w:rPr>
              <w:t>市场监管总局</w:t>
            </w:r>
            <w:r>
              <w:rPr>
                <w:rStyle w:val="48"/>
                <w:rFonts w:hint="default" w:ascii="Times New Roman" w:hAnsi="Times New Roman" w:eastAsia="宋体" w:cs="Times New Roman"/>
                <w:b w:val="0"/>
                <w:bCs w:val="0"/>
                <w:i w:val="0"/>
                <w:iCs w:val="0"/>
                <w:caps w:val="0"/>
                <w:color w:val="auto"/>
                <w:spacing w:val="0"/>
                <w:sz w:val="24"/>
                <w:szCs w:val="24"/>
                <w:lang w:val="en-US" w:eastAsia="zh-CN"/>
              </w:rPr>
              <w:t>于2024年3月25日发布了</w:t>
            </w:r>
            <w:r>
              <w:rPr>
                <w:rStyle w:val="48"/>
                <w:rFonts w:hint="default" w:ascii="Times New Roman" w:hAnsi="Times New Roman" w:eastAsia="宋体" w:cs="Times New Roman"/>
                <w:b w:val="0"/>
                <w:bCs w:val="0"/>
                <w:i w:val="0"/>
                <w:iCs w:val="0"/>
                <w:caps w:val="0"/>
                <w:color w:val="auto"/>
                <w:spacing w:val="0"/>
                <w:sz w:val="24"/>
                <w:szCs w:val="24"/>
              </w:rPr>
              <w:t>关于印发磷石膏综合利用行动方案的通知</w:t>
            </w:r>
            <w:r>
              <w:rPr>
                <w:rStyle w:val="48"/>
                <w:rFonts w:hint="default" w:ascii="Times New Roman" w:hAnsi="Times New Roman" w:eastAsia="宋体" w:cs="Times New Roman"/>
                <w:b w:val="0"/>
                <w:bCs w:val="0"/>
                <w:i w:val="0"/>
                <w:iCs w:val="0"/>
                <w:caps w:val="0"/>
                <w:color w:val="auto"/>
                <w:spacing w:val="0"/>
                <w:sz w:val="24"/>
                <w:szCs w:val="24"/>
                <w:lang w:eastAsia="zh-CN"/>
              </w:rPr>
              <w:t>（</w:t>
            </w:r>
            <w:r>
              <w:rPr>
                <w:rFonts w:hint="default" w:ascii="Times New Roman" w:hAnsi="Times New Roman" w:eastAsia="宋体" w:cs="Times New Roman"/>
                <w:b w:val="0"/>
                <w:bCs w:val="0"/>
                <w:i w:val="0"/>
                <w:iCs w:val="0"/>
                <w:caps w:val="0"/>
                <w:color w:val="auto"/>
                <w:spacing w:val="0"/>
                <w:sz w:val="24"/>
                <w:szCs w:val="24"/>
              </w:rPr>
              <w:t>工信部联节〔2024〕58号</w:t>
            </w:r>
            <w:r>
              <w:rPr>
                <w:rStyle w:val="48"/>
                <w:rFonts w:hint="default" w:ascii="Times New Roman" w:hAnsi="Times New Roman" w:eastAsia="宋体" w:cs="Times New Roman"/>
                <w:b w:val="0"/>
                <w:bCs w:val="0"/>
                <w:i w:val="0"/>
                <w:iCs w:val="0"/>
                <w:caps w:val="0"/>
                <w:color w:val="auto"/>
                <w:spacing w:val="0"/>
                <w:sz w:val="24"/>
                <w:szCs w:val="24"/>
                <w:lang w:eastAsia="zh-CN"/>
              </w:rPr>
              <w:t>），</w:t>
            </w:r>
            <w:r>
              <w:rPr>
                <w:rStyle w:val="48"/>
                <w:rFonts w:hint="default" w:ascii="Times New Roman" w:hAnsi="Times New Roman" w:eastAsia="宋体" w:cs="Times New Roman"/>
                <w:b w:val="0"/>
                <w:bCs w:val="0"/>
                <w:i w:val="0"/>
                <w:iCs w:val="0"/>
                <w:caps w:val="0"/>
                <w:color w:val="auto"/>
                <w:spacing w:val="0"/>
                <w:sz w:val="24"/>
                <w:szCs w:val="24"/>
                <w:lang w:val="en-US" w:eastAsia="zh-CN"/>
              </w:rPr>
              <w:t>项目与《</w:t>
            </w:r>
            <w:r>
              <w:rPr>
                <w:rFonts w:hint="default" w:ascii="Times New Roman" w:hAnsi="Times New Roman" w:cs="Times New Roman"/>
                <w:b w:val="0"/>
                <w:bCs w:val="0"/>
                <w:color w:val="auto"/>
                <w:sz w:val="24"/>
                <w:szCs w:val="24"/>
                <w:highlight w:val="none"/>
                <w:lang w:val="en-US" w:eastAsia="zh-CN"/>
              </w:rPr>
              <w:t>磷石膏综合利用行动方案</w:t>
            </w:r>
            <w:r>
              <w:rPr>
                <w:rStyle w:val="48"/>
                <w:rFonts w:hint="default" w:ascii="Times New Roman" w:hAnsi="Times New Roman" w:eastAsia="宋体" w:cs="Times New Roman"/>
                <w:b w:val="0"/>
                <w:bCs w:val="0"/>
                <w:i w:val="0"/>
                <w:iCs w:val="0"/>
                <w:caps w:val="0"/>
                <w:color w:val="auto"/>
                <w:spacing w:val="0"/>
                <w:sz w:val="24"/>
                <w:szCs w:val="24"/>
                <w:lang w:val="en-US" w:eastAsia="zh-CN"/>
              </w:rPr>
              <w:t>》符合性分析如下。</w:t>
            </w:r>
          </w:p>
          <w:p w14:paraId="1F5E1B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4"/>
              </w:rPr>
            </w:pPr>
            <w:r>
              <w:rPr>
                <w:b/>
                <w:bCs/>
                <w:color w:val="auto"/>
                <w:sz w:val="24"/>
                <w:szCs w:val="24"/>
              </w:rPr>
              <w:t>表1</w:t>
            </w:r>
            <w:r>
              <w:rPr>
                <w:rFonts w:hint="eastAsia"/>
                <w:b/>
                <w:bCs/>
                <w:color w:val="auto"/>
                <w:sz w:val="24"/>
                <w:szCs w:val="24"/>
              </w:rPr>
              <w:t>-1</w:t>
            </w:r>
            <w:r>
              <w:rPr>
                <w:rFonts w:hint="eastAsia"/>
                <w:b/>
                <w:bCs/>
                <w:color w:val="auto"/>
                <w:sz w:val="24"/>
                <w:szCs w:val="24"/>
                <w:lang w:val="en-US" w:eastAsia="zh-CN"/>
              </w:rPr>
              <w:t>6</w:t>
            </w:r>
            <w:r>
              <w:rPr>
                <w:rFonts w:hint="eastAsia"/>
                <w:b/>
                <w:bCs/>
                <w:color w:val="auto"/>
                <w:sz w:val="24"/>
                <w:szCs w:val="24"/>
              </w:rPr>
              <w:t xml:space="preserve">  </w:t>
            </w:r>
            <w:r>
              <w:rPr>
                <w:b/>
                <w:color w:val="auto"/>
                <w:sz w:val="24"/>
                <w:szCs w:val="24"/>
              </w:rPr>
              <w:t>项目与</w:t>
            </w:r>
            <w:r>
              <w:rPr>
                <w:rStyle w:val="48"/>
                <w:rFonts w:hint="eastAsia" w:ascii="宋体" w:hAnsi="宋体" w:eastAsia="宋体" w:cs="宋体"/>
                <w:b/>
                <w:bCs/>
                <w:i w:val="0"/>
                <w:iCs w:val="0"/>
                <w:caps w:val="0"/>
                <w:color w:val="auto"/>
                <w:spacing w:val="0"/>
                <w:sz w:val="24"/>
                <w:szCs w:val="24"/>
                <w:lang w:val="en-US" w:eastAsia="zh-CN"/>
              </w:rPr>
              <w:t>《</w:t>
            </w:r>
            <w:r>
              <w:rPr>
                <w:rFonts w:hint="eastAsia" w:ascii="仿宋_GB2312" w:hAnsi="宋体" w:cs="仿宋_GB2312"/>
                <w:b/>
                <w:bCs/>
                <w:color w:val="auto"/>
                <w:sz w:val="24"/>
                <w:szCs w:val="24"/>
                <w:highlight w:val="none"/>
                <w:lang w:val="en-US" w:eastAsia="zh-CN"/>
              </w:rPr>
              <w:t>磷石膏综合利用行动方案</w:t>
            </w:r>
            <w:r>
              <w:rPr>
                <w:rStyle w:val="48"/>
                <w:rFonts w:hint="eastAsia" w:ascii="宋体" w:hAnsi="宋体" w:eastAsia="宋体" w:cs="宋体"/>
                <w:b/>
                <w:bCs/>
                <w:i w:val="0"/>
                <w:iCs w:val="0"/>
                <w:caps w:val="0"/>
                <w:color w:val="auto"/>
                <w:spacing w:val="0"/>
                <w:sz w:val="24"/>
                <w:szCs w:val="24"/>
                <w:lang w:val="en-US" w:eastAsia="zh-CN"/>
              </w:rPr>
              <w:t>》</w:t>
            </w:r>
            <w:r>
              <w:rPr>
                <w:rFonts w:hint="eastAsia"/>
                <w:b/>
                <w:color w:val="auto"/>
                <w:sz w:val="24"/>
                <w:szCs w:val="24"/>
                <w:lang w:val="en-US" w:eastAsia="zh-CN"/>
              </w:rPr>
              <w:t>符合</w:t>
            </w:r>
            <w:r>
              <w:rPr>
                <w:rFonts w:hint="eastAsia"/>
                <w:b/>
                <w:color w:val="auto"/>
                <w:sz w:val="24"/>
                <w:szCs w:val="24"/>
              </w:rPr>
              <w:t>性</w:t>
            </w:r>
            <w:r>
              <w:rPr>
                <w:b/>
                <w:color w:val="auto"/>
                <w:sz w:val="24"/>
                <w:szCs w:val="24"/>
              </w:rPr>
              <w:t>分析</w:t>
            </w:r>
          </w:p>
          <w:tbl>
            <w:tblPr>
              <w:tblStyle w:val="45"/>
              <w:tblW w:w="49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10"/>
              <w:gridCol w:w="2717"/>
              <w:gridCol w:w="643"/>
            </w:tblGrid>
            <w:tr w14:paraId="61D43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711" w:type="dxa"/>
                  <w:tcBorders>
                    <w:tl2br w:val="nil"/>
                    <w:tr2bl w:val="nil"/>
                  </w:tcBorders>
                  <w:noWrap w:val="0"/>
                  <w:vAlign w:val="center"/>
                </w:tcPr>
                <w:p w14:paraId="0F02D9B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auto"/>
                      <w:sz w:val="21"/>
                      <w:szCs w:val="21"/>
                    </w:rPr>
                  </w:pPr>
                  <w:r>
                    <w:rPr>
                      <w:rFonts w:hint="eastAsia" w:ascii="宋体" w:hAnsi="宋体"/>
                      <w:color w:val="auto"/>
                      <w:sz w:val="21"/>
                      <w:szCs w:val="21"/>
                    </w:rPr>
                    <w:t>相关</w:t>
                  </w:r>
                  <w:r>
                    <w:rPr>
                      <w:rFonts w:ascii="宋体" w:hAnsi="宋体"/>
                      <w:color w:val="auto"/>
                      <w:sz w:val="21"/>
                      <w:szCs w:val="21"/>
                    </w:rPr>
                    <w:t>要求</w:t>
                  </w:r>
                </w:p>
              </w:tc>
              <w:tc>
                <w:tcPr>
                  <w:tcW w:w="2717" w:type="dxa"/>
                  <w:tcBorders>
                    <w:tl2br w:val="nil"/>
                    <w:tr2bl w:val="nil"/>
                  </w:tcBorders>
                  <w:noWrap w:val="0"/>
                  <w:vAlign w:val="center"/>
                </w:tcPr>
                <w:p w14:paraId="5EA00B7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auto"/>
                      <w:sz w:val="21"/>
                      <w:szCs w:val="21"/>
                    </w:rPr>
                  </w:pPr>
                  <w:r>
                    <w:rPr>
                      <w:rFonts w:ascii="宋体" w:hAnsi="宋体"/>
                      <w:color w:val="auto"/>
                      <w:sz w:val="21"/>
                      <w:szCs w:val="21"/>
                    </w:rPr>
                    <w:t>拟建项目的</w:t>
                  </w:r>
                  <w:r>
                    <w:rPr>
                      <w:rFonts w:hint="eastAsia" w:ascii="宋体" w:hAnsi="宋体"/>
                      <w:color w:val="auto"/>
                      <w:sz w:val="21"/>
                      <w:szCs w:val="21"/>
                    </w:rPr>
                    <w:t>情况</w:t>
                  </w:r>
                </w:p>
              </w:tc>
              <w:tc>
                <w:tcPr>
                  <w:tcW w:w="643" w:type="dxa"/>
                  <w:tcBorders>
                    <w:tl2br w:val="nil"/>
                    <w:tr2bl w:val="nil"/>
                  </w:tcBorders>
                  <w:noWrap w:val="0"/>
                  <w:vAlign w:val="center"/>
                </w:tcPr>
                <w:p w14:paraId="2B7ED46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auto"/>
                      <w:sz w:val="21"/>
                      <w:szCs w:val="21"/>
                    </w:rPr>
                  </w:pPr>
                  <w:r>
                    <w:rPr>
                      <w:rFonts w:ascii="宋体" w:hAnsi="宋体"/>
                      <w:color w:val="auto"/>
                      <w:sz w:val="21"/>
                      <w:szCs w:val="21"/>
                    </w:rPr>
                    <w:t>符合性</w:t>
                  </w:r>
                </w:p>
              </w:tc>
            </w:tr>
            <w:tr w14:paraId="615B9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711" w:type="dxa"/>
                  <w:tcBorders>
                    <w:tl2br w:val="nil"/>
                    <w:tr2bl w:val="nil"/>
                  </w:tcBorders>
                  <w:noWrap w:val="0"/>
                  <w:vAlign w:val="center"/>
                </w:tcPr>
                <w:p w14:paraId="1105D7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Times New Roman"/>
                      <w:color w:val="auto"/>
                      <w:sz w:val="21"/>
                      <w:szCs w:val="21"/>
                      <w:lang w:val="en-US" w:eastAsia="zh-CN" w:bidi="ar-SA"/>
                    </w:rPr>
                  </w:pPr>
                  <w:r>
                    <w:rPr>
                      <w:rFonts w:ascii="宋体" w:hAnsi="宋体" w:eastAsia="宋体" w:cs="Times New Roman"/>
                      <w:color w:val="auto"/>
                      <w:sz w:val="21"/>
                      <w:szCs w:val="21"/>
                      <w:lang w:val="en-US" w:eastAsia="zh-CN"/>
                    </w:rPr>
                    <w:t>鼓励磷石膏产生企业根据不同综合利用产品质量要求，开展磷石膏预处理，降低影响下游产品质量的水溶磷、水溶氟、有机质等杂质和环境风险因子，提升成分均一性，优化磷石膏品质，提高可资源化利用性。推动以磷石膏为原料生产水泥缓凝剂、石膏砂浆（抹灰石膏、石膏自流平等）、石膏条板</w:t>
                  </w:r>
                  <w:r>
                    <w:rPr>
                      <w:rFonts w:hint="default" w:ascii="Times New Roman" w:hAnsi="Times New Roman" w:eastAsia="宋体" w:cs="Times New Roman"/>
                      <w:color w:val="auto"/>
                      <w:sz w:val="21"/>
                      <w:szCs w:val="21"/>
                      <w:lang w:val="en-US" w:eastAsia="zh-CN"/>
                    </w:rPr>
                    <w:t>、Ⅱ型无</w:t>
                  </w:r>
                  <w:r>
                    <w:rPr>
                      <w:rFonts w:ascii="宋体" w:hAnsi="宋体" w:eastAsia="宋体" w:cs="Times New Roman"/>
                      <w:color w:val="auto"/>
                      <w:sz w:val="21"/>
                      <w:szCs w:val="21"/>
                      <w:lang w:val="en-US" w:eastAsia="zh-CN"/>
                    </w:rPr>
                    <w:t>水石膏及制品、高精度石膏砌块、建筑装饰材料、装配式复合建材产品等。支持磷石膏分解生产硫酸联产石灰和水泥，推广高固废掺量的低碳水泥生产技术，鼓励水泥生产企业在水泥熟料生产中提高磷石膏等非碳酸盐原料掺量比例。</w:t>
                  </w:r>
                </w:p>
              </w:tc>
              <w:tc>
                <w:tcPr>
                  <w:tcW w:w="2717" w:type="dxa"/>
                  <w:tcBorders>
                    <w:tl2br w:val="nil"/>
                    <w:tr2bl w:val="nil"/>
                  </w:tcBorders>
                  <w:noWrap w:val="0"/>
                  <w:vAlign w:val="center"/>
                </w:tcPr>
                <w:p w14:paraId="70AA152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auto"/>
                      <w:sz w:val="21"/>
                      <w:szCs w:val="21"/>
                      <w:lang w:val="en-US" w:eastAsia="zh-CN" w:bidi="ar-SA"/>
                    </w:rPr>
                  </w:pPr>
                  <w:r>
                    <w:rPr>
                      <w:rFonts w:hint="eastAsia" w:ascii="宋体" w:hAnsi="宋体"/>
                      <w:color w:val="auto"/>
                      <w:sz w:val="21"/>
                      <w:szCs w:val="21"/>
                      <w:lang w:val="en-US" w:eastAsia="zh-CN"/>
                    </w:rPr>
                    <w:t>本项目</w:t>
                  </w:r>
                  <w:r>
                    <w:rPr>
                      <w:rFonts w:hint="eastAsia" w:ascii="宋体" w:hAnsi="宋体"/>
                      <w:color w:val="auto"/>
                      <w:sz w:val="21"/>
                      <w:szCs w:val="21"/>
                    </w:rPr>
                    <w:t>利用</w:t>
                  </w:r>
                  <w:r>
                    <w:rPr>
                      <w:rFonts w:ascii="宋体" w:hAnsi="宋体"/>
                      <w:color w:val="auto"/>
                      <w:sz w:val="21"/>
                      <w:szCs w:val="21"/>
                    </w:rPr>
                    <w:t>磷石膏</w:t>
                  </w:r>
                  <w:r>
                    <w:rPr>
                      <w:rFonts w:hint="eastAsia" w:ascii="宋体" w:hAnsi="宋体"/>
                      <w:color w:val="auto"/>
                      <w:sz w:val="21"/>
                      <w:szCs w:val="21"/>
                    </w:rPr>
                    <w:t>和</w:t>
                  </w:r>
                  <w:r>
                    <w:rPr>
                      <w:rFonts w:ascii="宋体" w:hAnsi="宋体"/>
                      <w:color w:val="auto"/>
                      <w:sz w:val="21"/>
                      <w:szCs w:val="21"/>
                    </w:rPr>
                    <w:t>电石渣进行土壤</w:t>
                  </w:r>
                  <w:r>
                    <w:rPr>
                      <w:rFonts w:hint="eastAsia" w:ascii="Times New Roman" w:hAnsi="Times New Roman"/>
                      <w:color w:val="auto"/>
                      <w:kern w:val="2"/>
                      <w:sz w:val="21"/>
                      <w:szCs w:val="21"/>
                      <w:lang w:val="en-US" w:eastAsia="zh-CN"/>
                    </w:rPr>
                    <w:t>改良</w:t>
                  </w:r>
                  <w:r>
                    <w:rPr>
                      <w:rFonts w:ascii="宋体" w:hAnsi="宋体"/>
                      <w:color w:val="auto"/>
                      <w:sz w:val="21"/>
                      <w:szCs w:val="21"/>
                    </w:rPr>
                    <w:t>剂、路基材料、生态修复材料的</w:t>
                  </w:r>
                  <w:r>
                    <w:rPr>
                      <w:color w:val="auto"/>
                      <w:sz w:val="21"/>
                      <w:szCs w:val="21"/>
                    </w:rPr>
                    <w:t>生产，</w:t>
                  </w:r>
                  <w:r>
                    <w:rPr>
                      <w:rFonts w:hint="eastAsia"/>
                      <w:color w:val="auto"/>
                      <w:sz w:val="21"/>
                      <w:szCs w:val="21"/>
                      <w:lang w:val="en-US" w:eastAsia="zh-CN"/>
                    </w:rPr>
                    <w:t>为</w:t>
                  </w:r>
                  <w:r>
                    <w:rPr>
                      <w:rFonts w:hint="eastAsia" w:ascii="宋体" w:hAnsi="宋体" w:eastAsia="宋体" w:cs="Times New Roman"/>
                      <w:color w:val="auto"/>
                      <w:sz w:val="21"/>
                      <w:szCs w:val="21"/>
                      <w:lang w:val="en-US" w:eastAsia="zh-CN"/>
                    </w:rPr>
                    <w:t>磷石膏综合利用项目，属于方案中鼓励的项目。</w:t>
                  </w:r>
                </w:p>
              </w:tc>
              <w:tc>
                <w:tcPr>
                  <w:tcW w:w="643" w:type="dxa"/>
                  <w:tcBorders>
                    <w:tl2br w:val="nil"/>
                    <w:tr2bl w:val="nil"/>
                  </w:tcBorders>
                  <w:noWrap w:val="0"/>
                  <w:vAlign w:val="center"/>
                </w:tcPr>
                <w:p w14:paraId="1ADA08F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z w:val="21"/>
                      <w:szCs w:val="21"/>
                      <w:lang w:val="en-US" w:eastAsia="zh-CN" w:bidi="ar-SA"/>
                    </w:rPr>
                  </w:pPr>
                  <w:r>
                    <w:rPr>
                      <w:rFonts w:hint="eastAsia" w:ascii="宋体" w:hAnsi="宋体"/>
                      <w:color w:val="auto"/>
                      <w:sz w:val="21"/>
                      <w:szCs w:val="21"/>
                      <w:lang w:val="en-US" w:eastAsia="zh-CN"/>
                    </w:rPr>
                    <w:t>符合</w:t>
                  </w:r>
                </w:p>
              </w:tc>
            </w:tr>
            <w:tr w14:paraId="3C325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0" w:type="auto"/>
                  <w:tcBorders>
                    <w:tl2br w:val="nil"/>
                    <w:tr2bl w:val="nil"/>
                  </w:tcBorders>
                  <w:vAlign w:val="center"/>
                </w:tcPr>
                <w:p w14:paraId="4F562F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Times New Roman"/>
                      <w:color w:val="auto"/>
                      <w:sz w:val="21"/>
                      <w:szCs w:val="21"/>
                      <w:lang w:val="en-US" w:eastAsia="zh-CN" w:bidi="ar-SA"/>
                    </w:rPr>
                  </w:pPr>
                  <w:r>
                    <w:rPr>
                      <w:rFonts w:ascii="宋体" w:hAnsi="宋体" w:eastAsia="宋体" w:cs="Times New Roman"/>
                      <w:color w:val="auto"/>
                      <w:sz w:val="21"/>
                      <w:szCs w:val="21"/>
                      <w:lang w:val="en-US" w:eastAsia="zh-CN"/>
                    </w:rPr>
                    <w:t>推动磷化工、建材、交通等行业深度耦合发展，形成“资源—产品—废弃物—二次资源”循环发展模式，促进磷石膏与其他固废协同利用，推动磷石膏在区域内、园区内、厂区内协同利用，提高就地资源化利用效率。充分利用长江中下游市场和长江经济带水运、铁路等优势，优化运输结构，推进多式联运，扩大磷石膏及其制品销售半径，促进跨地区协同利用。</w:t>
                  </w:r>
                </w:p>
              </w:tc>
              <w:tc>
                <w:tcPr>
                  <w:tcW w:w="0" w:type="auto"/>
                  <w:tcBorders>
                    <w:tl2br w:val="nil"/>
                    <w:tr2bl w:val="nil"/>
                  </w:tcBorders>
                  <w:vAlign w:val="center"/>
                </w:tcPr>
                <w:p w14:paraId="138070D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z w:val="21"/>
                      <w:szCs w:val="21"/>
                      <w:lang w:val="en-US" w:eastAsia="zh-CN" w:bidi="ar-SA"/>
                    </w:rPr>
                  </w:pPr>
                  <w:r>
                    <w:rPr>
                      <w:rFonts w:ascii="宋体" w:hAnsi="宋体"/>
                      <w:color w:val="auto"/>
                      <w:sz w:val="21"/>
                      <w:szCs w:val="21"/>
                    </w:rPr>
                    <w:t>该</w:t>
                  </w:r>
                  <w:r>
                    <w:rPr>
                      <w:rFonts w:hint="eastAsia" w:ascii="宋体" w:hAnsi="宋体"/>
                      <w:color w:val="auto"/>
                      <w:sz w:val="21"/>
                      <w:szCs w:val="21"/>
                    </w:rPr>
                    <w:t>项目</w:t>
                  </w:r>
                  <w:r>
                    <w:rPr>
                      <w:rFonts w:hint="eastAsia"/>
                      <w:snapToGrid w:val="0"/>
                      <w:color w:val="auto"/>
                      <w:kern w:val="0"/>
                      <w:sz w:val="21"/>
                      <w:szCs w:val="21"/>
                      <w:lang w:val="en-US" w:eastAsia="zh-CN"/>
                    </w:rPr>
                    <w:t>为磷石膏综合利用</w:t>
                  </w:r>
                  <w:r>
                    <w:rPr>
                      <w:rFonts w:hint="eastAsia"/>
                      <w:snapToGrid w:val="0"/>
                      <w:color w:val="auto"/>
                      <w:kern w:val="0"/>
                      <w:sz w:val="21"/>
                      <w:szCs w:val="21"/>
                    </w:rPr>
                    <w:t>项目，</w:t>
                  </w:r>
                  <w:r>
                    <w:rPr>
                      <w:rFonts w:hint="eastAsia"/>
                      <w:snapToGrid w:val="0"/>
                      <w:color w:val="auto"/>
                      <w:kern w:val="0"/>
                      <w:sz w:val="21"/>
                      <w:szCs w:val="21"/>
                      <w:lang w:val="en-US" w:eastAsia="zh-CN"/>
                    </w:rPr>
                    <w:t>主要</w:t>
                  </w:r>
                  <w:r>
                    <w:rPr>
                      <w:rFonts w:hint="eastAsia" w:ascii="宋体" w:hAnsi="宋体"/>
                      <w:color w:val="auto"/>
                      <w:sz w:val="21"/>
                      <w:szCs w:val="21"/>
                    </w:rPr>
                    <w:t>对</w:t>
                  </w:r>
                  <w:r>
                    <w:rPr>
                      <w:rFonts w:hint="eastAsia" w:ascii="宋体" w:hAnsi="宋体"/>
                      <w:color w:val="auto"/>
                      <w:sz w:val="21"/>
                      <w:szCs w:val="21"/>
                      <w:lang w:eastAsia="zh-CN"/>
                    </w:rPr>
                    <w:t>云南常青树化工有限公司</w:t>
                  </w:r>
                  <w:r>
                    <w:rPr>
                      <w:rFonts w:hint="eastAsia" w:ascii="宋体" w:hAnsi="宋体"/>
                      <w:color w:val="auto"/>
                      <w:sz w:val="21"/>
                      <w:szCs w:val="21"/>
                    </w:rPr>
                    <w:t>产生的工业固体废物磷石膏加以利用，利用</w:t>
                  </w:r>
                  <w:r>
                    <w:rPr>
                      <w:rFonts w:ascii="宋体" w:hAnsi="宋体"/>
                      <w:color w:val="auto"/>
                      <w:sz w:val="21"/>
                      <w:szCs w:val="21"/>
                    </w:rPr>
                    <w:t>磷石膏</w:t>
                  </w:r>
                  <w:r>
                    <w:rPr>
                      <w:rFonts w:hint="eastAsia" w:ascii="宋体" w:hAnsi="宋体"/>
                      <w:color w:val="auto"/>
                      <w:sz w:val="21"/>
                      <w:szCs w:val="21"/>
                    </w:rPr>
                    <w:t>和</w:t>
                  </w:r>
                  <w:r>
                    <w:rPr>
                      <w:rFonts w:ascii="宋体" w:hAnsi="宋体"/>
                      <w:color w:val="auto"/>
                      <w:sz w:val="21"/>
                      <w:szCs w:val="21"/>
                    </w:rPr>
                    <w:t>电石渣进行土壤</w:t>
                  </w:r>
                  <w:r>
                    <w:rPr>
                      <w:rFonts w:hint="eastAsia" w:ascii="Times New Roman" w:hAnsi="Times New Roman"/>
                      <w:color w:val="auto"/>
                      <w:kern w:val="2"/>
                      <w:sz w:val="21"/>
                      <w:szCs w:val="21"/>
                      <w:lang w:val="en-US" w:eastAsia="zh-CN"/>
                    </w:rPr>
                    <w:t>改良</w:t>
                  </w:r>
                  <w:r>
                    <w:rPr>
                      <w:rFonts w:ascii="宋体" w:hAnsi="宋体"/>
                      <w:color w:val="auto"/>
                      <w:sz w:val="21"/>
                      <w:szCs w:val="21"/>
                    </w:rPr>
                    <w:t>剂、路基材料、生态修复材料的</w:t>
                  </w:r>
                  <w:r>
                    <w:rPr>
                      <w:color w:val="auto"/>
                      <w:sz w:val="21"/>
                      <w:szCs w:val="21"/>
                    </w:rPr>
                    <w:t>生产</w:t>
                  </w:r>
                  <w:r>
                    <w:rPr>
                      <w:rFonts w:hint="eastAsia" w:ascii="Times New Roman" w:hAnsi="Times New Roman" w:eastAsia="宋体" w:cs="Times New Roman"/>
                      <w:color w:val="auto"/>
                      <w:sz w:val="21"/>
                      <w:szCs w:val="21"/>
                      <w:lang w:eastAsia="zh-CN"/>
                    </w:rPr>
                    <w:t>。</w:t>
                  </w:r>
                </w:p>
              </w:tc>
              <w:tc>
                <w:tcPr>
                  <w:tcW w:w="0" w:type="auto"/>
                  <w:tcBorders>
                    <w:tl2br w:val="nil"/>
                    <w:tr2bl w:val="nil"/>
                  </w:tcBorders>
                  <w:vAlign w:val="center"/>
                </w:tcPr>
                <w:p w14:paraId="0905DC5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auto"/>
                      <w:sz w:val="21"/>
                      <w:szCs w:val="21"/>
                      <w:lang w:val="en-US" w:eastAsia="zh-CN" w:bidi="ar-SA"/>
                    </w:rPr>
                  </w:pPr>
                  <w:r>
                    <w:rPr>
                      <w:rFonts w:hint="eastAsia" w:ascii="宋体" w:hAnsi="宋体"/>
                      <w:color w:val="auto"/>
                      <w:sz w:val="21"/>
                      <w:szCs w:val="21"/>
                      <w:lang w:val="en-US" w:eastAsia="zh-CN"/>
                    </w:rPr>
                    <w:t>符合</w:t>
                  </w:r>
                </w:p>
              </w:tc>
            </w:tr>
          </w:tbl>
          <w:p w14:paraId="1BF08926">
            <w:pPr>
              <w:pStyle w:val="93"/>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hAnsi="宋体"/>
                <w:b/>
                <w:color w:val="auto"/>
                <w:sz w:val="24"/>
                <w:szCs w:val="24"/>
                <w:lang w:val="en-US" w:eastAsia="zh-CN"/>
              </w:rPr>
            </w:pPr>
          </w:p>
          <w:p w14:paraId="6FD7685A">
            <w:pPr>
              <w:pStyle w:val="93"/>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hAnsi="宋体"/>
                <w:b/>
                <w:color w:val="auto"/>
                <w:sz w:val="24"/>
                <w:szCs w:val="24"/>
                <w:lang w:val="en-US" w:eastAsia="zh-CN"/>
              </w:rPr>
            </w:pPr>
          </w:p>
          <w:p w14:paraId="360F8866">
            <w:pPr>
              <w:pStyle w:val="93"/>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eastAsia="宋体"/>
                <w:b/>
                <w:color w:val="auto"/>
                <w:sz w:val="24"/>
                <w:szCs w:val="24"/>
                <w:lang w:val="en-US" w:eastAsia="zh-CN"/>
              </w:rPr>
            </w:pPr>
            <w:r>
              <w:rPr>
                <w:rFonts w:hint="eastAsia" w:hAnsi="宋体"/>
                <w:b/>
                <w:color w:val="auto"/>
                <w:sz w:val="24"/>
                <w:szCs w:val="24"/>
                <w:lang w:val="en-US" w:eastAsia="zh-CN"/>
              </w:rPr>
              <w:t>18、</w:t>
            </w:r>
            <w:r>
              <w:rPr>
                <w:rFonts w:hint="eastAsia"/>
                <w:b/>
                <w:color w:val="auto"/>
                <w:sz w:val="24"/>
                <w:szCs w:val="24"/>
                <w:lang w:val="en-US" w:eastAsia="zh-CN"/>
              </w:rPr>
              <w:t>与《昆明市加快推动磷石膏综合利用二十条措施》符合性分析</w:t>
            </w:r>
          </w:p>
          <w:p w14:paraId="51DE5B27">
            <w:pPr>
              <w:pStyle w:val="9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b w:val="0"/>
                <w:bCs/>
                <w:color w:val="auto"/>
                <w:sz w:val="24"/>
                <w:szCs w:val="24"/>
                <w:lang w:val="en-US"/>
              </w:rPr>
            </w:pPr>
            <w:r>
              <w:rPr>
                <w:rFonts w:hint="eastAsia"/>
                <w:b w:val="0"/>
                <w:bCs/>
                <w:color w:val="auto"/>
                <w:sz w:val="24"/>
                <w:szCs w:val="24"/>
                <w:lang w:val="en-US" w:eastAsia="zh-CN"/>
              </w:rPr>
              <w:t>昆明市人民政府办公室于2022年12月23日发布了关于印发昆明市加快推动磷石膏综合利用二十条措施的通知，项目与其符合性分析如下。</w:t>
            </w:r>
          </w:p>
          <w:p w14:paraId="44BF85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4"/>
                <w:szCs w:val="24"/>
              </w:rPr>
            </w:pPr>
            <w:r>
              <w:rPr>
                <w:b/>
                <w:bCs/>
                <w:color w:val="auto"/>
                <w:sz w:val="24"/>
                <w:szCs w:val="24"/>
              </w:rPr>
              <w:t>表1</w:t>
            </w:r>
            <w:r>
              <w:rPr>
                <w:rFonts w:hint="eastAsia"/>
                <w:b/>
                <w:bCs/>
                <w:color w:val="auto"/>
                <w:sz w:val="24"/>
                <w:szCs w:val="24"/>
              </w:rPr>
              <w:t>-1</w:t>
            </w:r>
            <w:r>
              <w:rPr>
                <w:rFonts w:hint="eastAsia"/>
                <w:b/>
                <w:bCs/>
                <w:color w:val="auto"/>
                <w:sz w:val="24"/>
                <w:szCs w:val="24"/>
                <w:lang w:val="en-US" w:eastAsia="zh-CN"/>
              </w:rPr>
              <w:t>7</w:t>
            </w:r>
            <w:r>
              <w:rPr>
                <w:rFonts w:hint="eastAsia"/>
                <w:b/>
                <w:bCs/>
                <w:color w:val="auto"/>
                <w:sz w:val="24"/>
                <w:szCs w:val="24"/>
              </w:rPr>
              <w:t xml:space="preserve">  </w:t>
            </w:r>
            <w:r>
              <w:rPr>
                <w:b/>
                <w:color w:val="auto"/>
                <w:sz w:val="24"/>
                <w:szCs w:val="24"/>
              </w:rPr>
              <w:t>项目与</w:t>
            </w:r>
            <w:r>
              <w:rPr>
                <w:rFonts w:hint="eastAsia"/>
                <w:b/>
                <w:color w:val="auto"/>
                <w:sz w:val="24"/>
                <w:szCs w:val="24"/>
                <w:lang w:val="en-US" w:eastAsia="zh-CN"/>
              </w:rPr>
              <w:t>《</w:t>
            </w:r>
            <w:r>
              <w:rPr>
                <w:rFonts w:hint="eastAsia"/>
                <w:b/>
                <w:bCs w:val="0"/>
                <w:color w:val="auto"/>
                <w:sz w:val="24"/>
                <w:szCs w:val="24"/>
                <w:lang w:val="en-US" w:eastAsia="zh-CN"/>
              </w:rPr>
              <w:t>昆明市加快推动磷石膏综合利用二十条措施</w:t>
            </w:r>
            <w:r>
              <w:rPr>
                <w:rFonts w:hint="eastAsia"/>
                <w:b/>
                <w:color w:val="auto"/>
                <w:sz w:val="24"/>
                <w:szCs w:val="24"/>
                <w:lang w:val="en-US" w:eastAsia="zh-CN"/>
              </w:rPr>
              <w:t>》符合</w:t>
            </w:r>
            <w:r>
              <w:rPr>
                <w:rFonts w:hint="eastAsia"/>
                <w:b/>
                <w:color w:val="auto"/>
                <w:sz w:val="24"/>
                <w:szCs w:val="24"/>
              </w:rPr>
              <w:t>性</w:t>
            </w:r>
            <w:r>
              <w:rPr>
                <w:b/>
                <w:color w:val="auto"/>
                <w:sz w:val="24"/>
                <w:szCs w:val="24"/>
              </w:rPr>
              <w:t>分析</w:t>
            </w:r>
          </w:p>
          <w:tbl>
            <w:tblPr>
              <w:tblStyle w:val="45"/>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767"/>
              <w:gridCol w:w="2758"/>
              <w:gridCol w:w="653"/>
            </w:tblGrid>
            <w:tr w14:paraId="50B2BD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6" w:hRule="atLeast"/>
                <w:jc w:val="center"/>
              </w:trPr>
              <w:tc>
                <w:tcPr>
                  <w:tcW w:w="3711" w:type="dxa"/>
                  <w:tcBorders>
                    <w:top w:val="single" w:color="auto" w:sz="4" w:space="0"/>
                    <w:left w:val="single" w:color="auto" w:sz="4" w:space="0"/>
                    <w:bottom w:val="single" w:color="auto" w:sz="4" w:space="0"/>
                    <w:right w:val="single" w:color="auto" w:sz="4" w:space="0"/>
                  </w:tcBorders>
                  <w:noWrap w:val="0"/>
                  <w:vAlign w:val="center"/>
                </w:tcPr>
                <w:p w14:paraId="7EE40FE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auto"/>
                      <w:sz w:val="21"/>
                      <w:szCs w:val="21"/>
                    </w:rPr>
                  </w:pPr>
                  <w:r>
                    <w:rPr>
                      <w:rFonts w:hint="eastAsia" w:ascii="宋体" w:hAnsi="宋体"/>
                      <w:color w:val="auto"/>
                      <w:sz w:val="21"/>
                      <w:szCs w:val="21"/>
                    </w:rPr>
                    <w:t>相关</w:t>
                  </w:r>
                  <w:r>
                    <w:rPr>
                      <w:rFonts w:ascii="宋体" w:hAnsi="宋体"/>
                      <w:color w:val="auto"/>
                      <w:sz w:val="21"/>
                      <w:szCs w:val="21"/>
                    </w:rPr>
                    <w:t>要求</w:t>
                  </w:r>
                </w:p>
              </w:tc>
              <w:tc>
                <w:tcPr>
                  <w:tcW w:w="2717" w:type="dxa"/>
                  <w:tcBorders>
                    <w:top w:val="single" w:color="auto" w:sz="4" w:space="0"/>
                    <w:left w:val="single" w:color="auto" w:sz="4" w:space="0"/>
                    <w:bottom w:val="single" w:color="auto" w:sz="4" w:space="0"/>
                    <w:right w:val="single" w:color="auto" w:sz="4" w:space="0"/>
                  </w:tcBorders>
                  <w:noWrap w:val="0"/>
                  <w:vAlign w:val="center"/>
                </w:tcPr>
                <w:p w14:paraId="23EBFB3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auto"/>
                      <w:sz w:val="21"/>
                      <w:szCs w:val="21"/>
                    </w:rPr>
                  </w:pPr>
                  <w:r>
                    <w:rPr>
                      <w:rFonts w:ascii="宋体" w:hAnsi="宋体"/>
                      <w:color w:val="auto"/>
                      <w:sz w:val="21"/>
                      <w:szCs w:val="21"/>
                    </w:rPr>
                    <w:t>拟建项目的</w:t>
                  </w:r>
                  <w:r>
                    <w:rPr>
                      <w:rFonts w:hint="eastAsia" w:ascii="宋体" w:hAnsi="宋体"/>
                      <w:color w:val="auto"/>
                      <w:sz w:val="21"/>
                      <w:szCs w:val="21"/>
                    </w:rPr>
                    <w:t>情况</w:t>
                  </w:r>
                </w:p>
              </w:tc>
              <w:tc>
                <w:tcPr>
                  <w:tcW w:w="643" w:type="dxa"/>
                  <w:tcBorders>
                    <w:top w:val="single" w:color="auto" w:sz="4" w:space="0"/>
                    <w:left w:val="single" w:color="auto" w:sz="4" w:space="0"/>
                    <w:bottom w:val="single" w:color="auto" w:sz="4" w:space="0"/>
                    <w:right w:val="single" w:color="auto" w:sz="4" w:space="0"/>
                  </w:tcBorders>
                  <w:noWrap w:val="0"/>
                  <w:vAlign w:val="center"/>
                </w:tcPr>
                <w:p w14:paraId="798E2B4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auto"/>
                      <w:sz w:val="21"/>
                      <w:szCs w:val="21"/>
                    </w:rPr>
                  </w:pPr>
                  <w:r>
                    <w:rPr>
                      <w:rFonts w:ascii="宋体" w:hAnsi="宋体"/>
                      <w:color w:val="auto"/>
                      <w:sz w:val="21"/>
                      <w:szCs w:val="21"/>
                    </w:rPr>
                    <w:t>符合性</w:t>
                  </w:r>
                </w:p>
              </w:tc>
            </w:tr>
            <w:tr w14:paraId="2DBE6C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6" w:hRule="atLeast"/>
                <w:jc w:val="center"/>
              </w:trPr>
              <w:tc>
                <w:tcPr>
                  <w:tcW w:w="3711" w:type="dxa"/>
                  <w:tcBorders>
                    <w:top w:val="single" w:color="auto" w:sz="4" w:space="0"/>
                    <w:left w:val="single" w:color="auto" w:sz="4" w:space="0"/>
                    <w:bottom w:val="single" w:color="auto" w:sz="4" w:space="0"/>
                    <w:right w:val="single" w:color="auto" w:sz="4" w:space="0"/>
                  </w:tcBorders>
                  <w:noWrap w:val="0"/>
                  <w:vAlign w:val="center"/>
                </w:tcPr>
                <w:p w14:paraId="59FAFE80">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color w:val="auto"/>
                      <w:sz w:val="21"/>
                      <w:szCs w:val="21"/>
                    </w:rPr>
                  </w:pPr>
                  <w:r>
                    <w:rPr>
                      <w:rFonts w:hint="eastAsia" w:ascii="宋体" w:hAnsi="宋体"/>
                      <w:color w:val="auto"/>
                      <w:sz w:val="21"/>
                      <w:szCs w:val="21"/>
                    </w:rPr>
                    <w:t>认真落实台账制度。指导企业建立覆盖磷石膏产生、收集、贮存、运输、利用、处置全过程的磷石膏管理台账，如实记录产生磷石膏的数量、流向、贮存、利用、处置等信息，规范生态环境统计，加强统计数据的分析研判，做到磷石膏底数清、情况明、可追溯、可查询。</w:t>
                  </w:r>
                </w:p>
              </w:tc>
              <w:tc>
                <w:tcPr>
                  <w:tcW w:w="2717" w:type="dxa"/>
                  <w:tcBorders>
                    <w:top w:val="single" w:color="auto" w:sz="4" w:space="0"/>
                    <w:left w:val="single" w:color="auto" w:sz="4" w:space="0"/>
                    <w:bottom w:val="single" w:color="auto" w:sz="4" w:space="0"/>
                    <w:right w:val="single" w:color="auto" w:sz="4" w:space="0"/>
                  </w:tcBorders>
                  <w:noWrap w:val="0"/>
                  <w:vAlign w:val="center"/>
                </w:tcPr>
                <w:p w14:paraId="6B60247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项目拟认真落实台账制度，对厂区内</w:t>
                  </w:r>
                  <w:r>
                    <w:rPr>
                      <w:rFonts w:hint="eastAsia" w:ascii="宋体" w:hAnsi="宋体"/>
                      <w:color w:val="auto"/>
                      <w:sz w:val="21"/>
                      <w:szCs w:val="21"/>
                    </w:rPr>
                    <w:t>磷石膏产生、收集、贮存、运输、利用、处置全过程</w:t>
                  </w:r>
                  <w:r>
                    <w:rPr>
                      <w:rFonts w:hint="eastAsia" w:ascii="宋体" w:hAnsi="宋体"/>
                      <w:color w:val="auto"/>
                      <w:sz w:val="21"/>
                      <w:szCs w:val="21"/>
                      <w:lang w:val="en-US" w:eastAsia="zh-CN"/>
                    </w:rPr>
                    <w:t>建立台账，如实记录运进磷石膏的数量、流向、贮存、利用等信息。</w:t>
                  </w:r>
                </w:p>
              </w:tc>
              <w:tc>
                <w:tcPr>
                  <w:tcW w:w="643" w:type="dxa"/>
                  <w:tcBorders>
                    <w:top w:val="single" w:color="auto" w:sz="4" w:space="0"/>
                    <w:left w:val="single" w:color="auto" w:sz="4" w:space="0"/>
                    <w:bottom w:val="single" w:color="auto" w:sz="4" w:space="0"/>
                    <w:right w:val="single" w:color="auto" w:sz="4" w:space="0"/>
                  </w:tcBorders>
                  <w:noWrap w:val="0"/>
                  <w:vAlign w:val="center"/>
                </w:tcPr>
                <w:p w14:paraId="2217D9F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olor w:val="auto"/>
                      <w:sz w:val="21"/>
                      <w:szCs w:val="21"/>
                      <w:lang w:val="en-US" w:eastAsia="zh-CN"/>
                    </w:rPr>
                  </w:pPr>
                  <w:r>
                    <w:rPr>
                      <w:rFonts w:hint="eastAsia" w:ascii="宋体" w:hAnsi="宋体"/>
                      <w:color w:val="auto"/>
                      <w:sz w:val="21"/>
                      <w:szCs w:val="21"/>
                      <w:lang w:val="en-US" w:eastAsia="zh-CN"/>
                    </w:rPr>
                    <w:t>符合</w:t>
                  </w:r>
                </w:p>
              </w:tc>
            </w:tr>
            <w:tr w14:paraId="73F29B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6" w:hRule="atLeast"/>
                <w:jc w:val="center"/>
              </w:trPr>
              <w:tc>
                <w:tcPr>
                  <w:tcW w:w="3711" w:type="dxa"/>
                  <w:tcBorders>
                    <w:top w:val="single" w:color="auto" w:sz="4" w:space="0"/>
                    <w:left w:val="single" w:color="auto" w:sz="4" w:space="0"/>
                    <w:bottom w:val="single" w:color="auto" w:sz="4" w:space="0"/>
                    <w:right w:val="single" w:color="auto" w:sz="4" w:space="0"/>
                  </w:tcBorders>
                  <w:noWrap w:val="0"/>
                  <w:vAlign w:val="center"/>
                </w:tcPr>
                <w:p w14:paraId="0280B527">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color w:val="auto"/>
                      <w:sz w:val="21"/>
                      <w:szCs w:val="21"/>
                    </w:rPr>
                  </w:pPr>
                  <w:r>
                    <w:rPr>
                      <w:rFonts w:hint="eastAsia" w:ascii="宋体" w:hAnsi="宋体"/>
                      <w:color w:val="auto"/>
                      <w:sz w:val="21"/>
                      <w:szCs w:val="21"/>
                    </w:rPr>
                    <w:t>加强磷石膏库监管。严格执行磷石膏库环保、安全标准和规定，加强对磷石膏库的日常监督管理。加大磷石膏库环保安全隐患排查整治力度，对存在生态环境和安全隐患问题的磷石膏库，指导企业制定整改方案，做到一库一策、督促整改落实，有效防控和化解磷石膏库环境安全风险。</w:t>
                  </w:r>
                </w:p>
              </w:tc>
              <w:tc>
                <w:tcPr>
                  <w:tcW w:w="2717" w:type="dxa"/>
                  <w:tcBorders>
                    <w:top w:val="single" w:color="auto" w:sz="4" w:space="0"/>
                    <w:left w:val="single" w:color="auto" w:sz="4" w:space="0"/>
                    <w:bottom w:val="single" w:color="auto" w:sz="4" w:space="0"/>
                    <w:right w:val="single" w:color="auto" w:sz="4" w:space="0"/>
                  </w:tcBorders>
                  <w:noWrap w:val="0"/>
                  <w:vAlign w:val="center"/>
                </w:tcPr>
                <w:p w14:paraId="1219F99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项目</w:t>
                  </w:r>
                  <w:r>
                    <w:rPr>
                      <w:rFonts w:hint="eastAsia" w:ascii="宋体" w:hAnsi="宋体"/>
                      <w:color w:val="auto"/>
                      <w:sz w:val="21"/>
                      <w:szCs w:val="21"/>
                    </w:rPr>
                    <w:t>加强磷石膏库监管</w:t>
                  </w:r>
                  <w:r>
                    <w:rPr>
                      <w:rFonts w:hint="eastAsia" w:ascii="宋体" w:hAnsi="宋体"/>
                      <w:color w:val="auto"/>
                      <w:sz w:val="21"/>
                      <w:szCs w:val="21"/>
                      <w:lang w:val="en-US" w:eastAsia="zh-CN"/>
                    </w:rPr>
                    <w:t>，</w:t>
                  </w:r>
                  <w:r>
                    <w:rPr>
                      <w:rFonts w:hint="default" w:ascii="Times New Roman" w:hAnsi="Times New Roman" w:cs="Times New Roman"/>
                      <w:color w:val="auto"/>
                      <w:sz w:val="21"/>
                      <w:szCs w:val="21"/>
                      <w:lang w:val="en-US" w:eastAsia="zh-CN"/>
                    </w:rPr>
                    <w:t>原</w:t>
                  </w:r>
                  <w:r>
                    <w:rPr>
                      <w:rFonts w:hint="eastAsia" w:ascii="宋体" w:hAnsi="宋体"/>
                      <w:color w:val="auto"/>
                      <w:sz w:val="21"/>
                      <w:szCs w:val="21"/>
                      <w:lang w:val="en-US" w:eastAsia="zh-CN"/>
                    </w:rPr>
                    <w:t>料堆场</w:t>
                  </w:r>
                  <w:r>
                    <w:rPr>
                      <w:rFonts w:hint="eastAsia"/>
                      <w:color w:val="auto"/>
                      <w:sz w:val="21"/>
                      <w:szCs w:val="21"/>
                      <w:lang w:val="en-US" w:eastAsia="zh-CN"/>
                    </w:rPr>
                    <w:t>已采取“粘土铺地压实（</w:t>
                  </w:r>
                  <w:r>
                    <w:rPr>
                      <w:color w:val="auto"/>
                      <w:sz w:val="21"/>
                      <w:szCs w:val="21"/>
                    </w:rPr>
                    <w:t>厚度</w:t>
                  </w:r>
                  <w:r>
                    <w:rPr>
                      <w:rFonts w:hint="eastAsia"/>
                      <w:color w:val="auto"/>
                      <w:sz w:val="21"/>
                      <w:szCs w:val="21"/>
                    </w:rPr>
                    <w:t>0.75</w:t>
                  </w:r>
                  <w:r>
                    <w:rPr>
                      <w:color w:val="auto"/>
                      <w:sz w:val="21"/>
                      <w:szCs w:val="21"/>
                    </w:rPr>
                    <w:t>m，K≤1×10</w:t>
                  </w:r>
                  <w:r>
                    <w:rPr>
                      <w:color w:val="auto"/>
                      <w:sz w:val="21"/>
                      <w:szCs w:val="21"/>
                      <w:vertAlign w:val="superscript"/>
                    </w:rPr>
                    <w:t>-7</w:t>
                  </w:r>
                  <w:r>
                    <w:rPr>
                      <w:color w:val="auto"/>
                      <w:sz w:val="21"/>
                      <w:szCs w:val="21"/>
                    </w:rPr>
                    <w:t>cm/s</w:t>
                  </w:r>
                  <w:r>
                    <w:rPr>
                      <w:rFonts w:hint="eastAsia"/>
                      <w:color w:val="auto"/>
                      <w:sz w:val="21"/>
                      <w:szCs w:val="21"/>
                      <w:lang w:val="en-US" w:eastAsia="zh-CN"/>
                    </w:rPr>
                    <w:t>），再在上层铺设</w:t>
                  </w:r>
                  <w:r>
                    <w:rPr>
                      <w:rFonts w:hint="eastAsia"/>
                      <w:color w:val="auto"/>
                      <w:sz w:val="21"/>
                      <w:szCs w:val="21"/>
                    </w:rPr>
                    <w:t>C</w:t>
                  </w:r>
                  <w:r>
                    <w:rPr>
                      <w:rFonts w:hint="eastAsia"/>
                      <w:color w:val="auto"/>
                      <w:sz w:val="21"/>
                      <w:szCs w:val="21"/>
                      <w:lang w:val="en-US" w:eastAsia="zh-CN"/>
                    </w:rPr>
                    <w:t>3</w:t>
                  </w:r>
                  <w:r>
                    <w:rPr>
                      <w:rFonts w:hint="eastAsia"/>
                      <w:color w:val="auto"/>
                      <w:sz w:val="21"/>
                      <w:szCs w:val="21"/>
                    </w:rPr>
                    <w:t>0</w:t>
                  </w:r>
                  <w:r>
                    <w:rPr>
                      <w:color w:val="auto"/>
                      <w:sz w:val="21"/>
                      <w:szCs w:val="21"/>
                    </w:rPr>
                    <w:t>混凝土（厚度</w:t>
                  </w:r>
                  <w:r>
                    <w:rPr>
                      <w:rFonts w:hint="eastAsia"/>
                      <w:color w:val="auto"/>
                      <w:sz w:val="21"/>
                      <w:szCs w:val="21"/>
                      <w:lang w:val="en-US" w:eastAsia="zh-CN"/>
                    </w:rPr>
                    <w:t>300</w:t>
                  </w:r>
                  <w:r>
                    <w:rPr>
                      <w:rFonts w:hint="eastAsia"/>
                      <w:color w:val="auto"/>
                      <w:sz w:val="21"/>
                      <w:szCs w:val="21"/>
                    </w:rPr>
                    <w:t>mm</w:t>
                  </w:r>
                  <w:r>
                    <w:rPr>
                      <w:rFonts w:hint="eastAsia"/>
                      <w:color w:val="auto"/>
                      <w:sz w:val="21"/>
                      <w:szCs w:val="21"/>
                      <w:lang w:eastAsia="zh-CN"/>
                    </w:rPr>
                    <w:t>、</w:t>
                  </w:r>
                  <w:r>
                    <w:rPr>
                      <w:rFonts w:hint="eastAsia"/>
                      <w:color w:val="auto"/>
                      <w:sz w:val="21"/>
                      <w:szCs w:val="21"/>
                      <w:lang w:val="en-US" w:eastAsia="zh-CN"/>
                    </w:rPr>
                    <w:t>抗渗等级为P8</w:t>
                  </w:r>
                  <w:r>
                    <w:rPr>
                      <w:color w:val="auto"/>
                      <w:sz w:val="21"/>
                      <w:szCs w:val="21"/>
                    </w:rPr>
                    <w:t>）</w:t>
                  </w:r>
                  <w:r>
                    <w:rPr>
                      <w:rFonts w:hint="eastAsia"/>
                      <w:color w:val="auto"/>
                      <w:sz w:val="21"/>
                      <w:szCs w:val="21"/>
                      <w:lang w:val="en-US" w:eastAsia="zh-CN"/>
                    </w:rPr>
                    <w:t>”</w:t>
                  </w:r>
                  <w:r>
                    <w:rPr>
                      <w:color w:val="auto"/>
                      <w:sz w:val="21"/>
                      <w:szCs w:val="21"/>
                    </w:rPr>
                    <w:t>，满足《一般工业固体废物贮存和填埋污染控制标准》（GB 18599-2020）要求</w:t>
                  </w:r>
                  <w:r>
                    <w:rPr>
                      <w:rFonts w:hint="eastAsia"/>
                      <w:color w:val="auto"/>
                      <w:sz w:val="21"/>
                      <w:szCs w:val="21"/>
                      <w:lang w:eastAsia="zh-CN"/>
                    </w:rPr>
                    <w:t>，</w:t>
                  </w:r>
                  <w:r>
                    <w:rPr>
                      <w:rFonts w:hint="eastAsia"/>
                      <w:color w:val="auto"/>
                      <w:sz w:val="21"/>
                      <w:szCs w:val="21"/>
                      <w:lang w:val="en-US" w:eastAsia="zh-CN"/>
                    </w:rPr>
                    <w:t>降低了其环境风险。</w:t>
                  </w:r>
                </w:p>
              </w:tc>
              <w:tc>
                <w:tcPr>
                  <w:tcW w:w="643" w:type="dxa"/>
                  <w:tcBorders>
                    <w:top w:val="single" w:color="auto" w:sz="4" w:space="0"/>
                    <w:left w:val="single" w:color="auto" w:sz="4" w:space="0"/>
                    <w:bottom w:val="single" w:color="auto" w:sz="4" w:space="0"/>
                    <w:right w:val="single" w:color="auto" w:sz="4" w:space="0"/>
                  </w:tcBorders>
                  <w:noWrap w:val="0"/>
                  <w:vAlign w:val="center"/>
                </w:tcPr>
                <w:p w14:paraId="45FE445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olor w:val="auto"/>
                      <w:sz w:val="21"/>
                      <w:szCs w:val="21"/>
                      <w:lang w:val="en-US" w:eastAsia="zh-CN"/>
                    </w:rPr>
                  </w:pPr>
                  <w:r>
                    <w:rPr>
                      <w:rFonts w:hint="eastAsia" w:ascii="宋体" w:hAnsi="宋体"/>
                      <w:color w:val="auto"/>
                      <w:sz w:val="21"/>
                      <w:szCs w:val="21"/>
                      <w:lang w:val="en-US" w:eastAsia="zh-CN"/>
                    </w:rPr>
                    <w:t>符合</w:t>
                  </w:r>
                </w:p>
              </w:tc>
            </w:tr>
            <w:tr w14:paraId="5D5A22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6" w:hRule="atLeast"/>
                <w:jc w:val="center"/>
              </w:trPr>
              <w:tc>
                <w:tcPr>
                  <w:tcW w:w="3711" w:type="dxa"/>
                  <w:tcBorders>
                    <w:top w:val="single" w:color="auto" w:sz="4" w:space="0"/>
                    <w:left w:val="single" w:color="auto" w:sz="4" w:space="0"/>
                    <w:bottom w:val="single" w:color="auto" w:sz="4" w:space="0"/>
                    <w:right w:val="single" w:color="auto" w:sz="4" w:space="0"/>
                  </w:tcBorders>
                  <w:noWrap w:val="0"/>
                  <w:vAlign w:val="center"/>
                </w:tcPr>
                <w:p w14:paraId="51E84A2F">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color w:val="auto"/>
                      <w:sz w:val="21"/>
                      <w:szCs w:val="21"/>
                    </w:rPr>
                  </w:pPr>
                  <w:r>
                    <w:rPr>
                      <w:rFonts w:hint="eastAsia" w:ascii="宋体" w:hAnsi="宋体"/>
                      <w:color w:val="auto"/>
                      <w:sz w:val="21"/>
                      <w:szCs w:val="21"/>
                    </w:rPr>
                    <w:t>推广建材方向利用。支持建材行业与磷化工行业耦合发展，合力推动磷石膏在建材领域的综合利用。鼓励现有水泥生产企业优化产品结构、优化喂料系统，提高磷石膏水泥缓凝剂的使用比例；支持利用磷石膏生产高强石膏粉、建筑石膏粉以及石膏板、石膏砌块、石膏模盒、石膏基干混砂浆等建材产品，在建材领域大力推动磷石膏的综合利用。</w:t>
                  </w:r>
                </w:p>
              </w:tc>
              <w:tc>
                <w:tcPr>
                  <w:tcW w:w="2717" w:type="dxa"/>
                  <w:tcBorders>
                    <w:top w:val="single" w:color="auto" w:sz="4" w:space="0"/>
                    <w:left w:val="single" w:color="auto" w:sz="4" w:space="0"/>
                    <w:bottom w:val="single" w:color="auto" w:sz="4" w:space="0"/>
                    <w:right w:val="single" w:color="auto" w:sz="4" w:space="0"/>
                  </w:tcBorders>
                  <w:noWrap w:val="0"/>
                  <w:vAlign w:val="center"/>
                </w:tcPr>
                <w:p w14:paraId="41BC7F7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auto"/>
                      <w:sz w:val="21"/>
                      <w:szCs w:val="21"/>
                    </w:rPr>
                  </w:pPr>
                  <w:r>
                    <w:rPr>
                      <w:rFonts w:ascii="宋体" w:hAnsi="宋体"/>
                      <w:color w:val="auto"/>
                      <w:sz w:val="21"/>
                      <w:szCs w:val="21"/>
                    </w:rPr>
                    <w:t>该</w:t>
                  </w:r>
                  <w:r>
                    <w:rPr>
                      <w:rFonts w:hint="eastAsia" w:ascii="宋体" w:hAnsi="宋体"/>
                      <w:color w:val="auto"/>
                      <w:sz w:val="21"/>
                      <w:szCs w:val="21"/>
                    </w:rPr>
                    <w:t>项目</w:t>
                  </w:r>
                  <w:r>
                    <w:rPr>
                      <w:rFonts w:hint="eastAsia"/>
                      <w:snapToGrid w:val="0"/>
                      <w:color w:val="auto"/>
                      <w:kern w:val="0"/>
                      <w:sz w:val="21"/>
                      <w:szCs w:val="21"/>
                      <w:lang w:val="en-US" w:eastAsia="zh-CN"/>
                    </w:rPr>
                    <w:t>为磷石膏综合利用</w:t>
                  </w:r>
                  <w:r>
                    <w:rPr>
                      <w:rFonts w:hint="eastAsia"/>
                      <w:snapToGrid w:val="0"/>
                      <w:color w:val="auto"/>
                      <w:kern w:val="0"/>
                      <w:sz w:val="21"/>
                      <w:szCs w:val="21"/>
                    </w:rPr>
                    <w:t>项目，</w:t>
                  </w:r>
                  <w:r>
                    <w:rPr>
                      <w:rFonts w:hint="eastAsia"/>
                      <w:snapToGrid w:val="0"/>
                      <w:color w:val="auto"/>
                      <w:kern w:val="0"/>
                      <w:sz w:val="21"/>
                      <w:szCs w:val="21"/>
                      <w:lang w:val="en-US" w:eastAsia="zh-CN"/>
                    </w:rPr>
                    <w:t>主要</w:t>
                  </w:r>
                  <w:r>
                    <w:rPr>
                      <w:rFonts w:hint="eastAsia" w:ascii="宋体" w:hAnsi="宋体"/>
                      <w:color w:val="auto"/>
                      <w:sz w:val="21"/>
                      <w:szCs w:val="21"/>
                    </w:rPr>
                    <w:t>对</w:t>
                  </w:r>
                  <w:r>
                    <w:rPr>
                      <w:rFonts w:hint="eastAsia" w:ascii="宋体" w:hAnsi="宋体"/>
                      <w:color w:val="auto"/>
                      <w:sz w:val="21"/>
                      <w:szCs w:val="21"/>
                      <w:lang w:eastAsia="zh-CN"/>
                    </w:rPr>
                    <w:t>云南常青树化工有限公司</w:t>
                  </w:r>
                  <w:r>
                    <w:rPr>
                      <w:rFonts w:hint="eastAsia" w:ascii="宋体" w:hAnsi="宋体"/>
                      <w:color w:val="auto"/>
                      <w:sz w:val="21"/>
                      <w:szCs w:val="21"/>
                    </w:rPr>
                    <w:t>产生的工业固体废物磷石膏加以利用，利用</w:t>
                  </w:r>
                  <w:r>
                    <w:rPr>
                      <w:rFonts w:ascii="宋体" w:hAnsi="宋体"/>
                      <w:color w:val="auto"/>
                      <w:sz w:val="21"/>
                      <w:szCs w:val="21"/>
                    </w:rPr>
                    <w:t>磷石膏</w:t>
                  </w:r>
                  <w:r>
                    <w:rPr>
                      <w:rFonts w:hint="eastAsia" w:ascii="宋体" w:hAnsi="宋体"/>
                      <w:color w:val="auto"/>
                      <w:sz w:val="21"/>
                      <w:szCs w:val="21"/>
                    </w:rPr>
                    <w:t>和</w:t>
                  </w:r>
                  <w:r>
                    <w:rPr>
                      <w:rFonts w:ascii="宋体" w:hAnsi="宋体"/>
                      <w:color w:val="auto"/>
                      <w:sz w:val="21"/>
                      <w:szCs w:val="21"/>
                    </w:rPr>
                    <w:t>电石渣进行土壤</w:t>
                  </w:r>
                  <w:r>
                    <w:rPr>
                      <w:rFonts w:hint="eastAsia" w:ascii="Times New Roman" w:hAnsi="Times New Roman"/>
                      <w:color w:val="auto"/>
                      <w:kern w:val="2"/>
                      <w:sz w:val="21"/>
                      <w:szCs w:val="21"/>
                      <w:lang w:val="en-US" w:eastAsia="zh-CN"/>
                    </w:rPr>
                    <w:t>改良</w:t>
                  </w:r>
                  <w:r>
                    <w:rPr>
                      <w:rFonts w:ascii="宋体" w:hAnsi="宋体"/>
                      <w:color w:val="auto"/>
                      <w:sz w:val="21"/>
                      <w:szCs w:val="21"/>
                    </w:rPr>
                    <w:t>剂、路基材料、生态修复材料的</w:t>
                  </w:r>
                  <w:r>
                    <w:rPr>
                      <w:color w:val="auto"/>
                      <w:sz w:val="21"/>
                      <w:szCs w:val="21"/>
                    </w:rPr>
                    <w:t>生产</w:t>
                  </w:r>
                  <w:r>
                    <w:rPr>
                      <w:rFonts w:hint="eastAsia" w:ascii="Times New Roman" w:hAnsi="Times New Roman" w:eastAsia="宋体" w:cs="Times New Roman"/>
                      <w:color w:val="auto"/>
                      <w:sz w:val="21"/>
                      <w:szCs w:val="21"/>
                      <w:lang w:eastAsia="zh-CN"/>
                    </w:rPr>
                    <w:t>。</w:t>
                  </w:r>
                </w:p>
              </w:tc>
              <w:tc>
                <w:tcPr>
                  <w:tcW w:w="643" w:type="dxa"/>
                  <w:tcBorders>
                    <w:top w:val="single" w:color="auto" w:sz="4" w:space="0"/>
                    <w:left w:val="single" w:color="auto" w:sz="4" w:space="0"/>
                    <w:bottom w:val="single" w:color="auto" w:sz="4" w:space="0"/>
                    <w:right w:val="single" w:color="auto" w:sz="4" w:space="0"/>
                  </w:tcBorders>
                  <w:noWrap w:val="0"/>
                  <w:vAlign w:val="center"/>
                </w:tcPr>
                <w:p w14:paraId="0529BD4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符合</w:t>
                  </w:r>
                </w:p>
              </w:tc>
            </w:tr>
          </w:tbl>
          <w:p w14:paraId="73F04980">
            <w:pPr>
              <w:spacing w:line="360" w:lineRule="auto"/>
              <w:ind w:firstLine="482" w:firstLineChars="200"/>
              <w:rPr>
                <w:rFonts w:hAnsi="宋体"/>
                <w:b/>
                <w:color w:val="auto"/>
                <w:sz w:val="24"/>
                <w:szCs w:val="28"/>
              </w:rPr>
            </w:pPr>
            <w:r>
              <w:rPr>
                <w:rFonts w:hint="eastAsia" w:hAnsi="宋体"/>
                <w:b/>
                <w:color w:val="auto"/>
                <w:sz w:val="24"/>
                <w:szCs w:val="28"/>
              </w:rPr>
              <w:t>1</w:t>
            </w:r>
            <w:r>
              <w:rPr>
                <w:rFonts w:hint="eastAsia" w:hAnsi="宋体"/>
                <w:b/>
                <w:color w:val="auto"/>
                <w:sz w:val="24"/>
                <w:szCs w:val="28"/>
                <w:lang w:val="en-US" w:eastAsia="zh-CN"/>
              </w:rPr>
              <w:t>9</w:t>
            </w:r>
            <w:r>
              <w:rPr>
                <w:rFonts w:hint="eastAsia" w:hAnsi="宋体"/>
                <w:b/>
                <w:color w:val="auto"/>
                <w:sz w:val="24"/>
                <w:szCs w:val="28"/>
              </w:rPr>
              <w:t>、选址合理性分析</w:t>
            </w:r>
          </w:p>
          <w:p w14:paraId="094BA986">
            <w:pPr>
              <w:spacing w:line="360" w:lineRule="auto"/>
              <w:ind w:firstLine="480" w:firstLineChars="200"/>
              <w:rPr>
                <w:color w:val="auto"/>
                <w:sz w:val="24"/>
              </w:rPr>
            </w:pPr>
            <w:r>
              <w:rPr>
                <w:color w:val="auto"/>
                <w:sz w:val="24"/>
              </w:rPr>
              <w:t>本</w:t>
            </w:r>
            <w:r>
              <w:rPr>
                <w:color w:val="auto"/>
                <w:sz w:val="24"/>
                <w:lang w:bidi="ar"/>
              </w:rPr>
              <w:t>项目</w:t>
            </w:r>
            <w:r>
              <w:rPr>
                <w:rFonts w:hint="eastAsia"/>
                <w:color w:val="auto"/>
                <w:sz w:val="24"/>
                <w:szCs w:val="24"/>
              </w:rPr>
              <w:t>对属于工业固体废物的磷石膏、电石渣进行综合利用</w:t>
            </w:r>
            <w:r>
              <w:rPr>
                <w:color w:val="auto"/>
                <w:sz w:val="24"/>
                <w:szCs w:val="24"/>
                <w:lang w:bidi="ar"/>
              </w:rPr>
              <w:t>，</w:t>
            </w:r>
            <w:r>
              <w:rPr>
                <w:color w:val="auto"/>
                <w:sz w:val="24"/>
                <w:lang w:bidi="ar"/>
              </w:rPr>
              <w:t>属于</w:t>
            </w:r>
            <w:r>
              <w:rPr>
                <w:rFonts w:hint="eastAsia"/>
                <w:color w:val="auto"/>
                <w:sz w:val="24"/>
                <w:lang w:bidi="ar"/>
              </w:rPr>
              <w:t>固体废物治理</w:t>
            </w:r>
            <w:r>
              <w:rPr>
                <w:color w:val="auto"/>
                <w:sz w:val="24"/>
                <w:lang w:bidi="ar"/>
              </w:rPr>
              <w:t>项目，位于</w:t>
            </w:r>
            <w:r>
              <w:rPr>
                <w:rFonts w:hint="eastAsia"/>
                <w:color w:val="auto"/>
                <w:sz w:val="24"/>
                <w:lang w:eastAsia="zh-CN" w:bidi="ar"/>
              </w:rPr>
              <w:t>昆明市寻甸县塘子镇</w:t>
            </w:r>
            <w:r>
              <w:rPr>
                <w:rFonts w:hint="eastAsia"/>
                <w:color w:val="auto"/>
                <w:sz w:val="24"/>
                <w:lang w:val="en-US" w:eastAsia="zh-CN" w:bidi="ar"/>
              </w:rPr>
              <w:t>云南常青树化工有限公司</w:t>
            </w:r>
            <w:r>
              <w:rPr>
                <w:rFonts w:hint="eastAsia"/>
                <w:color w:val="auto"/>
                <w:sz w:val="24"/>
                <w:lang w:eastAsia="zh-CN" w:bidi="ar"/>
              </w:rPr>
              <w:t>厂区内，</w:t>
            </w:r>
            <w:r>
              <w:rPr>
                <w:color w:val="auto"/>
                <w:sz w:val="24"/>
                <w:lang w:bidi="ar"/>
              </w:rPr>
              <w:t>区</w:t>
            </w:r>
            <w:r>
              <w:rPr>
                <w:color w:val="auto"/>
                <w:sz w:val="24"/>
              </w:rPr>
              <w:t>域供电、供水、交通等基础条件十分便利。</w:t>
            </w:r>
          </w:p>
          <w:p w14:paraId="7E22BF5F">
            <w:pPr>
              <w:autoSpaceDE w:val="0"/>
              <w:autoSpaceDN w:val="0"/>
              <w:spacing w:line="360" w:lineRule="auto"/>
              <w:ind w:firstLine="480" w:firstLineChars="200"/>
              <w:rPr>
                <w:rFonts w:hint="eastAsia" w:ascii="Times New Roman" w:hAnsi="Times New Roman" w:cs="Times New Roman"/>
                <w:color w:val="auto"/>
                <w:kern w:val="0"/>
                <w:sz w:val="24"/>
                <w:szCs w:val="24"/>
                <w:lang w:val="en-US" w:eastAsia="zh-CN" w:bidi="ar"/>
              </w:rPr>
            </w:pPr>
            <w:r>
              <w:rPr>
                <w:color w:val="auto"/>
                <w:sz w:val="24"/>
              </w:rPr>
              <w:t>本项目总平面布置根据项目所在地的常年风向、生产工艺流程、场地地形与外界道路连接方便等情况进行合理布置。厂区所在位置常年风向为南风或西南风。项目的原料主要是磷石膏，</w:t>
            </w:r>
            <w:r>
              <w:rPr>
                <w:rFonts w:hint="eastAsia"/>
                <w:color w:val="auto"/>
                <w:sz w:val="24"/>
              </w:rPr>
              <w:t>物料</w:t>
            </w:r>
            <w:r>
              <w:rPr>
                <w:color w:val="auto"/>
                <w:sz w:val="24"/>
              </w:rPr>
              <w:t>堆存的区域以及加工过程中会产生一定的粉尘。项目</w:t>
            </w:r>
            <w:r>
              <w:rPr>
                <w:rFonts w:hint="eastAsia"/>
                <w:color w:val="auto"/>
                <w:sz w:val="24"/>
              </w:rPr>
              <w:t>厂房位</w:t>
            </w:r>
            <w:r>
              <w:rPr>
                <w:color w:val="auto"/>
                <w:sz w:val="24"/>
              </w:rPr>
              <w:t>于厂区东部，使项目运营时对周围的环境影响减少到最低。</w:t>
            </w:r>
            <w:r>
              <w:rPr>
                <w:rFonts w:ascii="Times New Roman" w:hAnsi="Times New Roman" w:eastAsia="宋体"/>
                <w:bCs w:val="0"/>
                <w:color w:val="auto"/>
                <w:sz w:val="24"/>
                <w:szCs w:val="24"/>
                <w:lang w:eastAsia="zh-CN"/>
              </w:rPr>
              <w:t>项目</w:t>
            </w:r>
            <w:r>
              <w:rPr>
                <w:rFonts w:hint="eastAsia" w:ascii="Times New Roman" w:hAnsi="Times New Roman"/>
                <w:bCs w:val="0"/>
                <w:color w:val="auto"/>
                <w:sz w:val="24"/>
                <w:szCs w:val="24"/>
                <w:lang w:val="en-US" w:eastAsia="zh-CN"/>
              </w:rPr>
              <w:t>主要在50万吨</w:t>
            </w:r>
            <w:r>
              <w:rPr>
                <w:rFonts w:hint="eastAsia" w:ascii="Times New Roman" w:hAnsi="Times New Roman" w:eastAsia="宋体" w:cs="Times New Roman"/>
                <w:color w:val="auto"/>
                <w:kern w:val="0"/>
                <w:sz w:val="24"/>
                <w:szCs w:val="24"/>
                <w:lang w:val="en-US" w:eastAsia="zh-CN" w:bidi="ar"/>
              </w:rPr>
              <w:t>/年球状水泥缓凝剂生产线</w:t>
            </w:r>
            <w:r>
              <w:rPr>
                <w:rFonts w:hint="eastAsia" w:ascii="Times New Roman" w:hAnsi="Times New Roman" w:cs="Times New Roman"/>
                <w:color w:val="auto"/>
                <w:kern w:val="0"/>
                <w:sz w:val="24"/>
                <w:szCs w:val="24"/>
                <w:lang w:val="en-US" w:eastAsia="zh-CN" w:bidi="ar"/>
              </w:rPr>
              <w:t>基础上，利用球状水泥缓凝剂生产线已建的受料仓、计量系统、搅拌机，并新增出料系统等配套设施，总占地面积17000m</w:t>
            </w:r>
            <w:r>
              <w:rPr>
                <w:rFonts w:hint="eastAsia" w:ascii="Times New Roman" w:hAnsi="Times New Roman" w:cs="Times New Roman"/>
                <w:color w:val="auto"/>
                <w:kern w:val="0"/>
                <w:sz w:val="24"/>
                <w:szCs w:val="24"/>
                <w:vertAlign w:val="superscript"/>
                <w:lang w:val="en-US" w:eastAsia="zh-CN" w:bidi="ar"/>
              </w:rPr>
              <w:t>2</w:t>
            </w:r>
            <w:r>
              <w:rPr>
                <w:rFonts w:hint="eastAsia" w:cs="Times New Roman"/>
                <w:color w:val="auto"/>
                <w:kern w:val="0"/>
                <w:sz w:val="24"/>
                <w:szCs w:val="24"/>
                <w:lang w:val="en-US" w:eastAsia="zh-CN" w:bidi="ar"/>
              </w:rPr>
              <w:t>。</w:t>
            </w:r>
          </w:p>
          <w:p w14:paraId="172EEFFF">
            <w:pPr>
              <w:spacing w:line="360" w:lineRule="auto"/>
              <w:ind w:firstLine="480" w:firstLineChars="200"/>
              <w:rPr>
                <w:color w:val="auto"/>
                <w:sz w:val="24"/>
              </w:rPr>
            </w:pPr>
            <w:r>
              <w:rPr>
                <w:rFonts w:hint="eastAsia"/>
                <w:color w:val="auto"/>
                <w:sz w:val="24"/>
              </w:rPr>
              <w:t>项目评价范围内无名胜古迹、风景区、自然保护区、饮用水源保护区等生态保护目标，不取用地下水，项目不涉及基本农田，不在禁止开发区域，不在生态保护红线范围内。项目按照该报告表中的要求，落实本环评报告中提出的废气、废水、噪声、固废治理措施，项目的建设和运营对周边环境影响较小。</w:t>
            </w:r>
          </w:p>
          <w:p w14:paraId="150B5361">
            <w:pPr>
              <w:spacing w:line="360" w:lineRule="auto"/>
              <w:ind w:firstLine="480" w:firstLineChars="200"/>
              <w:rPr>
                <w:color w:val="auto"/>
                <w:sz w:val="24"/>
              </w:rPr>
            </w:pPr>
            <w:r>
              <w:rPr>
                <w:rFonts w:hint="eastAsia"/>
                <w:color w:val="auto"/>
                <w:sz w:val="24"/>
              </w:rPr>
              <w:t>项目用地性质为工业用地，不占用基本农田，用地不属于《禁止用地项目目录（2012年本）》和《限制用地项目目录（2012年本》中的禁止用地和限制用地项目。</w:t>
            </w:r>
            <w:r>
              <w:rPr>
                <w:color w:val="auto"/>
                <w:sz w:val="24"/>
              </w:rPr>
              <w:t>且项目符合《昆明市人民政府关于实施“三线一单”生态环境分区管控的意见》（昆政发</w:t>
            </w:r>
            <w:r>
              <w:rPr>
                <w:rFonts w:hint="eastAsia"/>
                <w:color w:val="auto"/>
                <w:sz w:val="24"/>
              </w:rPr>
              <w:t>﹝</w:t>
            </w:r>
            <w:r>
              <w:rPr>
                <w:color w:val="auto"/>
                <w:sz w:val="24"/>
              </w:rPr>
              <w:t>2021</w:t>
            </w:r>
            <w:r>
              <w:rPr>
                <w:rFonts w:hint="eastAsia"/>
                <w:color w:val="auto"/>
                <w:sz w:val="24"/>
              </w:rPr>
              <w:t>﹞</w:t>
            </w:r>
            <w:r>
              <w:rPr>
                <w:color w:val="auto"/>
                <w:sz w:val="24"/>
              </w:rPr>
              <w:t>21号）、《云南省牛栏江保护条例》、</w:t>
            </w:r>
            <w:r>
              <w:rPr>
                <w:rFonts w:hint="eastAsia"/>
                <w:bCs/>
                <w:color w:val="auto"/>
                <w:sz w:val="24"/>
              </w:rPr>
              <w:t>《长江经济带发展负面清单指南》（试行，2022年版）、</w:t>
            </w:r>
            <w:r>
              <w:rPr>
                <w:rFonts w:hint="eastAsia" w:hAnsi="宋体"/>
                <w:bCs/>
                <w:color w:val="auto"/>
                <w:sz w:val="24"/>
              </w:rPr>
              <w:t>《云南省长江经济带发展负面清单指南实施细则（试行，2022年版）》</w:t>
            </w:r>
            <w:r>
              <w:rPr>
                <w:rFonts w:hint="eastAsia"/>
                <w:bCs/>
                <w:color w:val="auto"/>
                <w:sz w:val="24"/>
              </w:rPr>
              <w:t>、</w:t>
            </w:r>
            <w:r>
              <w:rPr>
                <w:color w:val="auto"/>
                <w:sz w:val="24"/>
              </w:rPr>
              <w:t>《中华人民共和国长江保护法》、《昆明市大气污染防治条例》、《</w:t>
            </w:r>
            <w:r>
              <w:rPr>
                <w:rFonts w:hint="eastAsia"/>
                <w:color w:val="auto"/>
                <w:sz w:val="24"/>
              </w:rPr>
              <w:t>云南省固体废物污染环境防治条例</w:t>
            </w:r>
            <w:r>
              <w:rPr>
                <w:color w:val="auto"/>
                <w:sz w:val="24"/>
              </w:rPr>
              <w:t>》、《</w:t>
            </w:r>
            <w:r>
              <w:rPr>
                <w:rFonts w:hint="eastAsia"/>
                <w:color w:val="auto"/>
                <w:sz w:val="24"/>
              </w:rPr>
              <w:t>云南省工业固体废物和重金属污染防治“十四五”规划</w:t>
            </w:r>
            <w:r>
              <w:rPr>
                <w:color w:val="auto"/>
                <w:sz w:val="24"/>
              </w:rPr>
              <w:t>》。</w:t>
            </w:r>
          </w:p>
          <w:p w14:paraId="4D9327A1">
            <w:pPr>
              <w:spacing w:line="360" w:lineRule="auto"/>
              <w:ind w:firstLine="480" w:firstLineChars="200"/>
              <w:rPr>
                <w:rFonts w:hint="default"/>
                <w:color w:val="auto"/>
                <w:sz w:val="24"/>
                <w:lang w:val="en-US" w:eastAsia="zh-CN"/>
              </w:rPr>
            </w:pPr>
            <w:r>
              <w:rPr>
                <w:rFonts w:hint="eastAsia"/>
                <w:color w:val="auto"/>
                <w:sz w:val="24"/>
                <w:lang w:val="en-US" w:eastAsia="zh-CN"/>
              </w:rPr>
              <w:t>云南常青树化工有限公司</w:t>
            </w:r>
            <w:r>
              <w:rPr>
                <w:color w:val="auto"/>
                <w:sz w:val="24"/>
              </w:rPr>
              <w:t>厂区厂址</w:t>
            </w:r>
            <w:r>
              <w:rPr>
                <w:rFonts w:hint="eastAsia"/>
                <w:color w:val="auto"/>
                <w:sz w:val="24"/>
                <w:lang w:val="en-US" w:eastAsia="zh-CN"/>
              </w:rPr>
              <w:t>北侧有云南国能化工有限公司、云南天浩稀贵金属股份有限公司，南侧有云南泰康消防化工寻甸有限公司。常青树化工西北侧496m为塘子街道、位于常青树化工厂区侧风向，西北侧365m处为聂鼠龙村、位于常青树化工厂区侧风向，西侧130m处为云集村、位于常青树化工厂区侧风向，西南侧330m处为大桥村、位于常青树化工厂区上风向，东侧290m处为王岗屯村，位于常青树化工厂区</w:t>
            </w:r>
            <w:r>
              <w:rPr>
                <w:rFonts w:hint="eastAsia" w:ascii="Times New Roman" w:hAnsi="Times New Roman" w:cs="Times New Roman"/>
                <w:color w:val="auto"/>
                <w:sz w:val="24"/>
                <w:lang w:val="en-US" w:eastAsia="zh-CN"/>
              </w:rPr>
              <w:t>侧风向。</w:t>
            </w:r>
          </w:p>
          <w:p w14:paraId="1B8C2503">
            <w:pPr>
              <w:spacing w:line="360" w:lineRule="auto"/>
              <w:ind w:firstLine="480" w:firstLineChars="200"/>
              <w:rPr>
                <w:rFonts w:hint="default" w:eastAsia="宋体"/>
                <w:color w:val="auto"/>
                <w:sz w:val="24"/>
                <w:lang w:val="en-US" w:eastAsia="zh-CN"/>
              </w:rPr>
            </w:pPr>
            <w:r>
              <w:rPr>
                <w:rFonts w:hint="eastAsia"/>
                <w:color w:val="auto"/>
                <w:sz w:val="24"/>
                <w:lang w:val="en-US" w:eastAsia="zh-CN"/>
              </w:rPr>
              <w:t>此外，根据引用</w:t>
            </w:r>
            <w:r>
              <w:rPr>
                <w:rFonts w:hint="eastAsia" w:ascii="Times New Roman" w:hAnsi="Times New Roman" w:cs="Times New Roman"/>
                <w:color w:val="auto"/>
                <w:sz w:val="24"/>
                <w:lang w:val="en-US" w:eastAsia="zh-CN"/>
              </w:rPr>
              <w:t>2023年5月23日~5月29日云南钟灵锌业有限责任公司委托云南健牛环境监测有限公司对</w:t>
            </w:r>
            <w:r>
              <w:rPr>
                <w:rFonts w:hint="eastAsia" w:cs="Times New Roman"/>
                <w:color w:val="auto"/>
                <w:sz w:val="24"/>
                <w:lang w:val="en-US" w:eastAsia="zh-CN"/>
              </w:rPr>
              <w:t>常青树化工厂界</w:t>
            </w:r>
            <w:r>
              <w:rPr>
                <w:rFonts w:hint="eastAsia"/>
                <w:color w:val="auto"/>
                <w:sz w:val="24"/>
                <w:lang w:val="en-US" w:eastAsia="zh-CN"/>
              </w:rPr>
              <w:t>西南侧330m处的大桥村、东侧290m处的王岗屯村、东北侧2150m处的</w:t>
            </w:r>
            <w:r>
              <w:rPr>
                <w:rFonts w:hint="eastAsia" w:ascii="Times New Roman" w:hAnsi="Times New Roman" w:cs="Times New Roman"/>
                <w:color w:val="auto"/>
                <w:sz w:val="24"/>
                <w:lang w:val="en-US" w:eastAsia="zh-CN"/>
              </w:rPr>
              <w:t>陡峰湾村的监测数据，具体监测结果见表1-</w:t>
            </w:r>
            <w:r>
              <w:rPr>
                <w:rFonts w:hint="eastAsia" w:cs="Times New Roman"/>
                <w:color w:val="auto"/>
                <w:sz w:val="24"/>
                <w:lang w:val="en-US" w:eastAsia="zh-CN"/>
              </w:rPr>
              <w:t>18</w:t>
            </w:r>
            <w:r>
              <w:rPr>
                <w:rFonts w:hint="eastAsia" w:ascii="Times New Roman" w:hAnsi="Times New Roman" w:cs="Times New Roman"/>
                <w:color w:val="auto"/>
                <w:sz w:val="24"/>
                <w:lang w:val="en-US" w:eastAsia="zh-CN"/>
              </w:rPr>
              <w:t>~1-</w:t>
            </w:r>
            <w:r>
              <w:rPr>
                <w:rFonts w:hint="eastAsia" w:cs="Times New Roman"/>
                <w:color w:val="auto"/>
                <w:sz w:val="24"/>
                <w:lang w:val="en-US" w:eastAsia="zh-CN"/>
              </w:rPr>
              <w:t>19</w:t>
            </w:r>
            <w:r>
              <w:rPr>
                <w:rFonts w:hint="eastAsia" w:ascii="Times New Roman" w:hAnsi="Times New Roman" w:cs="Times New Roman"/>
                <w:color w:val="auto"/>
                <w:sz w:val="24"/>
                <w:lang w:val="en-US" w:eastAsia="zh-CN"/>
              </w:rPr>
              <w:t>。</w:t>
            </w:r>
          </w:p>
          <w:p w14:paraId="1E247763">
            <w:pPr>
              <w:jc w:val="center"/>
              <w:rPr>
                <w:b/>
                <w:bCs/>
                <w:color w:val="auto"/>
                <w:sz w:val="24"/>
                <w:szCs w:val="24"/>
              </w:rPr>
            </w:pPr>
            <w:r>
              <w:rPr>
                <w:b/>
                <w:bCs/>
                <w:color w:val="auto"/>
                <w:sz w:val="24"/>
                <w:szCs w:val="24"/>
              </w:rPr>
              <w:t>表</w:t>
            </w:r>
            <w:r>
              <w:rPr>
                <w:rFonts w:hint="eastAsia"/>
                <w:b/>
                <w:bCs/>
                <w:color w:val="auto"/>
                <w:sz w:val="24"/>
                <w:szCs w:val="24"/>
                <w:lang w:val="en-US" w:eastAsia="zh-CN"/>
              </w:rPr>
              <w:t>1-18</w:t>
            </w:r>
            <w:r>
              <w:rPr>
                <w:b/>
                <w:bCs/>
                <w:color w:val="auto"/>
                <w:sz w:val="24"/>
                <w:szCs w:val="24"/>
              </w:rPr>
              <w:t xml:space="preserve">  其他污染物监测结果统计表</w:t>
            </w:r>
            <w:r>
              <w:rPr>
                <w:rFonts w:hint="eastAsia"/>
                <w:b/>
                <w:bCs/>
                <w:color w:val="auto"/>
                <w:sz w:val="24"/>
                <w:szCs w:val="24"/>
              </w:rPr>
              <w:t>（日均值）</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497"/>
              <w:gridCol w:w="1683"/>
              <w:gridCol w:w="1700"/>
              <w:gridCol w:w="1603"/>
            </w:tblGrid>
            <w:tr w14:paraId="0DB6B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Align w:val="center"/>
                </w:tcPr>
                <w:p w14:paraId="072AB1A1">
                  <w:pPr>
                    <w:adjustRightInd w:val="0"/>
                    <w:snapToGrid w:val="0"/>
                    <w:jc w:val="center"/>
                    <w:rPr>
                      <w:b/>
                      <w:bCs/>
                      <w:color w:val="auto"/>
                      <w:sz w:val="21"/>
                      <w:szCs w:val="21"/>
                    </w:rPr>
                  </w:pPr>
                  <w:r>
                    <w:rPr>
                      <w:rFonts w:hint="eastAsia"/>
                      <w:b/>
                      <w:bCs/>
                      <w:color w:val="auto"/>
                      <w:sz w:val="21"/>
                      <w:szCs w:val="21"/>
                    </w:rPr>
                    <w:t>地点</w:t>
                  </w:r>
                </w:p>
              </w:tc>
              <w:tc>
                <w:tcPr>
                  <w:tcW w:w="1042" w:type="pct"/>
                  <w:vAlign w:val="center"/>
                </w:tcPr>
                <w:p w14:paraId="71C9EA34">
                  <w:pPr>
                    <w:adjustRightInd w:val="0"/>
                    <w:snapToGrid w:val="0"/>
                    <w:jc w:val="center"/>
                    <w:rPr>
                      <w:b/>
                      <w:bCs/>
                      <w:color w:val="auto"/>
                      <w:sz w:val="21"/>
                      <w:szCs w:val="21"/>
                    </w:rPr>
                  </w:pPr>
                  <w:r>
                    <w:rPr>
                      <w:rFonts w:hint="eastAsia"/>
                      <w:b/>
                      <w:bCs/>
                      <w:color w:val="auto"/>
                      <w:sz w:val="21"/>
                      <w:szCs w:val="21"/>
                    </w:rPr>
                    <w:t>时间</w:t>
                  </w:r>
                </w:p>
              </w:tc>
              <w:tc>
                <w:tcPr>
                  <w:tcW w:w="1172" w:type="pct"/>
                  <w:vAlign w:val="center"/>
                </w:tcPr>
                <w:p w14:paraId="544DFEAA">
                  <w:pPr>
                    <w:adjustRightInd w:val="0"/>
                    <w:snapToGrid w:val="0"/>
                    <w:jc w:val="center"/>
                    <w:rPr>
                      <w:b/>
                      <w:bCs/>
                      <w:color w:val="auto"/>
                      <w:sz w:val="21"/>
                      <w:szCs w:val="21"/>
                    </w:rPr>
                  </w:pPr>
                  <w:r>
                    <w:rPr>
                      <w:rFonts w:hint="eastAsia"/>
                      <w:b/>
                      <w:bCs/>
                      <w:color w:val="auto"/>
                      <w:sz w:val="21"/>
                      <w:szCs w:val="21"/>
                    </w:rPr>
                    <w:t>TSP（mg/m</w:t>
                  </w:r>
                  <w:r>
                    <w:rPr>
                      <w:rFonts w:hint="eastAsia"/>
                      <w:b/>
                      <w:bCs/>
                      <w:color w:val="auto"/>
                      <w:sz w:val="21"/>
                      <w:szCs w:val="21"/>
                      <w:vertAlign w:val="superscript"/>
                    </w:rPr>
                    <w:t>3</w:t>
                  </w:r>
                  <w:r>
                    <w:rPr>
                      <w:rFonts w:hint="eastAsia"/>
                      <w:b/>
                      <w:bCs/>
                      <w:color w:val="auto"/>
                      <w:sz w:val="21"/>
                      <w:szCs w:val="21"/>
                    </w:rPr>
                    <w:t>）</w:t>
                  </w:r>
                </w:p>
              </w:tc>
              <w:tc>
                <w:tcPr>
                  <w:tcW w:w="1184" w:type="pct"/>
                  <w:vAlign w:val="center"/>
                </w:tcPr>
                <w:p w14:paraId="7BDADBC8">
                  <w:pPr>
                    <w:adjustRightInd w:val="0"/>
                    <w:snapToGrid w:val="0"/>
                    <w:jc w:val="center"/>
                    <w:rPr>
                      <w:b/>
                      <w:bCs/>
                      <w:color w:val="auto"/>
                      <w:sz w:val="21"/>
                      <w:szCs w:val="21"/>
                    </w:rPr>
                  </w:pPr>
                  <w:r>
                    <w:rPr>
                      <w:rFonts w:hint="eastAsia"/>
                      <w:b/>
                      <w:bCs/>
                      <w:color w:val="auto"/>
                      <w:sz w:val="21"/>
                      <w:szCs w:val="21"/>
                    </w:rPr>
                    <w:t>二氧化硫（mg/m</w:t>
                  </w:r>
                  <w:r>
                    <w:rPr>
                      <w:rFonts w:hint="eastAsia"/>
                      <w:b/>
                      <w:bCs/>
                      <w:color w:val="auto"/>
                      <w:sz w:val="21"/>
                      <w:szCs w:val="21"/>
                      <w:vertAlign w:val="superscript"/>
                    </w:rPr>
                    <w:t>3</w:t>
                  </w:r>
                  <w:r>
                    <w:rPr>
                      <w:rFonts w:hint="eastAsia"/>
                      <w:b/>
                      <w:bCs/>
                      <w:color w:val="auto"/>
                      <w:sz w:val="21"/>
                      <w:szCs w:val="21"/>
                    </w:rPr>
                    <w:t>）</w:t>
                  </w:r>
                </w:p>
              </w:tc>
              <w:tc>
                <w:tcPr>
                  <w:tcW w:w="1116" w:type="pct"/>
                  <w:vAlign w:val="center"/>
                </w:tcPr>
                <w:p w14:paraId="05ABC33B">
                  <w:pPr>
                    <w:adjustRightInd w:val="0"/>
                    <w:snapToGrid w:val="0"/>
                    <w:jc w:val="center"/>
                    <w:rPr>
                      <w:b/>
                      <w:bCs/>
                      <w:color w:val="auto"/>
                      <w:sz w:val="21"/>
                      <w:szCs w:val="21"/>
                    </w:rPr>
                  </w:pPr>
                  <w:r>
                    <w:rPr>
                      <w:rFonts w:hint="eastAsia"/>
                      <w:b/>
                      <w:bCs/>
                      <w:color w:val="auto"/>
                      <w:sz w:val="21"/>
                      <w:szCs w:val="21"/>
                    </w:rPr>
                    <w:t>氟化物（ug/m</w:t>
                  </w:r>
                  <w:r>
                    <w:rPr>
                      <w:rFonts w:hint="eastAsia"/>
                      <w:b/>
                      <w:bCs/>
                      <w:color w:val="auto"/>
                      <w:sz w:val="21"/>
                      <w:szCs w:val="21"/>
                      <w:vertAlign w:val="superscript"/>
                    </w:rPr>
                    <w:t>3</w:t>
                  </w:r>
                  <w:r>
                    <w:rPr>
                      <w:rFonts w:hint="eastAsia"/>
                      <w:b/>
                      <w:bCs/>
                      <w:color w:val="auto"/>
                      <w:sz w:val="21"/>
                      <w:szCs w:val="21"/>
                    </w:rPr>
                    <w:t>）</w:t>
                  </w:r>
                </w:p>
              </w:tc>
            </w:tr>
            <w:tr w14:paraId="00B10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restart"/>
                  <w:vAlign w:val="center"/>
                </w:tcPr>
                <w:p w14:paraId="3F240A27">
                  <w:pPr>
                    <w:adjustRightInd w:val="0"/>
                    <w:snapToGrid w:val="0"/>
                    <w:jc w:val="center"/>
                    <w:rPr>
                      <w:color w:val="auto"/>
                      <w:sz w:val="21"/>
                      <w:szCs w:val="21"/>
                    </w:rPr>
                  </w:pPr>
                  <w:r>
                    <w:rPr>
                      <w:rFonts w:hint="eastAsia"/>
                      <w:color w:val="auto"/>
                      <w:sz w:val="21"/>
                      <w:szCs w:val="21"/>
                    </w:rPr>
                    <w:t>大桥村</w:t>
                  </w:r>
                </w:p>
              </w:tc>
              <w:tc>
                <w:tcPr>
                  <w:tcW w:w="1042" w:type="pct"/>
                  <w:vAlign w:val="center"/>
                </w:tcPr>
                <w:p w14:paraId="7706E8F9">
                  <w:pPr>
                    <w:adjustRightInd w:val="0"/>
                    <w:snapToGrid w:val="0"/>
                    <w:jc w:val="center"/>
                    <w:rPr>
                      <w:color w:val="auto"/>
                      <w:sz w:val="21"/>
                      <w:szCs w:val="21"/>
                    </w:rPr>
                  </w:pPr>
                  <w:r>
                    <w:rPr>
                      <w:rFonts w:hint="eastAsia"/>
                      <w:color w:val="auto"/>
                      <w:sz w:val="21"/>
                      <w:szCs w:val="21"/>
                    </w:rPr>
                    <w:t>2023.05.23</w:t>
                  </w:r>
                </w:p>
              </w:tc>
              <w:tc>
                <w:tcPr>
                  <w:tcW w:w="1172" w:type="pct"/>
                  <w:vAlign w:val="center"/>
                </w:tcPr>
                <w:p w14:paraId="0C972ED9">
                  <w:pPr>
                    <w:adjustRightInd w:val="0"/>
                    <w:snapToGrid w:val="0"/>
                    <w:jc w:val="center"/>
                    <w:rPr>
                      <w:color w:val="auto"/>
                      <w:sz w:val="21"/>
                      <w:szCs w:val="21"/>
                    </w:rPr>
                  </w:pPr>
                  <w:r>
                    <w:rPr>
                      <w:rFonts w:hint="eastAsia"/>
                      <w:color w:val="auto"/>
                      <w:sz w:val="21"/>
                      <w:szCs w:val="21"/>
                    </w:rPr>
                    <w:t>0.051</w:t>
                  </w:r>
                </w:p>
              </w:tc>
              <w:tc>
                <w:tcPr>
                  <w:tcW w:w="1184" w:type="pct"/>
                  <w:vAlign w:val="center"/>
                </w:tcPr>
                <w:p w14:paraId="4B8F6850">
                  <w:pPr>
                    <w:adjustRightInd w:val="0"/>
                    <w:snapToGrid w:val="0"/>
                    <w:jc w:val="center"/>
                    <w:rPr>
                      <w:color w:val="auto"/>
                      <w:sz w:val="21"/>
                      <w:szCs w:val="21"/>
                    </w:rPr>
                  </w:pPr>
                  <w:r>
                    <w:rPr>
                      <w:rFonts w:hint="eastAsia"/>
                      <w:color w:val="auto"/>
                      <w:sz w:val="21"/>
                      <w:szCs w:val="21"/>
                    </w:rPr>
                    <w:t>0.025</w:t>
                  </w:r>
                </w:p>
              </w:tc>
              <w:tc>
                <w:tcPr>
                  <w:tcW w:w="1116" w:type="pct"/>
                  <w:vAlign w:val="center"/>
                </w:tcPr>
                <w:p w14:paraId="0B2EF8BF">
                  <w:pPr>
                    <w:adjustRightInd w:val="0"/>
                    <w:snapToGrid w:val="0"/>
                    <w:jc w:val="center"/>
                    <w:rPr>
                      <w:color w:val="auto"/>
                      <w:sz w:val="21"/>
                      <w:szCs w:val="21"/>
                    </w:rPr>
                  </w:pPr>
                  <w:r>
                    <w:rPr>
                      <w:rFonts w:hint="eastAsia"/>
                      <w:color w:val="auto"/>
                      <w:sz w:val="21"/>
                      <w:szCs w:val="21"/>
                    </w:rPr>
                    <w:t>0.88</w:t>
                  </w:r>
                </w:p>
              </w:tc>
            </w:tr>
            <w:tr w14:paraId="0E78D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32BF8456">
                  <w:pPr>
                    <w:adjustRightInd w:val="0"/>
                    <w:snapToGrid w:val="0"/>
                    <w:jc w:val="center"/>
                    <w:rPr>
                      <w:color w:val="auto"/>
                      <w:sz w:val="21"/>
                      <w:szCs w:val="21"/>
                    </w:rPr>
                  </w:pPr>
                </w:p>
              </w:tc>
              <w:tc>
                <w:tcPr>
                  <w:tcW w:w="1042" w:type="pct"/>
                  <w:vAlign w:val="center"/>
                </w:tcPr>
                <w:p w14:paraId="5B7DAC67">
                  <w:pPr>
                    <w:adjustRightInd w:val="0"/>
                    <w:snapToGrid w:val="0"/>
                    <w:jc w:val="center"/>
                    <w:rPr>
                      <w:color w:val="auto"/>
                      <w:sz w:val="21"/>
                      <w:szCs w:val="21"/>
                    </w:rPr>
                  </w:pPr>
                  <w:r>
                    <w:rPr>
                      <w:rFonts w:hint="eastAsia"/>
                      <w:color w:val="auto"/>
                      <w:sz w:val="21"/>
                      <w:szCs w:val="21"/>
                    </w:rPr>
                    <w:t>2023.05.24</w:t>
                  </w:r>
                </w:p>
              </w:tc>
              <w:tc>
                <w:tcPr>
                  <w:tcW w:w="1172" w:type="pct"/>
                  <w:vAlign w:val="center"/>
                </w:tcPr>
                <w:p w14:paraId="23479D0B">
                  <w:pPr>
                    <w:adjustRightInd w:val="0"/>
                    <w:snapToGrid w:val="0"/>
                    <w:jc w:val="center"/>
                    <w:rPr>
                      <w:color w:val="auto"/>
                      <w:sz w:val="21"/>
                      <w:szCs w:val="21"/>
                    </w:rPr>
                  </w:pPr>
                  <w:r>
                    <w:rPr>
                      <w:rFonts w:hint="eastAsia"/>
                      <w:color w:val="auto"/>
                      <w:sz w:val="21"/>
                      <w:szCs w:val="21"/>
                    </w:rPr>
                    <w:t>0.053</w:t>
                  </w:r>
                </w:p>
              </w:tc>
              <w:tc>
                <w:tcPr>
                  <w:tcW w:w="1184" w:type="pct"/>
                  <w:vAlign w:val="center"/>
                </w:tcPr>
                <w:p w14:paraId="4F470EE6">
                  <w:pPr>
                    <w:adjustRightInd w:val="0"/>
                    <w:snapToGrid w:val="0"/>
                    <w:jc w:val="center"/>
                    <w:rPr>
                      <w:color w:val="auto"/>
                      <w:sz w:val="21"/>
                      <w:szCs w:val="21"/>
                    </w:rPr>
                  </w:pPr>
                  <w:r>
                    <w:rPr>
                      <w:rFonts w:hint="eastAsia"/>
                      <w:color w:val="auto"/>
                      <w:sz w:val="21"/>
                      <w:szCs w:val="21"/>
                    </w:rPr>
                    <w:t>0.023</w:t>
                  </w:r>
                </w:p>
              </w:tc>
              <w:tc>
                <w:tcPr>
                  <w:tcW w:w="1116" w:type="pct"/>
                  <w:vAlign w:val="center"/>
                </w:tcPr>
                <w:p w14:paraId="0F2A128D">
                  <w:pPr>
                    <w:adjustRightInd w:val="0"/>
                    <w:snapToGrid w:val="0"/>
                    <w:jc w:val="center"/>
                    <w:rPr>
                      <w:color w:val="auto"/>
                      <w:sz w:val="21"/>
                      <w:szCs w:val="21"/>
                    </w:rPr>
                  </w:pPr>
                  <w:r>
                    <w:rPr>
                      <w:rFonts w:hint="eastAsia"/>
                      <w:color w:val="auto"/>
                      <w:sz w:val="21"/>
                      <w:szCs w:val="21"/>
                    </w:rPr>
                    <w:t>0.82</w:t>
                  </w:r>
                </w:p>
              </w:tc>
            </w:tr>
            <w:tr w14:paraId="4A1FA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1BE5F4EC">
                  <w:pPr>
                    <w:adjustRightInd w:val="0"/>
                    <w:snapToGrid w:val="0"/>
                    <w:jc w:val="center"/>
                    <w:rPr>
                      <w:color w:val="auto"/>
                      <w:sz w:val="21"/>
                      <w:szCs w:val="21"/>
                    </w:rPr>
                  </w:pPr>
                </w:p>
              </w:tc>
              <w:tc>
                <w:tcPr>
                  <w:tcW w:w="1042" w:type="pct"/>
                  <w:vAlign w:val="center"/>
                </w:tcPr>
                <w:p w14:paraId="0663041E">
                  <w:pPr>
                    <w:adjustRightInd w:val="0"/>
                    <w:snapToGrid w:val="0"/>
                    <w:jc w:val="center"/>
                    <w:rPr>
                      <w:color w:val="auto"/>
                      <w:sz w:val="21"/>
                      <w:szCs w:val="21"/>
                    </w:rPr>
                  </w:pPr>
                  <w:r>
                    <w:rPr>
                      <w:rFonts w:hint="eastAsia"/>
                      <w:color w:val="auto"/>
                      <w:sz w:val="21"/>
                      <w:szCs w:val="21"/>
                    </w:rPr>
                    <w:t>2023.05.25</w:t>
                  </w:r>
                </w:p>
              </w:tc>
              <w:tc>
                <w:tcPr>
                  <w:tcW w:w="1172" w:type="pct"/>
                  <w:vAlign w:val="center"/>
                </w:tcPr>
                <w:p w14:paraId="64492DF1">
                  <w:pPr>
                    <w:adjustRightInd w:val="0"/>
                    <w:snapToGrid w:val="0"/>
                    <w:jc w:val="center"/>
                    <w:rPr>
                      <w:color w:val="auto"/>
                      <w:sz w:val="21"/>
                      <w:szCs w:val="21"/>
                    </w:rPr>
                  </w:pPr>
                  <w:r>
                    <w:rPr>
                      <w:rFonts w:hint="eastAsia"/>
                      <w:color w:val="auto"/>
                      <w:sz w:val="21"/>
                      <w:szCs w:val="21"/>
                    </w:rPr>
                    <w:t>0.057</w:t>
                  </w:r>
                </w:p>
              </w:tc>
              <w:tc>
                <w:tcPr>
                  <w:tcW w:w="1184" w:type="pct"/>
                  <w:vAlign w:val="center"/>
                </w:tcPr>
                <w:p w14:paraId="26979CDE">
                  <w:pPr>
                    <w:adjustRightInd w:val="0"/>
                    <w:snapToGrid w:val="0"/>
                    <w:jc w:val="center"/>
                    <w:rPr>
                      <w:color w:val="auto"/>
                      <w:sz w:val="21"/>
                      <w:szCs w:val="21"/>
                    </w:rPr>
                  </w:pPr>
                  <w:r>
                    <w:rPr>
                      <w:rFonts w:hint="eastAsia"/>
                      <w:color w:val="auto"/>
                      <w:sz w:val="21"/>
                      <w:szCs w:val="21"/>
                    </w:rPr>
                    <w:t>0.020</w:t>
                  </w:r>
                </w:p>
              </w:tc>
              <w:tc>
                <w:tcPr>
                  <w:tcW w:w="1116" w:type="pct"/>
                  <w:vAlign w:val="center"/>
                </w:tcPr>
                <w:p w14:paraId="119974A9">
                  <w:pPr>
                    <w:adjustRightInd w:val="0"/>
                    <w:snapToGrid w:val="0"/>
                    <w:jc w:val="center"/>
                    <w:rPr>
                      <w:color w:val="auto"/>
                      <w:sz w:val="21"/>
                      <w:szCs w:val="21"/>
                    </w:rPr>
                  </w:pPr>
                  <w:r>
                    <w:rPr>
                      <w:rFonts w:hint="eastAsia"/>
                      <w:color w:val="auto"/>
                      <w:sz w:val="21"/>
                      <w:szCs w:val="21"/>
                    </w:rPr>
                    <w:t>0.82</w:t>
                  </w:r>
                </w:p>
              </w:tc>
            </w:tr>
            <w:tr w14:paraId="0F070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7EFF2723">
                  <w:pPr>
                    <w:adjustRightInd w:val="0"/>
                    <w:snapToGrid w:val="0"/>
                    <w:jc w:val="center"/>
                    <w:rPr>
                      <w:color w:val="auto"/>
                      <w:sz w:val="21"/>
                      <w:szCs w:val="21"/>
                    </w:rPr>
                  </w:pPr>
                </w:p>
              </w:tc>
              <w:tc>
                <w:tcPr>
                  <w:tcW w:w="1042" w:type="pct"/>
                  <w:vAlign w:val="center"/>
                </w:tcPr>
                <w:p w14:paraId="0C671E91">
                  <w:pPr>
                    <w:adjustRightInd w:val="0"/>
                    <w:snapToGrid w:val="0"/>
                    <w:jc w:val="center"/>
                    <w:rPr>
                      <w:color w:val="auto"/>
                      <w:sz w:val="21"/>
                      <w:szCs w:val="21"/>
                    </w:rPr>
                  </w:pPr>
                  <w:r>
                    <w:rPr>
                      <w:rFonts w:hint="eastAsia"/>
                      <w:color w:val="auto"/>
                      <w:sz w:val="21"/>
                      <w:szCs w:val="21"/>
                    </w:rPr>
                    <w:t>2023.05.26</w:t>
                  </w:r>
                </w:p>
              </w:tc>
              <w:tc>
                <w:tcPr>
                  <w:tcW w:w="1172" w:type="pct"/>
                  <w:vAlign w:val="center"/>
                </w:tcPr>
                <w:p w14:paraId="2580A58A">
                  <w:pPr>
                    <w:adjustRightInd w:val="0"/>
                    <w:snapToGrid w:val="0"/>
                    <w:jc w:val="center"/>
                    <w:rPr>
                      <w:color w:val="auto"/>
                      <w:sz w:val="21"/>
                      <w:szCs w:val="21"/>
                    </w:rPr>
                  </w:pPr>
                  <w:r>
                    <w:rPr>
                      <w:rFonts w:hint="eastAsia"/>
                      <w:color w:val="auto"/>
                      <w:sz w:val="21"/>
                      <w:szCs w:val="21"/>
                    </w:rPr>
                    <w:t>0.052</w:t>
                  </w:r>
                </w:p>
              </w:tc>
              <w:tc>
                <w:tcPr>
                  <w:tcW w:w="1184" w:type="pct"/>
                  <w:vAlign w:val="center"/>
                </w:tcPr>
                <w:p w14:paraId="614927B3">
                  <w:pPr>
                    <w:adjustRightInd w:val="0"/>
                    <w:snapToGrid w:val="0"/>
                    <w:jc w:val="center"/>
                    <w:rPr>
                      <w:color w:val="auto"/>
                      <w:sz w:val="21"/>
                      <w:szCs w:val="21"/>
                    </w:rPr>
                  </w:pPr>
                  <w:r>
                    <w:rPr>
                      <w:rFonts w:hint="eastAsia"/>
                      <w:color w:val="auto"/>
                      <w:sz w:val="21"/>
                      <w:szCs w:val="21"/>
                    </w:rPr>
                    <w:t>0.031</w:t>
                  </w:r>
                </w:p>
              </w:tc>
              <w:tc>
                <w:tcPr>
                  <w:tcW w:w="1116" w:type="pct"/>
                  <w:vAlign w:val="center"/>
                </w:tcPr>
                <w:p w14:paraId="63D3B0E2">
                  <w:pPr>
                    <w:adjustRightInd w:val="0"/>
                    <w:snapToGrid w:val="0"/>
                    <w:jc w:val="center"/>
                    <w:rPr>
                      <w:color w:val="auto"/>
                      <w:sz w:val="21"/>
                      <w:szCs w:val="21"/>
                    </w:rPr>
                  </w:pPr>
                  <w:r>
                    <w:rPr>
                      <w:rFonts w:hint="eastAsia"/>
                      <w:color w:val="auto"/>
                      <w:sz w:val="21"/>
                      <w:szCs w:val="21"/>
                    </w:rPr>
                    <w:t>0.82</w:t>
                  </w:r>
                </w:p>
              </w:tc>
            </w:tr>
            <w:tr w14:paraId="2004C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1D07390B">
                  <w:pPr>
                    <w:adjustRightInd w:val="0"/>
                    <w:snapToGrid w:val="0"/>
                    <w:jc w:val="center"/>
                    <w:rPr>
                      <w:color w:val="auto"/>
                      <w:sz w:val="21"/>
                      <w:szCs w:val="21"/>
                    </w:rPr>
                  </w:pPr>
                </w:p>
              </w:tc>
              <w:tc>
                <w:tcPr>
                  <w:tcW w:w="1042" w:type="pct"/>
                  <w:vAlign w:val="center"/>
                </w:tcPr>
                <w:p w14:paraId="6AD13696">
                  <w:pPr>
                    <w:adjustRightInd w:val="0"/>
                    <w:snapToGrid w:val="0"/>
                    <w:jc w:val="center"/>
                    <w:rPr>
                      <w:color w:val="auto"/>
                      <w:sz w:val="21"/>
                      <w:szCs w:val="21"/>
                    </w:rPr>
                  </w:pPr>
                  <w:r>
                    <w:rPr>
                      <w:rFonts w:hint="eastAsia"/>
                      <w:color w:val="auto"/>
                      <w:sz w:val="21"/>
                      <w:szCs w:val="21"/>
                    </w:rPr>
                    <w:t>2023.05.27</w:t>
                  </w:r>
                </w:p>
              </w:tc>
              <w:tc>
                <w:tcPr>
                  <w:tcW w:w="1172" w:type="pct"/>
                  <w:vAlign w:val="center"/>
                </w:tcPr>
                <w:p w14:paraId="3C7C67D0">
                  <w:pPr>
                    <w:adjustRightInd w:val="0"/>
                    <w:snapToGrid w:val="0"/>
                    <w:jc w:val="center"/>
                    <w:rPr>
                      <w:color w:val="auto"/>
                      <w:sz w:val="21"/>
                      <w:szCs w:val="21"/>
                    </w:rPr>
                  </w:pPr>
                  <w:r>
                    <w:rPr>
                      <w:rFonts w:hint="eastAsia"/>
                      <w:color w:val="auto"/>
                      <w:sz w:val="21"/>
                      <w:szCs w:val="21"/>
                    </w:rPr>
                    <w:t>0.055</w:t>
                  </w:r>
                </w:p>
              </w:tc>
              <w:tc>
                <w:tcPr>
                  <w:tcW w:w="1184" w:type="pct"/>
                  <w:vAlign w:val="center"/>
                </w:tcPr>
                <w:p w14:paraId="419E8589">
                  <w:pPr>
                    <w:adjustRightInd w:val="0"/>
                    <w:snapToGrid w:val="0"/>
                    <w:jc w:val="center"/>
                    <w:rPr>
                      <w:color w:val="auto"/>
                      <w:sz w:val="21"/>
                      <w:szCs w:val="21"/>
                    </w:rPr>
                  </w:pPr>
                  <w:r>
                    <w:rPr>
                      <w:rFonts w:hint="eastAsia"/>
                      <w:color w:val="auto"/>
                      <w:sz w:val="21"/>
                      <w:szCs w:val="21"/>
                    </w:rPr>
                    <w:t>0.027</w:t>
                  </w:r>
                </w:p>
              </w:tc>
              <w:tc>
                <w:tcPr>
                  <w:tcW w:w="1116" w:type="pct"/>
                  <w:vAlign w:val="center"/>
                </w:tcPr>
                <w:p w14:paraId="6C9A7F61">
                  <w:pPr>
                    <w:adjustRightInd w:val="0"/>
                    <w:snapToGrid w:val="0"/>
                    <w:jc w:val="center"/>
                    <w:rPr>
                      <w:color w:val="auto"/>
                      <w:sz w:val="21"/>
                      <w:szCs w:val="21"/>
                    </w:rPr>
                  </w:pPr>
                  <w:r>
                    <w:rPr>
                      <w:rFonts w:hint="eastAsia"/>
                      <w:color w:val="auto"/>
                      <w:sz w:val="21"/>
                      <w:szCs w:val="21"/>
                    </w:rPr>
                    <w:t>0.82</w:t>
                  </w:r>
                </w:p>
              </w:tc>
            </w:tr>
            <w:tr w14:paraId="39106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45E50622">
                  <w:pPr>
                    <w:adjustRightInd w:val="0"/>
                    <w:snapToGrid w:val="0"/>
                    <w:jc w:val="center"/>
                    <w:rPr>
                      <w:color w:val="auto"/>
                      <w:sz w:val="21"/>
                      <w:szCs w:val="21"/>
                    </w:rPr>
                  </w:pPr>
                </w:p>
              </w:tc>
              <w:tc>
                <w:tcPr>
                  <w:tcW w:w="1042" w:type="pct"/>
                  <w:vAlign w:val="center"/>
                </w:tcPr>
                <w:p w14:paraId="122A6207">
                  <w:pPr>
                    <w:adjustRightInd w:val="0"/>
                    <w:snapToGrid w:val="0"/>
                    <w:jc w:val="center"/>
                    <w:rPr>
                      <w:color w:val="auto"/>
                      <w:sz w:val="21"/>
                      <w:szCs w:val="21"/>
                    </w:rPr>
                  </w:pPr>
                  <w:r>
                    <w:rPr>
                      <w:rFonts w:hint="eastAsia"/>
                      <w:color w:val="auto"/>
                      <w:sz w:val="21"/>
                      <w:szCs w:val="21"/>
                    </w:rPr>
                    <w:t>2023.05.28</w:t>
                  </w:r>
                </w:p>
              </w:tc>
              <w:tc>
                <w:tcPr>
                  <w:tcW w:w="1172" w:type="pct"/>
                  <w:vAlign w:val="center"/>
                </w:tcPr>
                <w:p w14:paraId="7B6FA09A">
                  <w:pPr>
                    <w:adjustRightInd w:val="0"/>
                    <w:snapToGrid w:val="0"/>
                    <w:jc w:val="center"/>
                    <w:rPr>
                      <w:color w:val="auto"/>
                      <w:sz w:val="21"/>
                      <w:szCs w:val="21"/>
                    </w:rPr>
                  </w:pPr>
                  <w:r>
                    <w:rPr>
                      <w:rFonts w:hint="eastAsia"/>
                      <w:color w:val="auto"/>
                      <w:sz w:val="21"/>
                      <w:szCs w:val="21"/>
                    </w:rPr>
                    <w:t>0.056</w:t>
                  </w:r>
                </w:p>
              </w:tc>
              <w:tc>
                <w:tcPr>
                  <w:tcW w:w="1184" w:type="pct"/>
                  <w:vAlign w:val="center"/>
                </w:tcPr>
                <w:p w14:paraId="6D01280D">
                  <w:pPr>
                    <w:adjustRightInd w:val="0"/>
                    <w:snapToGrid w:val="0"/>
                    <w:jc w:val="center"/>
                    <w:rPr>
                      <w:color w:val="auto"/>
                      <w:sz w:val="21"/>
                      <w:szCs w:val="21"/>
                    </w:rPr>
                  </w:pPr>
                  <w:r>
                    <w:rPr>
                      <w:rFonts w:hint="eastAsia"/>
                      <w:color w:val="auto"/>
                      <w:sz w:val="21"/>
                      <w:szCs w:val="21"/>
                    </w:rPr>
                    <w:t>0.022</w:t>
                  </w:r>
                </w:p>
              </w:tc>
              <w:tc>
                <w:tcPr>
                  <w:tcW w:w="1116" w:type="pct"/>
                  <w:vAlign w:val="center"/>
                </w:tcPr>
                <w:p w14:paraId="72046EE0">
                  <w:pPr>
                    <w:adjustRightInd w:val="0"/>
                    <w:snapToGrid w:val="0"/>
                    <w:jc w:val="center"/>
                    <w:rPr>
                      <w:color w:val="auto"/>
                      <w:sz w:val="21"/>
                      <w:szCs w:val="21"/>
                    </w:rPr>
                  </w:pPr>
                  <w:r>
                    <w:rPr>
                      <w:rFonts w:hint="eastAsia"/>
                      <w:color w:val="auto"/>
                      <w:sz w:val="21"/>
                      <w:szCs w:val="21"/>
                    </w:rPr>
                    <w:t>0.78</w:t>
                  </w:r>
                </w:p>
              </w:tc>
            </w:tr>
            <w:tr w14:paraId="49F1F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171B3227">
                  <w:pPr>
                    <w:adjustRightInd w:val="0"/>
                    <w:snapToGrid w:val="0"/>
                    <w:jc w:val="center"/>
                    <w:rPr>
                      <w:color w:val="auto"/>
                      <w:sz w:val="21"/>
                      <w:szCs w:val="21"/>
                    </w:rPr>
                  </w:pPr>
                </w:p>
              </w:tc>
              <w:tc>
                <w:tcPr>
                  <w:tcW w:w="1042" w:type="pct"/>
                  <w:vAlign w:val="center"/>
                </w:tcPr>
                <w:p w14:paraId="2FFD0CEF">
                  <w:pPr>
                    <w:adjustRightInd w:val="0"/>
                    <w:snapToGrid w:val="0"/>
                    <w:jc w:val="center"/>
                    <w:rPr>
                      <w:color w:val="auto"/>
                      <w:sz w:val="21"/>
                      <w:szCs w:val="21"/>
                    </w:rPr>
                  </w:pPr>
                  <w:r>
                    <w:rPr>
                      <w:rFonts w:hint="eastAsia"/>
                      <w:color w:val="auto"/>
                      <w:sz w:val="21"/>
                      <w:szCs w:val="21"/>
                    </w:rPr>
                    <w:t>2023.05.29</w:t>
                  </w:r>
                </w:p>
              </w:tc>
              <w:tc>
                <w:tcPr>
                  <w:tcW w:w="1172" w:type="pct"/>
                  <w:vAlign w:val="center"/>
                </w:tcPr>
                <w:p w14:paraId="66402C59">
                  <w:pPr>
                    <w:adjustRightInd w:val="0"/>
                    <w:snapToGrid w:val="0"/>
                    <w:jc w:val="center"/>
                    <w:rPr>
                      <w:color w:val="auto"/>
                      <w:sz w:val="21"/>
                      <w:szCs w:val="21"/>
                    </w:rPr>
                  </w:pPr>
                  <w:r>
                    <w:rPr>
                      <w:rFonts w:hint="eastAsia"/>
                      <w:color w:val="auto"/>
                      <w:sz w:val="21"/>
                      <w:szCs w:val="21"/>
                    </w:rPr>
                    <w:t>0.056</w:t>
                  </w:r>
                </w:p>
              </w:tc>
              <w:tc>
                <w:tcPr>
                  <w:tcW w:w="1184" w:type="pct"/>
                  <w:vAlign w:val="center"/>
                </w:tcPr>
                <w:p w14:paraId="62967473">
                  <w:pPr>
                    <w:adjustRightInd w:val="0"/>
                    <w:snapToGrid w:val="0"/>
                    <w:jc w:val="center"/>
                    <w:rPr>
                      <w:color w:val="auto"/>
                      <w:sz w:val="21"/>
                      <w:szCs w:val="21"/>
                    </w:rPr>
                  </w:pPr>
                  <w:r>
                    <w:rPr>
                      <w:rFonts w:hint="eastAsia"/>
                      <w:color w:val="auto"/>
                      <w:sz w:val="21"/>
                      <w:szCs w:val="21"/>
                    </w:rPr>
                    <w:t>0.023</w:t>
                  </w:r>
                </w:p>
              </w:tc>
              <w:tc>
                <w:tcPr>
                  <w:tcW w:w="1116" w:type="pct"/>
                  <w:vAlign w:val="center"/>
                </w:tcPr>
                <w:p w14:paraId="134A96DB">
                  <w:pPr>
                    <w:adjustRightInd w:val="0"/>
                    <w:snapToGrid w:val="0"/>
                    <w:jc w:val="center"/>
                    <w:rPr>
                      <w:color w:val="auto"/>
                      <w:sz w:val="21"/>
                      <w:szCs w:val="21"/>
                    </w:rPr>
                  </w:pPr>
                  <w:r>
                    <w:rPr>
                      <w:rFonts w:hint="eastAsia"/>
                      <w:color w:val="auto"/>
                      <w:sz w:val="21"/>
                      <w:szCs w:val="21"/>
                    </w:rPr>
                    <w:t>0.79</w:t>
                  </w:r>
                </w:p>
              </w:tc>
            </w:tr>
            <w:tr w14:paraId="7E597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58591C4F">
                  <w:pPr>
                    <w:adjustRightInd w:val="0"/>
                    <w:snapToGrid w:val="0"/>
                    <w:jc w:val="center"/>
                    <w:rPr>
                      <w:color w:val="auto"/>
                      <w:sz w:val="21"/>
                      <w:szCs w:val="21"/>
                    </w:rPr>
                  </w:pPr>
                </w:p>
              </w:tc>
              <w:tc>
                <w:tcPr>
                  <w:tcW w:w="1042" w:type="pct"/>
                  <w:vAlign w:val="center"/>
                </w:tcPr>
                <w:p w14:paraId="70C60824">
                  <w:pPr>
                    <w:adjustRightInd w:val="0"/>
                    <w:snapToGrid w:val="0"/>
                    <w:jc w:val="center"/>
                    <w:rPr>
                      <w:b/>
                      <w:bCs/>
                      <w:color w:val="auto"/>
                      <w:sz w:val="21"/>
                      <w:szCs w:val="21"/>
                    </w:rPr>
                  </w:pPr>
                  <w:r>
                    <w:rPr>
                      <w:rFonts w:hint="eastAsia"/>
                      <w:b/>
                      <w:bCs/>
                      <w:color w:val="auto"/>
                      <w:sz w:val="21"/>
                      <w:szCs w:val="21"/>
                    </w:rPr>
                    <w:t>标准值</w:t>
                  </w:r>
                </w:p>
              </w:tc>
              <w:tc>
                <w:tcPr>
                  <w:tcW w:w="1172" w:type="pct"/>
                  <w:vAlign w:val="center"/>
                </w:tcPr>
                <w:p w14:paraId="09D47DEB">
                  <w:pPr>
                    <w:adjustRightInd w:val="0"/>
                    <w:snapToGrid w:val="0"/>
                    <w:jc w:val="center"/>
                    <w:rPr>
                      <w:b/>
                      <w:bCs/>
                      <w:color w:val="auto"/>
                      <w:sz w:val="21"/>
                      <w:szCs w:val="21"/>
                    </w:rPr>
                  </w:pPr>
                  <w:r>
                    <w:rPr>
                      <w:rFonts w:hint="eastAsia"/>
                      <w:b/>
                      <w:bCs/>
                      <w:color w:val="auto"/>
                      <w:sz w:val="21"/>
                      <w:szCs w:val="21"/>
                    </w:rPr>
                    <w:t>0.3m</w:t>
                  </w:r>
                  <w:r>
                    <w:rPr>
                      <w:b/>
                      <w:bCs/>
                      <w:color w:val="auto"/>
                      <w:sz w:val="21"/>
                      <w:szCs w:val="21"/>
                    </w:rPr>
                    <w:t>g/m</w:t>
                  </w:r>
                  <w:r>
                    <w:rPr>
                      <w:b/>
                      <w:bCs/>
                      <w:color w:val="auto"/>
                      <w:sz w:val="21"/>
                      <w:szCs w:val="21"/>
                      <w:vertAlign w:val="superscript"/>
                    </w:rPr>
                    <w:t>3</w:t>
                  </w:r>
                </w:p>
              </w:tc>
              <w:tc>
                <w:tcPr>
                  <w:tcW w:w="1184" w:type="pct"/>
                  <w:vAlign w:val="center"/>
                </w:tcPr>
                <w:p w14:paraId="30C10C82">
                  <w:pPr>
                    <w:adjustRightInd w:val="0"/>
                    <w:snapToGrid w:val="0"/>
                    <w:jc w:val="center"/>
                    <w:rPr>
                      <w:b/>
                      <w:bCs/>
                      <w:color w:val="auto"/>
                      <w:sz w:val="21"/>
                      <w:szCs w:val="21"/>
                    </w:rPr>
                  </w:pPr>
                  <w:r>
                    <w:rPr>
                      <w:rFonts w:hint="eastAsia"/>
                      <w:b/>
                      <w:bCs/>
                      <w:color w:val="auto"/>
                      <w:sz w:val="21"/>
                      <w:szCs w:val="21"/>
                    </w:rPr>
                    <w:t>0.15m</w:t>
                  </w:r>
                  <w:r>
                    <w:rPr>
                      <w:b/>
                      <w:bCs/>
                      <w:color w:val="auto"/>
                      <w:sz w:val="21"/>
                      <w:szCs w:val="21"/>
                    </w:rPr>
                    <w:t>g/m</w:t>
                  </w:r>
                  <w:r>
                    <w:rPr>
                      <w:b/>
                      <w:bCs/>
                      <w:color w:val="auto"/>
                      <w:sz w:val="21"/>
                      <w:szCs w:val="21"/>
                      <w:vertAlign w:val="superscript"/>
                    </w:rPr>
                    <w:t>3</w:t>
                  </w:r>
                </w:p>
              </w:tc>
              <w:tc>
                <w:tcPr>
                  <w:tcW w:w="1116" w:type="pct"/>
                  <w:vAlign w:val="center"/>
                </w:tcPr>
                <w:p w14:paraId="5B08D932">
                  <w:pPr>
                    <w:adjustRightInd w:val="0"/>
                    <w:snapToGrid w:val="0"/>
                    <w:jc w:val="center"/>
                    <w:rPr>
                      <w:b/>
                      <w:bCs/>
                      <w:color w:val="auto"/>
                      <w:sz w:val="21"/>
                      <w:szCs w:val="21"/>
                    </w:rPr>
                  </w:pPr>
                  <w:r>
                    <w:rPr>
                      <w:rFonts w:hint="eastAsia"/>
                      <w:b/>
                      <w:bCs/>
                      <w:color w:val="auto"/>
                      <w:sz w:val="21"/>
                      <w:szCs w:val="21"/>
                    </w:rPr>
                    <w:t>7ug/m</w:t>
                  </w:r>
                  <w:r>
                    <w:rPr>
                      <w:rFonts w:hint="eastAsia"/>
                      <w:b/>
                      <w:bCs/>
                      <w:color w:val="auto"/>
                      <w:sz w:val="21"/>
                      <w:szCs w:val="21"/>
                      <w:vertAlign w:val="superscript"/>
                    </w:rPr>
                    <w:t>3</w:t>
                  </w:r>
                </w:p>
              </w:tc>
            </w:tr>
            <w:tr w14:paraId="53D37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36882AEF">
                  <w:pPr>
                    <w:adjustRightInd w:val="0"/>
                    <w:snapToGrid w:val="0"/>
                    <w:jc w:val="center"/>
                    <w:rPr>
                      <w:color w:val="auto"/>
                      <w:sz w:val="21"/>
                      <w:szCs w:val="21"/>
                    </w:rPr>
                  </w:pPr>
                </w:p>
              </w:tc>
              <w:tc>
                <w:tcPr>
                  <w:tcW w:w="1042" w:type="pct"/>
                  <w:vAlign w:val="center"/>
                </w:tcPr>
                <w:p w14:paraId="034A9A1D">
                  <w:pPr>
                    <w:adjustRightInd w:val="0"/>
                    <w:snapToGrid w:val="0"/>
                    <w:jc w:val="center"/>
                    <w:rPr>
                      <w:b/>
                      <w:bCs/>
                      <w:color w:val="auto"/>
                      <w:sz w:val="21"/>
                      <w:szCs w:val="21"/>
                    </w:rPr>
                  </w:pPr>
                  <w:r>
                    <w:rPr>
                      <w:rFonts w:hint="eastAsia"/>
                      <w:b/>
                      <w:bCs/>
                      <w:color w:val="auto"/>
                      <w:sz w:val="21"/>
                      <w:szCs w:val="21"/>
                    </w:rPr>
                    <w:t>最大浓度占标率%</w:t>
                  </w:r>
                </w:p>
              </w:tc>
              <w:tc>
                <w:tcPr>
                  <w:tcW w:w="1172" w:type="pct"/>
                  <w:vAlign w:val="center"/>
                </w:tcPr>
                <w:p w14:paraId="2E23F291">
                  <w:pPr>
                    <w:adjustRightInd w:val="0"/>
                    <w:snapToGrid w:val="0"/>
                    <w:jc w:val="center"/>
                    <w:rPr>
                      <w:b/>
                      <w:bCs/>
                      <w:color w:val="auto"/>
                      <w:sz w:val="21"/>
                      <w:szCs w:val="21"/>
                    </w:rPr>
                  </w:pPr>
                  <w:r>
                    <w:rPr>
                      <w:rFonts w:hint="eastAsia"/>
                      <w:b/>
                      <w:bCs/>
                      <w:color w:val="auto"/>
                      <w:sz w:val="21"/>
                      <w:szCs w:val="21"/>
                    </w:rPr>
                    <w:t>19</w:t>
                  </w:r>
                </w:p>
              </w:tc>
              <w:tc>
                <w:tcPr>
                  <w:tcW w:w="1184" w:type="pct"/>
                  <w:vAlign w:val="center"/>
                </w:tcPr>
                <w:p w14:paraId="2CD7829D">
                  <w:pPr>
                    <w:adjustRightInd w:val="0"/>
                    <w:snapToGrid w:val="0"/>
                    <w:jc w:val="center"/>
                    <w:rPr>
                      <w:b/>
                      <w:bCs/>
                      <w:color w:val="auto"/>
                      <w:sz w:val="21"/>
                      <w:szCs w:val="21"/>
                    </w:rPr>
                  </w:pPr>
                  <w:r>
                    <w:rPr>
                      <w:rFonts w:hint="eastAsia"/>
                      <w:b/>
                      <w:bCs/>
                      <w:color w:val="auto"/>
                      <w:sz w:val="21"/>
                      <w:szCs w:val="21"/>
                    </w:rPr>
                    <w:t>0.21</w:t>
                  </w:r>
                </w:p>
              </w:tc>
              <w:tc>
                <w:tcPr>
                  <w:tcW w:w="1116" w:type="pct"/>
                  <w:vAlign w:val="center"/>
                </w:tcPr>
                <w:p w14:paraId="22CA8DF8">
                  <w:pPr>
                    <w:adjustRightInd w:val="0"/>
                    <w:snapToGrid w:val="0"/>
                    <w:jc w:val="center"/>
                    <w:rPr>
                      <w:b/>
                      <w:bCs/>
                      <w:color w:val="auto"/>
                      <w:sz w:val="21"/>
                      <w:szCs w:val="21"/>
                    </w:rPr>
                  </w:pPr>
                  <w:r>
                    <w:rPr>
                      <w:rFonts w:hint="eastAsia"/>
                      <w:b/>
                      <w:bCs/>
                      <w:color w:val="auto"/>
                      <w:sz w:val="21"/>
                      <w:szCs w:val="21"/>
                    </w:rPr>
                    <w:t>0.13</w:t>
                  </w:r>
                </w:p>
              </w:tc>
            </w:tr>
            <w:tr w14:paraId="1B69C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4CE437FB">
                  <w:pPr>
                    <w:adjustRightInd w:val="0"/>
                    <w:snapToGrid w:val="0"/>
                    <w:jc w:val="center"/>
                    <w:rPr>
                      <w:b/>
                      <w:bCs/>
                      <w:color w:val="auto"/>
                      <w:sz w:val="21"/>
                      <w:szCs w:val="21"/>
                    </w:rPr>
                  </w:pPr>
                </w:p>
              </w:tc>
              <w:tc>
                <w:tcPr>
                  <w:tcW w:w="1042" w:type="pct"/>
                  <w:vAlign w:val="center"/>
                </w:tcPr>
                <w:p w14:paraId="5AF909F6">
                  <w:pPr>
                    <w:adjustRightInd w:val="0"/>
                    <w:snapToGrid w:val="0"/>
                    <w:jc w:val="center"/>
                    <w:rPr>
                      <w:b/>
                      <w:bCs/>
                      <w:color w:val="auto"/>
                      <w:sz w:val="21"/>
                      <w:szCs w:val="21"/>
                    </w:rPr>
                  </w:pPr>
                  <w:r>
                    <w:rPr>
                      <w:rFonts w:hint="eastAsia"/>
                      <w:b/>
                      <w:bCs/>
                      <w:color w:val="auto"/>
                      <w:sz w:val="21"/>
                      <w:szCs w:val="21"/>
                    </w:rPr>
                    <w:t>超标频率%</w:t>
                  </w:r>
                </w:p>
              </w:tc>
              <w:tc>
                <w:tcPr>
                  <w:tcW w:w="1172" w:type="pct"/>
                  <w:vAlign w:val="center"/>
                </w:tcPr>
                <w:p w14:paraId="5EA2E04B">
                  <w:pPr>
                    <w:adjustRightInd w:val="0"/>
                    <w:snapToGrid w:val="0"/>
                    <w:jc w:val="center"/>
                    <w:rPr>
                      <w:b/>
                      <w:bCs/>
                      <w:color w:val="auto"/>
                      <w:sz w:val="21"/>
                      <w:szCs w:val="21"/>
                    </w:rPr>
                  </w:pPr>
                  <w:r>
                    <w:rPr>
                      <w:rFonts w:hint="eastAsia"/>
                      <w:b/>
                      <w:bCs/>
                      <w:color w:val="auto"/>
                      <w:sz w:val="21"/>
                      <w:szCs w:val="21"/>
                    </w:rPr>
                    <w:t>0</w:t>
                  </w:r>
                </w:p>
              </w:tc>
              <w:tc>
                <w:tcPr>
                  <w:tcW w:w="1184" w:type="pct"/>
                  <w:vAlign w:val="center"/>
                </w:tcPr>
                <w:p w14:paraId="3DF9EBE2">
                  <w:pPr>
                    <w:adjustRightInd w:val="0"/>
                    <w:snapToGrid w:val="0"/>
                    <w:jc w:val="center"/>
                    <w:rPr>
                      <w:b/>
                      <w:bCs/>
                      <w:color w:val="auto"/>
                      <w:sz w:val="21"/>
                      <w:szCs w:val="21"/>
                    </w:rPr>
                  </w:pPr>
                  <w:r>
                    <w:rPr>
                      <w:rFonts w:hint="eastAsia"/>
                      <w:b/>
                      <w:bCs/>
                      <w:color w:val="auto"/>
                      <w:sz w:val="21"/>
                      <w:szCs w:val="21"/>
                    </w:rPr>
                    <w:t>0</w:t>
                  </w:r>
                </w:p>
              </w:tc>
              <w:tc>
                <w:tcPr>
                  <w:tcW w:w="1116" w:type="pct"/>
                  <w:vAlign w:val="center"/>
                </w:tcPr>
                <w:p w14:paraId="4F60AEC7">
                  <w:pPr>
                    <w:adjustRightInd w:val="0"/>
                    <w:snapToGrid w:val="0"/>
                    <w:jc w:val="center"/>
                    <w:rPr>
                      <w:b/>
                      <w:bCs/>
                      <w:color w:val="auto"/>
                      <w:sz w:val="21"/>
                      <w:szCs w:val="21"/>
                    </w:rPr>
                  </w:pPr>
                  <w:r>
                    <w:rPr>
                      <w:rFonts w:hint="eastAsia"/>
                      <w:b/>
                      <w:bCs/>
                      <w:color w:val="auto"/>
                      <w:sz w:val="21"/>
                      <w:szCs w:val="21"/>
                    </w:rPr>
                    <w:t>0</w:t>
                  </w:r>
                </w:p>
              </w:tc>
            </w:tr>
            <w:tr w14:paraId="3E8D6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37A62C57">
                  <w:pPr>
                    <w:adjustRightInd w:val="0"/>
                    <w:snapToGrid w:val="0"/>
                    <w:jc w:val="center"/>
                    <w:rPr>
                      <w:color w:val="auto"/>
                      <w:sz w:val="21"/>
                      <w:szCs w:val="21"/>
                    </w:rPr>
                  </w:pPr>
                </w:p>
              </w:tc>
              <w:tc>
                <w:tcPr>
                  <w:tcW w:w="1042" w:type="pct"/>
                  <w:vAlign w:val="center"/>
                </w:tcPr>
                <w:p w14:paraId="4F2EB717">
                  <w:pPr>
                    <w:adjustRightInd w:val="0"/>
                    <w:snapToGrid w:val="0"/>
                    <w:jc w:val="center"/>
                    <w:rPr>
                      <w:b/>
                      <w:bCs/>
                      <w:color w:val="auto"/>
                      <w:sz w:val="21"/>
                      <w:szCs w:val="21"/>
                    </w:rPr>
                  </w:pPr>
                  <w:r>
                    <w:rPr>
                      <w:rFonts w:hint="eastAsia"/>
                      <w:b/>
                      <w:bCs/>
                      <w:color w:val="auto"/>
                      <w:sz w:val="21"/>
                      <w:szCs w:val="21"/>
                    </w:rPr>
                    <w:t>评价结果</w:t>
                  </w:r>
                </w:p>
              </w:tc>
              <w:tc>
                <w:tcPr>
                  <w:tcW w:w="1172" w:type="pct"/>
                  <w:vAlign w:val="center"/>
                </w:tcPr>
                <w:p w14:paraId="036AFF19">
                  <w:pPr>
                    <w:adjustRightInd w:val="0"/>
                    <w:snapToGrid w:val="0"/>
                    <w:jc w:val="center"/>
                    <w:rPr>
                      <w:b/>
                      <w:bCs/>
                      <w:color w:val="auto"/>
                      <w:sz w:val="21"/>
                      <w:szCs w:val="21"/>
                    </w:rPr>
                  </w:pPr>
                  <w:r>
                    <w:rPr>
                      <w:rFonts w:hint="eastAsia"/>
                      <w:b/>
                      <w:bCs/>
                      <w:color w:val="auto"/>
                      <w:sz w:val="21"/>
                      <w:szCs w:val="21"/>
                    </w:rPr>
                    <w:t>达标</w:t>
                  </w:r>
                </w:p>
              </w:tc>
              <w:tc>
                <w:tcPr>
                  <w:tcW w:w="1184" w:type="pct"/>
                  <w:vAlign w:val="center"/>
                </w:tcPr>
                <w:p w14:paraId="5AA05ACB">
                  <w:pPr>
                    <w:adjustRightInd w:val="0"/>
                    <w:snapToGrid w:val="0"/>
                    <w:jc w:val="center"/>
                    <w:rPr>
                      <w:b/>
                      <w:bCs/>
                      <w:color w:val="auto"/>
                      <w:sz w:val="21"/>
                      <w:szCs w:val="21"/>
                    </w:rPr>
                  </w:pPr>
                  <w:r>
                    <w:rPr>
                      <w:rFonts w:hint="eastAsia"/>
                      <w:b/>
                      <w:bCs/>
                      <w:color w:val="auto"/>
                      <w:sz w:val="21"/>
                      <w:szCs w:val="21"/>
                    </w:rPr>
                    <w:t>达标</w:t>
                  </w:r>
                </w:p>
              </w:tc>
              <w:tc>
                <w:tcPr>
                  <w:tcW w:w="1116" w:type="pct"/>
                  <w:vAlign w:val="center"/>
                </w:tcPr>
                <w:p w14:paraId="18AB052D">
                  <w:pPr>
                    <w:adjustRightInd w:val="0"/>
                    <w:snapToGrid w:val="0"/>
                    <w:jc w:val="center"/>
                    <w:rPr>
                      <w:b/>
                      <w:bCs/>
                      <w:color w:val="auto"/>
                      <w:sz w:val="21"/>
                      <w:szCs w:val="21"/>
                    </w:rPr>
                  </w:pPr>
                  <w:r>
                    <w:rPr>
                      <w:rFonts w:hint="eastAsia"/>
                      <w:b/>
                      <w:bCs/>
                      <w:color w:val="auto"/>
                      <w:sz w:val="21"/>
                      <w:szCs w:val="21"/>
                    </w:rPr>
                    <w:t>达标</w:t>
                  </w:r>
                </w:p>
              </w:tc>
            </w:tr>
            <w:tr w14:paraId="40336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restart"/>
                  <w:vAlign w:val="center"/>
                </w:tcPr>
                <w:p w14:paraId="42E444DC">
                  <w:pPr>
                    <w:adjustRightInd w:val="0"/>
                    <w:snapToGrid w:val="0"/>
                    <w:jc w:val="center"/>
                    <w:rPr>
                      <w:color w:val="auto"/>
                      <w:sz w:val="21"/>
                      <w:szCs w:val="21"/>
                      <w:highlight w:val="yellow"/>
                    </w:rPr>
                  </w:pPr>
                  <w:r>
                    <w:rPr>
                      <w:rFonts w:hint="eastAsia"/>
                      <w:color w:val="auto"/>
                      <w:sz w:val="21"/>
                      <w:szCs w:val="21"/>
                    </w:rPr>
                    <w:t>王岗屯村</w:t>
                  </w:r>
                </w:p>
              </w:tc>
              <w:tc>
                <w:tcPr>
                  <w:tcW w:w="1042" w:type="pct"/>
                  <w:vAlign w:val="center"/>
                </w:tcPr>
                <w:p w14:paraId="741F930A">
                  <w:pPr>
                    <w:adjustRightInd w:val="0"/>
                    <w:snapToGrid w:val="0"/>
                    <w:jc w:val="center"/>
                    <w:rPr>
                      <w:color w:val="auto"/>
                      <w:sz w:val="21"/>
                      <w:szCs w:val="21"/>
                    </w:rPr>
                  </w:pPr>
                  <w:r>
                    <w:rPr>
                      <w:rFonts w:hint="eastAsia"/>
                      <w:color w:val="auto"/>
                      <w:sz w:val="21"/>
                      <w:szCs w:val="21"/>
                    </w:rPr>
                    <w:t>2023.05.23</w:t>
                  </w:r>
                </w:p>
              </w:tc>
              <w:tc>
                <w:tcPr>
                  <w:tcW w:w="1172" w:type="pct"/>
                  <w:vAlign w:val="center"/>
                </w:tcPr>
                <w:p w14:paraId="78E3AE1B">
                  <w:pPr>
                    <w:adjustRightInd w:val="0"/>
                    <w:snapToGrid w:val="0"/>
                    <w:jc w:val="center"/>
                    <w:rPr>
                      <w:color w:val="auto"/>
                      <w:sz w:val="21"/>
                      <w:szCs w:val="21"/>
                    </w:rPr>
                  </w:pPr>
                  <w:r>
                    <w:rPr>
                      <w:rFonts w:hint="eastAsia"/>
                      <w:color w:val="auto"/>
                      <w:sz w:val="21"/>
                      <w:szCs w:val="21"/>
                    </w:rPr>
                    <w:t>0.061</w:t>
                  </w:r>
                </w:p>
              </w:tc>
              <w:tc>
                <w:tcPr>
                  <w:tcW w:w="1184" w:type="pct"/>
                  <w:vAlign w:val="center"/>
                </w:tcPr>
                <w:p w14:paraId="5AACF82D">
                  <w:pPr>
                    <w:adjustRightInd w:val="0"/>
                    <w:snapToGrid w:val="0"/>
                    <w:jc w:val="center"/>
                    <w:rPr>
                      <w:color w:val="auto"/>
                      <w:sz w:val="21"/>
                      <w:szCs w:val="21"/>
                    </w:rPr>
                  </w:pPr>
                  <w:r>
                    <w:rPr>
                      <w:rFonts w:hint="eastAsia"/>
                      <w:color w:val="auto"/>
                      <w:sz w:val="21"/>
                      <w:szCs w:val="21"/>
                    </w:rPr>
                    <w:t>0.025</w:t>
                  </w:r>
                </w:p>
              </w:tc>
              <w:tc>
                <w:tcPr>
                  <w:tcW w:w="1116" w:type="pct"/>
                  <w:vAlign w:val="center"/>
                </w:tcPr>
                <w:p w14:paraId="5293B5B1">
                  <w:pPr>
                    <w:adjustRightInd w:val="0"/>
                    <w:snapToGrid w:val="0"/>
                    <w:jc w:val="center"/>
                    <w:rPr>
                      <w:color w:val="auto"/>
                      <w:sz w:val="21"/>
                      <w:szCs w:val="21"/>
                    </w:rPr>
                  </w:pPr>
                  <w:r>
                    <w:rPr>
                      <w:rFonts w:hint="eastAsia"/>
                      <w:color w:val="auto"/>
                      <w:sz w:val="21"/>
                      <w:szCs w:val="21"/>
                    </w:rPr>
                    <w:t>0.96</w:t>
                  </w:r>
                </w:p>
              </w:tc>
            </w:tr>
            <w:tr w14:paraId="18DB4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3FDCBC10">
                  <w:pPr>
                    <w:adjustRightInd w:val="0"/>
                    <w:snapToGrid w:val="0"/>
                    <w:jc w:val="center"/>
                    <w:rPr>
                      <w:color w:val="auto"/>
                      <w:sz w:val="21"/>
                      <w:szCs w:val="21"/>
                      <w:highlight w:val="yellow"/>
                    </w:rPr>
                  </w:pPr>
                </w:p>
              </w:tc>
              <w:tc>
                <w:tcPr>
                  <w:tcW w:w="1042" w:type="pct"/>
                  <w:vAlign w:val="center"/>
                </w:tcPr>
                <w:p w14:paraId="6CFE550E">
                  <w:pPr>
                    <w:adjustRightInd w:val="0"/>
                    <w:snapToGrid w:val="0"/>
                    <w:jc w:val="center"/>
                    <w:rPr>
                      <w:color w:val="auto"/>
                      <w:sz w:val="21"/>
                      <w:szCs w:val="21"/>
                    </w:rPr>
                  </w:pPr>
                  <w:r>
                    <w:rPr>
                      <w:rFonts w:hint="eastAsia"/>
                      <w:color w:val="auto"/>
                      <w:sz w:val="21"/>
                      <w:szCs w:val="21"/>
                    </w:rPr>
                    <w:t>2023.05.24</w:t>
                  </w:r>
                </w:p>
              </w:tc>
              <w:tc>
                <w:tcPr>
                  <w:tcW w:w="1172" w:type="pct"/>
                  <w:vAlign w:val="center"/>
                </w:tcPr>
                <w:p w14:paraId="685204C0">
                  <w:pPr>
                    <w:adjustRightInd w:val="0"/>
                    <w:snapToGrid w:val="0"/>
                    <w:jc w:val="center"/>
                    <w:rPr>
                      <w:color w:val="auto"/>
                      <w:sz w:val="21"/>
                      <w:szCs w:val="21"/>
                    </w:rPr>
                  </w:pPr>
                  <w:r>
                    <w:rPr>
                      <w:rFonts w:hint="eastAsia"/>
                      <w:color w:val="auto"/>
                      <w:sz w:val="21"/>
                      <w:szCs w:val="21"/>
                    </w:rPr>
                    <w:t>0.052</w:t>
                  </w:r>
                </w:p>
              </w:tc>
              <w:tc>
                <w:tcPr>
                  <w:tcW w:w="1184" w:type="pct"/>
                  <w:vAlign w:val="center"/>
                </w:tcPr>
                <w:p w14:paraId="7ED1F664">
                  <w:pPr>
                    <w:adjustRightInd w:val="0"/>
                    <w:snapToGrid w:val="0"/>
                    <w:jc w:val="center"/>
                    <w:rPr>
                      <w:color w:val="auto"/>
                      <w:sz w:val="21"/>
                      <w:szCs w:val="21"/>
                    </w:rPr>
                  </w:pPr>
                  <w:r>
                    <w:rPr>
                      <w:rFonts w:hint="eastAsia"/>
                      <w:color w:val="auto"/>
                      <w:sz w:val="21"/>
                      <w:szCs w:val="21"/>
                    </w:rPr>
                    <w:t>0.028</w:t>
                  </w:r>
                </w:p>
              </w:tc>
              <w:tc>
                <w:tcPr>
                  <w:tcW w:w="1116" w:type="pct"/>
                  <w:vAlign w:val="center"/>
                </w:tcPr>
                <w:p w14:paraId="38385C5B">
                  <w:pPr>
                    <w:adjustRightInd w:val="0"/>
                    <w:snapToGrid w:val="0"/>
                    <w:jc w:val="center"/>
                    <w:rPr>
                      <w:color w:val="auto"/>
                      <w:sz w:val="21"/>
                      <w:szCs w:val="21"/>
                    </w:rPr>
                  </w:pPr>
                  <w:r>
                    <w:rPr>
                      <w:rFonts w:hint="eastAsia"/>
                      <w:color w:val="auto"/>
                      <w:sz w:val="21"/>
                      <w:szCs w:val="21"/>
                    </w:rPr>
                    <w:t>0.92</w:t>
                  </w:r>
                </w:p>
              </w:tc>
            </w:tr>
            <w:tr w14:paraId="06803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52411BB0">
                  <w:pPr>
                    <w:adjustRightInd w:val="0"/>
                    <w:snapToGrid w:val="0"/>
                    <w:jc w:val="center"/>
                    <w:rPr>
                      <w:color w:val="auto"/>
                      <w:sz w:val="21"/>
                      <w:szCs w:val="21"/>
                      <w:highlight w:val="yellow"/>
                    </w:rPr>
                  </w:pPr>
                </w:p>
              </w:tc>
              <w:tc>
                <w:tcPr>
                  <w:tcW w:w="1042" w:type="pct"/>
                  <w:vAlign w:val="center"/>
                </w:tcPr>
                <w:p w14:paraId="6838ED47">
                  <w:pPr>
                    <w:adjustRightInd w:val="0"/>
                    <w:snapToGrid w:val="0"/>
                    <w:jc w:val="center"/>
                    <w:rPr>
                      <w:color w:val="auto"/>
                      <w:sz w:val="21"/>
                      <w:szCs w:val="21"/>
                    </w:rPr>
                  </w:pPr>
                  <w:r>
                    <w:rPr>
                      <w:rFonts w:hint="eastAsia"/>
                      <w:color w:val="auto"/>
                      <w:sz w:val="21"/>
                      <w:szCs w:val="21"/>
                    </w:rPr>
                    <w:t>2023.05.25</w:t>
                  </w:r>
                </w:p>
              </w:tc>
              <w:tc>
                <w:tcPr>
                  <w:tcW w:w="1172" w:type="pct"/>
                  <w:vAlign w:val="center"/>
                </w:tcPr>
                <w:p w14:paraId="55055494">
                  <w:pPr>
                    <w:adjustRightInd w:val="0"/>
                    <w:snapToGrid w:val="0"/>
                    <w:jc w:val="center"/>
                    <w:rPr>
                      <w:color w:val="auto"/>
                      <w:sz w:val="21"/>
                      <w:szCs w:val="21"/>
                    </w:rPr>
                  </w:pPr>
                  <w:r>
                    <w:rPr>
                      <w:rFonts w:hint="eastAsia"/>
                      <w:color w:val="auto"/>
                      <w:sz w:val="21"/>
                      <w:szCs w:val="21"/>
                    </w:rPr>
                    <w:t>0.056</w:t>
                  </w:r>
                </w:p>
              </w:tc>
              <w:tc>
                <w:tcPr>
                  <w:tcW w:w="1184" w:type="pct"/>
                  <w:vAlign w:val="center"/>
                </w:tcPr>
                <w:p w14:paraId="3253D1CD">
                  <w:pPr>
                    <w:adjustRightInd w:val="0"/>
                    <w:snapToGrid w:val="0"/>
                    <w:jc w:val="center"/>
                    <w:rPr>
                      <w:color w:val="auto"/>
                      <w:sz w:val="21"/>
                      <w:szCs w:val="21"/>
                    </w:rPr>
                  </w:pPr>
                  <w:r>
                    <w:rPr>
                      <w:rFonts w:hint="eastAsia"/>
                      <w:color w:val="auto"/>
                      <w:sz w:val="21"/>
                      <w:szCs w:val="21"/>
                    </w:rPr>
                    <w:t>0.032</w:t>
                  </w:r>
                </w:p>
              </w:tc>
              <w:tc>
                <w:tcPr>
                  <w:tcW w:w="1116" w:type="pct"/>
                  <w:vAlign w:val="center"/>
                </w:tcPr>
                <w:p w14:paraId="777EFB91">
                  <w:pPr>
                    <w:adjustRightInd w:val="0"/>
                    <w:snapToGrid w:val="0"/>
                    <w:jc w:val="center"/>
                    <w:rPr>
                      <w:color w:val="auto"/>
                      <w:sz w:val="21"/>
                      <w:szCs w:val="21"/>
                    </w:rPr>
                  </w:pPr>
                  <w:r>
                    <w:rPr>
                      <w:rFonts w:hint="eastAsia"/>
                      <w:color w:val="auto"/>
                      <w:sz w:val="21"/>
                      <w:szCs w:val="21"/>
                    </w:rPr>
                    <w:t>0.92</w:t>
                  </w:r>
                </w:p>
              </w:tc>
            </w:tr>
            <w:tr w14:paraId="56112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134DD1EB">
                  <w:pPr>
                    <w:adjustRightInd w:val="0"/>
                    <w:snapToGrid w:val="0"/>
                    <w:jc w:val="center"/>
                    <w:rPr>
                      <w:color w:val="auto"/>
                      <w:sz w:val="21"/>
                      <w:szCs w:val="21"/>
                      <w:highlight w:val="yellow"/>
                    </w:rPr>
                  </w:pPr>
                </w:p>
              </w:tc>
              <w:tc>
                <w:tcPr>
                  <w:tcW w:w="1042" w:type="pct"/>
                  <w:vAlign w:val="center"/>
                </w:tcPr>
                <w:p w14:paraId="384BFA79">
                  <w:pPr>
                    <w:adjustRightInd w:val="0"/>
                    <w:snapToGrid w:val="0"/>
                    <w:jc w:val="center"/>
                    <w:rPr>
                      <w:color w:val="auto"/>
                      <w:sz w:val="21"/>
                      <w:szCs w:val="21"/>
                    </w:rPr>
                  </w:pPr>
                  <w:r>
                    <w:rPr>
                      <w:rFonts w:hint="eastAsia"/>
                      <w:color w:val="auto"/>
                      <w:sz w:val="21"/>
                      <w:szCs w:val="21"/>
                    </w:rPr>
                    <w:t>2023.05.26</w:t>
                  </w:r>
                </w:p>
              </w:tc>
              <w:tc>
                <w:tcPr>
                  <w:tcW w:w="1172" w:type="pct"/>
                  <w:vAlign w:val="center"/>
                </w:tcPr>
                <w:p w14:paraId="0AB34201">
                  <w:pPr>
                    <w:adjustRightInd w:val="0"/>
                    <w:snapToGrid w:val="0"/>
                    <w:jc w:val="center"/>
                    <w:rPr>
                      <w:color w:val="auto"/>
                      <w:sz w:val="21"/>
                      <w:szCs w:val="21"/>
                    </w:rPr>
                  </w:pPr>
                  <w:r>
                    <w:rPr>
                      <w:rFonts w:hint="eastAsia"/>
                      <w:color w:val="auto"/>
                      <w:sz w:val="21"/>
                      <w:szCs w:val="21"/>
                    </w:rPr>
                    <w:t>0.058</w:t>
                  </w:r>
                </w:p>
              </w:tc>
              <w:tc>
                <w:tcPr>
                  <w:tcW w:w="1184" w:type="pct"/>
                  <w:vAlign w:val="center"/>
                </w:tcPr>
                <w:p w14:paraId="6D13E5E6">
                  <w:pPr>
                    <w:adjustRightInd w:val="0"/>
                    <w:snapToGrid w:val="0"/>
                    <w:jc w:val="center"/>
                    <w:rPr>
                      <w:color w:val="auto"/>
                      <w:sz w:val="21"/>
                      <w:szCs w:val="21"/>
                    </w:rPr>
                  </w:pPr>
                  <w:r>
                    <w:rPr>
                      <w:rFonts w:hint="eastAsia"/>
                      <w:color w:val="auto"/>
                      <w:sz w:val="21"/>
                      <w:szCs w:val="21"/>
                    </w:rPr>
                    <w:t>0.030</w:t>
                  </w:r>
                </w:p>
              </w:tc>
              <w:tc>
                <w:tcPr>
                  <w:tcW w:w="1116" w:type="pct"/>
                  <w:vAlign w:val="center"/>
                </w:tcPr>
                <w:p w14:paraId="733657EB">
                  <w:pPr>
                    <w:adjustRightInd w:val="0"/>
                    <w:snapToGrid w:val="0"/>
                    <w:jc w:val="center"/>
                    <w:rPr>
                      <w:color w:val="auto"/>
                      <w:sz w:val="21"/>
                      <w:szCs w:val="21"/>
                    </w:rPr>
                  </w:pPr>
                  <w:r>
                    <w:rPr>
                      <w:rFonts w:hint="eastAsia"/>
                      <w:color w:val="auto"/>
                      <w:sz w:val="21"/>
                      <w:szCs w:val="21"/>
                    </w:rPr>
                    <w:t>0.89</w:t>
                  </w:r>
                </w:p>
              </w:tc>
            </w:tr>
            <w:tr w14:paraId="1F57C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7CE0A3E9">
                  <w:pPr>
                    <w:adjustRightInd w:val="0"/>
                    <w:snapToGrid w:val="0"/>
                    <w:jc w:val="center"/>
                    <w:rPr>
                      <w:color w:val="auto"/>
                      <w:sz w:val="21"/>
                      <w:szCs w:val="21"/>
                      <w:highlight w:val="yellow"/>
                    </w:rPr>
                  </w:pPr>
                </w:p>
              </w:tc>
              <w:tc>
                <w:tcPr>
                  <w:tcW w:w="1042" w:type="pct"/>
                  <w:vAlign w:val="center"/>
                </w:tcPr>
                <w:p w14:paraId="624C034F">
                  <w:pPr>
                    <w:adjustRightInd w:val="0"/>
                    <w:snapToGrid w:val="0"/>
                    <w:jc w:val="center"/>
                    <w:rPr>
                      <w:color w:val="auto"/>
                      <w:sz w:val="21"/>
                      <w:szCs w:val="21"/>
                    </w:rPr>
                  </w:pPr>
                  <w:r>
                    <w:rPr>
                      <w:rFonts w:hint="eastAsia"/>
                      <w:color w:val="auto"/>
                      <w:sz w:val="21"/>
                      <w:szCs w:val="21"/>
                    </w:rPr>
                    <w:t>2023.05.27</w:t>
                  </w:r>
                </w:p>
              </w:tc>
              <w:tc>
                <w:tcPr>
                  <w:tcW w:w="1172" w:type="pct"/>
                  <w:vAlign w:val="center"/>
                </w:tcPr>
                <w:p w14:paraId="559ACAED">
                  <w:pPr>
                    <w:adjustRightInd w:val="0"/>
                    <w:snapToGrid w:val="0"/>
                    <w:jc w:val="center"/>
                    <w:rPr>
                      <w:color w:val="auto"/>
                      <w:sz w:val="21"/>
                      <w:szCs w:val="21"/>
                    </w:rPr>
                  </w:pPr>
                  <w:r>
                    <w:rPr>
                      <w:rFonts w:hint="eastAsia"/>
                      <w:color w:val="auto"/>
                      <w:sz w:val="21"/>
                      <w:szCs w:val="21"/>
                    </w:rPr>
                    <w:t>0.056</w:t>
                  </w:r>
                </w:p>
              </w:tc>
              <w:tc>
                <w:tcPr>
                  <w:tcW w:w="1184" w:type="pct"/>
                  <w:vAlign w:val="center"/>
                </w:tcPr>
                <w:p w14:paraId="6AFA8DEA">
                  <w:pPr>
                    <w:adjustRightInd w:val="0"/>
                    <w:snapToGrid w:val="0"/>
                    <w:jc w:val="center"/>
                    <w:rPr>
                      <w:color w:val="auto"/>
                      <w:sz w:val="21"/>
                      <w:szCs w:val="21"/>
                    </w:rPr>
                  </w:pPr>
                  <w:r>
                    <w:rPr>
                      <w:rFonts w:hint="eastAsia"/>
                      <w:color w:val="auto"/>
                      <w:sz w:val="21"/>
                      <w:szCs w:val="21"/>
                    </w:rPr>
                    <w:t>0.022</w:t>
                  </w:r>
                </w:p>
              </w:tc>
              <w:tc>
                <w:tcPr>
                  <w:tcW w:w="1116" w:type="pct"/>
                  <w:vAlign w:val="center"/>
                </w:tcPr>
                <w:p w14:paraId="6998C529">
                  <w:pPr>
                    <w:adjustRightInd w:val="0"/>
                    <w:snapToGrid w:val="0"/>
                    <w:jc w:val="center"/>
                    <w:rPr>
                      <w:color w:val="auto"/>
                      <w:sz w:val="21"/>
                      <w:szCs w:val="21"/>
                    </w:rPr>
                  </w:pPr>
                  <w:r>
                    <w:rPr>
                      <w:rFonts w:hint="eastAsia"/>
                      <w:color w:val="auto"/>
                      <w:sz w:val="21"/>
                      <w:szCs w:val="21"/>
                    </w:rPr>
                    <w:t>0.96</w:t>
                  </w:r>
                </w:p>
              </w:tc>
            </w:tr>
            <w:tr w14:paraId="4E96F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25A87490">
                  <w:pPr>
                    <w:adjustRightInd w:val="0"/>
                    <w:snapToGrid w:val="0"/>
                    <w:jc w:val="center"/>
                    <w:rPr>
                      <w:color w:val="auto"/>
                      <w:sz w:val="21"/>
                      <w:szCs w:val="21"/>
                      <w:highlight w:val="yellow"/>
                    </w:rPr>
                  </w:pPr>
                </w:p>
              </w:tc>
              <w:tc>
                <w:tcPr>
                  <w:tcW w:w="1042" w:type="pct"/>
                  <w:vAlign w:val="center"/>
                </w:tcPr>
                <w:p w14:paraId="3DC4C431">
                  <w:pPr>
                    <w:adjustRightInd w:val="0"/>
                    <w:snapToGrid w:val="0"/>
                    <w:jc w:val="center"/>
                    <w:rPr>
                      <w:color w:val="auto"/>
                      <w:sz w:val="21"/>
                      <w:szCs w:val="21"/>
                    </w:rPr>
                  </w:pPr>
                  <w:r>
                    <w:rPr>
                      <w:rFonts w:hint="eastAsia"/>
                      <w:color w:val="auto"/>
                      <w:sz w:val="21"/>
                      <w:szCs w:val="21"/>
                    </w:rPr>
                    <w:t>2023.05.28</w:t>
                  </w:r>
                </w:p>
              </w:tc>
              <w:tc>
                <w:tcPr>
                  <w:tcW w:w="1172" w:type="pct"/>
                  <w:vAlign w:val="center"/>
                </w:tcPr>
                <w:p w14:paraId="3ED687B2">
                  <w:pPr>
                    <w:adjustRightInd w:val="0"/>
                    <w:snapToGrid w:val="0"/>
                    <w:jc w:val="center"/>
                    <w:rPr>
                      <w:color w:val="auto"/>
                      <w:sz w:val="21"/>
                      <w:szCs w:val="21"/>
                    </w:rPr>
                  </w:pPr>
                  <w:r>
                    <w:rPr>
                      <w:rFonts w:hint="eastAsia"/>
                      <w:color w:val="auto"/>
                      <w:sz w:val="21"/>
                      <w:szCs w:val="21"/>
                    </w:rPr>
                    <w:t>0.057</w:t>
                  </w:r>
                </w:p>
              </w:tc>
              <w:tc>
                <w:tcPr>
                  <w:tcW w:w="1184" w:type="pct"/>
                  <w:vAlign w:val="center"/>
                </w:tcPr>
                <w:p w14:paraId="6491420A">
                  <w:pPr>
                    <w:adjustRightInd w:val="0"/>
                    <w:snapToGrid w:val="0"/>
                    <w:jc w:val="center"/>
                    <w:rPr>
                      <w:color w:val="auto"/>
                      <w:sz w:val="21"/>
                      <w:szCs w:val="21"/>
                    </w:rPr>
                  </w:pPr>
                  <w:r>
                    <w:rPr>
                      <w:rFonts w:hint="eastAsia"/>
                      <w:color w:val="auto"/>
                      <w:sz w:val="21"/>
                      <w:szCs w:val="21"/>
                    </w:rPr>
                    <w:t>0.023</w:t>
                  </w:r>
                </w:p>
              </w:tc>
              <w:tc>
                <w:tcPr>
                  <w:tcW w:w="1116" w:type="pct"/>
                  <w:vAlign w:val="center"/>
                </w:tcPr>
                <w:p w14:paraId="529B50FD">
                  <w:pPr>
                    <w:adjustRightInd w:val="0"/>
                    <w:snapToGrid w:val="0"/>
                    <w:jc w:val="center"/>
                    <w:rPr>
                      <w:color w:val="auto"/>
                      <w:sz w:val="21"/>
                      <w:szCs w:val="21"/>
                    </w:rPr>
                  </w:pPr>
                  <w:r>
                    <w:rPr>
                      <w:rFonts w:hint="eastAsia"/>
                      <w:color w:val="auto"/>
                      <w:sz w:val="21"/>
                      <w:szCs w:val="21"/>
                    </w:rPr>
                    <w:t>0.86</w:t>
                  </w:r>
                </w:p>
              </w:tc>
            </w:tr>
            <w:tr w14:paraId="08653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7FCEF0D8">
                  <w:pPr>
                    <w:adjustRightInd w:val="0"/>
                    <w:snapToGrid w:val="0"/>
                    <w:jc w:val="center"/>
                    <w:rPr>
                      <w:color w:val="auto"/>
                      <w:sz w:val="21"/>
                      <w:szCs w:val="21"/>
                      <w:highlight w:val="yellow"/>
                    </w:rPr>
                  </w:pPr>
                </w:p>
              </w:tc>
              <w:tc>
                <w:tcPr>
                  <w:tcW w:w="1042" w:type="pct"/>
                  <w:vAlign w:val="center"/>
                </w:tcPr>
                <w:p w14:paraId="34040AD6">
                  <w:pPr>
                    <w:adjustRightInd w:val="0"/>
                    <w:snapToGrid w:val="0"/>
                    <w:jc w:val="center"/>
                    <w:rPr>
                      <w:color w:val="auto"/>
                      <w:sz w:val="21"/>
                      <w:szCs w:val="21"/>
                    </w:rPr>
                  </w:pPr>
                  <w:r>
                    <w:rPr>
                      <w:rFonts w:hint="eastAsia"/>
                      <w:color w:val="auto"/>
                      <w:sz w:val="21"/>
                      <w:szCs w:val="21"/>
                    </w:rPr>
                    <w:t>2023.05.29</w:t>
                  </w:r>
                </w:p>
              </w:tc>
              <w:tc>
                <w:tcPr>
                  <w:tcW w:w="1172" w:type="pct"/>
                  <w:vAlign w:val="center"/>
                </w:tcPr>
                <w:p w14:paraId="1814DA45">
                  <w:pPr>
                    <w:adjustRightInd w:val="0"/>
                    <w:snapToGrid w:val="0"/>
                    <w:jc w:val="center"/>
                    <w:rPr>
                      <w:color w:val="auto"/>
                      <w:sz w:val="21"/>
                      <w:szCs w:val="21"/>
                    </w:rPr>
                  </w:pPr>
                  <w:r>
                    <w:rPr>
                      <w:rFonts w:hint="eastAsia"/>
                      <w:color w:val="auto"/>
                      <w:sz w:val="21"/>
                      <w:szCs w:val="21"/>
                    </w:rPr>
                    <w:t>0.059</w:t>
                  </w:r>
                </w:p>
              </w:tc>
              <w:tc>
                <w:tcPr>
                  <w:tcW w:w="1184" w:type="pct"/>
                  <w:vAlign w:val="center"/>
                </w:tcPr>
                <w:p w14:paraId="6576A4ED">
                  <w:pPr>
                    <w:adjustRightInd w:val="0"/>
                    <w:snapToGrid w:val="0"/>
                    <w:jc w:val="center"/>
                    <w:rPr>
                      <w:color w:val="auto"/>
                      <w:sz w:val="21"/>
                      <w:szCs w:val="21"/>
                    </w:rPr>
                  </w:pPr>
                  <w:r>
                    <w:rPr>
                      <w:rFonts w:hint="eastAsia"/>
                      <w:color w:val="auto"/>
                      <w:sz w:val="21"/>
                      <w:szCs w:val="21"/>
                    </w:rPr>
                    <w:t>0.025</w:t>
                  </w:r>
                </w:p>
              </w:tc>
              <w:tc>
                <w:tcPr>
                  <w:tcW w:w="1116" w:type="pct"/>
                  <w:vAlign w:val="center"/>
                </w:tcPr>
                <w:p w14:paraId="18A9E861">
                  <w:pPr>
                    <w:adjustRightInd w:val="0"/>
                    <w:snapToGrid w:val="0"/>
                    <w:jc w:val="center"/>
                    <w:rPr>
                      <w:color w:val="auto"/>
                      <w:sz w:val="21"/>
                      <w:szCs w:val="21"/>
                    </w:rPr>
                  </w:pPr>
                  <w:r>
                    <w:rPr>
                      <w:rFonts w:hint="eastAsia"/>
                      <w:color w:val="auto"/>
                      <w:sz w:val="21"/>
                      <w:szCs w:val="21"/>
                    </w:rPr>
                    <w:t>0.85</w:t>
                  </w:r>
                </w:p>
              </w:tc>
            </w:tr>
            <w:tr w14:paraId="532A0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0B4BC90C">
                  <w:pPr>
                    <w:adjustRightInd w:val="0"/>
                    <w:snapToGrid w:val="0"/>
                    <w:jc w:val="center"/>
                    <w:rPr>
                      <w:color w:val="auto"/>
                      <w:sz w:val="21"/>
                      <w:szCs w:val="21"/>
                      <w:highlight w:val="yellow"/>
                    </w:rPr>
                  </w:pPr>
                </w:p>
              </w:tc>
              <w:tc>
                <w:tcPr>
                  <w:tcW w:w="1042" w:type="pct"/>
                  <w:vAlign w:val="center"/>
                </w:tcPr>
                <w:p w14:paraId="1267136C">
                  <w:pPr>
                    <w:adjustRightInd w:val="0"/>
                    <w:snapToGrid w:val="0"/>
                    <w:jc w:val="center"/>
                    <w:rPr>
                      <w:b/>
                      <w:bCs/>
                      <w:color w:val="auto"/>
                      <w:sz w:val="21"/>
                      <w:szCs w:val="21"/>
                    </w:rPr>
                  </w:pPr>
                  <w:r>
                    <w:rPr>
                      <w:rFonts w:hint="eastAsia"/>
                      <w:b/>
                      <w:bCs/>
                      <w:color w:val="auto"/>
                      <w:sz w:val="21"/>
                      <w:szCs w:val="21"/>
                    </w:rPr>
                    <w:t>标准值</w:t>
                  </w:r>
                </w:p>
              </w:tc>
              <w:tc>
                <w:tcPr>
                  <w:tcW w:w="1172" w:type="pct"/>
                  <w:vAlign w:val="center"/>
                </w:tcPr>
                <w:p w14:paraId="47600C97">
                  <w:pPr>
                    <w:adjustRightInd w:val="0"/>
                    <w:snapToGrid w:val="0"/>
                    <w:jc w:val="center"/>
                    <w:rPr>
                      <w:b/>
                      <w:bCs/>
                      <w:color w:val="auto"/>
                      <w:sz w:val="21"/>
                      <w:szCs w:val="21"/>
                    </w:rPr>
                  </w:pPr>
                  <w:r>
                    <w:rPr>
                      <w:rFonts w:hint="eastAsia"/>
                      <w:b/>
                      <w:bCs/>
                      <w:color w:val="auto"/>
                      <w:sz w:val="21"/>
                      <w:szCs w:val="21"/>
                    </w:rPr>
                    <w:t>0.3m</w:t>
                  </w:r>
                  <w:r>
                    <w:rPr>
                      <w:b/>
                      <w:bCs/>
                      <w:color w:val="auto"/>
                      <w:sz w:val="21"/>
                      <w:szCs w:val="21"/>
                    </w:rPr>
                    <w:t>g/m</w:t>
                  </w:r>
                  <w:r>
                    <w:rPr>
                      <w:b/>
                      <w:bCs/>
                      <w:color w:val="auto"/>
                      <w:sz w:val="21"/>
                      <w:szCs w:val="21"/>
                      <w:vertAlign w:val="superscript"/>
                    </w:rPr>
                    <w:t>3</w:t>
                  </w:r>
                </w:p>
              </w:tc>
              <w:tc>
                <w:tcPr>
                  <w:tcW w:w="1184" w:type="pct"/>
                  <w:vAlign w:val="center"/>
                </w:tcPr>
                <w:p w14:paraId="12E6B469">
                  <w:pPr>
                    <w:adjustRightInd w:val="0"/>
                    <w:snapToGrid w:val="0"/>
                    <w:jc w:val="center"/>
                    <w:rPr>
                      <w:b/>
                      <w:bCs/>
                      <w:color w:val="auto"/>
                      <w:sz w:val="21"/>
                      <w:szCs w:val="21"/>
                    </w:rPr>
                  </w:pPr>
                  <w:r>
                    <w:rPr>
                      <w:rFonts w:hint="eastAsia"/>
                      <w:b/>
                      <w:bCs/>
                      <w:color w:val="auto"/>
                      <w:sz w:val="21"/>
                      <w:szCs w:val="21"/>
                    </w:rPr>
                    <w:t>0.15m</w:t>
                  </w:r>
                  <w:r>
                    <w:rPr>
                      <w:b/>
                      <w:bCs/>
                      <w:color w:val="auto"/>
                      <w:sz w:val="21"/>
                      <w:szCs w:val="21"/>
                    </w:rPr>
                    <w:t>g/m</w:t>
                  </w:r>
                  <w:r>
                    <w:rPr>
                      <w:b/>
                      <w:bCs/>
                      <w:color w:val="auto"/>
                      <w:sz w:val="21"/>
                      <w:szCs w:val="21"/>
                      <w:vertAlign w:val="superscript"/>
                    </w:rPr>
                    <w:t>3</w:t>
                  </w:r>
                </w:p>
              </w:tc>
              <w:tc>
                <w:tcPr>
                  <w:tcW w:w="1116" w:type="pct"/>
                  <w:vAlign w:val="center"/>
                </w:tcPr>
                <w:p w14:paraId="5B786618">
                  <w:pPr>
                    <w:adjustRightInd w:val="0"/>
                    <w:snapToGrid w:val="0"/>
                    <w:jc w:val="center"/>
                    <w:rPr>
                      <w:b/>
                      <w:bCs/>
                      <w:color w:val="auto"/>
                      <w:sz w:val="21"/>
                      <w:szCs w:val="21"/>
                    </w:rPr>
                  </w:pPr>
                  <w:r>
                    <w:rPr>
                      <w:rFonts w:hint="eastAsia"/>
                      <w:b/>
                      <w:bCs/>
                      <w:color w:val="auto"/>
                      <w:sz w:val="21"/>
                      <w:szCs w:val="21"/>
                    </w:rPr>
                    <w:t>7ug/m</w:t>
                  </w:r>
                  <w:r>
                    <w:rPr>
                      <w:rFonts w:hint="eastAsia"/>
                      <w:b/>
                      <w:bCs/>
                      <w:color w:val="auto"/>
                      <w:sz w:val="21"/>
                      <w:szCs w:val="21"/>
                      <w:vertAlign w:val="superscript"/>
                    </w:rPr>
                    <w:t>3</w:t>
                  </w:r>
                </w:p>
              </w:tc>
            </w:tr>
            <w:tr w14:paraId="6D752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59A10555">
                  <w:pPr>
                    <w:adjustRightInd w:val="0"/>
                    <w:snapToGrid w:val="0"/>
                    <w:jc w:val="center"/>
                    <w:rPr>
                      <w:color w:val="auto"/>
                      <w:sz w:val="21"/>
                      <w:szCs w:val="21"/>
                    </w:rPr>
                  </w:pPr>
                </w:p>
              </w:tc>
              <w:tc>
                <w:tcPr>
                  <w:tcW w:w="1042" w:type="pct"/>
                  <w:vAlign w:val="center"/>
                </w:tcPr>
                <w:p w14:paraId="0740A00B">
                  <w:pPr>
                    <w:adjustRightInd w:val="0"/>
                    <w:snapToGrid w:val="0"/>
                    <w:jc w:val="center"/>
                    <w:rPr>
                      <w:b/>
                      <w:bCs/>
                      <w:color w:val="auto"/>
                      <w:sz w:val="21"/>
                      <w:szCs w:val="21"/>
                    </w:rPr>
                  </w:pPr>
                  <w:r>
                    <w:rPr>
                      <w:rFonts w:hint="eastAsia"/>
                      <w:b/>
                      <w:bCs/>
                      <w:color w:val="auto"/>
                      <w:sz w:val="21"/>
                      <w:szCs w:val="21"/>
                    </w:rPr>
                    <w:t>最大浓度占标率%</w:t>
                  </w:r>
                </w:p>
              </w:tc>
              <w:tc>
                <w:tcPr>
                  <w:tcW w:w="1172" w:type="pct"/>
                  <w:vAlign w:val="center"/>
                </w:tcPr>
                <w:p w14:paraId="2CB17234">
                  <w:pPr>
                    <w:adjustRightInd w:val="0"/>
                    <w:snapToGrid w:val="0"/>
                    <w:jc w:val="center"/>
                    <w:rPr>
                      <w:b/>
                      <w:bCs/>
                      <w:color w:val="auto"/>
                      <w:sz w:val="21"/>
                      <w:szCs w:val="21"/>
                    </w:rPr>
                  </w:pPr>
                  <w:r>
                    <w:rPr>
                      <w:rFonts w:hint="eastAsia"/>
                      <w:b/>
                      <w:bCs/>
                      <w:color w:val="auto"/>
                      <w:sz w:val="21"/>
                      <w:szCs w:val="21"/>
                    </w:rPr>
                    <w:t>20.33</w:t>
                  </w:r>
                </w:p>
              </w:tc>
              <w:tc>
                <w:tcPr>
                  <w:tcW w:w="1184" w:type="pct"/>
                  <w:vAlign w:val="center"/>
                </w:tcPr>
                <w:p w14:paraId="217F3EB5">
                  <w:pPr>
                    <w:adjustRightInd w:val="0"/>
                    <w:snapToGrid w:val="0"/>
                    <w:jc w:val="center"/>
                    <w:rPr>
                      <w:b/>
                      <w:bCs/>
                      <w:color w:val="auto"/>
                      <w:sz w:val="21"/>
                      <w:szCs w:val="21"/>
                    </w:rPr>
                  </w:pPr>
                  <w:r>
                    <w:rPr>
                      <w:rFonts w:hint="eastAsia"/>
                      <w:b/>
                      <w:bCs/>
                      <w:color w:val="auto"/>
                      <w:sz w:val="21"/>
                      <w:szCs w:val="21"/>
                    </w:rPr>
                    <w:t>0.21</w:t>
                  </w:r>
                </w:p>
              </w:tc>
              <w:tc>
                <w:tcPr>
                  <w:tcW w:w="1116" w:type="pct"/>
                  <w:vAlign w:val="center"/>
                </w:tcPr>
                <w:p w14:paraId="3E04F6B3">
                  <w:pPr>
                    <w:adjustRightInd w:val="0"/>
                    <w:snapToGrid w:val="0"/>
                    <w:jc w:val="center"/>
                    <w:rPr>
                      <w:b/>
                      <w:bCs/>
                      <w:color w:val="auto"/>
                      <w:sz w:val="21"/>
                      <w:szCs w:val="21"/>
                    </w:rPr>
                  </w:pPr>
                  <w:r>
                    <w:rPr>
                      <w:rFonts w:hint="eastAsia"/>
                      <w:b/>
                      <w:bCs/>
                      <w:color w:val="auto"/>
                      <w:sz w:val="21"/>
                      <w:szCs w:val="21"/>
                    </w:rPr>
                    <w:t>0.14</w:t>
                  </w:r>
                </w:p>
              </w:tc>
            </w:tr>
            <w:tr w14:paraId="2DA8F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3AB384BD">
                  <w:pPr>
                    <w:adjustRightInd w:val="0"/>
                    <w:snapToGrid w:val="0"/>
                    <w:jc w:val="center"/>
                    <w:rPr>
                      <w:b/>
                      <w:bCs/>
                      <w:color w:val="auto"/>
                      <w:sz w:val="21"/>
                      <w:szCs w:val="21"/>
                    </w:rPr>
                  </w:pPr>
                </w:p>
              </w:tc>
              <w:tc>
                <w:tcPr>
                  <w:tcW w:w="1042" w:type="pct"/>
                  <w:vAlign w:val="center"/>
                </w:tcPr>
                <w:p w14:paraId="3BE0A6A3">
                  <w:pPr>
                    <w:adjustRightInd w:val="0"/>
                    <w:snapToGrid w:val="0"/>
                    <w:jc w:val="center"/>
                    <w:rPr>
                      <w:b/>
                      <w:bCs/>
                      <w:color w:val="auto"/>
                      <w:sz w:val="21"/>
                      <w:szCs w:val="21"/>
                    </w:rPr>
                  </w:pPr>
                  <w:r>
                    <w:rPr>
                      <w:rFonts w:hint="eastAsia"/>
                      <w:b/>
                      <w:bCs/>
                      <w:color w:val="auto"/>
                      <w:sz w:val="21"/>
                      <w:szCs w:val="21"/>
                    </w:rPr>
                    <w:t>超标频率%</w:t>
                  </w:r>
                </w:p>
              </w:tc>
              <w:tc>
                <w:tcPr>
                  <w:tcW w:w="1172" w:type="pct"/>
                  <w:vAlign w:val="center"/>
                </w:tcPr>
                <w:p w14:paraId="57E85B7D">
                  <w:pPr>
                    <w:adjustRightInd w:val="0"/>
                    <w:snapToGrid w:val="0"/>
                    <w:jc w:val="center"/>
                    <w:rPr>
                      <w:b/>
                      <w:bCs/>
                      <w:color w:val="auto"/>
                      <w:sz w:val="21"/>
                      <w:szCs w:val="21"/>
                    </w:rPr>
                  </w:pPr>
                  <w:r>
                    <w:rPr>
                      <w:rFonts w:hint="eastAsia"/>
                      <w:b/>
                      <w:bCs/>
                      <w:color w:val="auto"/>
                      <w:sz w:val="21"/>
                      <w:szCs w:val="21"/>
                    </w:rPr>
                    <w:t>0</w:t>
                  </w:r>
                </w:p>
              </w:tc>
              <w:tc>
                <w:tcPr>
                  <w:tcW w:w="1184" w:type="pct"/>
                  <w:vAlign w:val="center"/>
                </w:tcPr>
                <w:p w14:paraId="79BDF293">
                  <w:pPr>
                    <w:adjustRightInd w:val="0"/>
                    <w:snapToGrid w:val="0"/>
                    <w:jc w:val="center"/>
                    <w:rPr>
                      <w:b/>
                      <w:bCs/>
                      <w:color w:val="auto"/>
                      <w:sz w:val="21"/>
                      <w:szCs w:val="21"/>
                    </w:rPr>
                  </w:pPr>
                  <w:r>
                    <w:rPr>
                      <w:rFonts w:hint="eastAsia"/>
                      <w:b/>
                      <w:bCs/>
                      <w:color w:val="auto"/>
                      <w:sz w:val="21"/>
                      <w:szCs w:val="21"/>
                    </w:rPr>
                    <w:t>0</w:t>
                  </w:r>
                </w:p>
              </w:tc>
              <w:tc>
                <w:tcPr>
                  <w:tcW w:w="1116" w:type="pct"/>
                  <w:vAlign w:val="center"/>
                </w:tcPr>
                <w:p w14:paraId="50804B63">
                  <w:pPr>
                    <w:adjustRightInd w:val="0"/>
                    <w:snapToGrid w:val="0"/>
                    <w:jc w:val="center"/>
                    <w:rPr>
                      <w:b/>
                      <w:bCs/>
                      <w:color w:val="auto"/>
                      <w:sz w:val="21"/>
                      <w:szCs w:val="21"/>
                    </w:rPr>
                  </w:pPr>
                  <w:r>
                    <w:rPr>
                      <w:rFonts w:hint="eastAsia"/>
                      <w:b/>
                      <w:bCs/>
                      <w:color w:val="auto"/>
                      <w:sz w:val="21"/>
                      <w:szCs w:val="21"/>
                    </w:rPr>
                    <w:t>0</w:t>
                  </w:r>
                </w:p>
              </w:tc>
            </w:tr>
            <w:tr w14:paraId="33ADA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4FF9951C">
                  <w:pPr>
                    <w:adjustRightInd w:val="0"/>
                    <w:snapToGrid w:val="0"/>
                    <w:jc w:val="center"/>
                    <w:rPr>
                      <w:color w:val="auto"/>
                      <w:sz w:val="21"/>
                      <w:szCs w:val="21"/>
                      <w:highlight w:val="yellow"/>
                    </w:rPr>
                  </w:pPr>
                </w:p>
              </w:tc>
              <w:tc>
                <w:tcPr>
                  <w:tcW w:w="1042" w:type="pct"/>
                  <w:vAlign w:val="center"/>
                </w:tcPr>
                <w:p w14:paraId="2A992180">
                  <w:pPr>
                    <w:adjustRightInd w:val="0"/>
                    <w:snapToGrid w:val="0"/>
                    <w:jc w:val="center"/>
                    <w:rPr>
                      <w:b/>
                      <w:bCs/>
                      <w:color w:val="auto"/>
                      <w:sz w:val="21"/>
                      <w:szCs w:val="21"/>
                    </w:rPr>
                  </w:pPr>
                  <w:r>
                    <w:rPr>
                      <w:rFonts w:hint="eastAsia"/>
                      <w:b/>
                      <w:bCs/>
                      <w:color w:val="auto"/>
                      <w:sz w:val="21"/>
                      <w:szCs w:val="21"/>
                    </w:rPr>
                    <w:t>评价结果</w:t>
                  </w:r>
                </w:p>
              </w:tc>
              <w:tc>
                <w:tcPr>
                  <w:tcW w:w="1172" w:type="pct"/>
                  <w:vAlign w:val="center"/>
                </w:tcPr>
                <w:p w14:paraId="17723F8F">
                  <w:pPr>
                    <w:adjustRightInd w:val="0"/>
                    <w:snapToGrid w:val="0"/>
                    <w:jc w:val="center"/>
                    <w:rPr>
                      <w:b/>
                      <w:bCs/>
                      <w:color w:val="auto"/>
                      <w:sz w:val="21"/>
                      <w:szCs w:val="21"/>
                    </w:rPr>
                  </w:pPr>
                  <w:r>
                    <w:rPr>
                      <w:rFonts w:hint="eastAsia"/>
                      <w:b/>
                      <w:bCs/>
                      <w:color w:val="auto"/>
                      <w:sz w:val="21"/>
                      <w:szCs w:val="21"/>
                    </w:rPr>
                    <w:t>达标</w:t>
                  </w:r>
                </w:p>
              </w:tc>
              <w:tc>
                <w:tcPr>
                  <w:tcW w:w="1184" w:type="pct"/>
                  <w:vAlign w:val="center"/>
                </w:tcPr>
                <w:p w14:paraId="271223C4">
                  <w:pPr>
                    <w:adjustRightInd w:val="0"/>
                    <w:snapToGrid w:val="0"/>
                    <w:jc w:val="center"/>
                    <w:rPr>
                      <w:b/>
                      <w:bCs/>
                      <w:color w:val="auto"/>
                      <w:sz w:val="21"/>
                      <w:szCs w:val="21"/>
                    </w:rPr>
                  </w:pPr>
                  <w:r>
                    <w:rPr>
                      <w:rFonts w:hint="eastAsia"/>
                      <w:b/>
                      <w:bCs/>
                      <w:color w:val="auto"/>
                      <w:sz w:val="21"/>
                      <w:szCs w:val="21"/>
                    </w:rPr>
                    <w:t>达标</w:t>
                  </w:r>
                </w:p>
              </w:tc>
              <w:tc>
                <w:tcPr>
                  <w:tcW w:w="1116" w:type="pct"/>
                  <w:vAlign w:val="center"/>
                </w:tcPr>
                <w:p w14:paraId="38148323">
                  <w:pPr>
                    <w:adjustRightInd w:val="0"/>
                    <w:snapToGrid w:val="0"/>
                    <w:jc w:val="center"/>
                    <w:rPr>
                      <w:b/>
                      <w:bCs/>
                      <w:color w:val="auto"/>
                      <w:sz w:val="21"/>
                      <w:szCs w:val="21"/>
                    </w:rPr>
                  </w:pPr>
                  <w:r>
                    <w:rPr>
                      <w:rFonts w:hint="eastAsia"/>
                      <w:b/>
                      <w:bCs/>
                      <w:color w:val="auto"/>
                      <w:sz w:val="21"/>
                      <w:szCs w:val="21"/>
                    </w:rPr>
                    <w:t>达标</w:t>
                  </w:r>
                </w:p>
              </w:tc>
            </w:tr>
            <w:tr w14:paraId="68DF3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restart"/>
                  <w:vAlign w:val="center"/>
                </w:tcPr>
                <w:p w14:paraId="2AF6E6B7">
                  <w:pPr>
                    <w:adjustRightInd w:val="0"/>
                    <w:snapToGrid w:val="0"/>
                    <w:jc w:val="center"/>
                    <w:rPr>
                      <w:color w:val="auto"/>
                      <w:sz w:val="21"/>
                      <w:szCs w:val="21"/>
                      <w:highlight w:val="yellow"/>
                    </w:rPr>
                  </w:pPr>
                  <w:r>
                    <w:rPr>
                      <w:rFonts w:hint="eastAsia"/>
                      <w:color w:val="auto"/>
                      <w:sz w:val="21"/>
                      <w:szCs w:val="21"/>
                    </w:rPr>
                    <w:t>陡坡湾村</w:t>
                  </w:r>
                </w:p>
              </w:tc>
              <w:tc>
                <w:tcPr>
                  <w:tcW w:w="1042" w:type="pct"/>
                  <w:vAlign w:val="center"/>
                </w:tcPr>
                <w:p w14:paraId="5E53F452">
                  <w:pPr>
                    <w:adjustRightInd w:val="0"/>
                    <w:snapToGrid w:val="0"/>
                    <w:jc w:val="center"/>
                    <w:rPr>
                      <w:color w:val="auto"/>
                      <w:sz w:val="21"/>
                      <w:szCs w:val="21"/>
                    </w:rPr>
                  </w:pPr>
                  <w:r>
                    <w:rPr>
                      <w:rFonts w:hint="eastAsia"/>
                      <w:color w:val="auto"/>
                      <w:sz w:val="21"/>
                      <w:szCs w:val="21"/>
                    </w:rPr>
                    <w:t>2023.05.23</w:t>
                  </w:r>
                </w:p>
              </w:tc>
              <w:tc>
                <w:tcPr>
                  <w:tcW w:w="1172" w:type="pct"/>
                  <w:vAlign w:val="center"/>
                </w:tcPr>
                <w:p w14:paraId="56765A72">
                  <w:pPr>
                    <w:adjustRightInd w:val="0"/>
                    <w:snapToGrid w:val="0"/>
                    <w:jc w:val="center"/>
                    <w:rPr>
                      <w:color w:val="auto"/>
                      <w:sz w:val="21"/>
                      <w:szCs w:val="21"/>
                    </w:rPr>
                  </w:pPr>
                  <w:r>
                    <w:rPr>
                      <w:rFonts w:hint="eastAsia"/>
                      <w:color w:val="auto"/>
                      <w:sz w:val="21"/>
                      <w:szCs w:val="21"/>
                    </w:rPr>
                    <w:t>0.061</w:t>
                  </w:r>
                </w:p>
              </w:tc>
              <w:tc>
                <w:tcPr>
                  <w:tcW w:w="1184" w:type="pct"/>
                  <w:vAlign w:val="center"/>
                </w:tcPr>
                <w:p w14:paraId="010402BF">
                  <w:pPr>
                    <w:adjustRightInd w:val="0"/>
                    <w:snapToGrid w:val="0"/>
                    <w:jc w:val="center"/>
                    <w:rPr>
                      <w:color w:val="auto"/>
                      <w:sz w:val="21"/>
                      <w:szCs w:val="21"/>
                    </w:rPr>
                  </w:pPr>
                  <w:r>
                    <w:rPr>
                      <w:rFonts w:hint="eastAsia"/>
                      <w:color w:val="auto"/>
                      <w:sz w:val="21"/>
                      <w:szCs w:val="21"/>
                    </w:rPr>
                    <w:t>0.023</w:t>
                  </w:r>
                </w:p>
              </w:tc>
              <w:tc>
                <w:tcPr>
                  <w:tcW w:w="1116" w:type="pct"/>
                  <w:vAlign w:val="center"/>
                </w:tcPr>
                <w:p w14:paraId="4FB36F7A">
                  <w:pPr>
                    <w:adjustRightInd w:val="0"/>
                    <w:snapToGrid w:val="0"/>
                    <w:jc w:val="center"/>
                    <w:rPr>
                      <w:color w:val="auto"/>
                      <w:sz w:val="21"/>
                      <w:szCs w:val="21"/>
                    </w:rPr>
                  </w:pPr>
                  <w:r>
                    <w:rPr>
                      <w:rFonts w:hint="eastAsia"/>
                      <w:color w:val="auto"/>
                      <w:sz w:val="21"/>
                      <w:szCs w:val="21"/>
                    </w:rPr>
                    <w:t>1.05</w:t>
                  </w:r>
                </w:p>
              </w:tc>
            </w:tr>
            <w:tr w14:paraId="46720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3FE078A1">
                  <w:pPr>
                    <w:adjustRightInd w:val="0"/>
                    <w:snapToGrid w:val="0"/>
                    <w:jc w:val="center"/>
                    <w:rPr>
                      <w:color w:val="auto"/>
                      <w:sz w:val="21"/>
                      <w:szCs w:val="21"/>
                      <w:highlight w:val="yellow"/>
                    </w:rPr>
                  </w:pPr>
                </w:p>
              </w:tc>
              <w:tc>
                <w:tcPr>
                  <w:tcW w:w="1042" w:type="pct"/>
                  <w:vAlign w:val="center"/>
                </w:tcPr>
                <w:p w14:paraId="0E2C5B53">
                  <w:pPr>
                    <w:adjustRightInd w:val="0"/>
                    <w:snapToGrid w:val="0"/>
                    <w:jc w:val="center"/>
                    <w:rPr>
                      <w:color w:val="auto"/>
                      <w:sz w:val="21"/>
                      <w:szCs w:val="21"/>
                    </w:rPr>
                  </w:pPr>
                  <w:r>
                    <w:rPr>
                      <w:rFonts w:hint="eastAsia"/>
                      <w:color w:val="auto"/>
                      <w:sz w:val="21"/>
                      <w:szCs w:val="21"/>
                    </w:rPr>
                    <w:t>2023.05.24</w:t>
                  </w:r>
                </w:p>
              </w:tc>
              <w:tc>
                <w:tcPr>
                  <w:tcW w:w="1172" w:type="pct"/>
                  <w:vAlign w:val="center"/>
                </w:tcPr>
                <w:p w14:paraId="6E32CAE7">
                  <w:pPr>
                    <w:adjustRightInd w:val="0"/>
                    <w:snapToGrid w:val="0"/>
                    <w:jc w:val="center"/>
                    <w:rPr>
                      <w:color w:val="auto"/>
                      <w:sz w:val="21"/>
                      <w:szCs w:val="21"/>
                    </w:rPr>
                  </w:pPr>
                  <w:r>
                    <w:rPr>
                      <w:rFonts w:hint="eastAsia"/>
                      <w:color w:val="auto"/>
                      <w:sz w:val="21"/>
                      <w:szCs w:val="21"/>
                    </w:rPr>
                    <w:t>0.063</w:t>
                  </w:r>
                </w:p>
              </w:tc>
              <w:tc>
                <w:tcPr>
                  <w:tcW w:w="1184" w:type="pct"/>
                  <w:vAlign w:val="center"/>
                </w:tcPr>
                <w:p w14:paraId="12BE5082">
                  <w:pPr>
                    <w:adjustRightInd w:val="0"/>
                    <w:snapToGrid w:val="0"/>
                    <w:jc w:val="center"/>
                    <w:rPr>
                      <w:color w:val="auto"/>
                      <w:sz w:val="21"/>
                      <w:szCs w:val="21"/>
                    </w:rPr>
                  </w:pPr>
                  <w:r>
                    <w:rPr>
                      <w:rFonts w:hint="eastAsia"/>
                      <w:color w:val="auto"/>
                      <w:sz w:val="21"/>
                      <w:szCs w:val="21"/>
                    </w:rPr>
                    <w:t>0.025</w:t>
                  </w:r>
                </w:p>
              </w:tc>
              <w:tc>
                <w:tcPr>
                  <w:tcW w:w="1116" w:type="pct"/>
                  <w:vAlign w:val="center"/>
                </w:tcPr>
                <w:p w14:paraId="06590BB6">
                  <w:pPr>
                    <w:adjustRightInd w:val="0"/>
                    <w:snapToGrid w:val="0"/>
                    <w:jc w:val="center"/>
                    <w:rPr>
                      <w:color w:val="auto"/>
                      <w:sz w:val="21"/>
                      <w:szCs w:val="21"/>
                    </w:rPr>
                  </w:pPr>
                  <w:r>
                    <w:rPr>
                      <w:rFonts w:hint="eastAsia"/>
                      <w:color w:val="auto"/>
                      <w:sz w:val="21"/>
                      <w:szCs w:val="21"/>
                    </w:rPr>
                    <w:t>1.10</w:t>
                  </w:r>
                </w:p>
              </w:tc>
            </w:tr>
            <w:tr w14:paraId="5FF23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3BDABDAD">
                  <w:pPr>
                    <w:adjustRightInd w:val="0"/>
                    <w:snapToGrid w:val="0"/>
                    <w:jc w:val="center"/>
                    <w:rPr>
                      <w:color w:val="auto"/>
                      <w:sz w:val="21"/>
                      <w:szCs w:val="21"/>
                      <w:highlight w:val="yellow"/>
                    </w:rPr>
                  </w:pPr>
                </w:p>
              </w:tc>
              <w:tc>
                <w:tcPr>
                  <w:tcW w:w="1042" w:type="pct"/>
                  <w:vAlign w:val="center"/>
                </w:tcPr>
                <w:p w14:paraId="5F9BC521">
                  <w:pPr>
                    <w:adjustRightInd w:val="0"/>
                    <w:snapToGrid w:val="0"/>
                    <w:jc w:val="center"/>
                    <w:rPr>
                      <w:color w:val="auto"/>
                      <w:sz w:val="21"/>
                      <w:szCs w:val="21"/>
                    </w:rPr>
                  </w:pPr>
                  <w:r>
                    <w:rPr>
                      <w:rFonts w:hint="eastAsia"/>
                      <w:color w:val="auto"/>
                      <w:sz w:val="21"/>
                      <w:szCs w:val="21"/>
                    </w:rPr>
                    <w:t>2023.05.25</w:t>
                  </w:r>
                </w:p>
              </w:tc>
              <w:tc>
                <w:tcPr>
                  <w:tcW w:w="1172" w:type="pct"/>
                  <w:vAlign w:val="center"/>
                </w:tcPr>
                <w:p w14:paraId="0D09B001">
                  <w:pPr>
                    <w:adjustRightInd w:val="0"/>
                    <w:snapToGrid w:val="0"/>
                    <w:jc w:val="center"/>
                    <w:rPr>
                      <w:color w:val="auto"/>
                      <w:sz w:val="21"/>
                      <w:szCs w:val="21"/>
                    </w:rPr>
                  </w:pPr>
                  <w:r>
                    <w:rPr>
                      <w:rFonts w:hint="eastAsia"/>
                      <w:color w:val="auto"/>
                      <w:sz w:val="21"/>
                      <w:szCs w:val="21"/>
                    </w:rPr>
                    <w:t>0.060</w:t>
                  </w:r>
                </w:p>
              </w:tc>
              <w:tc>
                <w:tcPr>
                  <w:tcW w:w="1184" w:type="pct"/>
                  <w:vAlign w:val="center"/>
                </w:tcPr>
                <w:p w14:paraId="05808DD3">
                  <w:pPr>
                    <w:adjustRightInd w:val="0"/>
                    <w:snapToGrid w:val="0"/>
                    <w:jc w:val="center"/>
                    <w:rPr>
                      <w:color w:val="auto"/>
                      <w:sz w:val="21"/>
                      <w:szCs w:val="21"/>
                    </w:rPr>
                  </w:pPr>
                  <w:r>
                    <w:rPr>
                      <w:rFonts w:hint="eastAsia"/>
                      <w:color w:val="auto"/>
                      <w:sz w:val="21"/>
                      <w:szCs w:val="21"/>
                    </w:rPr>
                    <w:t>0.030</w:t>
                  </w:r>
                </w:p>
              </w:tc>
              <w:tc>
                <w:tcPr>
                  <w:tcW w:w="1116" w:type="pct"/>
                  <w:vAlign w:val="center"/>
                </w:tcPr>
                <w:p w14:paraId="7ECBBB86">
                  <w:pPr>
                    <w:adjustRightInd w:val="0"/>
                    <w:snapToGrid w:val="0"/>
                    <w:jc w:val="center"/>
                    <w:rPr>
                      <w:color w:val="auto"/>
                      <w:kern w:val="2"/>
                      <w:sz w:val="21"/>
                      <w:szCs w:val="21"/>
                    </w:rPr>
                  </w:pPr>
                  <w:r>
                    <w:rPr>
                      <w:rFonts w:hint="eastAsia"/>
                      <w:color w:val="auto"/>
                      <w:sz w:val="21"/>
                      <w:szCs w:val="21"/>
                    </w:rPr>
                    <w:t>1.08</w:t>
                  </w:r>
                </w:p>
              </w:tc>
            </w:tr>
            <w:tr w14:paraId="7FC76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30B5B493">
                  <w:pPr>
                    <w:adjustRightInd w:val="0"/>
                    <w:snapToGrid w:val="0"/>
                    <w:jc w:val="center"/>
                    <w:rPr>
                      <w:color w:val="auto"/>
                      <w:sz w:val="21"/>
                      <w:szCs w:val="21"/>
                      <w:highlight w:val="yellow"/>
                    </w:rPr>
                  </w:pPr>
                </w:p>
              </w:tc>
              <w:tc>
                <w:tcPr>
                  <w:tcW w:w="1042" w:type="pct"/>
                  <w:vAlign w:val="center"/>
                </w:tcPr>
                <w:p w14:paraId="2739CEFA">
                  <w:pPr>
                    <w:adjustRightInd w:val="0"/>
                    <w:snapToGrid w:val="0"/>
                    <w:jc w:val="center"/>
                    <w:rPr>
                      <w:color w:val="auto"/>
                      <w:sz w:val="21"/>
                      <w:szCs w:val="21"/>
                    </w:rPr>
                  </w:pPr>
                  <w:r>
                    <w:rPr>
                      <w:rFonts w:hint="eastAsia"/>
                      <w:color w:val="auto"/>
                      <w:sz w:val="21"/>
                      <w:szCs w:val="21"/>
                    </w:rPr>
                    <w:t>2023.05.26</w:t>
                  </w:r>
                </w:p>
              </w:tc>
              <w:tc>
                <w:tcPr>
                  <w:tcW w:w="1172" w:type="pct"/>
                  <w:vAlign w:val="center"/>
                </w:tcPr>
                <w:p w14:paraId="5D605D54">
                  <w:pPr>
                    <w:adjustRightInd w:val="0"/>
                    <w:snapToGrid w:val="0"/>
                    <w:jc w:val="center"/>
                    <w:rPr>
                      <w:color w:val="auto"/>
                      <w:sz w:val="21"/>
                      <w:szCs w:val="21"/>
                    </w:rPr>
                  </w:pPr>
                  <w:r>
                    <w:rPr>
                      <w:rFonts w:hint="eastAsia"/>
                      <w:color w:val="auto"/>
                      <w:sz w:val="21"/>
                      <w:szCs w:val="21"/>
                    </w:rPr>
                    <w:t>0.061</w:t>
                  </w:r>
                </w:p>
              </w:tc>
              <w:tc>
                <w:tcPr>
                  <w:tcW w:w="1184" w:type="pct"/>
                  <w:vAlign w:val="center"/>
                </w:tcPr>
                <w:p w14:paraId="552C5D70">
                  <w:pPr>
                    <w:adjustRightInd w:val="0"/>
                    <w:snapToGrid w:val="0"/>
                    <w:jc w:val="center"/>
                    <w:rPr>
                      <w:color w:val="auto"/>
                      <w:sz w:val="21"/>
                      <w:szCs w:val="21"/>
                    </w:rPr>
                  </w:pPr>
                  <w:r>
                    <w:rPr>
                      <w:rFonts w:hint="eastAsia"/>
                      <w:color w:val="auto"/>
                      <w:sz w:val="21"/>
                      <w:szCs w:val="21"/>
                    </w:rPr>
                    <w:t>0.033</w:t>
                  </w:r>
                </w:p>
              </w:tc>
              <w:tc>
                <w:tcPr>
                  <w:tcW w:w="1116" w:type="pct"/>
                  <w:vAlign w:val="center"/>
                </w:tcPr>
                <w:p w14:paraId="07D73966">
                  <w:pPr>
                    <w:adjustRightInd w:val="0"/>
                    <w:snapToGrid w:val="0"/>
                    <w:jc w:val="center"/>
                    <w:rPr>
                      <w:color w:val="auto"/>
                      <w:kern w:val="2"/>
                      <w:sz w:val="21"/>
                      <w:szCs w:val="21"/>
                    </w:rPr>
                  </w:pPr>
                  <w:r>
                    <w:rPr>
                      <w:rFonts w:hint="eastAsia"/>
                      <w:color w:val="auto"/>
                      <w:sz w:val="21"/>
                      <w:szCs w:val="21"/>
                    </w:rPr>
                    <w:t>0.98</w:t>
                  </w:r>
                </w:p>
              </w:tc>
            </w:tr>
            <w:tr w14:paraId="751BD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736BCF16">
                  <w:pPr>
                    <w:adjustRightInd w:val="0"/>
                    <w:snapToGrid w:val="0"/>
                    <w:jc w:val="center"/>
                    <w:rPr>
                      <w:color w:val="auto"/>
                      <w:sz w:val="21"/>
                      <w:szCs w:val="21"/>
                      <w:highlight w:val="yellow"/>
                    </w:rPr>
                  </w:pPr>
                </w:p>
              </w:tc>
              <w:tc>
                <w:tcPr>
                  <w:tcW w:w="1042" w:type="pct"/>
                  <w:vAlign w:val="center"/>
                </w:tcPr>
                <w:p w14:paraId="53DAFCBB">
                  <w:pPr>
                    <w:adjustRightInd w:val="0"/>
                    <w:snapToGrid w:val="0"/>
                    <w:jc w:val="center"/>
                    <w:rPr>
                      <w:color w:val="auto"/>
                      <w:sz w:val="21"/>
                      <w:szCs w:val="21"/>
                    </w:rPr>
                  </w:pPr>
                  <w:r>
                    <w:rPr>
                      <w:rFonts w:hint="eastAsia"/>
                      <w:color w:val="auto"/>
                      <w:sz w:val="21"/>
                      <w:szCs w:val="21"/>
                    </w:rPr>
                    <w:t>2023.05.27</w:t>
                  </w:r>
                </w:p>
              </w:tc>
              <w:tc>
                <w:tcPr>
                  <w:tcW w:w="1172" w:type="pct"/>
                  <w:vAlign w:val="center"/>
                </w:tcPr>
                <w:p w14:paraId="2515C83B">
                  <w:pPr>
                    <w:adjustRightInd w:val="0"/>
                    <w:snapToGrid w:val="0"/>
                    <w:jc w:val="center"/>
                    <w:rPr>
                      <w:color w:val="auto"/>
                      <w:sz w:val="21"/>
                      <w:szCs w:val="21"/>
                    </w:rPr>
                  </w:pPr>
                  <w:r>
                    <w:rPr>
                      <w:rFonts w:hint="eastAsia"/>
                      <w:color w:val="auto"/>
                      <w:sz w:val="21"/>
                      <w:szCs w:val="21"/>
                    </w:rPr>
                    <w:t>0.063</w:t>
                  </w:r>
                </w:p>
              </w:tc>
              <w:tc>
                <w:tcPr>
                  <w:tcW w:w="1184" w:type="pct"/>
                  <w:vAlign w:val="center"/>
                </w:tcPr>
                <w:p w14:paraId="5D27370D">
                  <w:pPr>
                    <w:adjustRightInd w:val="0"/>
                    <w:snapToGrid w:val="0"/>
                    <w:jc w:val="center"/>
                    <w:rPr>
                      <w:color w:val="auto"/>
                      <w:sz w:val="21"/>
                      <w:szCs w:val="21"/>
                    </w:rPr>
                  </w:pPr>
                  <w:r>
                    <w:rPr>
                      <w:rFonts w:hint="eastAsia"/>
                      <w:color w:val="auto"/>
                      <w:sz w:val="21"/>
                      <w:szCs w:val="21"/>
                    </w:rPr>
                    <w:t>0.034</w:t>
                  </w:r>
                </w:p>
              </w:tc>
              <w:tc>
                <w:tcPr>
                  <w:tcW w:w="1116" w:type="pct"/>
                  <w:vAlign w:val="center"/>
                </w:tcPr>
                <w:p w14:paraId="132671B4">
                  <w:pPr>
                    <w:adjustRightInd w:val="0"/>
                    <w:snapToGrid w:val="0"/>
                    <w:jc w:val="center"/>
                    <w:rPr>
                      <w:color w:val="auto"/>
                      <w:kern w:val="2"/>
                      <w:sz w:val="21"/>
                      <w:szCs w:val="21"/>
                    </w:rPr>
                  </w:pPr>
                  <w:r>
                    <w:rPr>
                      <w:rFonts w:hint="eastAsia"/>
                      <w:color w:val="auto"/>
                      <w:sz w:val="21"/>
                      <w:szCs w:val="21"/>
                    </w:rPr>
                    <w:t>1.03</w:t>
                  </w:r>
                </w:p>
              </w:tc>
            </w:tr>
            <w:tr w14:paraId="15931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1147B585">
                  <w:pPr>
                    <w:adjustRightInd w:val="0"/>
                    <w:snapToGrid w:val="0"/>
                    <w:jc w:val="center"/>
                    <w:rPr>
                      <w:color w:val="auto"/>
                      <w:sz w:val="21"/>
                      <w:szCs w:val="21"/>
                      <w:highlight w:val="yellow"/>
                    </w:rPr>
                  </w:pPr>
                </w:p>
              </w:tc>
              <w:tc>
                <w:tcPr>
                  <w:tcW w:w="1042" w:type="pct"/>
                  <w:vAlign w:val="center"/>
                </w:tcPr>
                <w:p w14:paraId="3FD13811">
                  <w:pPr>
                    <w:adjustRightInd w:val="0"/>
                    <w:snapToGrid w:val="0"/>
                    <w:jc w:val="center"/>
                    <w:rPr>
                      <w:color w:val="auto"/>
                      <w:sz w:val="21"/>
                      <w:szCs w:val="21"/>
                    </w:rPr>
                  </w:pPr>
                  <w:r>
                    <w:rPr>
                      <w:rFonts w:hint="eastAsia"/>
                      <w:color w:val="auto"/>
                      <w:sz w:val="21"/>
                      <w:szCs w:val="21"/>
                    </w:rPr>
                    <w:t>2023.05.28</w:t>
                  </w:r>
                </w:p>
              </w:tc>
              <w:tc>
                <w:tcPr>
                  <w:tcW w:w="1172" w:type="pct"/>
                  <w:vAlign w:val="center"/>
                </w:tcPr>
                <w:p w14:paraId="25B17C2F">
                  <w:pPr>
                    <w:adjustRightInd w:val="0"/>
                    <w:snapToGrid w:val="0"/>
                    <w:jc w:val="center"/>
                    <w:rPr>
                      <w:color w:val="auto"/>
                      <w:sz w:val="21"/>
                      <w:szCs w:val="21"/>
                    </w:rPr>
                  </w:pPr>
                  <w:r>
                    <w:rPr>
                      <w:rFonts w:hint="eastAsia"/>
                      <w:color w:val="auto"/>
                      <w:sz w:val="21"/>
                      <w:szCs w:val="21"/>
                    </w:rPr>
                    <w:t>0.061</w:t>
                  </w:r>
                </w:p>
              </w:tc>
              <w:tc>
                <w:tcPr>
                  <w:tcW w:w="1184" w:type="pct"/>
                  <w:vAlign w:val="center"/>
                </w:tcPr>
                <w:p w14:paraId="24D6F6F2">
                  <w:pPr>
                    <w:adjustRightInd w:val="0"/>
                    <w:snapToGrid w:val="0"/>
                    <w:jc w:val="center"/>
                    <w:rPr>
                      <w:color w:val="auto"/>
                      <w:sz w:val="21"/>
                      <w:szCs w:val="21"/>
                    </w:rPr>
                  </w:pPr>
                  <w:r>
                    <w:rPr>
                      <w:rFonts w:hint="eastAsia"/>
                      <w:color w:val="auto"/>
                      <w:sz w:val="21"/>
                      <w:szCs w:val="21"/>
                    </w:rPr>
                    <w:t>0.035</w:t>
                  </w:r>
                </w:p>
              </w:tc>
              <w:tc>
                <w:tcPr>
                  <w:tcW w:w="1116" w:type="pct"/>
                  <w:vAlign w:val="center"/>
                </w:tcPr>
                <w:p w14:paraId="31117F3C">
                  <w:pPr>
                    <w:adjustRightInd w:val="0"/>
                    <w:snapToGrid w:val="0"/>
                    <w:jc w:val="center"/>
                    <w:rPr>
                      <w:color w:val="auto"/>
                      <w:kern w:val="2"/>
                      <w:sz w:val="21"/>
                      <w:szCs w:val="21"/>
                    </w:rPr>
                  </w:pPr>
                  <w:r>
                    <w:rPr>
                      <w:rFonts w:hint="eastAsia"/>
                      <w:color w:val="auto"/>
                      <w:sz w:val="21"/>
                      <w:szCs w:val="21"/>
                    </w:rPr>
                    <w:t>0.95</w:t>
                  </w:r>
                </w:p>
              </w:tc>
            </w:tr>
            <w:tr w14:paraId="02B80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67E563A0">
                  <w:pPr>
                    <w:adjustRightInd w:val="0"/>
                    <w:snapToGrid w:val="0"/>
                    <w:jc w:val="center"/>
                    <w:rPr>
                      <w:color w:val="auto"/>
                      <w:sz w:val="21"/>
                      <w:szCs w:val="21"/>
                      <w:highlight w:val="yellow"/>
                    </w:rPr>
                  </w:pPr>
                </w:p>
              </w:tc>
              <w:tc>
                <w:tcPr>
                  <w:tcW w:w="1042" w:type="pct"/>
                  <w:vAlign w:val="center"/>
                </w:tcPr>
                <w:p w14:paraId="1990B1EE">
                  <w:pPr>
                    <w:adjustRightInd w:val="0"/>
                    <w:snapToGrid w:val="0"/>
                    <w:jc w:val="center"/>
                    <w:rPr>
                      <w:color w:val="auto"/>
                      <w:sz w:val="21"/>
                      <w:szCs w:val="21"/>
                    </w:rPr>
                  </w:pPr>
                  <w:r>
                    <w:rPr>
                      <w:rFonts w:hint="eastAsia"/>
                      <w:color w:val="auto"/>
                      <w:sz w:val="21"/>
                      <w:szCs w:val="21"/>
                    </w:rPr>
                    <w:t>2023.05.29</w:t>
                  </w:r>
                </w:p>
              </w:tc>
              <w:tc>
                <w:tcPr>
                  <w:tcW w:w="1172" w:type="pct"/>
                  <w:vAlign w:val="center"/>
                </w:tcPr>
                <w:p w14:paraId="2A80769A">
                  <w:pPr>
                    <w:adjustRightInd w:val="0"/>
                    <w:snapToGrid w:val="0"/>
                    <w:jc w:val="center"/>
                    <w:rPr>
                      <w:color w:val="auto"/>
                      <w:sz w:val="21"/>
                      <w:szCs w:val="21"/>
                    </w:rPr>
                  </w:pPr>
                  <w:r>
                    <w:rPr>
                      <w:rFonts w:hint="eastAsia"/>
                      <w:color w:val="auto"/>
                      <w:sz w:val="21"/>
                      <w:szCs w:val="21"/>
                    </w:rPr>
                    <w:t>0.064</w:t>
                  </w:r>
                </w:p>
              </w:tc>
              <w:tc>
                <w:tcPr>
                  <w:tcW w:w="1184" w:type="pct"/>
                  <w:vAlign w:val="center"/>
                </w:tcPr>
                <w:p w14:paraId="78D4AC7D">
                  <w:pPr>
                    <w:adjustRightInd w:val="0"/>
                    <w:snapToGrid w:val="0"/>
                    <w:jc w:val="center"/>
                    <w:rPr>
                      <w:color w:val="auto"/>
                      <w:sz w:val="21"/>
                      <w:szCs w:val="21"/>
                    </w:rPr>
                  </w:pPr>
                  <w:r>
                    <w:rPr>
                      <w:rFonts w:hint="eastAsia"/>
                      <w:color w:val="auto"/>
                      <w:sz w:val="21"/>
                      <w:szCs w:val="21"/>
                    </w:rPr>
                    <w:t>0.034</w:t>
                  </w:r>
                </w:p>
              </w:tc>
              <w:tc>
                <w:tcPr>
                  <w:tcW w:w="1116" w:type="pct"/>
                  <w:vAlign w:val="center"/>
                </w:tcPr>
                <w:p w14:paraId="7170A759">
                  <w:pPr>
                    <w:adjustRightInd w:val="0"/>
                    <w:snapToGrid w:val="0"/>
                    <w:jc w:val="center"/>
                    <w:rPr>
                      <w:color w:val="auto"/>
                      <w:kern w:val="2"/>
                      <w:sz w:val="21"/>
                      <w:szCs w:val="21"/>
                    </w:rPr>
                  </w:pPr>
                  <w:r>
                    <w:rPr>
                      <w:rFonts w:hint="eastAsia"/>
                      <w:color w:val="auto"/>
                      <w:sz w:val="21"/>
                      <w:szCs w:val="21"/>
                    </w:rPr>
                    <w:t>0.92</w:t>
                  </w:r>
                </w:p>
              </w:tc>
            </w:tr>
            <w:tr w14:paraId="795B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26098828">
                  <w:pPr>
                    <w:adjustRightInd w:val="0"/>
                    <w:snapToGrid w:val="0"/>
                    <w:jc w:val="center"/>
                    <w:rPr>
                      <w:color w:val="auto"/>
                      <w:sz w:val="21"/>
                      <w:szCs w:val="21"/>
                      <w:highlight w:val="yellow"/>
                    </w:rPr>
                  </w:pPr>
                </w:p>
              </w:tc>
              <w:tc>
                <w:tcPr>
                  <w:tcW w:w="1042" w:type="pct"/>
                  <w:vAlign w:val="center"/>
                </w:tcPr>
                <w:p w14:paraId="1B85E9E8">
                  <w:pPr>
                    <w:adjustRightInd w:val="0"/>
                    <w:snapToGrid w:val="0"/>
                    <w:jc w:val="center"/>
                    <w:rPr>
                      <w:b/>
                      <w:bCs/>
                      <w:color w:val="auto"/>
                      <w:sz w:val="21"/>
                      <w:szCs w:val="21"/>
                    </w:rPr>
                  </w:pPr>
                  <w:r>
                    <w:rPr>
                      <w:rFonts w:hint="eastAsia"/>
                      <w:b/>
                      <w:bCs/>
                      <w:color w:val="auto"/>
                      <w:sz w:val="21"/>
                      <w:szCs w:val="21"/>
                    </w:rPr>
                    <w:t>标准值</w:t>
                  </w:r>
                </w:p>
              </w:tc>
              <w:tc>
                <w:tcPr>
                  <w:tcW w:w="1172" w:type="pct"/>
                  <w:vAlign w:val="center"/>
                </w:tcPr>
                <w:p w14:paraId="718C6915">
                  <w:pPr>
                    <w:adjustRightInd w:val="0"/>
                    <w:snapToGrid w:val="0"/>
                    <w:jc w:val="center"/>
                    <w:rPr>
                      <w:b/>
                      <w:bCs/>
                      <w:color w:val="auto"/>
                      <w:sz w:val="21"/>
                      <w:szCs w:val="21"/>
                    </w:rPr>
                  </w:pPr>
                  <w:r>
                    <w:rPr>
                      <w:rFonts w:hint="eastAsia"/>
                      <w:b/>
                      <w:bCs/>
                      <w:color w:val="auto"/>
                      <w:sz w:val="21"/>
                      <w:szCs w:val="21"/>
                    </w:rPr>
                    <w:t>0.3m</w:t>
                  </w:r>
                  <w:r>
                    <w:rPr>
                      <w:b/>
                      <w:bCs/>
                      <w:color w:val="auto"/>
                      <w:sz w:val="21"/>
                      <w:szCs w:val="21"/>
                    </w:rPr>
                    <w:t>g/m</w:t>
                  </w:r>
                  <w:r>
                    <w:rPr>
                      <w:b/>
                      <w:bCs/>
                      <w:color w:val="auto"/>
                      <w:sz w:val="21"/>
                      <w:szCs w:val="21"/>
                      <w:vertAlign w:val="superscript"/>
                    </w:rPr>
                    <w:t>3</w:t>
                  </w:r>
                </w:p>
              </w:tc>
              <w:tc>
                <w:tcPr>
                  <w:tcW w:w="1184" w:type="pct"/>
                  <w:vAlign w:val="center"/>
                </w:tcPr>
                <w:p w14:paraId="2EBEF081">
                  <w:pPr>
                    <w:adjustRightInd w:val="0"/>
                    <w:snapToGrid w:val="0"/>
                    <w:jc w:val="center"/>
                    <w:rPr>
                      <w:b/>
                      <w:bCs/>
                      <w:color w:val="auto"/>
                      <w:sz w:val="21"/>
                      <w:szCs w:val="21"/>
                    </w:rPr>
                  </w:pPr>
                  <w:r>
                    <w:rPr>
                      <w:rFonts w:hint="eastAsia"/>
                      <w:b/>
                      <w:bCs/>
                      <w:color w:val="auto"/>
                      <w:sz w:val="21"/>
                      <w:szCs w:val="21"/>
                    </w:rPr>
                    <w:t>0.15m</w:t>
                  </w:r>
                  <w:r>
                    <w:rPr>
                      <w:b/>
                      <w:bCs/>
                      <w:color w:val="auto"/>
                      <w:sz w:val="21"/>
                      <w:szCs w:val="21"/>
                    </w:rPr>
                    <w:t>g/m</w:t>
                  </w:r>
                  <w:r>
                    <w:rPr>
                      <w:b/>
                      <w:bCs/>
                      <w:color w:val="auto"/>
                      <w:sz w:val="21"/>
                      <w:szCs w:val="21"/>
                      <w:vertAlign w:val="superscript"/>
                    </w:rPr>
                    <w:t>3</w:t>
                  </w:r>
                </w:p>
              </w:tc>
              <w:tc>
                <w:tcPr>
                  <w:tcW w:w="1116" w:type="pct"/>
                  <w:vAlign w:val="center"/>
                </w:tcPr>
                <w:p w14:paraId="21C50509">
                  <w:pPr>
                    <w:adjustRightInd w:val="0"/>
                    <w:snapToGrid w:val="0"/>
                    <w:jc w:val="center"/>
                    <w:rPr>
                      <w:b/>
                      <w:bCs/>
                      <w:color w:val="auto"/>
                      <w:sz w:val="21"/>
                      <w:szCs w:val="21"/>
                    </w:rPr>
                  </w:pPr>
                  <w:r>
                    <w:rPr>
                      <w:rFonts w:hint="eastAsia"/>
                      <w:b/>
                      <w:bCs/>
                      <w:color w:val="auto"/>
                      <w:sz w:val="21"/>
                      <w:szCs w:val="21"/>
                    </w:rPr>
                    <w:t>7ug/m</w:t>
                  </w:r>
                  <w:r>
                    <w:rPr>
                      <w:rFonts w:hint="eastAsia"/>
                      <w:b/>
                      <w:bCs/>
                      <w:color w:val="auto"/>
                      <w:sz w:val="21"/>
                      <w:szCs w:val="21"/>
                      <w:vertAlign w:val="superscript"/>
                    </w:rPr>
                    <w:t>3</w:t>
                  </w:r>
                </w:p>
              </w:tc>
            </w:tr>
            <w:tr w14:paraId="59BC0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3FD4154B">
                  <w:pPr>
                    <w:adjustRightInd w:val="0"/>
                    <w:snapToGrid w:val="0"/>
                    <w:jc w:val="center"/>
                    <w:rPr>
                      <w:color w:val="auto"/>
                      <w:sz w:val="21"/>
                      <w:szCs w:val="21"/>
                    </w:rPr>
                  </w:pPr>
                </w:p>
              </w:tc>
              <w:tc>
                <w:tcPr>
                  <w:tcW w:w="1042" w:type="pct"/>
                  <w:vAlign w:val="center"/>
                </w:tcPr>
                <w:p w14:paraId="5315AC5D">
                  <w:pPr>
                    <w:adjustRightInd w:val="0"/>
                    <w:snapToGrid w:val="0"/>
                    <w:jc w:val="center"/>
                    <w:rPr>
                      <w:b/>
                      <w:bCs/>
                      <w:color w:val="auto"/>
                      <w:sz w:val="21"/>
                      <w:szCs w:val="21"/>
                    </w:rPr>
                  </w:pPr>
                  <w:r>
                    <w:rPr>
                      <w:rFonts w:hint="eastAsia"/>
                      <w:b/>
                      <w:bCs/>
                      <w:color w:val="auto"/>
                      <w:sz w:val="21"/>
                      <w:szCs w:val="21"/>
                    </w:rPr>
                    <w:t>最大浓度占标率%</w:t>
                  </w:r>
                </w:p>
              </w:tc>
              <w:tc>
                <w:tcPr>
                  <w:tcW w:w="1172" w:type="pct"/>
                  <w:vAlign w:val="center"/>
                </w:tcPr>
                <w:p w14:paraId="73C2B57E">
                  <w:pPr>
                    <w:adjustRightInd w:val="0"/>
                    <w:snapToGrid w:val="0"/>
                    <w:jc w:val="center"/>
                    <w:rPr>
                      <w:b/>
                      <w:bCs/>
                      <w:color w:val="auto"/>
                      <w:sz w:val="21"/>
                      <w:szCs w:val="21"/>
                    </w:rPr>
                  </w:pPr>
                  <w:r>
                    <w:rPr>
                      <w:rFonts w:hint="eastAsia"/>
                      <w:b/>
                      <w:bCs/>
                      <w:color w:val="auto"/>
                      <w:sz w:val="21"/>
                      <w:szCs w:val="21"/>
                    </w:rPr>
                    <w:t>21</w:t>
                  </w:r>
                </w:p>
              </w:tc>
              <w:tc>
                <w:tcPr>
                  <w:tcW w:w="1184" w:type="pct"/>
                  <w:vAlign w:val="center"/>
                </w:tcPr>
                <w:p w14:paraId="6782308B">
                  <w:pPr>
                    <w:adjustRightInd w:val="0"/>
                    <w:snapToGrid w:val="0"/>
                    <w:jc w:val="center"/>
                    <w:rPr>
                      <w:b/>
                      <w:bCs/>
                      <w:color w:val="auto"/>
                      <w:sz w:val="21"/>
                      <w:szCs w:val="21"/>
                    </w:rPr>
                  </w:pPr>
                  <w:r>
                    <w:rPr>
                      <w:rFonts w:hint="eastAsia"/>
                      <w:b/>
                      <w:bCs/>
                      <w:color w:val="auto"/>
                      <w:sz w:val="21"/>
                      <w:szCs w:val="21"/>
                    </w:rPr>
                    <w:t>0.23</w:t>
                  </w:r>
                </w:p>
              </w:tc>
              <w:tc>
                <w:tcPr>
                  <w:tcW w:w="1116" w:type="pct"/>
                  <w:vAlign w:val="center"/>
                </w:tcPr>
                <w:p w14:paraId="11389B21">
                  <w:pPr>
                    <w:adjustRightInd w:val="0"/>
                    <w:snapToGrid w:val="0"/>
                    <w:jc w:val="center"/>
                    <w:rPr>
                      <w:b/>
                      <w:bCs/>
                      <w:color w:val="auto"/>
                      <w:sz w:val="21"/>
                      <w:szCs w:val="21"/>
                    </w:rPr>
                  </w:pPr>
                  <w:r>
                    <w:rPr>
                      <w:rFonts w:hint="eastAsia"/>
                      <w:b/>
                      <w:bCs/>
                      <w:color w:val="auto"/>
                      <w:sz w:val="21"/>
                      <w:szCs w:val="21"/>
                    </w:rPr>
                    <w:t>0.16</w:t>
                  </w:r>
                </w:p>
              </w:tc>
            </w:tr>
            <w:tr w14:paraId="60E06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5689BF01">
                  <w:pPr>
                    <w:adjustRightInd w:val="0"/>
                    <w:snapToGrid w:val="0"/>
                    <w:jc w:val="center"/>
                    <w:rPr>
                      <w:b/>
                      <w:bCs/>
                      <w:color w:val="auto"/>
                      <w:sz w:val="21"/>
                      <w:szCs w:val="21"/>
                    </w:rPr>
                  </w:pPr>
                </w:p>
              </w:tc>
              <w:tc>
                <w:tcPr>
                  <w:tcW w:w="1042" w:type="pct"/>
                  <w:vAlign w:val="center"/>
                </w:tcPr>
                <w:p w14:paraId="1985AACF">
                  <w:pPr>
                    <w:adjustRightInd w:val="0"/>
                    <w:snapToGrid w:val="0"/>
                    <w:jc w:val="center"/>
                    <w:rPr>
                      <w:b/>
                      <w:bCs/>
                      <w:color w:val="auto"/>
                      <w:sz w:val="21"/>
                      <w:szCs w:val="21"/>
                    </w:rPr>
                  </w:pPr>
                  <w:r>
                    <w:rPr>
                      <w:rFonts w:hint="eastAsia"/>
                      <w:b/>
                      <w:bCs/>
                      <w:color w:val="auto"/>
                      <w:sz w:val="21"/>
                      <w:szCs w:val="21"/>
                    </w:rPr>
                    <w:t>超标频率%</w:t>
                  </w:r>
                </w:p>
              </w:tc>
              <w:tc>
                <w:tcPr>
                  <w:tcW w:w="1172" w:type="pct"/>
                  <w:vAlign w:val="center"/>
                </w:tcPr>
                <w:p w14:paraId="6EE6B09B">
                  <w:pPr>
                    <w:adjustRightInd w:val="0"/>
                    <w:snapToGrid w:val="0"/>
                    <w:jc w:val="center"/>
                    <w:rPr>
                      <w:b/>
                      <w:bCs/>
                      <w:color w:val="auto"/>
                      <w:sz w:val="21"/>
                      <w:szCs w:val="21"/>
                    </w:rPr>
                  </w:pPr>
                  <w:r>
                    <w:rPr>
                      <w:rFonts w:hint="eastAsia"/>
                      <w:b/>
                      <w:bCs/>
                      <w:color w:val="auto"/>
                      <w:sz w:val="21"/>
                      <w:szCs w:val="21"/>
                    </w:rPr>
                    <w:t>0</w:t>
                  </w:r>
                </w:p>
              </w:tc>
              <w:tc>
                <w:tcPr>
                  <w:tcW w:w="1184" w:type="pct"/>
                  <w:vAlign w:val="center"/>
                </w:tcPr>
                <w:p w14:paraId="2E5A7949">
                  <w:pPr>
                    <w:adjustRightInd w:val="0"/>
                    <w:snapToGrid w:val="0"/>
                    <w:jc w:val="center"/>
                    <w:rPr>
                      <w:b/>
                      <w:bCs/>
                      <w:color w:val="auto"/>
                      <w:sz w:val="21"/>
                      <w:szCs w:val="21"/>
                    </w:rPr>
                  </w:pPr>
                  <w:r>
                    <w:rPr>
                      <w:rFonts w:hint="eastAsia"/>
                      <w:b/>
                      <w:bCs/>
                      <w:color w:val="auto"/>
                      <w:sz w:val="21"/>
                      <w:szCs w:val="21"/>
                    </w:rPr>
                    <w:t>0</w:t>
                  </w:r>
                </w:p>
              </w:tc>
              <w:tc>
                <w:tcPr>
                  <w:tcW w:w="1116" w:type="pct"/>
                  <w:vAlign w:val="center"/>
                </w:tcPr>
                <w:p w14:paraId="185BB34D">
                  <w:pPr>
                    <w:adjustRightInd w:val="0"/>
                    <w:snapToGrid w:val="0"/>
                    <w:jc w:val="center"/>
                    <w:rPr>
                      <w:b/>
                      <w:bCs/>
                      <w:color w:val="auto"/>
                      <w:sz w:val="21"/>
                      <w:szCs w:val="21"/>
                    </w:rPr>
                  </w:pPr>
                  <w:r>
                    <w:rPr>
                      <w:rFonts w:hint="eastAsia"/>
                      <w:b/>
                      <w:bCs/>
                      <w:color w:val="auto"/>
                      <w:sz w:val="21"/>
                      <w:szCs w:val="21"/>
                    </w:rPr>
                    <w:t>0</w:t>
                  </w:r>
                </w:p>
              </w:tc>
            </w:tr>
            <w:tr w14:paraId="13005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4" w:type="pct"/>
                  <w:vMerge w:val="continue"/>
                  <w:vAlign w:val="center"/>
                </w:tcPr>
                <w:p w14:paraId="260419E5">
                  <w:pPr>
                    <w:adjustRightInd w:val="0"/>
                    <w:snapToGrid w:val="0"/>
                    <w:jc w:val="center"/>
                    <w:rPr>
                      <w:color w:val="auto"/>
                      <w:sz w:val="21"/>
                      <w:szCs w:val="21"/>
                      <w:highlight w:val="yellow"/>
                    </w:rPr>
                  </w:pPr>
                </w:p>
              </w:tc>
              <w:tc>
                <w:tcPr>
                  <w:tcW w:w="1042" w:type="pct"/>
                  <w:vAlign w:val="center"/>
                </w:tcPr>
                <w:p w14:paraId="189776BE">
                  <w:pPr>
                    <w:adjustRightInd w:val="0"/>
                    <w:snapToGrid w:val="0"/>
                    <w:jc w:val="center"/>
                    <w:rPr>
                      <w:b/>
                      <w:bCs/>
                      <w:color w:val="auto"/>
                      <w:sz w:val="21"/>
                      <w:szCs w:val="21"/>
                    </w:rPr>
                  </w:pPr>
                  <w:r>
                    <w:rPr>
                      <w:rFonts w:hint="eastAsia"/>
                      <w:b/>
                      <w:bCs/>
                      <w:color w:val="auto"/>
                      <w:sz w:val="21"/>
                      <w:szCs w:val="21"/>
                    </w:rPr>
                    <w:t>评价结果</w:t>
                  </w:r>
                </w:p>
              </w:tc>
              <w:tc>
                <w:tcPr>
                  <w:tcW w:w="1172" w:type="pct"/>
                  <w:vAlign w:val="center"/>
                </w:tcPr>
                <w:p w14:paraId="1155EB3B">
                  <w:pPr>
                    <w:adjustRightInd w:val="0"/>
                    <w:snapToGrid w:val="0"/>
                    <w:jc w:val="center"/>
                    <w:rPr>
                      <w:b/>
                      <w:bCs/>
                      <w:color w:val="auto"/>
                      <w:sz w:val="21"/>
                      <w:szCs w:val="21"/>
                    </w:rPr>
                  </w:pPr>
                  <w:r>
                    <w:rPr>
                      <w:rFonts w:hint="eastAsia"/>
                      <w:b/>
                      <w:bCs/>
                      <w:color w:val="auto"/>
                      <w:sz w:val="21"/>
                      <w:szCs w:val="21"/>
                    </w:rPr>
                    <w:t>达标</w:t>
                  </w:r>
                </w:p>
              </w:tc>
              <w:tc>
                <w:tcPr>
                  <w:tcW w:w="1184" w:type="pct"/>
                  <w:vAlign w:val="center"/>
                </w:tcPr>
                <w:p w14:paraId="6E3F4FF0">
                  <w:pPr>
                    <w:adjustRightInd w:val="0"/>
                    <w:snapToGrid w:val="0"/>
                    <w:jc w:val="center"/>
                    <w:rPr>
                      <w:b/>
                      <w:bCs/>
                      <w:color w:val="auto"/>
                      <w:sz w:val="21"/>
                      <w:szCs w:val="21"/>
                    </w:rPr>
                  </w:pPr>
                  <w:r>
                    <w:rPr>
                      <w:rFonts w:hint="eastAsia"/>
                      <w:b/>
                      <w:bCs/>
                      <w:color w:val="auto"/>
                      <w:sz w:val="21"/>
                      <w:szCs w:val="21"/>
                    </w:rPr>
                    <w:t>达标</w:t>
                  </w:r>
                </w:p>
              </w:tc>
              <w:tc>
                <w:tcPr>
                  <w:tcW w:w="1116" w:type="pct"/>
                  <w:vAlign w:val="center"/>
                </w:tcPr>
                <w:p w14:paraId="682B4AA6">
                  <w:pPr>
                    <w:adjustRightInd w:val="0"/>
                    <w:snapToGrid w:val="0"/>
                    <w:jc w:val="center"/>
                    <w:rPr>
                      <w:b/>
                      <w:bCs/>
                      <w:color w:val="auto"/>
                      <w:sz w:val="21"/>
                      <w:szCs w:val="21"/>
                    </w:rPr>
                  </w:pPr>
                  <w:r>
                    <w:rPr>
                      <w:rFonts w:hint="eastAsia"/>
                      <w:b/>
                      <w:bCs/>
                      <w:color w:val="auto"/>
                      <w:sz w:val="21"/>
                      <w:szCs w:val="21"/>
                    </w:rPr>
                    <w:t>达标</w:t>
                  </w:r>
                </w:p>
              </w:tc>
            </w:tr>
          </w:tbl>
          <w:p w14:paraId="756EDA53">
            <w:pPr>
              <w:spacing w:before="120" w:beforeLines="50"/>
              <w:jc w:val="center"/>
              <w:rPr>
                <w:b/>
                <w:bCs/>
                <w:color w:val="auto"/>
                <w:sz w:val="24"/>
                <w:szCs w:val="24"/>
              </w:rPr>
            </w:pPr>
          </w:p>
          <w:p w14:paraId="142608DD">
            <w:pPr>
              <w:spacing w:before="120" w:beforeLines="50"/>
              <w:jc w:val="center"/>
              <w:rPr>
                <w:b/>
                <w:bCs/>
                <w:color w:val="auto"/>
                <w:sz w:val="24"/>
                <w:szCs w:val="24"/>
              </w:rPr>
            </w:pPr>
            <w:r>
              <w:rPr>
                <w:b/>
                <w:bCs/>
                <w:color w:val="auto"/>
                <w:sz w:val="24"/>
                <w:szCs w:val="24"/>
              </w:rPr>
              <w:t>表</w:t>
            </w:r>
            <w:r>
              <w:rPr>
                <w:rFonts w:hint="eastAsia"/>
                <w:b/>
                <w:bCs/>
                <w:color w:val="auto"/>
                <w:sz w:val="24"/>
                <w:szCs w:val="24"/>
                <w:lang w:val="en-US" w:eastAsia="zh-CN"/>
              </w:rPr>
              <w:t>1-19</w:t>
            </w:r>
            <w:r>
              <w:rPr>
                <w:b/>
                <w:bCs/>
                <w:color w:val="auto"/>
                <w:sz w:val="24"/>
                <w:szCs w:val="24"/>
              </w:rPr>
              <w:t xml:space="preserve">  其他污染物监测结果统计表</w:t>
            </w:r>
            <w:r>
              <w:rPr>
                <w:rFonts w:hint="eastAsia"/>
                <w:b/>
                <w:bCs/>
                <w:color w:val="auto"/>
                <w:sz w:val="24"/>
                <w:szCs w:val="24"/>
              </w:rPr>
              <w:t>（小时值）</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
              <w:gridCol w:w="603"/>
              <w:gridCol w:w="1350"/>
              <w:gridCol w:w="1594"/>
              <w:gridCol w:w="1594"/>
              <w:gridCol w:w="1595"/>
            </w:tblGrid>
            <w:tr w14:paraId="4348B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Align w:val="center"/>
                </w:tcPr>
                <w:p w14:paraId="44D6E5A7">
                  <w:pPr>
                    <w:adjustRightInd w:val="0"/>
                    <w:snapToGrid w:val="0"/>
                    <w:jc w:val="center"/>
                    <w:rPr>
                      <w:b/>
                      <w:bCs/>
                      <w:color w:val="auto"/>
                      <w:sz w:val="21"/>
                      <w:szCs w:val="21"/>
                    </w:rPr>
                  </w:pPr>
                  <w:r>
                    <w:rPr>
                      <w:rFonts w:hint="eastAsia"/>
                      <w:b/>
                      <w:bCs/>
                      <w:color w:val="auto"/>
                      <w:sz w:val="21"/>
                      <w:szCs w:val="21"/>
                    </w:rPr>
                    <w:t>地点</w:t>
                  </w:r>
                </w:p>
              </w:tc>
              <w:tc>
                <w:tcPr>
                  <w:tcW w:w="420" w:type="pct"/>
                  <w:vAlign w:val="center"/>
                </w:tcPr>
                <w:p w14:paraId="40A84565">
                  <w:pPr>
                    <w:adjustRightInd w:val="0"/>
                    <w:snapToGrid w:val="0"/>
                    <w:jc w:val="center"/>
                    <w:rPr>
                      <w:b/>
                      <w:bCs/>
                      <w:color w:val="auto"/>
                      <w:sz w:val="21"/>
                      <w:szCs w:val="21"/>
                    </w:rPr>
                  </w:pPr>
                  <w:r>
                    <w:rPr>
                      <w:rFonts w:hint="eastAsia"/>
                      <w:b/>
                      <w:bCs/>
                      <w:color w:val="auto"/>
                      <w:sz w:val="21"/>
                      <w:szCs w:val="21"/>
                    </w:rPr>
                    <w:t>时间</w:t>
                  </w:r>
                </w:p>
              </w:tc>
              <w:tc>
                <w:tcPr>
                  <w:tcW w:w="939" w:type="pct"/>
                  <w:vAlign w:val="center"/>
                </w:tcPr>
                <w:p w14:paraId="28BFF72D">
                  <w:pPr>
                    <w:adjustRightInd w:val="0"/>
                    <w:snapToGrid w:val="0"/>
                    <w:jc w:val="center"/>
                    <w:rPr>
                      <w:b/>
                      <w:bCs/>
                      <w:color w:val="auto"/>
                      <w:sz w:val="21"/>
                      <w:szCs w:val="21"/>
                    </w:rPr>
                  </w:pPr>
                  <w:r>
                    <w:rPr>
                      <w:rFonts w:hint="eastAsia"/>
                      <w:b/>
                      <w:bCs/>
                      <w:color w:val="auto"/>
                      <w:sz w:val="21"/>
                      <w:szCs w:val="21"/>
                    </w:rPr>
                    <w:t>采样时间</w:t>
                  </w:r>
                </w:p>
              </w:tc>
              <w:tc>
                <w:tcPr>
                  <w:tcW w:w="1110" w:type="pct"/>
                  <w:vAlign w:val="center"/>
                </w:tcPr>
                <w:p w14:paraId="75DDF794">
                  <w:pPr>
                    <w:adjustRightInd w:val="0"/>
                    <w:snapToGrid w:val="0"/>
                    <w:jc w:val="center"/>
                    <w:rPr>
                      <w:b/>
                      <w:bCs/>
                      <w:color w:val="auto"/>
                      <w:sz w:val="21"/>
                      <w:szCs w:val="21"/>
                    </w:rPr>
                  </w:pPr>
                  <w:r>
                    <w:rPr>
                      <w:rFonts w:hint="eastAsia"/>
                      <w:b/>
                      <w:bCs/>
                      <w:color w:val="auto"/>
                      <w:sz w:val="21"/>
                      <w:szCs w:val="21"/>
                    </w:rPr>
                    <w:t>TSP（mg/m</w:t>
                  </w:r>
                  <w:r>
                    <w:rPr>
                      <w:rFonts w:hint="eastAsia"/>
                      <w:b/>
                      <w:bCs/>
                      <w:color w:val="auto"/>
                      <w:sz w:val="21"/>
                      <w:szCs w:val="21"/>
                      <w:vertAlign w:val="superscript"/>
                    </w:rPr>
                    <w:t>3</w:t>
                  </w:r>
                  <w:r>
                    <w:rPr>
                      <w:rFonts w:hint="eastAsia"/>
                      <w:b/>
                      <w:bCs/>
                      <w:color w:val="auto"/>
                      <w:sz w:val="21"/>
                      <w:szCs w:val="21"/>
                    </w:rPr>
                    <w:t>）</w:t>
                  </w:r>
                </w:p>
              </w:tc>
              <w:tc>
                <w:tcPr>
                  <w:tcW w:w="1110" w:type="pct"/>
                  <w:vAlign w:val="center"/>
                </w:tcPr>
                <w:p w14:paraId="096F8D2C">
                  <w:pPr>
                    <w:adjustRightInd w:val="0"/>
                    <w:snapToGrid w:val="0"/>
                    <w:jc w:val="center"/>
                    <w:rPr>
                      <w:b/>
                      <w:bCs/>
                      <w:color w:val="auto"/>
                      <w:sz w:val="21"/>
                      <w:szCs w:val="21"/>
                    </w:rPr>
                  </w:pPr>
                  <w:r>
                    <w:rPr>
                      <w:rFonts w:hint="eastAsia"/>
                      <w:b/>
                      <w:bCs/>
                      <w:color w:val="auto"/>
                      <w:sz w:val="21"/>
                      <w:szCs w:val="21"/>
                    </w:rPr>
                    <w:t>二氧化硫（mg/m</w:t>
                  </w:r>
                  <w:r>
                    <w:rPr>
                      <w:rFonts w:hint="eastAsia"/>
                      <w:b/>
                      <w:bCs/>
                      <w:color w:val="auto"/>
                      <w:sz w:val="21"/>
                      <w:szCs w:val="21"/>
                      <w:vertAlign w:val="superscript"/>
                    </w:rPr>
                    <w:t>3</w:t>
                  </w:r>
                  <w:r>
                    <w:rPr>
                      <w:rFonts w:hint="eastAsia"/>
                      <w:b/>
                      <w:bCs/>
                      <w:color w:val="auto"/>
                      <w:sz w:val="21"/>
                      <w:szCs w:val="21"/>
                    </w:rPr>
                    <w:t>）</w:t>
                  </w:r>
                </w:p>
              </w:tc>
              <w:tc>
                <w:tcPr>
                  <w:tcW w:w="1110" w:type="pct"/>
                  <w:vAlign w:val="center"/>
                </w:tcPr>
                <w:p w14:paraId="1107D46F">
                  <w:pPr>
                    <w:adjustRightInd w:val="0"/>
                    <w:snapToGrid w:val="0"/>
                    <w:jc w:val="center"/>
                    <w:rPr>
                      <w:b/>
                      <w:bCs/>
                      <w:color w:val="auto"/>
                      <w:sz w:val="21"/>
                      <w:szCs w:val="21"/>
                    </w:rPr>
                  </w:pPr>
                  <w:r>
                    <w:rPr>
                      <w:rFonts w:hint="eastAsia"/>
                      <w:b/>
                      <w:bCs/>
                      <w:color w:val="auto"/>
                      <w:sz w:val="21"/>
                      <w:szCs w:val="21"/>
                    </w:rPr>
                    <w:t>氟化物（ug/m</w:t>
                  </w:r>
                  <w:r>
                    <w:rPr>
                      <w:rFonts w:hint="eastAsia"/>
                      <w:b/>
                      <w:bCs/>
                      <w:color w:val="auto"/>
                      <w:sz w:val="21"/>
                      <w:szCs w:val="21"/>
                      <w:vertAlign w:val="superscript"/>
                    </w:rPr>
                    <w:t>3</w:t>
                  </w:r>
                  <w:r>
                    <w:rPr>
                      <w:rFonts w:hint="eastAsia"/>
                      <w:b/>
                      <w:bCs/>
                      <w:color w:val="auto"/>
                      <w:sz w:val="21"/>
                      <w:szCs w:val="21"/>
                    </w:rPr>
                    <w:t>）</w:t>
                  </w:r>
                </w:p>
              </w:tc>
            </w:tr>
            <w:tr w14:paraId="5DC5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restart"/>
                  <w:vAlign w:val="center"/>
                </w:tcPr>
                <w:p w14:paraId="7E5C27B2">
                  <w:pPr>
                    <w:adjustRightInd w:val="0"/>
                    <w:snapToGrid w:val="0"/>
                    <w:jc w:val="center"/>
                    <w:rPr>
                      <w:color w:val="auto"/>
                      <w:sz w:val="21"/>
                      <w:szCs w:val="21"/>
                    </w:rPr>
                  </w:pPr>
                  <w:r>
                    <w:rPr>
                      <w:rFonts w:hint="eastAsia"/>
                      <w:color w:val="auto"/>
                      <w:sz w:val="21"/>
                      <w:szCs w:val="21"/>
                    </w:rPr>
                    <w:t>大桥村</w:t>
                  </w:r>
                </w:p>
              </w:tc>
              <w:tc>
                <w:tcPr>
                  <w:tcW w:w="420" w:type="pct"/>
                  <w:vMerge w:val="restart"/>
                  <w:vAlign w:val="center"/>
                </w:tcPr>
                <w:p w14:paraId="7EB8DBFD">
                  <w:pPr>
                    <w:adjustRightInd w:val="0"/>
                    <w:snapToGrid w:val="0"/>
                    <w:jc w:val="center"/>
                    <w:rPr>
                      <w:color w:val="auto"/>
                      <w:sz w:val="21"/>
                      <w:szCs w:val="21"/>
                    </w:rPr>
                  </w:pPr>
                  <w:r>
                    <w:rPr>
                      <w:rFonts w:hint="eastAsia"/>
                      <w:color w:val="auto"/>
                      <w:sz w:val="21"/>
                      <w:szCs w:val="21"/>
                    </w:rPr>
                    <w:t>2023.05.23</w:t>
                  </w:r>
                </w:p>
              </w:tc>
              <w:tc>
                <w:tcPr>
                  <w:tcW w:w="939" w:type="pct"/>
                  <w:vAlign w:val="center"/>
                </w:tcPr>
                <w:p w14:paraId="78A56EB8">
                  <w:pPr>
                    <w:adjustRightInd w:val="0"/>
                    <w:snapToGrid w:val="0"/>
                    <w:jc w:val="center"/>
                    <w:rPr>
                      <w:color w:val="auto"/>
                      <w:sz w:val="21"/>
                      <w:szCs w:val="21"/>
                    </w:rPr>
                  </w:pPr>
                  <w:r>
                    <w:rPr>
                      <w:rFonts w:hint="eastAsia"/>
                      <w:color w:val="auto"/>
                      <w:sz w:val="21"/>
                      <w:szCs w:val="21"/>
                    </w:rPr>
                    <w:t>02:00-03:00</w:t>
                  </w:r>
                </w:p>
              </w:tc>
              <w:tc>
                <w:tcPr>
                  <w:tcW w:w="1110" w:type="pct"/>
                  <w:vAlign w:val="center"/>
                </w:tcPr>
                <w:p w14:paraId="4B13AF11">
                  <w:pPr>
                    <w:adjustRightInd w:val="0"/>
                    <w:snapToGrid w:val="0"/>
                    <w:jc w:val="center"/>
                    <w:rPr>
                      <w:color w:val="auto"/>
                      <w:sz w:val="21"/>
                      <w:szCs w:val="21"/>
                    </w:rPr>
                  </w:pPr>
                  <w:r>
                    <w:rPr>
                      <w:rFonts w:hint="eastAsia"/>
                      <w:color w:val="auto"/>
                      <w:sz w:val="21"/>
                      <w:szCs w:val="21"/>
                    </w:rPr>
                    <w:t>0.100</w:t>
                  </w:r>
                </w:p>
              </w:tc>
              <w:tc>
                <w:tcPr>
                  <w:tcW w:w="1110" w:type="pct"/>
                  <w:vAlign w:val="center"/>
                </w:tcPr>
                <w:p w14:paraId="052CD6B3">
                  <w:pPr>
                    <w:adjustRightInd w:val="0"/>
                    <w:snapToGrid w:val="0"/>
                    <w:jc w:val="center"/>
                    <w:rPr>
                      <w:color w:val="auto"/>
                      <w:sz w:val="21"/>
                      <w:szCs w:val="21"/>
                    </w:rPr>
                  </w:pPr>
                  <w:r>
                    <w:rPr>
                      <w:rFonts w:hint="eastAsia"/>
                      <w:color w:val="auto"/>
                      <w:sz w:val="21"/>
                      <w:szCs w:val="21"/>
                    </w:rPr>
                    <w:t>0.042</w:t>
                  </w:r>
                </w:p>
              </w:tc>
              <w:tc>
                <w:tcPr>
                  <w:tcW w:w="1110" w:type="pct"/>
                  <w:vAlign w:val="center"/>
                </w:tcPr>
                <w:p w14:paraId="01904BD9">
                  <w:pPr>
                    <w:adjustRightInd w:val="0"/>
                    <w:snapToGrid w:val="0"/>
                    <w:jc w:val="center"/>
                    <w:rPr>
                      <w:color w:val="auto"/>
                      <w:sz w:val="21"/>
                      <w:szCs w:val="21"/>
                    </w:rPr>
                  </w:pPr>
                  <w:r>
                    <w:rPr>
                      <w:rFonts w:hint="eastAsia"/>
                      <w:color w:val="auto"/>
                      <w:sz w:val="21"/>
                      <w:szCs w:val="21"/>
                    </w:rPr>
                    <w:t>1.9</w:t>
                  </w:r>
                </w:p>
              </w:tc>
            </w:tr>
            <w:tr w14:paraId="14F15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7B95A5B8">
                  <w:pPr>
                    <w:adjustRightInd w:val="0"/>
                    <w:snapToGrid w:val="0"/>
                    <w:jc w:val="center"/>
                    <w:rPr>
                      <w:color w:val="auto"/>
                      <w:sz w:val="21"/>
                      <w:szCs w:val="21"/>
                    </w:rPr>
                  </w:pPr>
                </w:p>
              </w:tc>
              <w:tc>
                <w:tcPr>
                  <w:tcW w:w="420" w:type="pct"/>
                  <w:vMerge w:val="continue"/>
                  <w:vAlign w:val="center"/>
                </w:tcPr>
                <w:p w14:paraId="7E26424F">
                  <w:pPr>
                    <w:adjustRightInd w:val="0"/>
                    <w:snapToGrid w:val="0"/>
                    <w:jc w:val="center"/>
                    <w:rPr>
                      <w:color w:val="auto"/>
                      <w:sz w:val="21"/>
                      <w:szCs w:val="21"/>
                    </w:rPr>
                  </w:pPr>
                </w:p>
              </w:tc>
              <w:tc>
                <w:tcPr>
                  <w:tcW w:w="939" w:type="pct"/>
                  <w:vAlign w:val="center"/>
                </w:tcPr>
                <w:p w14:paraId="79A097C1">
                  <w:pPr>
                    <w:adjustRightInd w:val="0"/>
                    <w:snapToGrid w:val="0"/>
                    <w:jc w:val="center"/>
                    <w:rPr>
                      <w:color w:val="auto"/>
                      <w:sz w:val="21"/>
                      <w:szCs w:val="21"/>
                    </w:rPr>
                  </w:pPr>
                  <w:r>
                    <w:rPr>
                      <w:rFonts w:hint="eastAsia"/>
                      <w:color w:val="auto"/>
                      <w:sz w:val="21"/>
                      <w:szCs w:val="21"/>
                    </w:rPr>
                    <w:t>08:00-09:00</w:t>
                  </w:r>
                </w:p>
              </w:tc>
              <w:tc>
                <w:tcPr>
                  <w:tcW w:w="1110" w:type="pct"/>
                  <w:vAlign w:val="center"/>
                </w:tcPr>
                <w:p w14:paraId="548AE9BC">
                  <w:pPr>
                    <w:adjustRightInd w:val="0"/>
                    <w:snapToGrid w:val="0"/>
                    <w:jc w:val="center"/>
                    <w:rPr>
                      <w:color w:val="auto"/>
                      <w:sz w:val="21"/>
                      <w:szCs w:val="21"/>
                    </w:rPr>
                  </w:pPr>
                  <w:r>
                    <w:rPr>
                      <w:rFonts w:hint="eastAsia"/>
                      <w:color w:val="auto"/>
                      <w:sz w:val="21"/>
                      <w:szCs w:val="21"/>
                    </w:rPr>
                    <w:t>0.083</w:t>
                  </w:r>
                </w:p>
              </w:tc>
              <w:tc>
                <w:tcPr>
                  <w:tcW w:w="1110" w:type="pct"/>
                  <w:vAlign w:val="center"/>
                </w:tcPr>
                <w:p w14:paraId="699499C9">
                  <w:pPr>
                    <w:adjustRightInd w:val="0"/>
                    <w:snapToGrid w:val="0"/>
                    <w:jc w:val="center"/>
                    <w:rPr>
                      <w:color w:val="auto"/>
                      <w:sz w:val="21"/>
                      <w:szCs w:val="21"/>
                    </w:rPr>
                  </w:pPr>
                  <w:r>
                    <w:rPr>
                      <w:rFonts w:hint="eastAsia"/>
                      <w:color w:val="auto"/>
                      <w:sz w:val="21"/>
                      <w:szCs w:val="21"/>
                    </w:rPr>
                    <w:t>0.051</w:t>
                  </w:r>
                </w:p>
              </w:tc>
              <w:tc>
                <w:tcPr>
                  <w:tcW w:w="1110" w:type="pct"/>
                  <w:vAlign w:val="center"/>
                </w:tcPr>
                <w:p w14:paraId="5ECE4027">
                  <w:pPr>
                    <w:adjustRightInd w:val="0"/>
                    <w:snapToGrid w:val="0"/>
                    <w:jc w:val="center"/>
                    <w:rPr>
                      <w:color w:val="auto"/>
                      <w:sz w:val="21"/>
                      <w:szCs w:val="21"/>
                    </w:rPr>
                  </w:pPr>
                  <w:r>
                    <w:rPr>
                      <w:rFonts w:hint="eastAsia"/>
                      <w:color w:val="auto"/>
                      <w:sz w:val="21"/>
                      <w:szCs w:val="21"/>
                    </w:rPr>
                    <w:t>1.9</w:t>
                  </w:r>
                </w:p>
              </w:tc>
            </w:tr>
            <w:tr w14:paraId="7C326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607C1CDF">
                  <w:pPr>
                    <w:adjustRightInd w:val="0"/>
                    <w:snapToGrid w:val="0"/>
                    <w:jc w:val="center"/>
                    <w:rPr>
                      <w:color w:val="auto"/>
                      <w:sz w:val="21"/>
                      <w:szCs w:val="21"/>
                    </w:rPr>
                  </w:pPr>
                </w:p>
              </w:tc>
              <w:tc>
                <w:tcPr>
                  <w:tcW w:w="420" w:type="pct"/>
                  <w:vMerge w:val="continue"/>
                  <w:vAlign w:val="center"/>
                </w:tcPr>
                <w:p w14:paraId="57318893">
                  <w:pPr>
                    <w:adjustRightInd w:val="0"/>
                    <w:snapToGrid w:val="0"/>
                    <w:jc w:val="center"/>
                    <w:rPr>
                      <w:color w:val="auto"/>
                      <w:sz w:val="21"/>
                      <w:szCs w:val="21"/>
                    </w:rPr>
                  </w:pPr>
                </w:p>
              </w:tc>
              <w:tc>
                <w:tcPr>
                  <w:tcW w:w="939" w:type="pct"/>
                  <w:vAlign w:val="center"/>
                </w:tcPr>
                <w:p w14:paraId="70E7C92D">
                  <w:pPr>
                    <w:adjustRightInd w:val="0"/>
                    <w:snapToGrid w:val="0"/>
                    <w:jc w:val="center"/>
                    <w:rPr>
                      <w:color w:val="auto"/>
                      <w:sz w:val="21"/>
                      <w:szCs w:val="21"/>
                    </w:rPr>
                  </w:pPr>
                  <w:r>
                    <w:rPr>
                      <w:rFonts w:hint="eastAsia"/>
                      <w:color w:val="auto"/>
                      <w:sz w:val="21"/>
                      <w:szCs w:val="21"/>
                    </w:rPr>
                    <w:t>14:00-15:00</w:t>
                  </w:r>
                </w:p>
              </w:tc>
              <w:tc>
                <w:tcPr>
                  <w:tcW w:w="1110" w:type="pct"/>
                  <w:vAlign w:val="center"/>
                </w:tcPr>
                <w:p w14:paraId="4E031B78">
                  <w:pPr>
                    <w:adjustRightInd w:val="0"/>
                    <w:snapToGrid w:val="0"/>
                    <w:jc w:val="center"/>
                    <w:rPr>
                      <w:color w:val="auto"/>
                      <w:sz w:val="21"/>
                      <w:szCs w:val="21"/>
                    </w:rPr>
                  </w:pPr>
                  <w:r>
                    <w:rPr>
                      <w:rFonts w:hint="eastAsia"/>
                      <w:color w:val="auto"/>
                      <w:sz w:val="21"/>
                      <w:szCs w:val="21"/>
                    </w:rPr>
                    <w:t>0.100</w:t>
                  </w:r>
                </w:p>
              </w:tc>
              <w:tc>
                <w:tcPr>
                  <w:tcW w:w="1110" w:type="pct"/>
                  <w:vAlign w:val="center"/>
                </w:tcPr>
                <w:p w14:paraId="2312A96C">
                  <w:pPr>
                    <w:adjustRightInd w:val="0"/>
                    <w:snapToGrid w:val="0"/>
                    <w:jc w:val="center"/>
                    <w:rPr>
                      <w:color w:val="auto"/>
                      <w:sz w:val="21"/>
                      <w:szCs w:val="21"/>
                    </w:rPr>
                  </w:pPr>
                  <w:r>
                    <w:rPr>
                      <w:rFonts w:hint="eastAsia"/>
                      <w:color w:val="auto"/>
                      <w:sz w:val="21"/>
                      <w:szCs w:val="21"/>
                    </w:rPr>
                    <w:t>0.054</w:t>
                  </w:r>
                </w:p>
              </w:tc>
              <w:tc>
                <w:tcPr>
                  <w:tcW w:w="1110" w:type="pct"/>
                  <w:vAlign w:val="center"/>
                </w:tcPr>
                <w:p w14:paraId="1F6C5A21">
                  <w:pPr>
                    <w:adjustRightInd w:val="0"/>
                    <w:snapToGrid w:val="0"/>
                    <w:jc w:val="center"/>
                    <w:rPr>
                      <w:color w:val="auto"/>
                      <w:sz w:val="21"/>
                      <w:szCs w:val="21"/>
                    </w:rPr>
                  </w:pPr>
                  <w:r>
                    <w:rPr>
                      <w:rFonts w:hint="eastAsia"/>
                      <w:color w:val="auto"/>
                      <w:sz w:val="21"/>
                      <w:szCs w:val="21"/>
                    </w:rPr>
                    <w:t>1.9</w:t>
                  </w:r>
                </w:p>
              </w:tc>
            </w:tr>
            <w:tr w14:paraId="2E7CD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3DF06D30">
                  <w:pPr>
                    <w:adjustRightInd w:val="0"/>
                    <w:snapToGrid w:val="0"/>
                    <w:jc w:val="center"/>
                    <w:rPr>
                      <w:color w:val="auto"/>
                      <w:sz w:val="21"/>
                      <w:szCs w:val="21"/>
                    </w:rPr>
                  </w:pPr>
                </w:p>
              </w:tc>
              <w:tc>
                <w:tcPr>
                  <w:tcW w:w="420" w:type="pct"/>
                  <w:vMerge w:val="continue"/>
                  <w:vAlign w:val="center"/>
                </w:tcPr>
                <w:p w14:paraId="351BA2C5">
                  <w:pPr>
                    <w:adjustRightInd w:val="0"/>
                    <w:snapToGrid w:val="0"/>
                    <w:jc w:val="center"/>
                    <w:rPr>
                      <w:color w:val="auto"/>
                      <w:sz w:val="21"/>
                      <w:szCs w:val="21"/>
                    </w:rPr>
                  </w:pPr>
                </w:p>
              </w:tc>
              <w:tc>
                <w:tcPr>
                  <w:tcW w:w="939" w:type="pct"/>
                  <w:vAlign w:val="center"/>
                </w:tcPr>
                <w:p w14:paraId="08825480">
                  <w:pPr>
                    <w:adjustRightInd w:val="0"/>
                    <w:snapToGrid w:val="0"/>
                    <w:jc w:val="center"/>
                    <w:rPr>
                      <w:color w:val="auto"/>
                      <w:sz w:val="21"/>
                      <w:szCs w:val="21"/>
                    </w:rPr>
                  </w:pPr>
                  <w:r>
                    <w:rPr>
                      <w:rFonts w:hint="eastAsia"/>
                      <w:color w:val="auto"/>
                      <w:sz w:val="21"/>
                      <w:szCs w:val="21"/>
                    </w:rPr>
                    <w:t>20:00-21:00</w:t>
                  </w:r>
                </w:p>
              </w:tc>
              <w:tc>
                <w:tcPr>
                  <w:tcW w:w="1110" w:type="pct"/>
                  <w:vAlign w:val="center"/>
                </w:tcPr>
                <w:p w14:paraId="484D1E94">
                  <w:pPr>
                    <w:adjustRightInd w:val="0"/>
                    <w:snapToGrid w:val="0"/>
                    <w:jc w:val="center"/>
                    <w:rPr>
                      <w:color w:val="auto"/>
                      <w:sz w:val="21"/>
                      <w:szCs w:val="21"/>
                    </w:rPr>
                  </w:pPr>
                  <w:r>
                    <w:rPr>
                      <w:rFonts w:hint="eastAsia"/>
                      <w:color w:val="auto"/>
                      <w:sz w:val="21"/>
                      <w:szCs w:val="21"/>
                    </w:rPr>
                    <w:t>0.117</w:t>
                  </w:r>
                </w:p>
              </w:tc>
              <w:tc>
                <w:tcPr>
                  <w:tcW w:w="1110" w:type="pct"/>
                  <w:vAlign w:val="center"/>
                </w:tcPr>
                <w:p w14:paraId="342C976C">
                  <w:pPr>
                    <w:adjustRightInd w:val="0"/>
                    <w:snapToGrid w:val="0"/>
                    <w:jc w:val="center"/>
                    <w:rPr>
                      <w:color w:val="auto"/>
                      <w:sz w:val="21"/>
                      <w:szCs w:val="21"/>
                    </w:rPr>
                  </w:pPr>
                  <w:r>
                    <w:rPr>
                      <w:rFonts w:hint="eastAsia"/>
                      <w:color w:val="auto"/>
                      <w:sz w:val="21"/>
                      <w:szCs w:val="21"/>
                    </w:rPr>
                    <w:t>0.050</w:t>
                  </w:r>
                </w:p>
              </w:tc>
              <w:tc>
                <w:tcPr>
                  <w:tcW w:w="1110" w:type="pct"/>
                  <w:vAlign w:val="center"/>
                </w:tcPr>
                <w:p w14:paraId="2BDD4F93">
                  <w:pPr>
                    <w:adjustRightInd w:val="0"/>
                    <w:snapToGrid w:val="0"/>
                    <w:jc w:val="center"/>
                    <w:rPr>
                      <w:color w:val="auto"/>
                      <w:sz w:val="21"/>
                      <w:szCs w:val="21"/>
                    </w:rPr>
                  </w:pPr>
                  <w:r>
                    <w:rPr>
                      <w:rFonts w:hint="eastAsia"/>
                      <w:color w:val="auto"/>
                      <w:sz w:val="21"/>
                      <w:szCs w:val="21"/>
                    </w:rPr>
                    <w:t>1.9</w:t>
                  </w:r>
                </w:p>
              </w:tc>
            </w:tr>
            <w:tr w14:paraId="1CACB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51E00F55">
                  <w:pPr>
                    <w:adjustRightInd w:val="0"/>
                    <w:snapToGrid w:val="0"/>
                    <w:jc w:val="center"/>
                    <w:rPr>
                      <w:color w:val="auto"/>
                      <w:sz w:val="21"/>
                      <w:szCs w:val="21"/>
                    </w:rPr>
                  </w:pPr>
                </w:p>
              </w:tc>
              <w:tc>
                <w:tcPr>
                  <w:tcW w:w="420" w:type="pct"/>
                  <w:vMerge w:val="restart"/>
                  <w:vAlign w:val="center"/>
                </w:tcPr>
                <w:p w14:paraId="46393A6F">
                  <w:pPr>
                    <w:adjustRightInd w:val="0"/>
                    <w:snapToGrid w:val="0"/>
                    <w:jc w:val="center"/>
                    <w:rPr>
                      <w:color w:val="auto"/>
                      <w:sz w:val="21"/>
                      <w:szCs w:val="21"/>
                    </w:rPr>
                  </w:pPr>
                  <w:r>
                    <w:rPr>
                      <w:rFonts w:hint="eastAsia"/>
                      <w:color w:val="auto"/>
                      <w:sz w:val="21"/>
                      <w:szCs w:val="21"/>
                    </w:rPr>
                    <w:t>2023.05.24</w:t>
                  </w:r>
                </w:p>
              </w:tc>
              <w:tc>
                <w:tcPr>
                  <w:tcW w:w="939" w:type="pct"/>
                  <w:vAlign w:val="center"/>
                </w:tcPr>
                <w:p w14:paraId="2D821063">
                  <w:pPr>
                    <w:adjustRightInd w:val="0"/>
                    <w:snapToGrid w:val="0"/>
                    <w:jc w:val="center"/>
                    <w:rPr>
                      <w:color w:val="auto"/>
                      <w:sz w:val="21"/>
                      <w:szCs w:val="21"/>
                    </w:rPr>
                  </w:pPr>
                  <w:r>
                    <w:rPr>
                      <w:rFonts w:hint="eastAsia"/>
                      <w:color w:val="auto"/>
                      <w:sz w:val="21"/>
                      <w:szCs w:val="21"/>
                    </w:rPr>
                    <w:t>02:00-03:00</w:t>
                  </w:r>
                </w:p>
              </w:tc>
              <w:tc>
                <w:tcPr>
                  <w:tcW w:w="1110" w:type="pct"/>
                  <w:vAlign w:val="center"/>
                </w:tcPr>
                <w:p w14:paraId="7CED1426">
                  <w:pPr>
                    <w:adjustRightInd w:val="0"/>
                    <w:snapToGrid w:val="0"/>
                    <w:jc w:val="center"/>
                    <w:rPr>
                      <w:color w:val="auto"/>
                      <w:sz w:val="21"/>
                      <w:szCs w:val="21"/>
                    </w:rPr>
                  </w:pPr>
                  <w:r>
                    <w:rPr>
                      <w:rFonts w:hint="eastAsia"/>
                      <w:color w:val="auto"/>
                      <w:sz w:val="21"/>
                      <w:szCs w:val="21"/>
                    </w:rPr>
                    <w:t>0.117</w:t>
                  </w:r>
                </w:p>
              </w:tc>
              <w:tc>
                <w:tcPr>
                  <w:tcW w:w="1110" w:type="pct"/>
                  <w:vAlign w:val="center"/>
                </w:tcPr>
                <w:p w14:paraId="4DC616D6">
                  <w:pPr>
                    <w:adjustRightInd w:val="0"/>
                    <w:snapToGrid w:val="0"/>
                    <w:jc w:val="center"/>
                    <w:rPr>
                      <w:color w:val="auto"/>
                      <w:sz w:val="21"/>
                      <w:szCs w:val="21"/>
                    </w:rPr>
                  </w:pPr>
                  <w:r>
                    <w:rPr>
                      <w:rFonts w:hint="eastAsia"/>
                      <w:color w:val="auto"/>
                      <w:sz w:val="21"/>
                      <w:szCs w:val="21"/>
                    </w:rPr>
                    <w:t>0.044</w:t>
                  </w:r>
                </w:p>
              </w:tc>
              <w:tc>
                <w:tcPr>
                  <w:tcW w:w="1110" w:type="pct"/>
                  <w:vAlign w:val="center"/>
                </w:tcPr>
                <w:p w14:paraId="1FE6197C">
                  <w:pPr>
                    <w:adjustRightInd w:val="0"/>
                    <w:snapToGrid w:val="0"/>
                    <w:jc w:val="center"/>
                    <w:rPr>
                      <w:color w:val="auto"/>
                      <w:sz w:val="21"/>
                      <w:szCs w:val="21"/>
                    </w:rPr>
                  </w:pPr>
                  <w:r>
                    <w:rPr>
                      <w:rFonts w:hint="eastAsia"/>
                      <w:color w:val="auto"/>
                      <w:sz w:val="21"/>
                      <w:szCs w:val="21"/>
                    </w:rPr>
                    <w:t>2.0</w:t>
                  </w:r>
                </w:p>
              </w:tc>
            </w:tr>
            <w:tr w14:paraId="57EC2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262AF546">
                  <w:pPr>
                    <w:adjustRightInd w:val="0"/>
                    <w:snapToGrid w:val="0"/>
                    <w:jc w:val="center"/>
                    <w:rPr>
                      <w:color w:val="auto"/>
                      <w:sz w:val="21"/>
                      <w:szCs w:val="21"/>
                    </w:rPr>
                  </w:pPr>
                </w:p>
              </w:tc>
              <w:tc>
                <w:tcPr>
                  <w:tcW w:w="420" w:type="pct"/>
                  <w:vMerge w:val="continue"/>
                  <w:vAlign w:val="center"/>
                </w:tcPr>
                <w:p w14:paraId="7A9C91AD">
                  <w:pPr>
                    <w:adjustRightInd w:val="0"/>
                    <w:snapToGrid w:val="0"/>
                    <w:jc w:val="center"/>
                    <w:rPr>
                      <w:color w:val="auto"/>
                      <w:sz w:val="21"/>
                      <w:szCs w:val="21"/>
                    </w:rPr>
                  </w:pPr>
                </w:p>
              </w:tc>
              <w:tc>
                <w:tcPr>
                  <w:tcW w:w="939" w:type="pct"/>
                  <w:vAlign w:val="center"/>
                </w:tcPr>
                <w:p w14:paraId="42017DF5">
                  <w:pPr>
                    <w:adjustRightInd w:val="0"/>
                    <w:snapToGrid w:val="0"/>
                    <w:jc w:val="center"/>
                    <w:rPr>
                      <w:color w:val="auto"/>
                      <w:sz w:val="21"/>
                      <w:szCs w:val="21"/>
                    </w:rPr>
                  </w:pPr>
                  <w:r>
                    <w:rPr>
                      <w:rFonts w:hint="eastAsia"/>
                      <w:color w:val="auto"/>
                      <w:sz w:val="21"/>
                      <w:szCs w:val="21"/>
                    </w:rPr>
                    <w:t>08:00-09:00</w:t>
                  </w:r>
                </w:p>
              </w:tc>
              <w:tc>
                <w:tcPr>
                  <w:tcW w:w="1110" w:type="pct"/>
                  <w:vAlign w:val="center"/>
                </w:tcPr>
                <w:p w14:paraId="3EA0FC4E">
                  <w:pPr>
                    <w:adjustRightInd w:val="0"/>
                    <w:snapToGrid w:val="0"/>
                    <w:jc w:val="center"/>
                    <w:rPr>
                      <w:color w:val="auto"/>
                      <w:sz w:val="21"/>
                      <w:szCs w:val="21"/>
                    </w:rPr>
                  </w:pPr>
                  <w:r>
                    <w:rPr>
                      <w:rFonts w:hint="eastAsia"/>
                      <w:color w:val="auto"/>
                      <w:sz w:val="21"/>
                      <w:szCs w:val="21"/>
                    </w:rPr>
                    <w:t>0.100</w:t>
                  </w:r>
                </w:p>
              </w:tc>
              <w:tc>
                <w:tcPr>
                  <w:tcW w:w="1110" w:type="pct"/>
                  <w:vAlign w:val="center"/>
                </w:tcPr>
                <w:p w14:paraId="3C003024">
                  <w:pPr>
                    <w:adjustRightInd w:val="0"/>
                    <w:snapToGrid w:val="0"/>
                    <w:jc w:val="center"/>
                    <w:rPr>
                      <w:color w:val="auto"/>
                      <w:sz w:val="21"/>
                      <w:szCs w:val="21"/>
                    </w:rPr>
                  </w:pPr>
                  <w:r>
                    <w:rPr>
                      <w:rFonts w:hint="eastAsia"/>
                      <w:color w:val="auto"/>
                      <w:sz w:val="21"/>
                      <w:szCs w:val="21"/>
                    </w:rPr>
                    <w:t>0.042</w:t>
                  </w:r>
                </w:p>
              </w:tc>
              <w:tc>
                <w:tcPr>
                  <w:tcW w:w="1110" w:type="pct"/>
                  <w:vAlign w:val="center"/>
                </w:tcPr>
                <w:p w14:paraId="29B78E98">
                  <w:pPr>
                    <w:adjustRightInd w:val="0"/>
                    <w:snapToGrid w:val="0"/>
                    <w:jc w:val="center"/>
                    <w:rPr>
                      <w:color w:val="auto"/>
                      <w:sz w:val="21"/>
                      <w:szCs w:val="21"/>
                    </w:rPr>
                  </w:pPr>
                  <w:r>
                    <w:rPr>
                      <w:rFonts w:hint="eastAsia"/>
                      <w:color w:val="auto"/>
                      <w:sz w:val="21"/>
                      <w:szCs w:val="21"/>
                    </w:rPr>
                    <w:t>2.1</w:t>
                  </w:r>
                </w:p>
              </w:tc>
            </w:tr>
            <w:tr w14:paraId="00570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1C5D61DE">
                  <w:pPr>
                    <w:adjustRightInd w:val="0"/>
                    <w:snapToGrid w:val="0"/>
                    <w:jc w:val="center"/>
                    <w:rPr>
                      <w:color w:val="auto"/>
                      <w:sz w:val="21"/>
                      <w:szCs w:val="21"/>
                    </w:rPr>
                  </w:pPr>
                </w:p>
              </w:tc>
              <w:tc>
                <w:tcPr>
                  <w:tcW w:w="420" w:type="pct"/>
                  <w:vMerge w:val="continue"/>
                  <w:vAlign w:val="center"/>
                </w:tcPr>
                <w:p w14:paraId="243A66BD">
                  <w:pPr>
                    <w:adjustRightInd w:val="0"/>
                    <w:snapToGrid w:val="0"/>
                    <w:jc w:val="center"/>
                    <w:rPr>
                      <w:color w:val="auto"/>
                      <w:sz w:val="21"/>
                      <w:szCs w:val="21"/>
                    </w:rPr>
                  </w:pPr>
                </w:p>
              </w:tc>
              <w:tc>
                <w:tcPr>
                  <w:tcW w:w="939" w:type="pct"/>
                  <w:vAlign w:val="center"/>
                </w:tcPr>
                <w:p w14:paraId="78BACB2A">
                  <w:pPr>
                    <w:adjustRightInd w:val="0"/>
                    <w:snapToGrid w:val="0"/>
                    <w:jc w:val="center"/>
                    <w:rPr>
                      <w:color w:val="auto"/>
                      <w:sz w:val="21"/>
                      <w:szCs w:val="21"/>
                    </w:rPr>
                  </w:pPr>
                  <w:r>
                    <w:rPr>
                      <w:rFonts w:hint="eastAsia"/>
                      <w:color w:val="auto"/>
                      <w:sz w:val="21"/>
                      <w:szCs w:val="21"/>
                    </w:rPr>
                    <w:t>14:00-15:00</w:t>
                  </w:r>
                </w:p>
              </w:tc>
              <w:tc>
                <w:tcPr>
                  <w:tcW w:w="1110" w:type="pct"/>
                  <w:vAlign w:val="center"/>
                </w:tcPr>
                <w:p w14:paraId="423F6557">
                  <w:pPr>
                    <w:adjustRightInd w:val="0"/>
                    <w:snapToGrid w:val="0"/>
                    <w:jc w:val="center"/>
                    <w:rPr>
                      <w:color w:val="auto"/>
                      <w:sz w:val="21"/>
                      <w:szCs w:val="21"/>
                    </w:rPr>
                  </w:pPr>
                  <w:r>
                    <w:rPr>
                      <w:rFonts w:hint="eastAsia"/>
                      <w:color w:val="auto"/>
                      <w:sz w:val="21"/>
                      <w:szCs w:val="21"/>
                    </w:rPr>
                    <w:t>0.117</w:t>
                  </w:r>
                </w:p>
              </w:tc>
              <w:tc>
                <w:tcPr>
                  <w:tcW w:w="1110" w:type="pct"/>
                  <w:vAlign w:val="center"/>
                </w:tcPr>
                <w:p w14:paraId="58224FB3">
                  <w:pPr>
                    <w:adjustRightInd w:val="0"/>
                    <w:snapToGrid w:val="0"/>
                    <w:jc w:val="center"/>
                    <w:rPr>
                      <w:color w:val="auto"/>
                      <w:sz w:val="21"/>
                      <w:szCs w:val="21"/>
                    </w:rPr>
                  </w:pPr>
                  <w:r>
                    <w:rPr>
                      <w:rFonts w:hint="eastAsia"/>
                      <w:color w:val="auto"/>
                      <w:sz w:val="21"/>
                      <w:szCs w:val="21"/>
                    </w:rPr>
                    <w:t>0.039</w:t>
                  </w:r>
                </w:p>
              </w:tc>
              <w:tc>
                <w:tcPr>
                  <w:tcW w:w="1110" w:type="pct"/>
                  <w:vAlign w:val="center"/>
                </w:tcPr>
                <w:p w14:paraId="29101815">
                  <w:pPr>
                    <w:adjustRightInd w:val="0"/>
                    <w:snapToGrid w:val="0"/>
                    <w:jc w:val="center"/>
                    <w:rPr>
                      <w:color w:val="auto"/>
                      <w:sz w:val="21"/>
                      <w:szCs w:val="21"/>
                    </w:rPr>
                  </w:pPr>
                  <w:r>
                    <w:rPr>
                      <w:rFonts w:hint="eastAsia"/>
                      <w:color w:val="auto"/>
                      <w:sz w:val="21"/>
                      <w:szCs w:val="21"/>
                    </w:rPr>
                    <w:t>1.9</w:t>
                  </w:r>
                </w:p>
              </w:tc>
            </w:tr>
            <w:tr w14:paraId="15064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20AB0FAA">
                  <w:pPr>
                    <w:adjustRightInd w:val="0"/>
                    <w:snapToGrid w:val="0"/>
                    <w:jc w:val="center"/>
                    <w:rPr>
                      <w:color w:val="auto"/>
                      <w:sz w:val="21"/>
                      <w:szCs w:val="21"/>
                    </w:rPr>
                  </w:pPr>
                </w:p>
              </w:tc>
              <w:tc>
                <w:tcPr>
                  <w:tcW w:w="420" w:type="pct"/>
                  <w:vMerge w:val="continue"/>
                  <w:vAlign w:val="center"/>
                </w:tcPr>
                <w:p w14:paraId="7C76F3DC">
                  <w:pPr>
                    <w:adjustRightInd w:val="0"/>
                    <w:snapToGrid w:val="0"/>
                    <w:jc w:val="center"/>
                    <w:rPr>
                      <w:color w:val="auto"/>
                      <w:sz w:val="21"/>
                      <w:szCs w:val="21"/>
                    </w:rPr>
                  </w:pPr>
                </w:p>
              </w:tc>
              <w:tc>
                <w:tcPr>
                  <w:tcW w:w="939" w:type="pct"/>
                  <w:vAlign w:val="center"/>
                </w:tcPr>
                <w:p w14:paraId="3A8BA2DB">
                  <w:pPr>
                    <w:adjustRightInd w:val="0"/>
                    <w:snapToGrid w:val="0"/>
                    <w:jc w:val="center"/>
                    <w:rPr>
                      <w:color w:val="auto"/>
                      <w:sz w:val="21"/>
                      <w:szCs w:val="21"/>
                    </w:rPr>
                  </w:pPr>
                  <w:r>
                    <w:rPr>
                      <w:rFonts w:hint="eastAsia"/>
                      <w:color w:val="auto"/>
                      <w:sz w:val="21"/>
                      <w:szCs w:val="21"/>
                    </w:rPr>
                    <w:t>20:00-21:00</w:t>
                  </w:r>
                </w:p>
              </w:tc>
              <w:tc>
                <w:tcPr>
                  <w:tcW w:w="1110" w:type="pct"/>
                  <w:vAlign w:val="center"/>
                </w:tcPr>
                <w:p w14:paraId="7DBF323E">
                  <w:pPr>
                    <w:adjustRightInd w:val="0"/>
                    <w:snapToGrid w:val="0"/>
                    <w:jc w:val="center"/>
                    <w:rPr>
                      <w:color w:val="auto"/>
                      <w:sz w:val="21"/>
                      <w:szCs w:val="21"/>
                    </w:rPr>
                  </w:pPr>
                  <w:r>
                    <w:rPr>
                      <w:rFonts w:hint="eastAsia"/>
                      <w:color w:val="auto"/>
                      <w:sz w:val="21"/>
                      <w:szCs w:val="21"/>
                    </w:rPr>
                    <w:t>0.134</w:t>
                  </w:r>
                </w:p>
              </w:tc>
              <w:tc>
                <w:tcPr>
                  <w:tcW w:w="1110" w:type="pct"/>
                  <w:vAlign w:val="center"/>
                </w:tcPr>
                <w:p w14:paraId="743CFAB1">
                  <w:pPr>
                    <w:adjustRightInd w:val="0"/>
                    <w:snapToGrid w:val="0"/>
                    <w:jc w:val="center"/>
                    <w:rPr>
                      <w:color w:val="auto"/>
                      <w:sz w:val="21"/>
                      <w:szCs w:val="21"/>
                    </w:rPr>
                  </w:pPr>
                  <w:r>
                    <w:rPr>
                      <w:rFonts w:hint="eastAsia"/>
                      <w:color w:val="auto"/>
                      <w:sz w:val="21"/>
                      <w:szCs w:val="21"/>
                    </w:rPr>
                    <w:t>0.042</w:t>
                  </w:r>
                </w:p>
              </w:tc>
              <w:tc>
                <w:tcPr>
                  <w:tcW w:w="1110" w:type="pct"/>
                  <w:vAlign w:val="center"/>
                </w:tcPr>
                <w:p w14:paraId="3E12559D">
                  <w:pPr>
                    <w:adjustRightInd w:val="0"/>
                    <w:snapToGrid w:val="0"/>
                    <w:jc w:val="center"/>
                    <w:rPr>
                      <w:color w:val="auto"/>
                      <w:sz w:val="21"/>
                      <w:szCs w:val="21"/>
                    </w:rPr>
                  </w:pPr>
                  <w:r>
                    <w:rPr>
                      <w:rFonts w:hint="eastAsia"/>
                      <w:color w:val="auto"/>
                      <w:sz w:val="21"/>
                      <w:szCs w:val="21"/>
                    </w:rPr>
                    <w:t>1.9</w:t>
                  </w:r>
                </w:p>
              </w:tc>
            </w:tr>
            <w:tr w14:paraId="1440A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399D1592">
                  <w:pPr>
                    <w:adjustRightInd w:val="0"/>
                    <w:snapToGrid w:val="0"/>
                    <w:jc w:val="center"/>
                    <w:rPr>
                      <w:color w:val="auto"/>
                      <w:sz w:val="21"/>
                      <w:szCs w:val="21"/>
                    </w:rPr>
                  </w:pPr>
                </w:p>
              </w:tc>
              <w:tc>
                <w:tcPr>
                  <w:tcW w:w="420" w:type="pct"/>
                  <w:vMerge w:val="restart"/>
                  <w:vAlign w:val="center"/>
                </w:tcPr>
                <w:p w14:paraId="7F252D73">
                  <w:pPr>
                    <w:adjustRightInd w:val="0"/>
                    <w:snapToGrid w:val="0"/>
                    <w:jc w:val="center"/>
                    <w:rPr>
                      <w:color w:val="auto"/>
                      <w:sz w:val="21"/>
                      <w:szCs w:val="21"/>
                    </w:rPr>
                  </w:pPr>
                  <w:r>
                    <w:rPr>
                      <w:rFonts w:hint="eastAsia"/>
                      <w:color w:val="auto"/>
                      <w:sz w:val="21"/>
                      <w:szCs w:val="21"/>
                    </w:rPr>
                    <w:t>2023.05.25</w:t>
                  </w:r>
                </w:p>
              </w:tc>
              <w:tc>
                <w:tcPr>
                  <w:tcW w:w="939" w:type="pct"/>
                  <w:vAlign w:val="center"/>
                </w:tcPr>
                <w:p w14:paraId="5C055E43">
                  <w:pPr>
                    <w:adjustRightInd w:val="0"/>
                    <w:snapToGrid w:val="0"/>
                    <w:jc w:val="center"/>
                    <w:rPr>
                      <w:color w:val="auto"/>
                      <w:sz w:val="21"/>
                      <w:szCs w:val="21"/>
                    </w:rPr>
                  </w:pPr>
                  <w:r>
                    <w:rPr>
                      <w:rFonts w:hint="eastAsia"/>
                      <w:color w:val="auto"/>
                      <w:sz w:val="21"/>
                      <w:szCs w:val="21"/>
                    </w:rPr>
                    <w:t>02:00-03:00</w:t>
                  </w:r>
                </w:p>
              </w:tc>
              <w:tc>
                <w:tcPr>
                  <w:tcW w:w="1110" w:type="pct"/>
                  <w:vAlign w:val="center"/>
                </w:tcPr>
                <w:p w14:paraId="36872CD0">
                  <w:pPr>
                    <w:adjustRightInd w:val="0"/>
                    <w:snapToGrid w:val="0"/>
                    <w:jc w:val="center"/>
                    <w:rPr>
                      <w:color w:val="auto"/>
                      <w:sz w:val="21"/>
                      <w:szCs w:val="21"/>
                    </w:rPr>
                  </w:pPr>
                  <w:r>
                    <w:rPr>
                      <w:rFonts w:hint="eastAsia"/>
                      <w:color w:val="auto"/>
                      <w:sz w:val="21"/>
                      <w:szCs w:val="21"/>
                    </w:rPr>
                    <w:t>0.117</w:t>
                  </w:r>
                </w:p>
              </w:tc>
              <w:tc>
                <w:tcPr>
                  <w:tcW w:w="1110" w:type="pct"/>
                  <w:vAlign w:val="center"/>
                </w:tcPr>
                <w:p w14:paraId="3D0418F5">
                  <w:pPr>
                    <w:adjustRightInd w:val="0"/>
                    <w:snapToGrid w:val="0"/>
                    <w:jc w:val="center"/>
                    <w:rPr>
                      <w:color w:val="auto"/>
                      <w:sz w:val="21"/>
                      <w:szCs w:val="21"/>
                    </w:rPr>
                  </w:pPr>
                  <w:r>
                    <w:rPr>
                      <w:rFonts w:hint="eastAsia"/>
                      <w:color w:val="auto"/>
                      <w:sz w:val="21"/>
                      <w:szCs w:val="21"/>
                    </w:rPr>
                    <w:t>0.046</w:t>
                  </w:r>
                </w:p>
              </w:tc>
              <w:tc>
                <w:tcPr>
                  <w:tcW w:w="1110" w:type="pct"/>
                  <w:vAlign w:val="center"/>
                </w:tcPr>
                <w:p w14:paraId="30B386DD">
                  <w:pPr>
                    <w:adjustRightInd w:val="0"/>
                    <w:snapToGrid w:val="0"/>
                    <w:jc w:val="center"/>
                    <w:rPr>
                      <w:color w:val="auto"/>
                      <w:sz w:val="21"/>
                      <w:szCs w:val="21"/>
                    </w:rPr>
                  </w:pPr>
                  <w:r>
                    <w:rPr>
                      <w:rFonts w:hint="eastAsia"/>
                      <w:color w:val="auto"/>
                      <w:sz w:val="21"/>
                      <w:szCs w:val="21"/>
                    </w:rPr>
                    <w:t>2.0</w:t>
                  </w:r>
                </w:p>
              </w:tc>
            </w:tr>
            <w:tr w14:paraId="57D3F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666CE3BC">
                  <w:pPr>
                    <w:adjustRightInd w:val="0"/>
                    <w:snapToGrid w:val="0"/>
                    <w:jc w:val="center"/>
                    <w:rPr>
                      <w:color w:val="auto"/>
                      <w:sz w:val="21"/>
                      <w:szCs w:val="21"/>
                    </w:rPr>
                  </w:pPr>
                </w:p>
              </w:tc>
              <w:tc>
                <w:tcPr>
                  <w:tcW w:w="420" w:type="pct"/>
                  <w:vMerge w:val="continue"/>
                  <w:vAlign w:val="center"/>
                </w:tcPr>
                <w:p w14:paraId="386E3581">
                  <w:pPr>
                    <w:adjustRightInd w:val="0"/>
                    <w:snapToGrid w:val="0"/>
                    <w:jc w:val="center"/>
                    <w:rPr>
                      <w:color w:val="auto"/>
                      <w:sz w:val="21"/>
                      <w:szCs w:val="21"/>
                    </w:rPr>
                  </w:pPr>
                </w:p>
              </w:tc>
              <w:tc>
                <w:tcPr>
                  <w:tcW w:w="939" w:type="pct"/>
                  <w:vAlign w:val="center"/>
                </w:tcPr>
                <w:p w14:paraId="57604036">
                  <w:pPr>
                    <w:adjustRightInd w:val="0"/>
                    <w:snapToGrid w:val="0"/>
                    <w:jc w:val="center"/>
                    <w:rPr>
                      <w:color w:val="auto"/>
                      <w:sz w:val="21"/>
                      <w:szCs w:val="21"/>
                    </w:rPr>
                  </w:pPr>
                  <w:r>
                    <w:rPr>
                      <w:rFonts w:hint="eastAsia"/>
                      <w:color w:val="auto"/>
                      <w:sz w:val="21"/>
                      <w:szCs w:val="21"/>
                    </w:rPr>
                    <w:t>08:00-09:00</w:t>
                  </w:r>
                </w:p>
              </w:tc>
              <w:tc>
                <w:tcPr>
                  <w:tcW w:w="1110" w:type="pct"/>
                  <w:vAlign w:val="center"/>
                </w:tcPr>
                <w:p w14:paraId="05E81081">
                  <w:pPr>
                    <w:adjustRightInd w:val="0"/>
                    <w:snapToGrid w:val="0"/>
                    <w:jc w:val="center"/>
                    <w:rPr>
                      <w:color w:val="auto"/>
                      <w:sz w:val="21"/>
                      <w:szCs w:val="21"/>
                    </w:rPr>
                  </w:pPr>
                  <w:r>
                    <w:rPr>
                      <w:rFonts w:hint="eastAsia"/>
                      <w:color w:val="auto"/>
                      <w:sz w:val="21"/>
                      <w:szCs w:val="21"/>
                    </w:rPr>
                    <w:t>0.117</w:t>
                  </w:r>
                </w:p>
              </w:tc>
              <w:tc>
                <w:tcPr>
                  <w:tcW w:w="1110" w:type="pct"/>
                  <w:vAlign w:val="center"/>
                </w:tcPr>
                <w:p w14:paraId="1274E5B8">
                  <w:pPr>
                    <w:adjustRightInd w:val="0"/>
                    <w:snapToGrid w:val="0"/>
                    <w:jc w:val="center"/>
                    <w:rPr>
                      <w:color w:val="auto"/>
                      <w:sz w:val="21"/>
                      <w:szCs w:val="21"/>
                    </w:rPr>
                  </w:pPr>
                  <w:r>
                    <w:rPr>
                      <w:rFonts w:hint="eastAsia"/>
                      <w:color w:val="auto"/>
                      <w:sz w:val="21"/>
                      <w:szCs w:val="21"/>
                    </w:rPr>
                    <w:t>0.043</w:t>
                  </w:r>
                </w:p>
              </w:tc>
              <w:tc>
                <w:tcPr>
                  <w:tcW w:w="1110" w:type="pct"/>
                  <w:vAlign w:val="center"/>
                </w:tcPr>
                <w:p w14:paraId="7163EF8C">
                  <w:pPr>
                    <w:adjustRightInd w:val="0"/>
                    <w:snapToGrid w:val="0"/>
                    <w:jc w:val="center"/>
                    <w:rPr>
                      <w:color w:val="auto"/>
                      <w:sz w:val="21"/>
                      <w:szCs w:val="21"/>
                    </w:rPr>
                  </w:pPr>
                  <w:r>
                    <w:rPr>
                      <w:rFonts w:hint="eastAsia"/>
                      <w:color w:val="auto"/>
                      <w:sz w:val="21"/>
                      <w:szCs w:val="21"/>
                    </w:rPr>
                    <w:t>1.9</w:t>
                  </w:r>
                </w:p>
              </w:tc>
            </w:tr>
            <w:tr w14:paraId="6B69C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4CE953A4">
                  <w:pPr>
                    <w:adjustRightInd w:val="0"/>
                    <w:snapToGrid w:val="0"/>
                    <w:jc w:val="center"/>
                    <w:rPr>
                      <w:color w:val="auto"/>
                      <w:sz w:val="21"/>
                      <w:szCs w:val="21"/>
                    </w:rPr>
                  </w:pPr>
                </w:p>
              </w:tc>
              <w:tc>
                <w:tcPr>
                  <w:tcW w:w="420" w:type="pct"/>
                  <w:vMerge w:val="continue"/>
                  <w:vAlign w:val="center"/>
                </w:tcPr>
                <w:p w14:paraId="060F603E">
                  <w:pPr>
                    <w:adjustRightInd w:val="0"/>
                    <w:snapToGrid w:val="0"/>
                    <w:jc w:val="center"/>
                    <w:rPr>
                      <w:color w:val="auto"/>
                      <w:sz w:val="21"/>
                      <w:szCs w:val="21"/>
                    </w:rPr>
                  </w:pPr>
                </w:p>
              </w:tc>
              <w:tc>
                <w:tcPr>
                  <w:tcW w:w="939" w:type="pct"/>
                  <w:vAlign w:val="center"/>
                </w:tcPr>
                <w:p w14:paraId="3E5A0B7A">
                  <w:pPr>
                    <w:adjustRightInd w:val="0"/>
                    <w:snapToGrid w:val="0"/>
                    <w:jc w:val="center"/>
                    <w:rPr>
                      <w:color w:val="auto"/>
                      <w:sz w:val="21"/>
                      <w:szCs w:val="21"/>
                    </w:rPr>
                  </w:pPr>
                  <w:r>
                    <w:rPr>
                      <w:rFonts w:hint="eastAsia"/>
                      <w:color w:val="auto"/>
                      <w:sz w:val="21"/>
                      <w:szCs w:val="21"/>
                    </w:rPr>
                    <w:t>14:00-15:00</w:t>
                  </w:r>
                </w:p>
              </w:tc>
              <w:tc>
                <w:tcPr>
                  <w:tcW w:w="1110" w:type="pct"/>
                  <w:vAlign w:val="center"/>
                </w:tcPr>
                <w:p w14:paraId="7E7456CE">
                  <w:pPr>
                    <w:adjustRightInd w:val="0"/>
                    <w:snapToGrid w:val="0"/>
                    <w:jc w:val="center"/>
                    <w:rPr>
                      <w:color w:val="auto"/>
                      <w:sz w:val="21"/>
                      <w:szCs w:val="21"/>
                    </w:rPr>
                  </w:pPr>
                  <w:r>
                    <w:rPr>
                      <w:rFonts w:hint="eastAsia"/>
                      <w:color w:val="auto"/>
                      <w:sz w:val="21"/>
                      <w:szCs w:val="21"/>
                    </w:rPr>
                    <w:t>0.100</w:t>
                  </w:r>
                </w:p>
              </w:tc>
              <w:tc>
                <w:tcPr>
                  <w:tcW w:w="1110" w:type="pct"/>
                  <w:vAlign w:val="center"/>
                </w:tcPr>
                <w:p w14:paraId="61AADB7E">
                  <w:pPr>
                    <w:adjustRightInd w:val="0"/>
                    <w:snapToGrid w:val="0"/>
                    <w:jc w:val="center"/>
                    <w:rPr>
                      <w:color w:val="auto"/>
                      <w:sz w:val="21"/>
                      <w:szCs w:val="21"/>
                    </w:rPr>
                  </w:pPr>
                  <w:r>
                    <w:rPr>
                      <w:rFonts w:hint="eastAsia"/>
                      <w:color w:val="auto"/>
                      <w:sz w:val="21"/>
                      <w:szCs w:val="21"/>
                    </w:rPr>
                    <w:t>0.042</w:t>
                  </w:r>
                </w:p>
              </w:tc>
              <w:tc>
                <w:tcPr>
                  <w:tcW w:w="1110" w:type="pct"/>
                  <w:vAlign w:val="center"/>
                </w:tcPr>
                <w:p w14:paraId="2D48A853">
                  <w:pPr>
                    <w:adjustRightInd w:val="0"/>
                    <w:snapToGrid w:val="0"/>
                    <w:jc w:val="center"/>
                    <w:rPr>
                      <w:color w:val="auto"/>
                      <w:sz w:val="21"/>
                      <w:szCs w:val="21"/>
                    </w:rPr>
                  </w:pPr>
                  <w:r>
                    <w:rPr>
                      <w:rFonts w:hint="eastAsia"/>
                      <w:color w:val="auto"/>
                      <w:sz w:val="21"/>
                      <w:szCs w:val="21"/>
                    </w:rPr>
                    <w:t>2.1</w:t>
                  </w:r>
                </w:p>
              </w:tc>
            </w:tr>
            <w:tr w14:paraId="74001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035CA19F">
                  <w:pPr>
                    <w:adjustRightInd w:val="0"/>
                    <w:snapToGrid w:val="0"/>
                    <w:jc w:val="center"/>
                    <w:rPr>
                      <w:color w:val="auto"/>
                      <w:sz w:val="21"/>
                      <w:szCs w:val="21"/>
                    </w:rPr>
                  </w:pPr>
                </w:p>
              </w:tc>
              <w:tc>
                <w:tcPr>
                  <w:tcW w:w="420" w:type="pct"/>
                  <w:vMerge w:val="continue"/>
                  <w:vAlign w:val="center"/>
                </w:tcPr>
                <w:p w14:paraId="2F14E7BF">
                  <w:pPr>
                    <w:adjustRightInd w:val="0"/>
                    <w:snapToGrid w:val="0"/>
                    <w:jc w:val="center"/>
                    <w:rPr>
                      <w:color w:val="auto"/>
                      <w:sz w:val="21"/>
                      <w:szCs w:val="21"/>
                    </w:rPr>
                  </w:pPr>
                </w:p>
              </w:tc>
              <w:tc>
                <w:tcPr>
                  <w:tcW w:w="939" w:type="pct"/>
                  <w:vAlign w:val="center"/>
                </w:tcPr>
                <w:p w14:paraId="01D30DDF">
                  <w:pPr>
                    <w:adjustRightInd w:val="0"/>
                    <w:snapToGrid w:val="0"/>
                    <w:jc w:val="center"/>
                    <w:rPr>
                      <w:color w:val="auto"/>
                      <w:sz w:val="21"/>
                      <w:szCs w:val="21"/>
                    </w:rPr>
                  </w:pPr>
                  <w:r>
                    <w:rPr>
                      <w:rFonts w:hint="eastAsia"/>
                      <w:color w:val="auto"/>
                      <w:sz w:val="21"/>
                      <w:szCs w:val="21"/>
                    </w:rPr>
                    <w:t>20:00-21:00</w:t>
                  </w:r>
                </w:p>
              </w:tc>
              <w:tc>
                <w:tcPr>
                  <w:tcW w:w="1110" w:type="pct"/>
                  <w:vAlign w:val="center"/>
                </w:tcPr>
                <w:p w14:paraId="69847E36">
                  <w:pPr>
                    <w:adjustRightInd w:val="0"/>
                    <w:snapToGrid w:val="0"/>
                    <w:jc w:val="center"/>
                    <w:rPr>
                      <w:color w:val="auto"/>
                      <w:sz w:val="21"/>
                      <w:szCs w:val="21"/>
                    </w:rPr>
                  </w:pPr>
                  <w:r>
                    <w:rPr>
                      <w:rFonts w:hint="eastAsia"/>
                      <w:color w:val="auto"/>
                      <w:sz w:val="21"/>
                      <w:szCs w:val="21"/>
                    </w:rPr>
                    <w:t>0.134</w:t>
                  </w:r>
                </w:p>
              </w:tc>
              <w:tc>
                <w:tcPr>
                  <w:tcW w:w="1110" w:type="pct"/>
                  <w:vAlign w:val="center"/>
                </w:tcPr>
                <w:p w14:paraId="5FA21B63">
                  <w:pPr>
                    <w:adjustRightInd w:val="0"/>
                    <w:snapToGrid w:val="0"/>
                    <w:jc w:val="center"/>
                    <w:rPr>
                      <w:color w:val="auto"/>
                      <w:sz w:val="21"/>
                      <w:szCs w:val="21"/>
                    </w:rPr>
                  </w:pPr>
                  <w:r>
                    <w:rPr>
                      <w:rFonts w:hint="eastAsia"/>
                      <w:color w:val="auto"/>
                      <w:sz w:val="21"/>
                      <w:szCs w:val="21"/>
                    </w:rPr>
                    <w:t>0.044</w:t>
                  </w:r>
                </w:p>
              </w:tc>
              <w:tc>
                <w:tcPr>
                  <w:tcW w:w="1110" w:type="pct"/>
                  <w:vAlign w:val="center"/>
                </w:tcPr>
                <w:p w14:paraId="5ABE49ED">
                  <w:pPr>
                    <w:adjustRightInd w:val="0"/>
                    <w:snapToGrid w:val="0"/>
                    <w:jc w:val="center"/>
                    <w:rPr>
                      <w:color w:val="auto"/>
                      <w:sz w:val="21"/>
                      <w:szCs w:val="21"/>
                    </w:rPr>
                  </w:pPr>
                  <w:r>
                    <w:rPr>
                      <w:rFonts w:hint="eastAsia"/>
                      <w:color w:val="auto"/>
                      <w:sz w:val="21"/>
                      <w:szCs w:val="21"/>
                    </w:rPr>
                    <w:t>2.0</w:t>
                  </w:r>
                </w:p>
              </w:tc>
            </w:tr>
            <w:tr w14:paraId="36E66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3D6F2EEA">
                  <w:pPr>
                    <w:adjustRightInd w:val="0"/>
                    <w:snapToGrid w:val="0"/>
                    <w:jc w:val="center"/>
                    <w:rPr>
                      <w:color w:val="auto"/>
                      <w:sz w:val="21"/>
                      <w:szCs w:val="21"/>
                    </w:rPr>
                  </w:pPr>
                </w:p>
              </w:tc>
              <w:tc>
                <w:tcPr>
                  <w:tcW w:w="420" w:type="pct"/>
                  <w:vMerge w:val="restart"/>
                  <w:vAlign w:val="center"/>
                </w:tcPr>
                <w:p w14:paraId="771F1D29">
                  <w:pPr>
                    <w:adjustRightInd w:val="0"/>
                    <w:snapToGrid w:val="0"/>
                    <w:jc w:val="center"/>
                    <w:rPr>
                      <w:color w:val="auto"/>
                      <w:sz w:val="21"/>
                      <w:szCs w:val="21"/>
                    </w:rPr>
                  </w:pPr>
                  <w:r>
                    <w:rPr>
                      <w:rFonts w:hint="eastAsia"/>
                      <w:color w:val="auto"/>
                      <w:sz w:val="21"/>
                      <w:szCs w:val="21"/>
                    </w:rPr>
                    <w:t>2023.05.26</w:t>
                  </w:r>
                </w:p>
              </w:tc>
              <w:tc>
                <w:tcPr>
                  <w:tcW w:w="939" w:type="pct"/>
                  <w:vAlign w:val="center"/>
                </w:tcPr>
                <w:p w14:paraId="4AAC218B">
                  <w:pPr>
                    <w:adjustRightInd w:val="0"/>
                    <w:snapToGrid w:val="0"/>
                    <w:jc w:val="center"/>
                    <w:rPr>
                      <w:color w:val="auto"/>
                      <w:sz w:val="21"/>
                      <w:szCs w:val="21"/>
                    </w:rPr>
                  </w:pPr>
                  <w:r>
                    <w:rPr>
                      <w:rFonts w:hint="eastAsia"/>
                      <w:color w:val="auto"/>
                      <w:sz w:val="21"/>
                      <w:szCs w:val="21"/>
                    </w:rPr>
                    <w:t>02:00-03:00</w:t>
                  </w:r>
                </w:p>
              </w:tc>
              <w:tc>
                <w:tcPr>
                  <w:tcW w:w="1110" w:type="pct"/>
                  <w:vAlign w:val="center"/>
                </w:tcPr>
                <w:p w14:paraId="6BA60D01">
                  <w:pPr>
                    <w:adjustRightInd w:val="0"/>
                    <w:snapToGrid w:val="0"/>
                    <w:jc w:val="center"/>
                    <w:rPr>
                      <w:color w:val="auto"/>
                      <w:sz w:val="21"/>
                      <w:szCs w:val="21"/>
                    </w:rPr>
                  </w:pPr>
                  <w:r>
                    <w:rPr>
                      <w:rFonts w:hint="eastAsia"/>
                      <w:color w:val="auto"/>
                      <w:sz w:val="21"/>
                      <w:szCs w:val="21"/>
                    </w:rPr>
                    <w:t>0.117</w:t>
                  </w:r>
                </w:p>
              </w:tc>
              <w:tc>
                <w:tcPr>
                  <w:tcW w:w="1110" w:type="pct"/>
                  <w:vAlign w:val="center"/>
                </w:tcPr>
                <w:p w14:paraId="74BDA112">
                  <w:pPr>
                    <w:adjustRightInd w:val="0"/>
                    <w:snapToGrid w:val="0"/>
                    <w:jc w:val="center"/>
                    <w:rPr>
                      <w:color w:val="auto"/>
                      <w:sz w:val="21"/>
                      <w:szCs w:val="21"/>
                    </w:rPr>
                  </w:pPr>
                  <w:r>
                    <w:rPr>
                      <w:rFonts w:hint="eastAsia"/>
                      <w:color w:val="auto"/>
                      <w:sz w:val="21"/>
                      <w:szCs w:val="21"/>
                    </w:rPr>
                    <w:t>0.047</w:t>
                  </w:r>
                </w:p>
              </w:tc>
              <w:tc>
                <w:tcPr>
                  <w:tcW w:w="1110" w:type="pct"/>
                  <w:vAlign w:val="center"/>
                </w:tcPr>
                <w:p w14:paraId="0CED0F14">
                  <w:pPr>
                    <w:adjustRightInd w:val="0"/>
                    <w:snapToGrid w:val="0"/>
                    <w:jc w:val="center"/>
                    <w:rPr>
                      <w:color w:val="auto"/>
                      <w:sz w:val="21"/>
                      <w:szCs w:val="21"/>
                    </w:rPr>
                  </w:pPr>
                  <w:r>
                    <w:rPr>
                      <w:rFonts w:hint="eastAsia"/>
                      <w:color w:val="auto"/>
                      <w:sz w:val="21"/>
                      <w:szCs w:val="21"/>
                    </w:rPr>
                    <w:t>1.9</w:t>
                  </w:r>
                </w:p>
              </w:tc>
            </w:tr>
            <w:tr w14:paraId="578D9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1D577DE7">
                  <w:pPr>
                    <w:adjustRightInd w:val="0"/>
                    <w:snapToGrid w:val="0"/>
                    <w:jc w:val="center"/>
                    <w:rPr>
                      <w:color w:val="auto"/>
                      <w:sz w:val="21"/>
                      <w:szCs w:val="21"/>
                    </w:rPr>
                  </w:pPr>
                </w:p>
              </w:tc>
              <w:tc>
                <w:tcPr>
                  <w:tcW w:w="420" w:type="pct"/>
                  <w:vMerge w:val="continue"/>
                  <w:vAlign w:val="center"/>
                </w:tcPr>
                <w:p w14:paraId="0C9311D2">
                  <w:pPr>
                    <w:adjustRightInd w:val="0"/>
                    <w:snapToGrid w:val="0"/>
                    <w:jc w:val="center"/>
                    <w:rPr>
                      <w:color w:val="auto"/>
                      <w:sz w:val="21"/>
                      <w:szCs w:val="21"/>
                    </w:rPr>
                  </w:pPr>
                </w:p>
              </w:tc>
              <w:tc>
                <w:tcPr>
                  <w:tcW w:w="939" w:type="pct"/>
                  <w:vAlign w:val="center"/>
                </w:tcPr>
                <w:p w14:paraId="36D72872">
                  <w:pPr>
                    <w:adjustRightInd w:val="0"/>
                    <w:snapToGrid w:val="0"/>
                    <w:jc w:val="center"/>
                    <w:rPr>
                      <w:color w:val="auto"/>
                      <w:sz w:val="21"/>
                      <w:szCs w:val="21"/>
                    </w:rPr>
                  </w:pPr>
                  <w:r>
                    <w:rPr>
                      <w:rFonts w:hint="eastAsia"/>
                      <w:color w:val="auto"/>
                      <w:sz w:val="21"/>
                      <w:szCs w:val="21"/>
                    </w:rPr>
                    <w:t>08:00-09:00</w:t>
                  </w:r>
                </w:p>
              </w:tc>
              <w:tc>
                <w:tcPr>
                  <w:tcW w:w="1110" w:type="pct"/>
                  <w:vAlign w:val="center"/>
                </w:tcPr>
                <w:p w14:paraId="66ED8F43">
                  <w:pPr>
                    <w:adjustRightInd w:val="0"/>
                    <w:snapToGrid w:val="0"/>
                    <w:jc w:val="center"/>
                    <w:rPr>
                      <w:color w:val="auto"/>
                      <w:sz w:val="21"/>
                      <w:szCs w:val="21"/>
                    </w:rPr>
                  </w:pPr>
                  <w:r>
                    <w:rPr>
                      <w:rFonts w:hint="eastAsia"/>
                      <w:color w:val="auto"/>
                      <w:sz w:val="21"/>
                      <w:szCs w:val="21"/>
                    </w:rPr>
                    <w:t>0.100</w:t>
                  </w:r>
                </w:p>
              </w:tc>
              <w:tc>
                <w:tcPr>
                  <w:tcW w:w="1110" w:type="pct"/>
                  <w:vAlign w:val="center"/>
                </w:tcPr>
                <w:p w14:paraId="0D688E7B">
                  <w:pPr>
                    <w:adjustRightInd w:val="0"/>
                    <w:snapToGrid w:val="0"/>
                    <w:jc w:val="center"/>
                    <w:rPr>
                      <w:color w:val="auto"/>
                      <w:sz w:val="21"/>
                      <w:szCs w:val="21"/>
                    </w:rPr>
                  </w:pPr>
                  <w:r>
                    <w:rPr>
                      <w:rFonts w:hint="eastAsia"/>
                      <w:color w:val="auto"/>
                      <w:sz w:val="21"/>
                      <w:szCs w:val="21"/>
                    </w:rPr>
                    <w:t>0.046</w:t>
                  </w:r>
                </w:p>
              </w:tc>
              <w:tc>
                <w:tcPr>
                  <w:tcW w:w="1110" w:type="pct"/>
                  <w:vAlign w:val="center"/>
                </w:tcPr>
                <w:p w14:paraId="3663DD20">
                  <w:pPr>
                    <w:adjustRightInd w:val="0"/>
                    <w:snapToGrid w:val="0"/>
                    <w:jc w:val="center"/>
                    <w:rPr>
                      <w:color w:val="auto"/>
                      <w:sz w:val="21"/>
                      <w:szCs w:val="21"/>
                    </w:rPr>
                  </w:pPr>
                  <w:r>
                    <w:rPr>
                      <w:rFonts w:hint="eastAsia"/>
                      <w:color w:val="auto"/>
                      <w:sz w:val="21"/>
                      <w:szCs w:val="21"/>
                    </w:rPr>
                    <w:t>2.0</w:t>
                  </w:r>
                </w:p>
              </w:tc>
            </w:tr>
            <w:tr w14:paraId="32885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2B320BE4">
                  <w:pPr>
                    <w:adjustRightInd w:val="0"/>
                    <w:snapToGrid w:val="0"/>
                    <w:jc w:val="center"/>
                    <w:rPr>
                      <w:color w:val="auto"/>
                      <w:sz w:val="21"/>
                      <w:szCs w:val="21"/>
                    </w:rPr>
                  </w:pPr>
                </w:p>
              </w:tc>
              <w:tc>
                <w:tcPr>
                  <w:tcW w:w="420" w:type="pct"/>
                  <w:vMerge w:val="continue"/>
                  <w:vAlign w:val="center"/>
                </w:tcPr>
                <w:p w14:paraId="3EF45C34">
                  <w:pPr>
                    <w:adjustRightInd w:val="0"/>
                    <w:snapToGrid w:val="0"/>
                    <w:jc w:val="center"/>
                    <w:rPr>
                      <w:color w:val="auto"/>
                      <w:sz w:val="21"/>
                      <w:szCs w:val="21"/>
                    </w:rPr>
                  </w:pPr>
                </w:p>
              </w:tc>
              <w:tc>
                <w:tcPr>
                  <w:tcW w:w="939" w:type="pct"/>
                  <w:vAlign w:val="center"/>
                </w:tcPr>
                <w:p w14:paraId="74EB203A">
                  <w:pPr>
                    <w:adjustRightInd w:val="0"/>
                    <w:snapToGrid w:val="0"/>
                    <w:jc w:val="center"/>
                    <w:rPr>
                      <w:color w:val="auto"/>
                      <w:sz w:val="21"/>
                      <w:szCs w:val="21"/>
                    </w:rPr>
                  </w:pPr>
                  <w:r>
                    <w:rPr>
                      <w:rFonts w:hint="eastAsia"/>
                      <w:color w:val="auto"/>
                      <w:sz w:val="21"/>
                      <w:szCs w:val="21"/>
                    </w:rPr>
                    <w:t>14:00-15:00</w:t>
                  </w:r>
                </w:p>
              </w:tc>
              <w:tc>
                <w:tcPr>
                  <w:tcW w:w="1110" w:type="pct"/>
                  <w:vAlign w:val="center"/>
                </w:tcPr>
                <w:p w14:paraId="702CD2E3">
                  <w:pPr>
                    <w:adjustRightInd w:val="0"/>
                    <w:snapToGrid w:val="0"/>
                    <w:jc w:val="center"/>
                    <w:rPr>
                      <w:color w:val="auto"/>
                      <w:sz w:val="21"/>
                      <w:szCs w:val="21"/>
                    </w:rPr>
                  </w:pPr>
                  <w:r>
                    <w:rPr>
                      <w:rFonts w:hint="eastAsia"/>
                      <w:color w:val="auto"/>
                      <w:sz w:val="21"/>
                      <w:szCs w:val="21"/>
                    </w:rPr>
                    <w:t>0.117</w:t>
                  </w:r>
                </w:p>
              </w:tc>
              <w:tc>
                <w:tcPr>
                  <w:tcW w:w="1110" w:type="pct"/>
                  <w:vAlign w:val="center"/>
                </w:tcPr>
                <w:p w14:paraId="4337C1CD">
                  <w:pPr>
                    <w:adjustRightInd w:val="0"/>
                    <w:snapToGrid w:val="0"/>
                    <w:jc w:val="center"/>
                    <w:rPr>
                      <w:color w:val="auto"/>
                      <w:sz w:val="21"/>
                      <w:szCs w:val="21"/>
                    </w:rPr>
                  </w:pPr>
                  <w:r>
                    <w:rPr>
                      <w:rFonts w:hint="eastAsia"/>
                      <w:color w:val="auto"/>
                      <w:sz w:val="21"/>
                      <w:szCs w:val="21"/>
                    </w:rPr>
                    <w:t>0.048</w:t>
                  </w:r>
                </w:p>
              </w:tc>
              <w:tc>
                <w:tcPr>
                  <w:tcW w:w="1110" w:type="pct"/>
                  <w:vAlign w:val="center"/>
                </w:tcPr>
                <w:p w14:paraId="2B6F2845">
                  <w:pPr>
                    <w:adjustRightInd w:val="0"/>
                    <w:snapToGrid w:val="0"/>
                    <w:jc w:val="center"/>
                    <w:rPr>
                      <w:color w:val="auto"/>
                      <w:sz w:val="21"/>
                      <w:szCs w:val="21"/>
                    </w:rPr>
                  </w:pPr>
                  <w:r>
                    <w:rPr>
                      <w:rFonts w:hint="eastAsia"/>
                      <w:color w:val="auto"/>
                      <w:sz w:val="21"/>
                      <w:szCs w:val="21"/>
                    </w:rPr>
                    <w:t>1.9</w:t>
                  </w:r>
                </w:p>
              </w:tc>
            </w:tr>
            <w:tr w14:paraId="56C60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435595B2">
                  <w:pPr>
                    <w:adjustRightInd w:val="0"/>
                    <w:snapToGrid w:val="0"/>
                    <w:jc w:val="center"/>
                    <w:rPr>
                      <w:color w:val="auto"/>
                      <w:sz w:val="21"/>
                      <w:szCs w:val="21"/>
                    </w:rPr>
                  </w:pPr>
                </w:p>
              </w:tc>
              <w:tc>
                <w:tcPr>
                  <w:tcW w:w="420" w:type="pct"/>
                  <w:vMerge w:val="continue"/>
                  <w:vAlign w:val="center"/>
                </w:tcPr>
                <w:p w14:paraId="1746D2C6">
                  <w:pPr>
                    <w:adjustRightInd w:val="0"/>
                    <w:snapToGrid w:val="0"/>
                    <w:jc w:val="center"/>
                    <w:rPr>
                      <w:color w:val="auto"/>
                      <w:sz w:val="21"/>
                      <w:szCs w:val="21"/>
                    </w:rPr>
                  </w:pPr>
                </w:p>
              </w:tc>
              <w:tc>
                <w:tcPr>
                  <w:tcW w:w="939" w:type="pct"/>
                  <w:vAlign w:val="center"/>
                </w:tcPr>
                <w:p w14:paraId="40D1B094">
                  <w:pPr>
                    <w:adjustRightInd w:val="0"/>
                    <w:snapToGrid w:val="0"/>
                    <w:jc w:val="center"/>
                    <w:rPr>
                      <w:color w:val="auto"/>
                      <w:sz w:val="21"/>
                      <w:szCs w:val="21"/>
                    </w:rPr>
                  </w:pPr>
                  <w:r>
                    <w:rPr>
                      <w:rFonts w:hint="eastAsia"/>
                      <w:color w:val="auto"/>
                      <w:sz w:val="21"/>
                      <w:szCs w:val="21"/>
                    </w:rPr>
                    <w:t>20:00-21:00</w:t>
                  </w:r>
                </w:p>
              </w:tc>
              <w:tc>
                <w:tcPr>
                  <w:tcW w:w="1110" w:type="pct"/>
                  <w:vAlign w:val="center"/>
                </w:tcPr>
                <w:p w14:paraId="29148995">
                  <w:pPr>
                    <w:adjustRightInd w:val="0"/>
                    <w:snapToGrid w:val="0"/>
                    <w:jc w:val="center"/>
                    <w:rPr>
                      <w:color w:val="auto"/>
                      <w:sz w:val="21"/>
                      <w:szCs w:val="21"/>
                    </w:rPr>
                  </w:pPr>
                  <w:r>
                    <w:rPr>
                      <w:rFonts w:hint="eastAsia"/>
                      <w:color w:val="auto"/>
                      <w:sz w:val="21"/>
                      <w:szCs w:val="21"/>
                    </w:rPr>
                    <w:t>0.100</w:t>
                  </w:r>
                </w:p>
              </w:tc>
              <w:tc>
                <w:tcPr>
                  <w:tcW w:w="1110" w:type="pct"/>
                  <w:vAlign w:val="center"/>
                </w:tcPr>
                <w:p w14:paraId="17CF8D5B">
                  <w:pPr>
                    <w:adjustRightInd w:val="0"/>
                    <w:snapToGrid w:val="0"/>
                    <w:jc w:val="center"/>
                    <w:rPr>
                      <w:color w:val="auto"/>
                      <w:sz w:val="21"/>
                      <w:szCs w:val="21"/>
                    </w:rPr>
                  </w:pPr>
                  <w:r>
                    <w:rPr>
                      <w:rFonts w:hint="eastAsia"/>
                      <w:color w:val="auto"/>
                      <w:sz w:val="21"/>
                      <w:szCs w:val="21"/>
                    </w:rPr>
                    <w:t>0.052</w:t>
                  </w:r>
                </w:p>
              </w:tc>
              <w:tc>
                <w:tcPr>
                  <w:tcW w:w="1110" w:type="pct"/>
                  <w:vAlign w:val="center"/>
                </w:tcPr>
                <w:p w14:paraId="28D65F8B">
                  <w:pPr>
                    <w:adjustRightInd w:val="0"/>
                    <w:snapToGrid w:val="0"/>
                    <w:jc w:val="center"/>
                    <w:rPr>
                      <w:color w:val="auto"/>
                      <w:sz w:val="21"/>
                      <w:szCs w:val="21"/>
                    </w:rPr>
                  </w:pPr>
                  <w:r>
                    <w:rPr>
                      <w:rFonts w:hint="eastAsia"/>
                      <w:color w:val="auto"/>
                      <w:sz w:val="21"/>
                      <w:szCs w:val="21"/>
                    </w:rPr>
                    <w:t>2.1</w:t>
                  </w:r>
                </w:p>
              </w:tc>
            </w:tr>
            <w:tr w14:paraId="1E9A5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148084EF">
                  <w:pPr>
                    <w:adjustRightInd w:val="0"/>
                    <w:snapToGrid w:val="0"/>
                    <w:jc w:val="center"/>
                    <w:rPr>
                      <w:color w:val="auto"/>
                      <w:sz w:val="21"/>
                      <w:szCs w:val="21"/>
                    </w:rPr>
                  </w:pPr>
                </w:p>
              </w:tc>
              <w:tc>
                <w:tcPr>
                  <w:tcW w:w="420" w:type="pct"/>
                  <w:vMerge w:val="restart"/>
                  <w:vAlign w:val="center"/>
                </w:tcPr>
                <w:p w14:paraId="028E0DF0">
                  <w:pPr>
                    <w:adjustRightInd w:val="0"/>
                    <w:snapToGrid w:val="0"/>
                    <w:jc w:val="center"/>
                    <w:rPr>
                      <w:color w:val="auto"/>
                      <w:sz w:val="21"/>
                      <w:szCs w:val="21"/>
                    </w:rPr>
                  </w:pPr>
                  <w:r>
                    <w:rPr>
                      <w:rFonts w:hint="eastAsia"/>
                      <w:color w:val="auto"/>
                      <w:sz w:val="21"/>
                      <w:szCs w:val="21"/>
                    </w:rPr>
                    <w:t>2023.05.27</w:t>
                  </w:r>
                </w:p>
              </w:tc>
              <w:tc>
                <w:tcPr>
                  <w:tcW w:w="939" w:type="pct"/>
                  <w:vAlign w:val="center"/>
                </w:tcPr>
                <w:p w14:paraId="477B2985">
                  <w:pPr>
                    <w:adjustRightInd w:val="0"/>
                    <w:snapToGrid w:val="0"/>
                    <w:jc w:val="center"/>
                    <w:rPr>
                      <w:color w:val="auto"/>
                      <w:sz w:val="21"/>
                      <w:szCs w:val="21"/>
                    </w:rPr>
                  </w:pPr>
                  <w:r>
                    <w:rPr>
                      <w:rFonts w:hint="eastAsia"/>
                      <w:color w:val="auto"/>
                      <w:sz w:val="21"/>
                      <w:szCs w:val="21"/>
                    </w:rPr>
                    <w:t>02:00-03:00</w:t>
                  </w:r>
                </w:p>
              </w:tc>
              <w:tc>
                <w:tcPr>
                  <w:tcW w:w="1110" w:type="pct"/>
                  <w:vAlign w:val="center"/>
                </w:tcPr>
                <w:p w14:paraId="300632E6">
                  <w:pPr>
                    <w:adjustRightInd w:val="0"/>
                    <w:snapToGrid w:val="0"/>
                    <w:jc w:val="center"/>
                    <w:rPr>
                      <w:color w:val="auto"/>
                      <w:sz w:val="21"/>
                      <w:szCs w:val="21"/>
                    </w:rPr>
                  </w:pPr>
                  <w:r>
                    <w:rPr>
                      <w:rFonts w:hint="eastAsia"/>
                      <w:color w:val="auto"/>
                      <w:sz w:val="21"/>
                      <w:szCs w:val="21"/>
                    </w:rPr>
                    <w:t>0.134</w:t>
                  </w:r>
                </w:p>
              </w:tc>
              <w:tc>
                <w:tcPr>
                  <w:tcW w:w="1110" w:type="pct"/>
                  <w:vAlign w:val="center"/>
                </w:tcPr>
                <w:p w14:paraId="788583DC">
                  <w:pPr>
                    <w:adjustRightInd w:val="0"/>
                    <w:snapToGrid w:val="0"/>
                    <w:jc w:val="center"/>
                    <w:rPr>
                      <w:color w:val="auto"/>
                      <w:sz w:val="21"/>
                      <w:szCs w:val="21"/>
                    </w:rPr>
                  </w:pPr>
                  <w:r>
                    <w:rPr>
                      <w:rFonts w:hint="eastAsia"/>
                      <w:color w:val="auto"/>
                      <w:sz w:val="21"/>
                      <w:szCs w:val="21"/>
                    </w:rPr>
                    <w:t>0.064</w:t>
                  </w:r>
                </w:p>
              </w:tc>
              <w:tc>
                <w:tcPr>
                  <w:tcW w:w="1110" w:type="pct"/>
                  <w:vAlign w:val="center"/>
                </w:tcPr>
                <w:p w14:paraId="4090098E">
                  <w:pPr>
                    <w:adjustRightInd w:val="0"/>
                    <w:snapToGrid w:val="0"/>
                    <w:jc w:val="center"/>
                    <w:rPr>
                      <w:color w:val="auto"/>
                      <w:sz w:val="21"/>
                      <w:szCs w:val="21"/>
                    </w:rPr>
                  </w:pPr>
                  <w:r>
                    <w:rPr>
                      <w:rFonts w:hint="eastAsia"/>
                      <w:color w:val="auto"/>
                      <w:sz w:val="21"/>
                      <w:szCs w:val="21"/>
                    </w:rPr>
                    <w:t>2.1</w:t>
                  </w:r>
                </w:p>
              </w:tc>
            </w:tr>
            <w:tr w14:paraId="2968B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09067E55">
                  <w:pPr>
                    <w:adjustRightInd w:val="0"/>
                    <w:snapToGrid w:val="0"/>
                    <w:jc w:val="center"/>
                    <w:rPr>
                      <w:color w:val="auto"/>
                      <w:sz w:val="21"/>
                      <w:szCs w:val="21"/>
                    </w:rPr>
                  </w:pPr>
                </w:p>
              </w:tc>
              <w:tc>
                <w:tcPr>
                  <w:tcW w:w="420" w:type="pct"/>
                  <w:vMerge w:val="continue"/>
                  <w:vAlign w:val="center"/>
                </w:tcPr>
                <w:p w14:paraId="4C22E065">
                  <w:pPr>
                    <w:adjustRightInd w:val="0"/>
                    <w:snapToGrid w:val="0"/>
                    <w:jc w:val="center"/>
                    <w:rPr>
                      <w:color w:val="auto"/>
                      <w:sz w:val="21"/>
                      <w:szCs w:val="21"/>
                    </w:rPr>
                  </w:pPr>
                </w:p>
              </w:tc>
              <w:tc>
                <w:tcPr>
                  <w:tcW w:w="939" w:type="pct"/>
                  <w:vAlign w:val="center"/>
                </w:tcPr>
                <w:p w14:paraId="07696FC5">
                  <w:pPr>
                    <w:adjustRightInd w:val="0"/>
                    <w:snapToGrid w:val="0"/>
                    <w:jc w:val="center"/>
                    <w:rPr>
                      <w:color w:val="auto"/>
                      <w:sz w:val="21"/>
                      <w:szCs w:val="21"/>
                    </w:rPr>
                  </w:pPr>
                  <w:r>
                    <w:rPr>
                      <w:rFonts w:hint="eastAsia"/>
                      <w:color w:val="auto"/>
                      <w:sz w:val="21"/>
                      <w:szCs w:val="21"/>
                    </w:rPr>
                    <w:t>08:00-09:00</w:t>
                  </w:r>
                </w:p>
              </w:tc>
              <w:tc>
                <w:tcPr>
                  <w:tcW w:w="1110" w:type="pct"/>
                  <w:vAlign w:val="center"/>
                </w:tcPr>
                <w:p w14:paraId="2B0A2512">
                  <w:pPr>
                    <w:adjustRightInd w:val="0"/>
                    <w:snapToGrid w:val="0"/>
                    <w:jc w:val="center"/>
                    <w:rPr>
                      <w:color w:val="auto"/>
                      <w:sz w:val="21"/>
                      <w:szCs w:val="21"/>
                    </w:rPr>
                  </w:pPr>
                  <w:r>
                    <w:rPr>
                      <w:rFonts w:hint="eastAsia"/>
                      <w:color w:val="auto"/>
                      <w:sz w:val="21"/>
                      <w:szCs w:val="21"/>
                    </w:rPr>
                    <w:t>0.117</w:t>
                  </w:r>
                </w:p>
              </w:tc>
              <w:tc>
                <w:tcPr>
                  <w:tcW w:w="1110" w:type="pct"/>
                  <w:vAlign w:val="center"/>
                </w:tcPr>
                <w:p w14:paraId="363C8E29">
                  <w:pPr>
                    <w:adjustRightInd w:val="0"/>
                    <w:snapToGrid w:val="0"/>
                    <w:jc w:val="center"/>
                    <w:rPr>
                      <w:color w:val="auto"/>
                      <w:sz w:val="21"/>
                      <w:szCs w:val="21"/>
                    </w:rPr>
                  </w:pPr>
                  <w:r>
                    <w:rPr>
                      <w:rFonts w:hint="eastAsia"/>
                      <w:color w:val="auto"/>
                      <w:sz w:val="21"/>
                      <w:szCs w:val="21"/>
                    </w:rPr>
                    <w:t>0.065</w:t>
                  </w:r>
                </w:p>
              </w:tc>
              <w:tc>
                <w:tcPr>
                  <w:tcW w:w="1110" w:type="pct"/>
                  <w:vAlign w:val="center"/>
                </w:tcPr>
                <w:p w14:paraId="24043076">
                  <w:pPr>
                    <w:adjustRightInd w:val="0"/>
                    <w:snapToGrid w:val="0"/>
                    <w:jc w:val="center"/>
                    <w:rPr>
                      <w:color w:val="auto"/>
                      <w:sz w:val="21"/>
                      <w:szCs w:val="21"/>
                    </w:rPr>
                  </w:pPr>
                  <w:r>
                    <w:rPr>
                      <w:rFonts w:hint="eastAsia"/>
                      <w:color w:val="auto"/>
                      <w:sz w:val="21"/>
                      <w:szCs w:val="21"/>
                    </w:rPr>
                    <w:t>1.9</w:t>
                  </w:r>
                </w:p>
              </w:tc>
            </w:tr>
            <w:tr w14:paraId="4086D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7448ADAB">
                  <w:pPr>
                    <w:adjustRightInd w:val="0"/>
                    <w:snapToGrid w:val="0"/>
                    <w:jc w:val="center"/>
                    <w:rPr>
                      <w:color w:val="auto"/>
                      <w:sz w:val="21"/>
                      <w:szCs w:val="21"/>
                    </w:rPr>
                  </w:pPr>
                </w:p>
              </w:tc>
              <w:tc>
                <w:tcPr>
                  <w:tcW w:w="420" w:type="pct"/>
                  <w:vMerge w:val="continue"/>
                  <w:vAlign w:val="center"/>
                </w:tcPr>
                <w:p w14:paraId="1D67FA44">
                  <w:pPr>
                    <w:adjustRightInd w:val="0"/>
                    <w:snapToGrid w:val="0"/>
                    <w:jc w:val="center"/>
                    <w:rPr>
                      <w:color w:val="auto"/>
                      <w:sz w:val="21"/>
                      <w:szCs w:val="21"/>
                    </w:rPr>
                  </w:pPr>
                </w:p>
              </w:tc>
              <w:tc>
                <w:tcPr>
                  <w:tcW w:w="939" w:type="pct"/>
                  <w:vAlign w:val="center"/>
                </w:tcPr>
                <w:p w14:paraId="34D468A4">
                  <w:pPr>
                    <w:adjustRightInd w:val="0"/>
                    <w:snapToGrid w:val="0"/>
                    <w:jc w:val="center"/>
                    <w:rPr>
                      <w:color w:val="auto"/>
                      <w:sz w:val="21"/>
                      <w:szCs w:val="21"/>
                    </w:rPr>
                  </w:pPr>
                  <w:r>
                    <w:rPr>
                      <w:rFonts w:hint="eastAsia"/>
                      <w:color w:val="auto"/>
                      <w:sz w:val="21"/>
                      <w:szCs w:val="21"/>
                    </w:rPr>
                    <w:t>14:00-15:00</w:t>
                  </w:r>
                </w:p>
              </w:tc>
              <w:tc>
                <w:tcPr>
                  <w:tcW w:w="1110" w:type="pct"/>
                  <w:vAlign w:val="center"/>
                </w:tcPr>
                <w:p w14:paraId="6E6E47EC">
                  <w:pPr>
                    <w:adjustRightInd w:val="0"/>
                    <w:snapToGrid w:val="0"/>
                    <w:jc w:val="center"/>
                    <w:rPr>
                      <w:color w:val="auto"/>
                      <w:sz w:val="21"/>
                      <w:szCs w:val="21"/>
                    </w:rPr>
                  </w:pPr>
                  <w:r>
                    <w:rPr>
                      <w:rFonts w:hint="eastAsia"/>
                      <w:color w:val="auto"/>
                      <w:sz w:val="21"/>
                      <w:szCs w:val="21"/>
                    </w:rPr>
                    <w:t>0.117</w:t>
                  </w:r>
                </w:p>
              </w:tc>
              <w:tc>
                <w:tcPr>
                  <w:tcW w:w="1110" w:type="pct"/>
                  <w:vAlign w:val="center"/>
                </w:tcPr>
                <w:p w14:paraId="1E7B94A3">
                  <w:pPr>
                    <w:adjustRightInd w:val="0"/>
                    <w:snapToGrid w:val="0"/>
                    <w:jc w:val="center"/>
                    <w:rPr>
                      <w:color w:val="auto"/>
                      <w:sz w:val="21"/>
                      <w:szCs w:val="21"/>
                    </w:rPr>
                  </w:pPr>
                  <w:r>
                    <w:rPr>
                      <w:rFonts w:hint="eastAsia"/>
                      <w:color w:val="auto"/>
                      <w:sz w:val="21"/>
                      <w:szCs w:val="21"/>
                    </w:rPr>
                    <w:t>0.039</w:t>
                  </w:r>
                </w:p>
              </w:tc>
              <w:tc>
                <w:tcPr>
                  <w:tcW w:w="1110" w:type="pct"/>
                  <w:vAlign w:val="center"/>
                </w:tcPr>
                <w:p w14:paraId="626D3751">
                  <w:pPr>
                    <w:adjustRightInd w:val="0"/>
                    <w:snapToGrid w:val="0"/>
                    <w:jc w:val="center"/>
                    <w:rPr>
                      <w:color w:val="auto"/>
                      <w:sz w:val="21"/>
                      <w:szCs w:val="21"/>
                    </w:rPr>
                  </w:pPr>
                  <w:r>
                    <w:rPr>
                      <w:rFonts w:hint="eastAsia"/>
                      <w:color w:val="auto"/>
                      <w:sz w:val="21"/>
                      <w:szCs w:val="21"/>
                    </w:rPr>
                    <w:t>2.0</w:t>
                  </w:r>
                </w:p>
              </w:tc>
            </w:tr>
            <w:tr w14:paraId="67B59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3B926615">
                  <w:pPr>
                    <w:adjustRightInd w:val="0"/>
                    <w:snapToGrid w:val="0"/>
                    <w:jc w:val="center"/>
                    <w:rPr>
                      <w:color w:val="auto"/>
                      <w:sz w:val="21"/>
                      <w:szCs w:val="21"/>
                    </w:rPr>
                  </w:pPr>
                </w:p>
              </w:tc>
              <w:tc>
                <w:tcPr>
                  <w:tcW w:w="420" w:type="pct"/>
                  <w:vMerge w:val="continue"/>
                  <w:vAlign w:val="center"/>
                </w:tcPr>
                <w:p w14:paraId="0E220655">
                  <w:pPr>
                    <w:adjustRightInd w:val="0"/>
                    <w:snapToGrid w:val="0"/>
                    <w:jc w:val="center"/>
                    <w:rPr>
                      <w:color w:val="auto"/>
                      <w:sz w:val="21"/>
                      <w:szCs w:val="21"/>
                    </w:rPr>
                  </w:pPr>
                </w:p>
              </w:tc>
              <w:tc>
                <w:tcPr>
                  <w:tcW w:w="939" w:type="pct"/>
                  <w:vAlign w:val="center"/>
                </w:tcPr>
                <w:p w14:paraId="4BD62571">
                  <w:pPr>
                    <w:adjustRightInd w:val="0"/>
                    <w:snapToGrid w:val="0"/>
                    <w:jc w:val="center"/>
                    <w:rPr>
                      <w:color w:val="auto"/>
                      <w:sz w:val="21"/>
                      <w:szCs w:val="21"/>
                    </w:rPr>
                  </w:pPr>
                  <w:r>
                    <w:rPr>
                      <w:rFonts w:hint="eastAsia"/>
                      <w:color w:val="auto"/>
                      <w:sz w:val="21"/>
                      <w:szCs w:val="21"/>
                    </w:rPr>
                    <w:t>20:00-21:00</w:t>
                  </w:r>
                </w:p>
              </w:tc>
              <w:tc>
                <w:tcPr>
                  <w:tcW w:w="1110" w:type="pct"/>
                  <w:vAlign w:val="center"/>
                </w:tcPr>
                <w:p w14:paraId="4D17191E">
                  <w:pPr>
                    <w:adjustRightInd w:val="0"/>
                    <w:snapToGrid w:val="0"/>
                    <w:jc w:val="center"/>
                    <w:rPr>
                      <w:color w:val="auto"/>
                      <w:sz w:val="21"/>
                      <w:szCs w:val="21"/>
                    </w:rPr>
                  </w:pPr>
                  <w:r>
                    <w:rPr>
                      <w:rFonts w:hint="eastAsia"/>
                      <w:color w:val="auto"/>
                      <w:sz w:val="21"/>
                      <w:szCs w:val="21"/>
                    </w:rPr>
                    <w:t>0.100</w:t>
                  </w:r>
                </w:p>
              </w:tc>
              <w:tc>
                <w:tcPr>
                  <w:tcW w:w="1110" w:type="pct"/>
                  <w:vAlign w:val="center"/>
                </w:tcPr>
                <w:p w14:paraId="53760CAD">
                  <w:pPr>
                    <w:adjustRightInd w:val="0"/>
                    <w:snapToGrid w:val="0"/>
                    <w:jc w:val="center"/>
                    <w:rPr>
                      <w:color w:val="auto"/>
                      <w:sz w:val="21"/>
                      <w:szCs w:val="21"/>
                    </w:rPr>
                  </w:pPr>
                  <w:r>
                    <w:rPr>
                      <w:rFonts w:hint="eastAsia"/>
                      <w:color w:val="auto"/>
                      <w:sz w:val="21"/>
                      <w:szCs w:val="21"/>
                    </w:rPr>
                    <w:t>0.041</w:t>
                  </w:r>
                </w:p>
              </w:tc>
              <w:tc>
                <w:tcPr>
                  <w:tcW w:w="1110" w:type="pct"/>
                  <w:vAlign w:val="center"/>
                </w:tcPr>
                <w:p w14:paraId="0D44629C">
                  <w:pPr>
                    <w:adjustRightInd w:val="0"/>
                    <w:snapToGrid w:val="0"/>
                    <w:jc w:val="center"/>
                    <w:rPr>
                      <w:color w:val="auto"/>
                      <w:sz w:val="21"/>
                      <w:szCs w:val="21"/>
                    </w:rPr>
                  </w:pPr>
                  <w:r>
                    <w:rPr>
                      <w:rFonts w:hint="eastAsia"/>
                      <w:color w:val="auto"/>
                      <w:sz w:val="21"/>
                      <w:szCs w:val="21"/>
                    </w:rPr>
                    <w:t>1.9</w:t>
                  </w:r>
                </w:p>
              </w:tc>
            </w:tr>
            <w:tr w14:paraId="099BE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31C98275">
                  <w:pPr>
                    <w:adjustRightInd w:val="0"/>
                    <w:snapToGrid w:val="0"/>
                    <w:jc w:val="center"/>
                    <w:rPr>
                      <w:color w:val="auto"/>
                      <w:sz w:val="21"/>
                      <w:szCs w:val="21"/>
                    </w:rPr>
                  </w:pPr>
                </w:p>
              </w:tc>
              <w:tc>
                <w:tcPr>
                  <w:tcW w:w="420" w:type="pct"/>
                  <w:vMerge w:val="restart"/>
                  <w:vAlign w:val="center"/>
                </w:tcPr>
                <w:p w14:paraId="23065DDD">
                  <w:pPr>
                    <w:adjustRightInd w:val="0"/>
                    <w:snapToGrid w:val="0"/>
                    <w:jc w:val="center"/>
                    <w:rPr>
                      <w:color w:val="auto"/>
                      <w:sz w:val="21"/>
                      <w:szCs w:val="21"/>
                    </w:rPr>
                  </w:pPr>
                  <w:r>
                    <w:rPr>
                      <w:rFonts w:hint="eastAsia"/>
                      <w:color w:val="auto"/>
                      <w:sz w:val="21"/>
                      <w:szCs w:val="21"/>
                    </w:rPr>
                    <w:t>2023.05.28</w:t>
                  </w:r>
                </w:p>
              </w:tc>
              <w:tc>
                <w:tcPr>
                  <w:tcW w:w="939" w:type="pct"/>
                  <w:vAlign w:val="center"/>
                </w:tcPr>
                <w:p w14:paraId="474191E8">
                  <w:pPr>
                    <w:adjustRightInd w:val="0"/>
                    <w:snapToGrid w:val="0"/>
                    <w:jc w:val="center"/>
                    <w:rPr>
                      <w:color w:val="auto"/>
                      <w:sz w:val="21"/>
                      <w:szCs w:val="21"/>
                    </w:rPr>
                  </w:pPr>
                  <w:r>
                    <w:rPr>
                      <w:rFonts w:hint="eastAsia"/>
                      <w:color w:val="auto"/>
                      <w:sz w:val="21"/>
                      <w:szCs w:val="21"/>
                    </w:rPr>
                    <w:t>02:00-03:00</w:t>
                  </w:r>
                </w:p>
              </w:tc>
              <w:tc>
                <w:tcPr>
                  <w:tcW w:w="1110" w:type="pct"/>
                  <w:vAlign w:val="center"/>
                </w:tcPr>
                <w:p w14:paraId="402327F3">
                  <w:pPr>
                    <w:adjustRightInd w:val="0"/>
                    <w:snapToGrid w:val="0"/>
                    <w:jc w:val="center"/>
                    <w:rPr>
                      <w:color w:val="auto"/>
                      <w:kern w:val="2"/>
                      <w:sz w:val="21"/>
                      <w:szCs w:val="21"/>
                    </w:rPr>
                  </w:pPr>
                  <w:r>
                    <w:rPr>
                      <w:rFonts w:hint="eastAsia"/>
                      <w:color w:val="auto"/>
                      <w:sz w:val="21"/>
                      <w:szCs w:val="21"/>
                    </w:rPr>
                    <w:t>0.117</w:t>
                  </w:r>
                </w:p>
              </w:tc>
              <w:tc>
                <w:tcPr>
                  <w:tcW w:w="1110" w:type="pct"/>
                  <w:vAlign w:val="center"/>
                </w:tcPr>
                <w:p w14:paraId="02E69320">
                  <w:pPr>
                    <w:adjustRightInd w:val="0"/>
                    <w:snapToGrid w:val="0"/>
                    <w:jc w:val="center"/>
                    <w:rPr>
                      <w:color w:val="auto"/>
                      <w:sz w:val="21"/>
                      <w:szCs w:val="21"/>
                    </w:rPr>
                  </w:pPr>
                  <w:r>
                    <w:rPr>
                      <w:rFonts w:hint="eastAsia"/>
                      <w:color w:val="auto"/>
                      <w:sz w:val="21"/>
                      <w:szCs w:val="21"/>
                    </w:rPr>
                    <w:t>0.043</w:t>
                  </w:r>
                </w:p>
              </w:tc>
              <w:tc>
                <w:tcPr>
                  <w:tcW w:w="1110" w:type="pct"/>
                  <w:vAlign w:val="center"/>
                </w:tcPr>
                <w:p w14:paraId="23486B5E">
                  <w:pPr>
                    <w:adjustRightInd w:val="0"/>
                    <w:snapToGrid w:val="0"/>
                    <w:jc w:val="center"/>
                    <w:rPr>
                      <w:color w:val="auto"/>
                      <w:sz w:val="21"/>
                      <w:szCs w:val="21"/>
                    </w:rPr>
                  </w:pPr>
                  <w:r>
                    <w:rPr>
                      <w:rFonts w:hint="eastAsia"/>
                      <w:color w:val="auto"/>
                      <w:sz w:val="21"/>
                      <w:szCs w:val="21"/>
                    </w:rPr>
                    <w:t>2.0</w:t>
                  </w:r>
                </w:p>
              </w:tc>
            </w:tr>
            <w:tr w14:paraId="36263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7ACDA924">
                  <w:pPr>
                    <w:adjustRightInd w:val="0"/>
                    <w:snapToGrid w:val="0"/>
                    <w:jc w:val="center"/>
                    <w:rPr>
                      <w:color w:val="auto"/>
                      <w:sz w:val="21"/>
                      <w:szCs w:val="21"/>
                    </w:rPr>
                  </w:pPr>
                </w:p>
              </w:tc>
              <w:tc>
                <w:tcPr>
                  <w:tcW w:w="420" w:type="pct"/>
                  <w:vMerge w:val="continue"/>
                  <w:vAlign w:val="center"/>
                </w:tcPr>
                <w:p w14:paraId="0CBE29AD">
                  <w:pPr>
                    <w:adjustRightInd w:val="0"/>
                    <w:snapToGrid w:val="0"/>
                    <w:jc w:val="center"/>
                    <w:rPr>
                      <w:color w:val="auto"/>
                      <w:sz w:val="21"/>
                      <w:szCs w:val="21"/>
                    </w:rPr>
                  </w:pPr>
                </w:p>
              </w:tc>
              <w:tc>
                <w:tcPr>
                  <w:tcW w:w="939" w:type="pct"/>
                  <w:vAlign w:val="center"/>
                </w:tcPr>
                <w:p w14:paraId="166ADA39">
                  <w:pPr>
                    <w:adjustRightInd w:val="0"/>
                    <w:snapToGrid w:val="0"/>
                    <w:jc w:val="center"/>
                    <w:rPr>
                      <w:color w:val="auto"/>
                      <w:sz w:val="21"/>
                      <w:szCs w:val="21"/>
                    </w:rPr>
                  </w:pPr>
                  <w:r>
                    <w:rPr>
                      <w:rFonts w:hint="eastAsia"/>
                      <w:color w:val="auto"/>
                      <w:sz w:val="21"/>
                      <w:szCs w:val="21"/>
                    </w:rPr>
                    <w:t>08:00-09:00</w:t>
                  </w:r>
                </w:p>
              </w:tc>
              <w:tc>
                <w:tcPr>
                  <w:tcW w:w="1110" w:type="pct"/>
                  <w:vAlign w:val="center"/>
                </w:tcPr>
                <w:p w14:paraId="769D53A4">
                  <w:pPr>
                    <w:adjustRightInd w:val="0"/>
                    <w:snapToGrid w:val="0"/>
                    <w:jc w:val="center"/>
                    <w:rPr>
                      <w:color w:val="auto"/>
                      <w:kern w:val="2"/>
                      <w:sz w:val="21"/>
                      <w:szCs w:val="21"/>
                    </w:rPr>
                  </w:pPr>
                  <w:r>
                    <w:rPr>
                      <w:rFonts w:hint="eastAsia"/>
                      <w:color w:val="auto"/>
                      <w:sz w:val="21"/>
                      <w:szCs w:val="21"/>
                    </w:rPr>
                    <w:t>0.100</w:t>
                  </w:r>
                </w:p>
              </w:tc>
              <w:tc>
                <w:tcPr>
                  <w:tcW w:w="1110" w:type="pct"/>
                  <w:vAlign w:val="center"/>
                </w:tcPr>
                <w:p w14:paraId="18216FA4">
                  <w:pPr>
                    <w:adjustRightInd w:val="0"/>
                    <w:snapToGrid w:val="0"/>
                    <w:jc w:val="center"/>
                    <w:rPr>
                      <w:color w:val="auto"/>
                      <w:sz w:val="21"/>
                      <w:szCs w:val="21"/>
                    </w:rPr>
                  </w:pPr>
                  <w:r>
                    <w:rPr>
                      <w:rFonts w:hint="eastAsia"/>
                      <w:color w:val="auto"/>
                      <w:sz w:val="21"/>
                      <w:szCs w:val="21"/>
                    </w:rPr>
                    <w:t>0.047</w:t>
                  </w:r>
                </w:p>
              </w:tc>
              <w:tc>
                <w:tcPr>
                  <w:tcW w:w="1110" w:type="pct"/>
                  <w:vAlign w:val="center"/>
                </w:tcPr>
                <w:p w14:paraId="7F0BF5A1">
                  <w:pPr>
                    <w:adjustRightInd w:val="0"/>
                    <w:snapToGrid w:val="0"/>
                    <w:jc w:val="center"/>
                    <w:rPr>
                      <w:color w:val="auto"/>
                      <w:sz w:val="21"/>
                      <w:szCs w:val="21"/>
                    </w:rPr>
                  </w:pPr>
                  <w:r>
                    <w:rPr>
                      <w:rFonts w:hint="eastAsia"/>
                      <w:color w:val="auto"/>
                      <w:sz w:val="21"/>
                      <w:szCs w:val="21"/>
                    </w:rPr>
                    <w:t>1.9</w:t>
                  </w:r>
                </w:p>
              </w:tc>
            </w:tr>
            <w:tr w14:paraId="3F300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5AE4E09B">
                  <w:pPr>
                    <w:adjustRightInd w:val="0"/>
                    <w:snapToGrid w:val="0"/>
                    <w:jc w:val="center"/>
                    <w:rPr>
                      <w:color w:val="auto"/>
                      <w:sz w:val="21"/>
                      <w:szCs w:val="21"/>
                    </w:rPr>
                  </w:pPr>
                </w:p>
              </w:tc>
              <w:tc>
                <w:tcPr>
                  <w:tcW w:w="420" w:type="pct"/>
                  <w:vMerge w:val="continue"/>
                  <w:vAlign w:val="center"/>
                </w:tcPr>
                <w:p w14:paraId="48BCDB89">
                  <w:pPr>
                    <w:adjustRightInd w:val="0"/>
                    <w:snapToGrid w:val="0"/>
                    <w:jc w:val="center"/>
                    <w:rPr>
                      <w:color w:val="auto"/>
                      <w:sz w:val="21"/>
                      <w:szCs w:val="21"/>
                    </w:rPr>
                  </w:pPr>
                </w:p>
              </w:tc>
              <w:tc>
                <w:tcPr>
                  <w:tcW w:w="939" w:type="pct"/>
                  <w:vAlign w:val="center"/>
                </w:tcPr>
                <w:p w14:paraId="4E77A1B4">
                  <w:pPr>
                    <w:adjustRightInd w:val="0"/>
                    <w:snapToGrid w:val="0"/>
                    <w:jc w:val="center"/>
                    <w:rPr>
                      <w:color w:val="auto"/>
                      <w:sz w:val="21"/>
                      <w:szCs w:val="21"/>
                    </w:rPr>
                  </w:pPr>
                  <w:r>
                    <w:rPr>
                      <w:rFonts w:hint="eastAsia"/>
                      <w:color w:val="auto"/>
                      <w:sz w:val="21"/>
                      <w:szCs w:val="21"/>
                    </w:rPr>
                    <w:t>14:00-15:00</w:t>
                  </w:r>
                </w:p>
              </w:tc>
              <w:tc>
                <w:tcPr>
                  <w:tcW w:w="1110" w:type="pct"/>
                  <w:vAlign w:val="center"/>
                </w:tcPr>
                <w:p w14:paraId="095239D4">
                  <w:pPr>
                    <w:adjustRightInd w:val="0"/>
                    <w:snapToGrid w:val="0"/>
                    <w:jc w:val="center"/>
                    <w:rPr>
                      <w:color w:val="auto"/>
                      <w:kern w:val="2"/>
                      <w:sz w:val="21"/>
                      <w:szCs w:val="21"/>
                    </w:rPr>
                  </w:pPr>
                  <w:r>
                    <w:rPr>
                      <w:rFonts w:hint="eastAsia"/>
                      <w:color w:val="auto"/>
                      <w:sz w:val="21"/>
                      <w:szCs w:val="21"/>
                    </w:rPr>
                    <w:t>0.117</w:t>
                  </w:r>
                </w:p>
              </w:tc>
              <w:tc>
                <w:tcPr>
                  <w:tcW w:w="1110" w:type="pct"/>
                  <w:vAlign w:val="center"/>
                </w:tcPr>
                <w:p w14:paraId="3C41E682">
                  <w:pPr>
                    <w:adjustRightInd w:val="0"/>
                    <w:snapToGrid w:val="0"/>
                    <w:jc w:val="center"/>
                    <w:rPr>
                      <w:color w:val="auto"/>
                      <w:sz w:val="21"/>
                      <w:szCs w:val="21"/>
                    </w:rPr>
                  </w:pPr>
                  <w:r>
                    <w:rPr>
                      <w:rFonts w:hint="eastAsia"/>
                      <w:color w:val="auto"/>
                      <w:sz w:val="21"/>
                      <w:szCs w:val="21"/>
                    </w:rPr>
                    <w:t>0.056</w:t>
                  </w:r>
                </w:p>
              </w:tc>
              <w:tc>
                <w:tcPr>
                  <w:tcW w:w="1110" w:type="pct"/>
                  <w:vAlign w:val="center"/>
                </w:tcPr>
                <w:p w14:paraId="34F0E283">
                  <w:pPr>
                    <w:adjustRightInd w:val="0"/>
                    <w:snapToGrid w:val="0"/>
                    <w:jc w:val="center"/>
                    <w:rPr>
                      <w:color w:val="auto"/>
                      <w:sz w:val="21"/>
                      <w:szCs w:val="21"/>
                    </w:rPr>
                  </w:pPr>
                  <w:r>
                    <w:rPr>
                      <w:rFonts w:hint="eastAsia"/>
                      <w:color w:val="auto"/>
                      <w:sz w:val="21"/>
                      <w:szCs w:val="21"/>
                    </w:rPr>
                    <w:t>2.1</w:t>
                  </w:r>
                </w:p>
              </w:tc>
            </w:tr>
            <w:tr w14:paraId="77009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676A4BC0">
                  <w:pPr>
                    <w:adjustRightInd w:val="0"/>
                    <w:snapToGrid w:val="0"/>
                    <w:jc w:val="center"/>
                    <w:rPr>
                      <w:color w:val="auto"/>
                      <w:sz w:val="21"/>
                      <w:szCs w:val="21"/>
                    </w:rPr>
                  </w:pPr>
                </w:p>
              </w:tc>
              <w:tc>
                <w:tcPr>
                  <w:tcW w:w="420" w:type="pct"/>
                  <w:vMerge w:val="continue"/>
                  <w:vAlign w:val="center"/>
                </w:tcPr>
                <w:p w14:paraId="438CFF99">
                  <w:pPr>
                    <w:adjustRightInd w:val="0"/>
                    <w:snapToGrid w:val="0"/>
                    <w:jc w:val="center"/>
                    <w:rPr>
                      <w:color w:val="auto"/>
                      <w:sz w:val="21"/>
                      <w:szCs w:val="21"/>
                    </w:rPr>
                  </w:pPr>
                </w:p>
              </w:tc>
              <w:tc>
                <w:tcPr>
                  <w:tcW w:w="939" w:type="pct"/>
                  <w:vAlign w:val="center"/>
                </w:tcPr>
                <w:p w14:paraId="3B2525D3">
                  <w:pPr>
                    <w:adjustRightInd w:val="0"/>
                    <w:snapToGrid w:val="0"/>
                    <w:jc w:val="center"/>
                    <w:rPr>
                      <w:color w:val="auto"/>
                      <w:sz w:val="21"/>
                      <w:szCs w:val="21"/>
                    </w:rPr>
                  </w:pPr>
                  <w:r>
                    <w:rPr>
                      <w:rFonts w:hint="eastAsia"/>
                      <w:color w:val="auto"/>
                      <w:sz w:val="21"/>
                      <w:szCs w:val="21"/>
                    </w:rPr>
                    <w:t>20:00-21:00</w:t>
                  </w:r>
                </w:p>
              </w:tc>
              <w:tc>
                <w:tcPr>
                  <w:tcW w:w="1110" w:type="pct"/>
                  <w:vAlign w:val="center"/>
                </w:tcPr>
                <w:p w14:paraId="00F1BB34">
                  <w:pPr>
                    <w:adjustRightInd w:val="0"/>
                    <w:snapToGrid w:val="0"/>
                    <w:jc w:val="center"/>
                    <w:rPr>
                      <w:color w:val="auto"/>
                      <w:kern w:val="2"/>
                      <w:sz w:val="21"/>
                      <w:szCs w:val="21"/>
                    </w:rPr>
                  </w:pPr>
                  <w:r>
                    <w:rPr>
                      <w:rFonts w:hint="eastAsia"/>
                      <w:color w:val="auto"/>
                      <w:sz w:val="21"/>
                      <w:szCs w:val="21"/>
                    </w:rPr>
                    <w:t>0.117</w:t>
                  </w:r>
                </w:p>
              </w:tc>
              <w:tc>
                <w:tcPr>
                  <w:tcW w:w="1110" w:type="pct"/>
                  <w:vAlign w:val="center"/>
                </w:tcPr>
                <w:p w14:paraId="03599828">
                  <w:pPr>
                    <w:adjustRightInd w:val="0"/>
                    <w:snapToGrid w:val="0"/>
                    <w:jc w:val="center"/>
                    <w:rPr>
                      <w:color w:val="auto"/>
                      <w:sz w:val="21"/>
                      <w:szCs w:val="21"/>
                    </w:rPr>
                  </w:pPr>
                  <w:r>
                    <w:rPr>
                      <w:rFonts w:hint="eastAsia"/>
                      <w:color w:val="auto"/>
                      <w:sz w:val="21"/>
                      <w:szCs w:val="21"/>
                    </w:rPr>
                    <w:t>0.052</w:t>
                  </w:r>
                </w:p>
              </w:tc>
              <w:tc>
                <w:tcPr>
                  <w:tcW w:w="1110" w:type="pct"/>
                  <w:vAlign w:val="center"/>
                </w:tcPr>
                <w:p w14:paraId="5CB8A692">
                  <w:pPr>
                    <w:adjustRightInd w:val="0"/>
                    <w:snapToGrid w:val="0"/>
                    <w:jc w:val="center"/>
                    <w:rPr>
                      <w:color w:val="auto"/>
                      <w:sz w:val="21"/>
                      <w:szCs w:val="21"/>
                    </w:rPr>
                  </w:pPr>
                  <w:r>
                    <w:rPr>
                      <w:rFonts w:hint="eastAsia"/>
                      <w:color w:val="auto"/>
                      <w:sz w:val="21"/>
                      <w:szCs w:val="21"/>
                    </w:rPr>
                    <w:t>2.0</w:t>
                  </w:r>
                </w:p>
              </w:tc>
            </w:tr>
            <w:tr w14:paraId="27BAA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0A23B0C7">
                  <w:pPr>
                    <w:adjustRightInd w:val="0"/>
                    <w:snapToGrid w:val="0"/>
                    <w:jc w:val="center"/>
                    <w:rPr>
                      <w:color w:val="auto"/>
                      <w:sz w:val="21"/>
                      <w:szCs w:val="21"/>
                    </w:rPr>
                  </w:pPr>
                </w:p>
              </w:tc>
              <w:tc>
                <w:tcPr>
                  <w:tcW w:w="420" w:type="pct"/>
                  <w:vMerge w:val="restart"/>
                  <w:vAlign w:val="center"/>
                </w:tcPr>
                <w:p w14:paraId="724BDEAE">
                  <w:pPr>
                    <w:adjustRightInd w:val="0"/>
                    <w:snapToGrid w:val="0"/>
                    <w:jc w:val="center"/>
                    <w:rPr>
                      <w:color w:val="auto"/>
                      <w:sz w:val="21"/>
                      <w:szCs w:val="21"/>
                    </w:rPr>
                  </w:pPr>
                  <w:r>
                    <w:rPr>
                      <w:rFonts w:hint="eastAsia"/>
                      <w:color w:val="auto"/>
                      <w:sz w:val="21"/>
                      <w:szCs w:val="21"/>
                    </w:rPr>
                    <w:t>2023.05.29</w:t>
                  </w:r>
                </w:p>
              </w:tc>
              <w:tc>
                <w:tcPr>
                  <w:tcW w:w="939" w:type="pct"/>
                  <w:vAlign w:val="center"/>
                </w:tcPr>
                <w:p w14:paraId="406174F4">
                  <w:pPr>
                    <w:adjustRightInd w:val="0"/>
                    <w:snapToGrid w:val="0"/>
                    <w:jc w:val="center"/>
                    <w:rPr>
                      <w:color w:val="auto"/>
                      <w:sz w:val="21"/>
                      <w:szCs w:val="21"/>
                    </w:rPr>
                  </w:pPr>
                  <w:r>
                    <w:rPr>
                      <w:rFonts w:hint="eastAsia"/>
                      <w:color w:val="auto"/>
                      <w:sz w:val="21"/>
                      <w:szCs w:val="21"/>
                    </w:rPr>
                    <w:t>02:00-03:00</w:t>
                  </w:r>
                </w:p>
              </w:tc>
              <w:tc>
                <w:tcPr>
                  <w:tcW w:w="1110" w:type="pct"/>
                  <w:vAlign w:val="center"/>
                </w:tcPr>
                <w:p w14:paraId="471EBEFF">
                  <w:pPr>
                    <w:adjustRightInd w:val="0"/>
                    <w:snapToGrid w:val="0"/>
                    <w:jc w:val="center"/>
                    <w:rPr>
                      <w:color w:val="auto"/>
                      <w:sz w:val="21"/>
                      <w:szCs w:val="21"/>
                    </w:rPr>
                  </w:pPr>
                  <w:r>
                    <w:rPr>
                      <w:rFonts w:hint="eastAsia"/>
                      <w:color w:val="auto"/>
                      <w:sz w:val="21"/>
                      <w:szCs w:val="21"/>
                    </w:rPr>
                    <w:t>0.117</w:t>
                  </w:r>
                </w:p>
              </w:tc>
              <w:tc>
                <w:tcPr>
                  <w:tcW w:w="1110" w:type="pct"/>
                  <w:vAlign w:val="center"/>
                </w:tcPr>
                <w:p w14:paraId="38B1FE2B">
                  <w:pPr>
                    <w:adjustRightInd w:val="0"/>
                    <w:snapToGrid w:val="0"/>
                    <w:jc w:val="center"/>
                    <w:rPr>
                      <w:color w:val="auto"/>
                      <w:sz w:val="21"/>
                      <w:szCs w:val="21"/>
                    </w:rPr>
                  </w:pPr>
                  <w:r>
                    <w:rPr>
                      <w:rFonts w:hint="eastAsia"/>
                      <w:color w:val="auto"/>
                      <w:sz w:val="21"/>
                      <w:szCs w:val="21"/>
                    </w:rPr>
                    <w:t>0.050</w:t>
                  </w:r>
                </w:p>
              </w:tc>
              <w:tc>
                <w:tcPr>
                  <w:tcW w:w="1110" w:type="pct"/>
                  <w:vAlign w:val="center"/>
                </w:tcPr>
                <w:p w14:paraId="519F7C79">
                  <w:pPr>
                    <w:adjustRightInd w:val="0"/>
                    <w:snapToGrid w:val="0"/>
                    <w:jc w:val="center"/>
                    <w:rPr>
                      <w:color w:val="auto"/>
                      <w:sz w:val="21"/>
                      <w:szCs w:val="21"/>
                    </w:rPr>
                  </w:pPr>
                  <w:r>
                    <w:rPr>
                      <w:rFonts w:hint="eastAsia"/>
                      <w:color w:val="auto"/>
                      <w:sz w:val="21"/>
                      <w:szCs w:val="21"/>
                    </w:rPr>
                    <w:t>2.0</w:t>
                  </w:r>
                </w:p>
              </w:tc>
            </w:tr>
            <w:tr w14:paraId="5AEE1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44772EDB">
                  <w:pPr>
                    <w:adjustRightInd w:val="0"/>
                    <w:snapToGrid w:val="0"/>
                    <w:jc w:val="center"/>
                    <w:rPr>
                      <w:color w:val="auto"/>
                      <w:sz w:val="21"/>
                      <w:szCs w:val="21"/>
                    </w:rPr>
                  </w:pPr>
                </w:p>
              </w:tc>
              <w:tc>
                <w:tcPr>
                  <w:tcW w:w="420" w:type="pct"/>
                  <w:vMerge w:val="continue"/>
                  <w:vAlign w:val="center"/>
                </w:tcPr>
                <w:p w14:paraId="612A3FB7">
                  <w:pPr>
                    <w:adjustRightInd w:val="0"/>
                    <w:snapToGrid w:val="0"/>
                    <w:jc w:val="center"/>
                    <w:rPr>
                      <w:color w:val="auto"/>
                      <w:sz w:val="21"/>
                      <w:szCs w:val="21"/>
                    </w:rPr>
                  </w:pPr>
                </w:p>
              </w:tc>
              <w:tc>
                <w:tcPr>
                  <w:tcW w:w="939" w:type="pct"/>
                  <w:vAlign w:val="center"/>
                </w:tcPr>
                <w:p w14:paraId="223C03C7">
                  <w:pPr>
                    <w:adjustRightInd w:val="0"/>
                    <w:snapToGrid w:val="0"/>
                    <w:jc w:val="center"/>
                    <w:rPr>
                      <w:color w:val="auto"/>
                      <w:sz w:val="21"/>
                      <w:szCs w:val="21"/>
                    </w:rPr>
                  </w:pPr>
                  <w:r>
                    <w:rPr>
                      <w:rFonts w:hint="eastAsia"/>
                      <w:color w:val="auto"/>
                      <w:sz w:val="21"/>
                      <w:szCs w:val="21"/>
                    </w:rPr>
                    <w:t>08:00-09:00</w:t>
                  </w:r>
                </w:p>
              </w:tc>
              <w:tc>
                <w:tcPr>
                  <w:tcW w:w="1110" w:type="pct"/>
                  <w:vAlign w:val="center"/>
                </w:tcPr>
                <w:p w14:paraId="645F06F1">
                  <w:pPr>
                    <w:adjustRightInd w:val="0"/>
                    <w:snapToGrid w:val="0"/>
                    <w:jc w:val="center"/>
                    <w:rPr>
                      <w:color w:val="auto"/>
                      <w:sz w:val="21"/>
                      <w:szCs w:val="21"/>
                    </w:rPr>
                  </w:pPr>
                  <w:r>
                    <w:rPr>
                      <w:rFonts w:hint="eastAsia"/>
                      <w:color w:val="auto"/>
                      <w:sz w:val="21"/>
                      <w:szCs w:val="21"/>
                    </w:rPr>
                    <w:t>0.134</w:t>
                  </w:r>
                </w:p>
              </w:tc>
              <w:tc>
                <w:tcPr>
                  <w:tcW w:w="1110" w:type="pct"/>
                  <w:vAlign w:val="center"/>
                </w:tcPr>
                <w:p w14:paraId="10AF17B5">
                  <w:pPr>
                    <w:adjustRightInd w:val="0"/>
                    <w:snapToGrid w:val="0"/>
                    <w:jc w:val="center"/>
                    <w:rPr>
                      <w:color w:val="auto"/>
                      <w:sz w:val="21"/>
                      <w:szCs w:val="21"/>
                    </w:rPr>
                  </w:pPr>
                  <w:r>
                    <w:rPr>
                      <w:rFonts w:hint="eastAsia"/>
                      <w:color w:val="auto"/>
                      <w:sz w:val="21"/>
                      <w:szCs w:val="21"/>
                    </w:rPr>
                    <w:t>0.049</w:t>
                  </w:r>
                </w:p>
              </w:tc>
              <w:tc>
                <w:tcPr>
                  <w:tcW w:w="1110" w:type="pct"/>
                  <w:vAlign w:val="center"/>
                </w:tcPr>
                <w:p w14:paraId="6ABD9702">
                  <w:pPr>
                    <w:adjustRightInd w:val="0"/>
                    <w:snapToGrid w:val="0"/>
                    <w:jc w:val="center"/>
                    <w:rPr>
                      <w:color w:val="auto"/>
                      <w:sz w:val="21"/>
                      <w:szCs w:val="21"/>
                    </w:rPr>
                  </w:pPr>
                  <w:r>
                    <w:rPr>
                      <w:rFonts w:hint="eastAsia"/>
                      <w:color w:val="auto"/>
                      <w:sz w:val="21"/>
                      <w:szCs w:val="21"/>
                    </w:rPr>
                    <w:t>2.0</w:t>
                  </w:r>
                </w:p>
              </w:tc>
            </w:tr>
            <w:tr w14:paraId="63C5E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15CABE66">
                  <w:pPr>
                    <w:adjustRightInd w:val="0"/>
                    <w:snapToGrid w:val="0"/>
                    <w:jc w:val="center"/>
                    <w:rPr>
                      <w:color w:val="auto"/>
                      <w:sz w:val="21"/>
                      <w:szCs w:val="21"/>
                    </w:rPr>
                  </w:pPr>
                </w:p>
              </w:tc>
              <w:tc>
                <w:tcPr>
                  <w:tcW w:w="420" w:type="pct"/>
                  <w:vMerge w:val="continue"/>
                  <w:vAlign w:val="center"/>
                </w:tcPr>
                <w:p w14:paraId="566B4FF0">
                  <w:pPr>
                    <w:adjustRightInd w:val="0"/>
                    <w:snapToGrid w:val="0"/>
                    <w:jc w:val="center"/>
                    <w:rPr>
                      <w:color w:val="auto"/>
                      <w:sz w:val="21"/>
                      <w:szCs w:val="21"/>
                    </w:rPr>
                  </w:pPr>
                </w:p>
              </w:tc>
              <w:tc>
                <w:tcPr>
                  <w:tcW w:w="939" w:type="pct"/>
                  <w:vAlign w:val="center"/>
                </w:tcPr>
                <w:p w14:paraId="1CF44659">
                  <w:pPr>
                    <w:adjustRightInd w:val="0"/>
                    <w:snapToGrid w:val="0"/>
                    <w:jc w:val="center"/>
                    <w:rPr>
                      <w:color w:val="auto"/>
                      <w:sz w:val="21"/>
                      <w:szCs w:val="21"/>
                    </w:rPr>
                  </w:pPr>
                  <w:r>
                    <w:rPr>
                      <w:rFonts w:hint="eastAsia"/>
                      <w:color w:val="auto"/>
                      <w:sz w:val="21"/>
                      <w:szCs w:val="21"/>
                    </w:rPr>
                    <w:t>14:00-15:00</w:t>
                  </w:r>
                </w:p>
              </w:tc>
              <w:tc>
                <w:tcPr>
                  <w:tcW w:w="1110" w:type="pct"/>
                  <w:vAlign w:val="center"/>
                </w:tcPr>
                <w:p w14:paraId="42590F20">
                  <w:pPr>
                    <w:adjustRightInd w:val="0"/>
                    <w:snapToGrid w:val="0"/>
                    <w:jc w:val="center"/>
                    <w:rPr>
                      <w:color w:val="auto"/>
                      <w:sz w:val="21"/>
                      <w:szCs w:val="21"/>
                    </w:rPr>
                  </w:pPr>
                  <w:r>
                    <w:rPr>
                      <w:rFonts w:hint="eastAsia"/>
                      <w:color w:val="auto"/>
                      <w:sz w:val="21"/>
                      <w:szCs w:val="21"/>
                    </w:rPr>
                    <w:t>0.117</w:t>
                  </w:r>
                </w:p>
              </w:tc>
              <w:tc>
                <w:tcPr>
                  <w:tcW w:w="1110" w:type="pct"/>
                  <w:vAlign w:val="center"/>
                </w:tcPr>
                <w:p w14:paraId="65B5D6B8">
                  <w:pPr>
                    <w:adjustRightInd w:val="0"/>
                    <w:snapToGrid w:val="0"/>
                    <w:jc w:val="center"/>
                    <w:rPr>
                      <w:color w:val="auto"/>
                      <w:sz w:val="21"/>
                      <w:szCs w:val="21"/>
                    </w:rPr>
                  </w:pPr>
                  <w:r>
                    <w:rPr>
                      <w:rFonts w:hint="eastAsia"/>
                      <w:color w:val="auto"/>
                      <w:sz w:val="21"/>
                      <w:szCs w:val="21"/>
                    </w:rPr>
                    <w:t>0.052</w:t>
                  </w:r>
                </w:p>
              </w:tc>
              <w:tc>
                <w:tcPr>
                  <w:tcW w:w="1110" w:type="pct"/>
                  <w:vAlign w:val="center"/>
                </w:tcPr>
                <w:p w14:paraId="74CFEB2E">
                  <w:pPr>
                    <w:adjustRightInd w:val="0"/>
                    <w:snapToGrid w:val="0"/>
                    <w:jc w:val="center"/>
                    <w:rPr>
                      <w:color w:val="auto"/>
                      <w:sz w:val="21"/>
                      <w:szCs w:val="21"/>
                    </w:rPr>
                  </w:pPr>
                  <w:r>
                    <w:rPr>
                      <w:rFonts w:hint="eastAsia"/>
                      <w:color w:val="auto"/>
                      <w:sz w:val="21"/>
                      <w:szCs w:val="21"/>
                    </w:rPr>
                    <w:t>1.9</w:t>
                  </w:r>
                </w:p>
              </w:tc>
            </w:tr>
            <w:tr w14:paraId="090B4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4484F228">
                  <w:pPr>
                    <w:adjustRightInd w:val="0"/>
                    <w:snapToGrid w:val="0"/>
                    <w:jc w:val="center"/>
                    <w:rPr>
                      <w:color w:val="auto"/>
                      <w:sz w:val="21"/>
                      <w:szCs w:val="21"/>
                    </w:rPr>
                  </w:pPr>
                </w:p>
              </w:tc>
              <w:tc>
                <w:tcPr>
                  <w:tcW w:w="420" w:type="pct"/>
                  <w:vMerge w:val="continue"/>
                  <w:vAlign w:val="center"/>
                </w:tcPr>
                <w:p w14:paraId="1BD8DF89">
                  <w:pPr>
                    <w:adjustRightInd w:val="0"/>
                    <w:snapToGrid w:val="0"/>
                    <w:jc w:val="center"/>
                    <w:rPr>
                      <w:color w:val="auto"/>
                      <w:sz w:val="21"/>
                      <w:szCs w:val="21"/>
                    </w:rPr>
                  </w:pPr>
                </w:p>
              </w:tc>
              <w:tc>
                <w:tcPr>
                  <w:tcW w:w="939" w:type="pct"/>
                  <w:vAlign w:val="center"/>
                </w:tcPr>
                <w:p w14:paraId="4A129038">
                  <w:pPr>
                    <w:adjustRightInd w:val="0"/>
                    <w:snapToGrid w:val="0"/>
                    <w:jc w:val="center"/>
                    <w:rPr>
                      <w:color w:val="auto"/>
                      <w:sz w:val="21"/>
                      <w:szCs w:val="21"/>
                    </w:rPr>
                  </w:pPr>
                  <w:r>
                    <w:rPr>
                      <w:rFonts w:hint="eastAsia"/>
                      <w:color w:val="auto"/>
                      <w:sz w:val="21"/>
                      <w:szCs w:val="21"/>
                    </w:rPr>
                    <w:t>20:00-21:00</w:t>
                  </w:r>
                </w:p>
              </w:tc>
              <w:tc>
                <w:tcPr>
                  <w:tcW w:w="1110" w:type="pct"/>
                  <w:vAlign w:val="center"/>
                </w:tcPr>
                <w:p w14:paraId="2062EDAB">
                  <w:pPr>
                    <w:adjustRightInd w:val="0"/>
                    <w:snapToGrid w:val="0"/>
                    <w:jc w:val="center"/>
                    <w:rPr>
                      <w:color w:val="auto"/>
                      <w:sz w:val="21"/>
                      <w:szCs w:val="21"/>
                    </w:rPr>
                  </w:pPr>
                  <w:r>
                    <w:rPr>
                      <w:rFonts w:hint="eastAsia"/>
                      <w:color w:val="auto"/>
                      <w:sz w:val="21"/>
                      <w:szCs w:val="21"/>
                    </w:rPr>
                    <w:t>0.117</w:t>
                  </w:r>
                </w:p>
              </w:tc>
              <w:tc>
                <w:tcPr>
                  <w:tcW w:w="1110" w:type="pct"/>
                  <w:vAlign w:val="center"/>
                </w:tcPr>
                <w:p w14:paraId="35AFA657">
                  <w:pPr>
                    <w:adjustRightInd w:val="0"/>
                    <w:snapToGrid w:val="0"/>
                    <w:jc w:val="center"/>
                    <w:rPr>
                      <w:color w:val="auto"/>
                      <w:sz w:val="21"/>
                      <w:szCs w:val="21"/>
                    </w:rPr>
                  </w:pPr>
                  <w:r>
                    <w:rPr>
                      <w:rFonts w:hint="eastAsia"/>
                      <w:color w:val="auto"/>
                      <w:sz w:val="21"/>
                      <w:szCs w:val="21"/>
                    </w:rPr>
                    <w:t>0.050</w:t>
                  </w:r>
                </w:p>
              </w:tc>
              <w:tc>
                <w:tcPr>
                  <w:tcW w:w="1110" w:type="pct"/>
                  <w:vAlign w:val="center"/>
                </w:tcPr>
                <w:p w14:paraId="59F49F78">
                  <w:pPr>
                    <w:adjustRightInd w:val="0"/>
                    <w:snapToGrid w:val="0"/>
                    <w:jc w:val="center"/>
                    <w:rPr>
                      <w:color w:val="auto"/>
                      <w:sz w:val="21"/>
                      <w:szCs w:val="21"/>
                    </w:rPr>
                  </w:pPr>
                  <w:r>
                    <w:rPr>
                      <w:rFonts w:hint="eastAsia"/>
                      <w:color w:val="auto"/>
                      <w:sz w:val="21"/>
                      <w:szCs w:val="21"/>
                    </w:rPr>
                    <w:t>2.1</w:t>
                  </w:r>
                </w:p>
              </w:tc>
            </w:tr>
            <w:tr w14:paraId="58B05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3747B2F9">
                  <w:pPr>
                    <w:adjustRightInd w:val="0"/>
                    <w:snapToGrid w:val="0"/>
                    <w:jc w:val="center"/>
                    <w:rPr>
                      <w:color w:val="auto"/>
                      <w:sz w:val="21"/>
                      <w:szCs w:val="21"/>
                    </w:rPr>
                  </w:pPr>
                </w:p>
              </w:tc>
              <w:tc>
                <w:tcPr>
                  <w:tcW w:w="1360" w:type="pct"/>
                  <w:gridSpan w:val="2"/>
                  <w:vAlign w:val="center"/>
                </w:tcPr>
                <w:p w14:paraId="09FEDEA6">
                  <w:pPr>
                    <w:adjustRightInd w:val="0"/>
                    <w:snapToGrid w:val="0"/>
                    <w:jc w:val="center"/>
                    <w:rPr>
                      <w:b/>
                      <w:bCs/>
                      <w:color w:val="auto"/>
                      <w:sz w:val="21"/>
                      <w:szCs w:val="21"/>
                    </w:rPr>
                  </w:pPr>
                  <w:r>
                    <w:rPr>
                      <w:rFonts w:hint="eastAsia"/>
                      <w:b/>
                      <w:bCs/>
                      <w:color w:val="auto"/>
                      <w:sz w:val="21"/>
                      <w:szCs w:val="21"/>
                    </w:rPr>
                    <w:t>标准值</w:t>
                  </w:r>
                </w:p>
              </w:tc>
              <w:tc>
                <w:tcPr>
                  <w:tcW w:w="1110" w:type="pct"/>
                  <w:vAlign w:val="center"/>
                </w:tcPr>
                <w:p w14:paraId="25C6530A">
                  <w:pPr>
                    <w:adjustRightInd w:val="0"/>
                    <w:snapToGrid w:val="0"/>
                    <w:jc w:val="center"/>
                    <w:rPr>
                      <w:b/>
                      <w:bCs/>
                      <w:color w:val="auto"/>
                      <w:sz w:val="21"/>
                      <w:szCs w:val="21"/>
                    </w:rPr>
                  </w:pPr>
                  <w:r>
                    <w:rPr>
                      <w:rFonts w:hint="eastAsia"/>
                      <w:b/>
                      <w:bCs/>
                      <w:color w:val="auto"/>
                      <w:sz w:val="21"/>
                      <w:szCs w:val="21"/>
                    </w:rPr>
                    <w:t>/</w:t>
                  </w:r>
                </w:p>
              </w:tc>
              <w:tc>
                <w:tcPr>
                  <w:tcW w:w="1110" w:type="pct"/>
                  <w:vAlign w:val="center"/>
                </w:tcPr>
                <w:p w14:paraId="4C4D2CE7">
                  <w:pPr>
                    <w:adjustRightInd w:val="0"/>
                    <w:snapToGrid w:val="0"/>
                    <w:jc w:val="center"/>
                    <w:rPr>
                      <w:b/>
                      <w:bCs/>
                      <w:color w:val="auto"/>
                      <w:sz w:val="21"/>
                      <w:szCs w:val="21"/>
                    </w:rPr>
                  </w:pPr>
                  <w:r>
                    <w:rPr>
                      <w:rFonts w:hint="eastAsia"/>
                      <w:b/>
                      <w:bCs/>
                      <w:color w:val="auto"/>
                      <w:sz w:val="21"/>
                      <w:szCs w:val="21"/>
                    </w:rPr>
                    <w:t>0.5</w:t>
                  </w:r>
                </w:p>
              </w:tc>
              <w:tc>
                <w:tcPr>
                  <w:tcW w:w="1110" w:type="pct"/>
                  <w:vAlign w:val="center"/>
                </w:tcPr>
                <w:p w14:paraId="1C14096B">
                  <w:pPr>
                    <w:adjustRightInd w:val="0"/>
                    <w:snapToGrid w:val="0"/>
                    <w:jc w:val="center"/>
                    <w:rPr>
                      <w:b/>
                      <w:bCs/>
                      <w:color w:val="auto"/>
                      <w:sz w:val="21"/>
                      <w:szCs w:val="21"/>
                    </w:rPr>
                  </w:pPr>
                  <w:r>
                    <w:rPr>
                      <w:rFonts w:hint="eastAsia"/>
                      <w:b/>
                      <w:bCs/>
                      <w:color w:val="auto"/>
                      <w:sz w:val="21"/>
                      <w:szCs w:val="21"/>
                    </w:rPr>
                    <w:t>20</w:t>
                  </w:r>
                </w:p>
              </w:tc>
            </w:tr>
            <w:tr w14:paraId="6AD7D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313095AC">
                  <w:pPr>
                    <w:adjustRightInd w:val="0"/>
                    <w:snapToGrid w:val="0"/>
                    <w:jc w:val="center"/>
                    <w:rPr>
                      <w:color w:val="auto"/>
                    </w:rPr>
                  </w:pPr>
                </w:p>
              </w:tc>
              <w:tc>
                <w:tcPr>
                  <w:tcW w:w="1360" w:type="pct"/>
                  <w:gridSpan w:val="2"/>
                  <w:vAlign w:val="center"/>
                </w:tcPr>
                <w:p w14:paraId="05C34CC2">
                  <w:pPr>
                    <w:adjustRightInd w:val="0"/>
                    <w:snapToGrid w:val="0"/>
                    <w:jc w:val="center"/>
                    <w:rPr>
                      <w:b/>
                      <w:bCs/>
                      <w:color w:val="auto"/>
                      <w:sz w:val="21"/>
                      <w:szCs w:val="21"/>
                    </w:rPr>
                  </w:pPr>
                  <w:r>
                    <w:rPr>
                      <w:rFonts w:hint="eastAsia"/>
                      <w:b/>
                      <w:bCs/>
                      <w:color w:val="auto"/>
                      <w:sz w:val="21"/>
                      <w:szCs w:val="21"/>
                    </w:rPr>
                    <w:t>最大浓度占标率%</w:t>
                  </w:r>
                </w:p>
              </w:tc>
              <w:tc>
                <w:tcPr>
                  <w:tcW w:w="1110" w:type="pct"/>
                  <w:vAlign w:val="center"/>
                </w:tcPr>
                <w:p w14:paraId="086F4010">
                  <w:pPr>
                    <w:adjustRightInd w:val="0"/>
                    <w:snapToGrid w:val="0"/>
                    <w:jc w:val="center"/>
                    <w:rPr>
                      <w:b/>
                      <w:bCs/>
                      <w:color w:val="auto"/>
                      <w:sz w:val="21"/>
                      <w:szCs w:val="21"/>
                    </w:rPr>
                  </w:pPr>
                  <w:r>
                    <w:rPr>
                      <w:rFonts w:hint="eastAsia"/>
                      <w:b/>
                      <w:bCs/>
                      <w:color w:val="auto"/>
                      <w:sz w:val="21"/>
                      <w:szCs w:val="21"/>
                    </w:rPr>
                    <w:t>/</w:t>
                  </w:r>
                </w:p>
              </w:tc>
              <w:tc>
                <w:tcPr>
                  <w:tcW w:w="1110" w:type="pct"/>
                  <w:vAlign w:val="center"/>
                </w:tcPr>
                <w:p w14:paraId="39BD118F">
                  <w:pPr>
                    <w:adjustRightInd w:val="0"/>
                    <w:snapToGrid w:val="0"/>
                    <w:jc w:val="center"/>
                    <w:rPr>
                      <w:b/>
                      <w:bCs/>
                      <w:color w:val="auto"/>
                      <w:sz w:val="21"/>
                      <w:szCs w:val="21"/>
                    </w:rPr>
                  </w:pPr>
                  <w:r>
                    <w:rPr>
                      <w:rFonts w:hint="eastAsia"/>
                      <w:b/>
                      <w:bCs/>
                      <w:color w:val="auto"/>
                      <w:sz w:val="21"/>
                      <w:szCs w:val="21"/>
                    </w:rPr>
                    <w:t>13</w:t>
                  </w:r>
                </w:p>
              </w:tc>
              <w:tc>
                <w:tcPr>
                  <w:tcW w:w="1110" w:type="pct"/>
                  <w:vAlign w:val="center"/>
                </w:tcPr>
                <w:p w14:paraId="7DD86A07">
                  <w:pPr>
                    <w:adjustRightInd w:val="0"/>
                    <w:snapToGrid w:val="0"/>
                    <w:jc w:val="center"/>
                    <w:rPr>
                      <w:b/>
                      <w:bCs/>
                      <w:color w:val="auto"/>
                      <w:sz w:val="21"/>
                      <w:szCs w:val="21"/>
                    </w:rPr>
                  </w:pPr>
                  <w:r>
                    <w:rPr>
                      <w:rFonts w:hint="eastAsia"/>
                      <w:b/>
                      <w:bCs/>
                      <w:color w:val="auto"/>
                      <w:sz w:val="21"/>
                      <w:szCs w:val="21"/>
                    </w:rPr>
                    <w:t>10.5</w:t>
                  </w:r>
                </w:p>
              </w:tc>
            </w:tr>
            <w:tr w14:paraId="5E009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2CB2701D">
                  <w:pPr>
                    <w:adjustRightInd w:val="0"/>
                    <w:snapToGrid w:val="0"/>
                    <w:jc w:val="center"/>
                    <w:rPr>
                      <w:b/>
                      <w:bCs/>
                      <w:color w:val="auto"/>
                      <w:sz w:val="21"/>
                      <w:szCs w:val="21"/>
                    </w:rPr>
                  </w:pPr>
                </w:p>
              </w:tc>
              <w:tc>
                <w:tcPr>
                  <w:tcW w:w="1360" w:type="pct"/>
                  <w:gridSpan w:val="2"/>
                  <w:vAlign w:val="center"/>
                </w:tcPr>
                <w:p w14:paraId="6D0664E6">
                  <w:pPr>
                    <w:adjustRightInd w:val="0"/>
                    <w:snapToGrid w:val="0"/>
                    <w:jc w:val="center"/>
                    <w:rPr>
                      <w:b/>
                      <w:bCs/>
                      <w:color w:val="auto"/>
                      <w:sz w:val="21"/>
                      <w:szCs w:val="21"/>
                    </w:rPr>
                  </w:pPr>
                  <w:r>
                    <w:rPr>
                      <w:rFonts w:hint="eastAsia"/>
                      <w:b/>
                      <w:bCs/>
                      <w:color w:val="auto"/>
                      <w:sz w:val="21"/>
                      <w:szCs w:val="21"/>
                    </w:rPr>
                    <w:t>超标频率%</w:t>
                  </w:r>
                </w:p>
              </w:tc>
              <w:tc>
                <w:tcPr>
                  <w:tcW w:w="1110" w:type="pct"/>
                  <w:vAlign w:val="center"/>
                </w:tcPr>
                <w:p w14:paraId="1B480043">
                  <w:pPr>
                    <w:adjustRightInd w:val="0"/>
                    <w:snapToGrid w:val="0"/>
                    <w:jc w:val="center"/>
                    <w:rPr>
                      <w:b/>
                      <w:bCs/>
                      <w:color w:val="auto"/>
                      <w:sz w:val="21"/>
                      <w:szCs w:val="21"/>
                    </w:rPr>
                  </w:pPr>
                  <w:r>
                    <w:rPr>
                      <w:rFonts w:hint="eastAsia"/>
                      <w:b/>
                      <w:bCs/>
                      <w:color w:val="auto"/>
                      <w:sz w:val="21"/>
                      <w:szCs w:val="21"/>
                    </w:rPr>
                    <w:t>/</w:t>
                  </w:r>
                </w:p>
              </w:tc>
              <w:tc>
                <w:tcPr>
                  <w:tcW w:w="1110" w:type="pct"/>
                  <w:vAlign w:val="center"/>
                </w:tcPr>
                <w:p w14:paraId="64759238">
                  <w:pPr>
                    <w:adjustRightInd w:val="0"/>
                    <w:snapToGrid w:val="0"/>
                    <w:jc w:val="center"/>
                    <w:rPr>
                      <w:b/>
                      <w:bCs/>
                      <w:color w:val="auto"/>
                      <w:sz w:val="21"/>
                      <w:szCs w:val="21"/>
                    </w:rPr>
                  </w:pPr>
                  <w:r>
                    <w:rPr>
                      <w:rFonts w:hint="eastAsia"/>
                      <w:b/>
                      <w:bCs/>
                      <w:color w:val="auto"/>
                      <w:sz w:val="21"/>
                      <w:szCs w:val="21"/>
                    </w:rPr>
                    <w:t>0</w:t>
                  </w:r>
                </w:p>
              </w:tc>
              <w:tc>
                <w:tcPr>
                  <w:tcW w:w="1110" w:type="pct"/>
                  <w:vAlign w:val="center"/>
                </w:tcPr>
                <w:p w14:paraId="56EDCE4C">
                  <w:pPr>
                    <w:adjustRightInd w:val="0"/>
                    <w:snapToGrid w:val="0"/>
                    <w:jc w:val="center"/>
                    <w:rPr>
                      <w:b/>
                      <w:bCs/>
                      <w:color w:val="auto"/>
                      <w:sz w:val="21"/>
                      <w:szCs w:val="21"/>
                    </w:rPr>
                  </w:pPr>
                  <w:r>
                    <w:rPr>
                      <w:rFonts w:hint="eastAsia"/>
                      <w:b/>
                      <w:bCs/>
                      <w:color w:val="auto"/>
                      <w:sz w:val="21"/>
                      <w:szCs w:val="21"/>
                    </w:rPr>
                    <w:t>0</w:t>
                  </w:r>
                </w:p>
              </w:tc>
            </w:tr>
            <w:tr w14:paraId="3C689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3F5F0C49">
                  <w:pPr>
                    <w:adjustRightInd w:val="0"/>
                    <w:snapToGrid w:val="0"/>
                    <w:jc w:val="center"/>
                    <w:rPr>
                      <w:color w:val="auto"/>
                      <w:sz w:val="21"/>
                      <w:szCs w:val="21"/>
                    </w:rPr>
                  </w:pPr>
                </w:p>
              </w:tc>
              <w:tc>
                <w:tcPr>
                  <w:tcW w:w="1360" w:type="pct"/>
                  <w:gridSpan w:val="2"/>
                  <w:vAlign w:val="center"/>
                </w:tcPr>
                <w:p w14:paraId="1E860FA1">
                  <w:pPr>
                    <w:adjustRightInd w:val="0"/>
                    <w:snapToGrid w:val="0"/>
                    <w:jc w:val="center"/>
                    <w:rPr>
                      <w:b/>
                      <w:bCs/>
                      <w:color w:val="auto"/>
                      <w:sz w:val="21"/>
                      <w:szCs w:val="21"/>
                    </w:rPr>
                  </w:pPr>
                  <w:r>
                    <w:rPr>
                      <w:rFonts w:hint="eastAsia"/>
                      <w:b/>
                      <w:bCs/>
                      <w:color w:val="auto"/>
                      <w:sz w:val="21"/>
                      <w:szCs w:val="21"/>
                    </w:rPr>
                    <w:t>评价结果</w:t>
                  </w:r>
                </w:p>
              </w:tc>
              <w:tc>
                <w:tcPr>
                  <w:tcW w:w="1110" w:type="pct"/>
                  <w:vAlign w:val="center"/>
                </w:tcPr>
                <w:p w14:paraId="13035FD9">
                  <w:pPr>
                    <w:adjustRightInd w:val="0"/>
                    <w:snapToGrid w:val="0"/>
                    <w:jc w:val="center"/>
                    <w:rPr>
                      <w:b/>
                      <w:bCs/>
                      <w:color w:val="auto"/>
                      <w:sz w:val="21"/>
                      <w:szCs w:val="21"/>
                    </w:rPr>
                  </w:pPr>
                  <w:r>
                    <w:rPr>
                      <w:rFonts w:hint="eastAsia"/>
                      <w:b/>
                      <w:bCs/>
                      <w:color w:val="auto"/>
                      <w:sz w:val="21"/>
                      <w:szCs w:val="21"/>
                    </w:rPr>
                    <w:t>/</w:t>
                  </w:r>
                </w:p>
              </w:tc>
              <w:tc>
                <w:tcPr>
                  <w:tcW w:w="1110" w:type="pct"/>
                  <w:vAlign w:val="center"/>
                </w:tcPr>
                <w:p w14:paraId="3D8BDA67">
                  <w:pPr>
                    <w:adjustRightInd w:val="0"/>
                    <w:snapToGrid w:val="0"/>
                    <w:jc w:val="center"/>
                    <w:rPr>
                      <w:b/>
                      <w:bCs/>
                      <w:color w:val="auto"/>
                      <w:sz w:val="21"/>
                      <w:szCs w:val="21"/>
                    </w:rPr>
                  </w:pPr>
                  <w:r>
                    <w:rPr>
                      <w:rFonts w:hint="eastAsia"/>
                      <w:b/>
                      <w:bCs/>
                      <w:color w:val="auto"/>
                      <w:sz w:val="21"/>
                      <w:szCs w:val="21"/>
                    </w:rPr>
                    <w:t>达标</w:t>
                  </w:r>
                </w:p>
              </w:tc>
              <w:tc>
                <w:tcPr>
                  <w:tcW w:w="1110" w:type="pct"/>
                  <w:vAlign w:val="center"/>
                </w:tcPr>
                <w:p w14:paraId="58CCBDDE">
                  <w:pPr>
                    <w:adjustRightInd w:val="0"/>
                    <w:snapToGrid w:val="0"/>
                    <w:jc w:val="center"/>
                    <w:rPr>
                      <w:b/>
                      <w:bCs/>
                      <w:color w:val="auto"/>
                      <w:sz w:val="21"/>
                      <w:szCs w:val="21"/>
                    </w:rPr>
                  </w:pPr>
                  <w:r>
                    <w:rPr>
                      <w:rFonts w:hint="eastAsia"/>
                      <w:b/>
                      <w:bCs/>
                      <w:color w:val="auto"/>
                      <w:sz w:val="21"/>
                      <w:szCs w:val="21"/>
                    </w:rPr>
                    <w:t>达标</w:t>
                  </w:r>
                </w:p>
              </w:tc>
            </w:tr>
            <w:tr w14:paraId="39F0F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restart"/>
                  <w:vAlign w:val="center"/>
                </w:tcPr>
                <w:p w14:paraId="49A63F5D">
                  <w:pPr>
                    <w:adjustRightInd w:val="0"/>
                    <w:snapToGrid w:val="0"/>
                    <w:jc w:val="center"/>
                    <w:rPr>
                      <w:color w:val="auto"/>
                      <w:sz w:val="21"/>
                      <w:szCs w:val="21"/>
                      <w:highlight w:val="yellow"/>
                    </w:rPr>
                  </w:pPr>
                  <w:r>
                    <w:rPr>
                      <w:rFonts w:hint="eastAsia"/>
                      <w:color w:val="auto"/>
                      <w:sz w:val="21"/>
                      <w:szCs w:val="21"/>
                    </w:rPr>
                    <w:t>王岗村</w:t>
                  </w:r>
                </w:p>
              </w:tc>
              <w:tc>
                <w:tcPr>
                  <w:tcW w:w="420" w:type="pct"/>
                  <w:vMerge w:val="restart"/>
                  <w:vAlign w:val="center"/>
                </w:tcPr>
                <w:p w14:paraId="4D85DCB0">
                  <w:pPr>
                    <w:adjustRightInd w:val="0"/>
                    <w:snapToGrid w:val="0"/>
                    <w:jc w:val="center"/>
                    <w:rPr>
                      <w:color w:val="auto"/>
                      <w:sz w:val="21"/>
                      <w:szCs w:val="21"/>
                    </w:rPr>
                  </w:pPr>
                  <w:r>
                    <w:rPr>
                      <w:rFonts w:hint="eastAsia"/>
                      <w:color w:val="auto"/>
                      <w:sz w:val="21"/>
                      <w:szCs w:val="21"/>
                    </w:rPr>
                    <w:t>2023.05.23</w:t>
                  </w:r>
                </w:p>
              </w:tc>
              <w:tc>
                <w:tcPr>
                  <w:tcW w:w="939" w:type="pct"/>
                  <w:vAlign w:val="center"/>
                </w:tcPr>
                <w:p w14:paraId="247CAC9B">
                  <w:pPr>
                    <w:adjustRightInd w:val="0"/>
                    <w:snapToGrid w:val="0"/>
                    <w:jc w:val="center"/>
                    <w:rPr>
                      <w:color w:val="auto"/>
                      <w:sz w:val="21"/>
                      <w:szCs w:val="21"/>
                    </w:rPr>
                  </w:pPr>
                  <w:r>
                    <w:rPr>
                      <w:rFonts w:hint="eastAsia"/>
                      <w:color w:val="auto"/>
                      <w:sz w:val="21"/>
                      <w:szCs w:val="21"/>
                    </w:rPr>
                    <w:t>02:00-03:00</w:t>
                  </w:r>
                </w:p>
              </w:tc>
              <w:tc>
                <w:tcPr>
                  <w:tcW w:w="1110" w:type="pct"/>
                  <w:vAlign w:val="center"/>
                </w:tcPr>
                <w:p w14:paraId="387DAA9B">
                  <w:pPr>
                    <w:adjustRightInd w:val="0"/>
                    <w:snapToGrid w:val="0"/>
                    <w:jc w:val="center"/>
                    <w:rPr>
                      <w:color w:val="auto"/>
                      <w:sz w:val="21"/>
                      <w:szCs w:val="21"/>
                    </w:rPr>
                  </w:pPr>
                  <w:r>
                    <w:rPr>
                      <w:rFonts w:hint="eastAsia"/>
                      <w:color w:val="auto"/>
                      <w:sz w:val="21"/>
                      <w:szCs w:val="21"/>
                    </w:rPr>
                    <w:t>0.133</w:t>
                  </w:r>
                </w:p>
              </w:tc>
              <w:tc>
                <w:tcPr>
                  <w:tcW w:w="1110" w:type="pct"/>
                  <w:vAlign w:val="center"/>
                </w:tcPr>
                <w:p w14:paraId="46D9D43D">
                  <w:pPr>
                    <w:adjustRightInd w:val="0"/>
                    <w:snapToGrid w:val="0"/>
                    <w:jc w:val="center"/>
                    <w:rPr>
                      <w:color w:val="auto"/>
                      <w:sz w:val="21"/>
                      <w:szCs w:val="21"/>
                    </w:rPr>
                  </w:pPr>
                  <w:r>
                    <w:rPr>
                      <w:rFonts w:hint="eastAsia"/>
                      <w:color w:val="auto"/>
                      <w:sz w:val="21"/>
                      <w:szCs w:val="21"/>
                    </w:rPr>
                    <w:t>0.047</w:t>
                  </w:r>
                </w:p>
              </w:tc>
              <w:tc>
                <w:tcPr>
                  <w:tcW w:w="1110" w:type="pct"/>
                  <w:vAlign w:val="center"/>
                </w:tcPr>
                <w:p w14:paraId="2C712E04">
                  <w:pPr>
                    <w:adjustRightInd w:val="0"/>
                    <w:snapToGrid w:val="0"/>
                    <w:jc w:val="center"/>
                    <w:rPr>
                      <w:color w:val="auto"/>
                      <w:sz w:val="21"/>
                      <w:szCs w:val="21"/>
                    </w:rPr>
                  </w:pPr>
                  <w:r>
                    <w:rPr>
                      <w:rFonts w:hint="eastAsia"/>
                      <w:color w:val="auto"/>
                      <w:sz w:val="21"/>
                      <w:szCs w:val="21"/>
                    </w:rPr>
                    <w:t>2.0</w:t>
                  </w:r>
                </w:p>
              </w:tc>
            </w:tr>
            <w:tr w14:paraId="1E86D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2BF2F10D">
                  <w:pPr>
                    <w:adjustRightInd w:val="0"/>
                    <w:snapToGrid w:val="0"/>
                    <w:jc w:val="center"/>
                    <w:rPr>
                      <w:color w:val="auto"/>
                      <w:sz w:val="21"/>
                      <w:szCs w:val="21"/>
                      <w:highlight w:val="yellow"/>
                    </w:rPr>
                  </w:pPr>
                </w:p>
              </w:tc>
              <w:tc>
                <w:tcPr>
                  <w:tcW w:w="420" w:type="pct"/>
                  <w:vMerge w:val="continue"/>
                  <w:vAlign w:val="center"/>
                </w:tcPr>
                <w:p w14:paraId="49D66D46">
                  <w:pPr>
                    <w:adjustRightInd w:val="0"/>
                    <w:snapToGrid w:val="0"/>
                    <w:jc w:val="center"/>
                    <w:rPr>
                      <w:color w:val="auto"/>
                      <w:sz w:val="21"/>
                      <w:szCs w:val="21"/>
                    </w:rPr>
                  </w:pPr>
                </w:p>
              </w:tc>
              <w:tc>
                <w:tcPr>
                  <w:tcW w:w="939" w:type="pct"/>
                  <w:vAlign w:val="center"/>
                </w:tcPr>
                <w:p w14:paraId="6786428D">
                  <w:pPr>
                    <w:adjustRightInd w:val="0"/>
                    <w:snapToGrid w:val="0"/>
                    <w:jc w:val="center"/>
                    <w:rPr>
                      <w:color w:val="auto"/>
                      <w:sz w:val="21"/>
                      <w:szCs w:val="21"/>
                    </w:rPr>
                  </w:pPr>
                  <w:r>
                    <w:rPr>
                      <w:rFonts w:hint="eastAsia"/>
                      <w:color w:val="auto"/>
                      <w:sz w:val="21"/>
                      <w:szCs w:val="21"/>
                    </w:rPr>
                    <w:t>08:00-09:00</w:t>
                  </w:r>
                </w:p>
              </w:tc>
              <w:tc>
                <w:tcPr>
                  <w:tcW w:w="1110" w:type="pct"/>
                  <w:vAlign w:val="center"/>
                </w:tcPr>
                <w:p w14:paraId="7BD9F9BB">
                  <w:pPr>
                    <w:adjustRightInd w:val="0"/>
                    <w:snapToGrid w:val="0"/>
                    <w:jc w:val="center"/>
                    <w:rPr>
                      <w:color w:val="auto"/>
                      <w:sz w:val="21"/>
                      <w:szCs w:val="21"/>
                    </w:rPr>
                  </w:pPr>
                  <w:r>
                    <w:rPr>
                      <w:rFonts w:hint="eastAsia"/>
                      <w:color w:val="auto"/>
                      <w:sz w:val="21"/>
                      <w:szCs w:val="21"/>
                    </w:rPr>
                    <w:t>0.117</w:t>
                  </w:r>
                </w:p>
              </w:tc>
              <w:tc>
                <w:tcPr>
                  <w:tcW w:w="1110" w:type="pct"/>
                  <w:vAlign w:val="center"/>
                </w:tcPr>
                <w:p w14:paraId="6CD27801">
                  <w:pPr>
                    <w:adjustRightInd w:val="0"/>
                    <w:snapToGrid w:val="0"/>
                    <w:jc w:val="center"/>
                    <w:rPr>
                      <w:color w:val="auto"/>
                      <w:sz w:val="21"/>
                      <w:szCs w:val="21"/>
                    </w:rPr>
                  </w:pPr>
                  <w:r>
                    <w:rPr>
                      <w:rFonts w:hint="eastAsia"/>
                      <w:color w:val="auto"/>
                      <w:sz w:val="21"/>
                      <w:szCs w:val="21"/>
                    </w:rPr>
                    <w:t>0.049</w:t>
                  </w:r>
                </w:p>
              </w:tc>
              <w:tc>
                <w:tcPr>
                  <w:tcW w:w="1110" w:type="pct"/>
                  <w:vAlign w:val="center"/>
                </w:tcPr>
                <w:p w14:paraId="0A985B8F">
                  <w:pPr>
                    <w:adjustRightInd w:val="0"/>
                    <w:snapToGrid w:val="0"/>
                    <w:jc w:val="center"/>
                    <w:rPr>
                      <w:color w:val="auto"/>
                      <w:sz w:val="21"/>
                      <w:szCs w:val="21"/>
                    </w:rPr>
                  </w:pPr>
                  <w:r>
                    <w:rPr>
                      <w:rFonts w:hint="eastAsia"/>
                      <w:color w:val="auto"/>
                      <w:sz w:val="21"/>
                      <w:szCs w:val="21"/>
                    </w:rPr>
                    <w:t>2.0</w:t>
                  </w:r>
                </w:p>
              </w:tc>
            </w:tr>
            <w:tr w14:paraId="71882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63390259">
                  <w:pPr>
                    <w:adjustRightInd w:val="0"/>
                    <w:snapToGrid w:val="0"/>
                    <w:jc w:val="center"/>
                    <w:rPr>
                      <w:color w:val="auto"/>
                      <w:sz w:val="21"/>
                      <w:szCs w:val="21"/>
                      <w:highlight w:val="yellow"/>
                    </w:rPr>
                  </w:pPr>
                </w:p>
              </w:tc>
              <w:tc>
                <w:tcPr>
                  <w:tcW w:w="420" w:type="pct"/>
                  <w:vMerge w:val="continue"/>
                  <w:vAlign w:val="center"/>
                </w:tcPr>
                <w:p w14:paraId="5A64465A">
                  <w:pPr>
                    <w:adjustRightInd w:val="0"/>
                    <w:snapToGrid w:val="0"/>
                    <w:jc w:val="center"/>
                    <w:rPr>
                      <w:color w:val="auto"/>
                      <w:sz w:val="21"/>
                      <w:szCs w:val="21"/>
                    </w:rPr>
                  </w:pPr>
                </w:p>
              </w:tc>
              <w:tc>
                <w:tcPr>
                  <w:tcW w:w="939" w:type="pct"/>
                  <w:vAlign w:val="center"/>
                </w:tcPr>
                <w:p w14:paraId="2CB710F0">
                  <w:pPr>
                    <w:adjustRightInd w:val="0"/>
                    <w:snapToGrid w:val="0"/>
                    <w:jc w:val="center"/>
                    <w:rPr>
                      <w:color w:val="auto"/>
                      <w:sz w:val="21"/>
                      <w:szCs w:val="21"/>
                    </w:rPr>
                  </w:pPr>
                  <w:r>
                    <w:rPr>
                      <w:rFonts w:hint="eastAsia"/>
                      <w:color w:val="auto"/>
                      <w:sz w:val="21"/>
                      <w:szCs w:val="21"/>
                    </w:rPr>
                    <w:t>14:00-15:00</w:t>
                  </w:r>
                </w:p>
              </w:tc>
              <w:tc>
                <w:tcPr>
                  <w:tcW w:w="1110" w:type="pct"/>
                  <w:vAlign w:val="center"/>
                </w:tcPr>
                <w:p w14:paraId="6AA1B24B">
                  <w:pPr>
                    <w:adjustRightInd w:val="0"/>
                    <w:snapToGrid w:val="0"/>
                    <w:jc w:val="center"/>
                    <w:rPr>
                      <w:color w:val="auto"/>
                      <w:sz w:val="21"/>
                      <w:szCs w:val="21"/>
                    </w:rPr>
                  </w:pPr>
                  <w:r>
                    <w:rPr>
                      <w:rFonts w:hint="eastAsia"/>
                      <w:color w:val="auto"/>
                      <w:sz w:val="21"/>
                      <w:szCs w:val="21"/>
                    </w:rPr>
                    <w:t>0.133</w:t>
                  </w:r>
                </w:p>
              </w:tc>
              <w:tc>
                <w:tcPr>
                  <w:tcW w:w="1110" w:type="pct"/>
                  <w:vAlign w:val="center"/>
                </w:tcPr>
                <w:p w14:paraId="123631EE">
                  <w:pPr>
                    <w:adjustRightInd w:val="0"/>
                    <w:snapToGrid w:val="0"/>
                    <w:jc w:val="center"/>
                    <w:rPr>
                      <w:color w:val="auto"/>
                      <w:sz w:val="21"/>
                      <w:szCs w:val="21"/>
                    </w:rPr>
                  </w:pPr>
                  <w:r>
                    <w:rPr>
                      <w:rFonts w:hint="eastAsia"/>
                      <w:color w:val="auto"/>
                      <w:sz w:val="21"/>
                      <w:szCs w:val="21"/>
                    </w:rPr>
                    <w:t>0.052</w:t>
                  </w:r>
                </w:p>
              </w:tc>
              <w:tc>
                <w:tcPr>
                  <w:tcW w:w="1110" w:type="pct"/>
                  <w:vAlign w:val="center"/>
                </w:tcPr>
                <w:p w14:paraId="00AF3A36">
                  <w:pPr>
                    <w:adjustRightInd w:val="0"/>
                    <w:snapToGrid w:val="0"/>
                    <w:jc w:val="center"/>
                    <w:rPr>
                      <w:color w:val="auto"/>
                      <w:sz w:val="21"/>
                      <w:szCs w:val="21"/>
                    </w:rPr>
                  </w:pPr>
                  <w:r>
                    <w:rPr>
                      <w:rFonts w:hint="eastAsia"/>
                      <w:color w:val="auto"/>
                      <w:sz w:val="21"/>
                      <w:szCs w:val="21"/>
                    </w:rPr>
                    <w:t>2.1</w:t>
                  </w:r>
                </w:p>
              </w:tc>
            </w:tr>
            <w:tr w14:paraId="1A96D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6D34BB67">
                  <w:pPr>
                    <w:adjustRightInd w:val="0"/>
                    <w:snapToGrid w:val="0"/>
                    <w:jc w:val="center"/>
                    <w:rPr>
                      <w:color w:val="auto"/>
                      <w:sz w:val="21"/>
                      <w:szCs w:val="21"/>
                      <w:highlight w:val="yellow"/>
                    </w:rPr>
                  </w:pPr>
                </w:p>
              </w:tc>
              <w:tc>
                <w:tcPr>
                  <w:tcW w:w="420" w:type="pct"/>
                  <w:vMerge w:val="continue"/>
                  <w:vAlign w:val="center"/>
                </w:tcPr>
                <w:p w14:paraId="6845CEF5">
                  <w:pPr>
                    <w:adjustRightInd w:val="0"/>
                    <w:snapToGrid w:val="0"/>
                    <w:jc w:val="center"/>
                    <w:rPr>
                      <w:color w:val="auto"/>
                      <w:sz w:val="21"/>
                      <w:szCs w:val="21"/>
                    </w:rPr>
                  </w:pPr>
                </w:p>
              </w:tc>
              <w:tc>
                <w:tcPr>
                  <w:tcW w:w="939" w:type="pct"/>
                  <w:vAlign w:val="center"/>
                </w:tcPr>
                <w:p w14:paraId="4828AACB">
                  <w:pPr>
                    <w:adjustRightInd w:val="0"/>
                    <w:snapToGrid w:val="0"/>
                    <w:jc w:val="center"/>
                    <w:rPr>
                      <w:color w:val="auto"/>
                      <w:sz w:val="21"/>
                      <w:szCs w:val="21"/>
                    </w:rPr>
                  </w:pPr>
                  <w:r>
                    <w:rPr>
                      <w:rFonts w:hint="eastAsia"/>
                      <w:color w:val="auto"/>
                      <w:sz w:val="21"/>
                      <w:szCs w:val="21"/>
                    </w:rPr>
                    <w:t>20:00-21:00</w:t>
                  </w:r>
                </w:p>
              </w:tc>
              <w:tc>
                <w:tcPr>
                  <w:tcW w:w="1110" w:type="pct"/>
                  <w:vAlign w:val="center"/>
                </w:tcPr>
                <w:p w14:paraId="4BCC6ADD">
                  <w:pPr>
                    <w:adjustRightInd w:val="0"/>
                    <w:snapToGrid w:val="0"/>
                    <w:jc w:val="center"/>
                    <w:rPr>
                      <w:color w:val="auto"/>
                      <w:sz w:val="21"/>
                      <w:szCs w:val="21"/>
                    </w:rPr>
                  </w:pPr>
                  <w:r>
                    <w:rPr>
                      <w:rFonts w:hint="eastAsia"/>
                      <w:color w:val="auto"/>
                      <w:sz w:val="21"/>
                      <w:szCs w:val="21"/>
                    </w:rPr>
                    <w:t>0.150</w:t>
                  </w:r>
                </w:p>
              </w:tc>
              <w:tc>
                <w:tcPr>
                  <w:tcW w:w="1110" w:type="pct"/>
                  <w:vAlign w:val="center"/>
                </w:tcPr>
                <w:p w14:paraId="1267D311">
                  <w:pPr>
                    <w:adjustRightInd w:val="0"/>
                    <w:snapToGrid w:val="0"/>
                    <w:jc w:val="center"/>
                    <w:rPr>
                      <w:color w:val="auto"/>
                      <w:sz w:val="21"/>
                      <w:szCs w:val="21"/>
                    </w:rPr>
                  </w:pPr>
                  <w:r>
                    <w:rPr>
                      <w:rFonts w:hint="eastAsia"/>
                      <w:color w:val="auto"/>
                      <w:sz w:val="21"/>
                      <w:szCs w:val="21"/>
                    </w:rPr>
                    <w:t>0.054</w:t>
                  </w:r>
                </w:p>
              </w:tc>
              <w:tc>
                <w:tcPr>
                  <w:tcW w:w="1110" w:type="pct"/>
                  <w:vAlign w:val="center"/>
                </w:tcPr>
                <w:p w14:paraId="200FB13D">
                  <w:pPr>
                    <w:adjustRightInd w:val="0"/>
                    <w:snapToGrid w:val="0"/>
                    <w:jc w:val="center"/>
                    <w:rPr>
                      <w:color w:val="auto"/>
                      <w:sz w:val="21"/>
                      <w:szCs w:val="21"/>
                    </w:rPr>
                  </w:pPr>
                  <w:r>
                    <w:rPr>
                      <w:rFonts w:hint="eastAsia"/>
                      <w:color w:val="auto"/>
                      <w:sz w:val="21"/>
                      <w:szCs w:val="21"/>
                    </w:rPr>
                    <w:t>2.1</w:t>
                  </w:r>
                </w:p>
              </w:tc>
            </w:tr>
            <w:tr w14:paraId="57510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13AFF478">
                  <w:pPr>
                    <w:adjustRightInd w:val="0"/>
                    <w:snapToGrid w:val="0"/>
                    <w:jc w:val="center"/>
                    <w:rPr>
                      <w:color w:val="auto"/>
                      <w:sz w:val="21"/>
                      <w:szCs w:val="21"/>
                      <w:highlight w:val="yellow"/>
                    </w:rPr>
                  </w:pPr>
                </w:p>
              </w:tc>
              <w:tc>
                <w:tcPr>
                  <w:tcW w:w="420" w:type="pct"/>
                  <w:vMerge w:val="restart"/>
                  <w:vAlign w:val="center"/>
                </w:tcPr>
                <w:p w14:paraId="39EB23A3">
                  <w:pPr>
                    <w:adjustRightInd w:val="0"/>
                    <w:snapToGrid w:val="0"/>
                    <w:jc w:val="center"/>
                    <w:rPr>
                      <w:color w:val="auto"/>
                      <w:sz w:val="21"/>
                      <w:szCs w:val="21"/>
                    </w:rPr>
                  </w:pPr>
                  <w:r>
                    <w:rPr>
                      <w:rFonts w:hint="eastAsia"/>
                      <w:color w:val="auto"/>
                      <w:sz w:val="21"/>
                      <w:szCs w:val="21"/>
                    </w:rPr>
                    <w:t>2023.05.24</w:t>
                  </w:r>
                </w:p>
              </w:tc>
              <w:tc>
                <w:tcPr>
                  <w:tcW w:w="939" w:type="pct"/>
                  <w:vAlign w:val="center"/>
                </w:tcPr>
                <w:p w14:paraId="4CB955E2">
                  <w:pPr>
                    <w:adjustRightInd w:val="0"/>
                    <w:snapToGrid w:val="0"/>
                    <w:jc w:val="center"/>
                    <w:rPr>
                      <w:color w:val="auto"/>
                      <w:sz w:val="21"/>
                      <w:szCs w:val="21"/>
                    </w:rPr>
                  </w:pPr>
                  <w:r>
                    <w:rPr>
                      <w:rFonts w:hint="eastAsia"/>
                      <w:color w:val="auto"/>
                      <w:sz w:val="21"/>
                      <w:szCs w:val="21"/>
                    </w:rPr>
                    <w:t>02:00-03:00</w:t>
                  </w:r>
                </w:p>
              </w:tc>
              <w:tc>
                <w:tcPr>
                  <w:tcW w:w="1110" w:type="pct"/>
                  <w:vAlign w:val="center"/>
                </w:tcPr>
                <w:p w14:paraId="2FC52DF6">
                  <w:pPr>
                    <w:adjustRightInd w:val="0"/>
                    <w:snapToGrid w:val="0"/>
                    <w:jc w:val="center"/>
                    <w:rPr>
                      <w:color w:val="auto"/>
                      <w:sz w:val="21"/>
                      <w:szCs w:val="21"/>
                    </w:rPr>
                  </w:pPr>
                  <w:r>
                    <w:rPr>
                      <w:rFonts w:hint="eastAsia"/>
                      <w:color w:val="auto"/>
                      <w:sz w:val="21"/>
                      <w:szCs w:val="21"/>
                    </w:rPr>
                    <w:t>0.150</w:t>
                  </w:r>
                </w:p>
              </w:tc>
              <w:tc>
                <w:tcPr>
                  <w:tcW w:w="1110" w:type="pct"/>
                  <w:vAlign w:val="center"/>
                </w:tcPr>
                <w:p w14:paraId="1C735F25">
                  <w:pPr>
                    <w:adjustRightInd w:val="0"/>
                    <w:snapToGrid w:val="0"/>
                    <w:jc w:val="center"/>
                    <w:rPr>
                      <w:color w:val="auto"/>
                      <w:sz w:val="21"/>
                      <w:szCs w:val="21"/>
                    </w:rPr>
                  </w:pPr>
                  <w:r>
                    <w:rPr>
                      <w:rFonts w:hint="eastAsia"/>
                      <w:color w:val="auto"/>
                      <w:sz w:val="21"/>
                      <w:szCs w:val="21"/>
                    </w:rPr>
                    <w:t>0.055</w:t>
                  </w:r>
                </w:p>
              </w:tc>
              <w:tc>
                <w:tcPr>
                  <w:tcW w:w="1110" w:type="pct"/>
                  <w:vAlign w:val="center"/>
                </w:tcPr>
                <w:p w14:paraId="07568315">
                  <w:pPr>
                    <w:adjustRightInd w:val="0"/>
                    <w:snapToGrid w:val="0"/>
                    <w:jc w:val="center"/>
                    <w:rPr>
                      <w:color w:val="auto"/>
                      <w:sz w:val="21"/>
                      <w:szCs w:val="21"/>
                    </w:rPr>
                  </w:pPr>
                  <w:r>
                    <w:rPr>
                      <w:rFonts w:hint="eastAsia"/>
                      <w:color w:val="auto"/>
                      <w:sz w:val="21"/>
                      <w:szCs w:val="21"/>
                    </w:rPr>
                    <w:t>2.3</w:t>
                  </w:r>
                </w:p>
              </w:tc>
            </w:tr>
            <w:tr w14:paraId="40E73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6136AA2E">
                  <w:pPr>
                    <w:adjustRightInd w:val="0"/>
                    <w:snapToGrid w:val="0"/>
                    <w:jc w:val="center"/>
                    <w:rPr>
                      <w:color w:val="auto"/>
                      <w:sz w:val="21"/>
                      <w:szCs w:val="21"/>
                      <w:highlight w:val="yellow"/>
                    </w:rPr>
                  </w:pPr>
                </w:p>
              </w:tc>
              <w:tc>
                <w:tcPr>
                  <w:tcW w:w="420" w:type="pct"/>
                  <w:vMerge w:val="continue"/>
                  <w:vAlign w:val="center"/>
                </w:tcPr>
                <w:p w14:paraId="318D0F7F">
                  <w:pPr>
                    <w:adjustRightInd w:val="0"/>
                    <w:snapToGrid w:val="0"/>
                    <w:jc w:val="center"/>
                    <w:rPr>
                      <w:color w:val="auto"/>
                      <w:sz w:val="21"/>
                      <w:szCs w:val="21"/>
                    </w:rPr>
                  </w:pPr>
                </w:p>
              </w:tc>
              <w:tc>
                <w:tcPr>
                  <w:tcW w:w="939" w:type="pct"/>
                  <w:vAlign w:val="center"/>
                </w:tcPr>
                <w:p w14:paraId="3F75F197">
                  <w:pPr>
                    <w:adjustRightInd w:val="0"/>
                    <w:snapToGrid w:val="0"/>
                    <w:jc w:val="center"/>
                    <w:rPr>
                      <w:color w:val="auto"/>
                      <w:sz w:val="21"/>
                      <w:szCs w:val="21"/>
                    </w:rPr>
                  </w:pPr>
                  <w:r>
                    <w:rPr>
                      <w:rFonts w:hint="eastAsia"/>
                      <w:color w:val="auto"/>
                      <w:sz w:val="21"/>
                      <w:szCs w:val="21"/>
                    </w:rPr>
                    <w:t>08:00-09:00</w:t>
                  </w:r>
                </w:p>
              </w:tc>
              <w:tc>
                <w:tcPr>
                  <w:tcW w:w="1110" w:type="pct"/>
                  <w:vAlign w:val="center"/>
                </w:tcPr>
                <w:p w14:paraId="3EEC0524">
                  <w:pPr>
                    <w:adjustRightInd w:val="0"/>
                    <w:snapToGrid w:val="0"/>
                    <w:jc w:val="center"/>
                    <w:rPr>
                      <w:color w:val="auto"/>
                      <w:sz w:val="21"/>
                      <w:szCs w:val="21"/>
                    </w:rPr>
                  </w:pPr>
                  <w:r>
                    <w:rPr>
                      <w:rFonts w:hint="eastAsia"/>
                      <w:color w:val="auto"/>
                      <w:sz w:val="21"/>
                      <w:szCs w:val="21"/>
                    </w:rPr>
                    <w:t>0.134</w:t>
                  </w:r>
                </w:p>
              </w:tc>
              <w:tc>
                <w:tcPr>
                  <w:tcW w:w="1110" w:type="pct"/>
                  <w:vAlign w:val="center"/>
                </w:tcPr>
                <w:p w14:paraId="3AAC877F">
                  <w:pPr>
                    <w:adjustRightInd w:val="0"/>
                    <w:snapToGrid w:val="0"/>
                    <w:jc w:val="center"/>
                    <w:rPr>
                      <w:color w:val="auto"/>
                      <w:sz w:val="21"/>
                      <w:szCs w:val="21"/>
                    </w:rPr>
                  </w:pPr>
                  <w:r>
                    <w:rPr>
                      <w:rFonts w:hint="eastAsia"/>
                      <w:color w:val="auto"/>
                      <w:sz w:val="21"/>
                      <w:szCs w:val="21"/>
                    </w:rPr>
                    <w:t>0.063</w:t>
                  </w:r>
                </w:p>
              </w:tc>
              <w:tc>
                <w:tcPr>
                  <w:tcW w:w="1110" w:type="pct"/>
                  <w:vAlign w:val="center"/>
                </w:tcPr>
                <w:p w14:paraId="473E29D1">
                  <w:pPr>
                    <w:adjustRightInd w:val="0"/>
                    <w:snapToGrid w:val="0"/>
                    <w:jc w:val="center"/>
                    <w:rPr>
                      <w:color w:val="auto"/>
                      <w:sz w:val="21"/>
                      <w:szCs w:val="21"/>
                    </w:rPr>
                  </w:pPr>
                  <w:r>
                    <w:rPr>
                      <w:rFonts w:hint="eastAsia"/>
                      <w:color w:val="auto"/>
                      <w:sz w:val="21"/>
                      <w:szCs w:val="21"/>
                    </w:rPr>
                    <w:t>2.4</w:t>
                  </w:r>
                </w:p>
              </w:tc>
            </w:tr>
            <w:tr w14:paraId="2367A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68D2BD90">
                  <w:pPr>
                    <w:adjustRightInd w:val="0"/>
                    <w:snapToGrid w:val="0"/>
                    <w:jc w:val="center"/>
                    <w:rPr>
                      <w:color w:val="auto"/>
                      <w:sz w:val="21"/>
                      <w:szCs w:val="21"/>
                      <w:highlight w:val="yellow"/>
                    </w:rPr>
                  </w:pPr>
                </w:p>
              </w:tc>
              <w:tc>
                <w:tcPr>
                  <w:tcW w:w="420" w:type="pct"/>
                  <w:vMerge w:val="continue"/>
                  <w:vAlign w:val="center"/>
                </w:tcPr>
                <w:p w14:paraId="1067E0B9">
                  <w:pPr>
                    <w:adjustRightInd w:val="0"/>
                    <w:snapToGrid w:val="0"/>
                    <w:jc w:val="center"/>
                    <w:rPr>
                      <w:color w:val="auto"/>
                      <w:sz w:val="21"/>
                      <w:szCs w:val="21"/>
                    </w:rPr>
                  </w:pPr>
                </w:p>
              </w:tc>
              <w:tc>
                <w:tcPr>
                  <w:tcW w:w="939" w:type="pct"/>
                  <w:vAlign w:val="center"/>
                </w:tcPr>
                <w:p w14:paraId="14B15A6F">
                  <w:pPr>
                    <w:adjustRightInd w:val="0"/>
                    <w:snapToGrid w:val="0"/>
                    <w:jc w:val="center"/>
                    <w:rPr>
                      <w:color w:val="auto"/>
                      <w:sz w:val="21"/>
                      <w:szCs w:val="21"/>
                    </w:rPr>
                  </w:pPr>
                  <w:r>
                    <w:rPr>
                      <w:rFonts w:hint="eastAsia"/>
                      <w:color w:val="auto"/>
                      <w:sz w:val="21"/>
                      <w:szCs w:val="21"/>
                    </w:rPr>
                    <w:t>14:00-15:00</w:t>
                  </w:r>
                </w:p>
              </w:tc>
              <w:tc>
                <w:tcPr>
                  <w:tcW w:w="1110" w:type="pct"/>
                  <w:vAlign w:val="center"/>
                </w:tcPr>
                <w:p w14:paraId="18E444F0">
                  <w:pPr>
                    <w:adjustRightInd w:val="0"/>
                    <w:snapToGrid w:val="0"/>
                    <w:jc w:val="center"/>
                    <w:rPr>
                      <w:color w:val="auto"/>
                      <w:sz w:val="21"/>
                      <w:szCs w:val="21"/>
                    </w:rPr>
                  </w:pPr>
                  <w:r>
                    <w:rPr>
                      <w:rFonts w:hint="eastAsia"/>
                      <w:color w:val="auto"/>
                      <w:sz w:val="21"/>
                      <w:szCs w:val="21"/>
                    </w:rPr>
                    <w:t>0.134</w:t>
                  </w:r>
                </w:p>
              </w:tc>
              <w:tc>
                <w:tcPr>
                  <w:tcW w:w="1110" w:type="pct"/>
                  <w:vAlign w:val="center"/>
                </w:tcPr>
                <w:p w14:paraId="7A81C07B">
                  <w:pPr>
                    <w:adjustRightInd w:val="0"/>
                    <w:snapToGrid w:val="0"/>
                    <w:jc w:val="center"/>
                    <w:rPr>
                      <w:color w:val="auto"/>
                      <w:sz w:val="21"/>
                      <w:szCs w:val="21"/>
                    </w:rPr>
                  </w:pPr>
                  <w:r>
                    <w:rPr>
                      <w:rFonts w:hint="eastAsia"/>
                      <w:color w:val="auto"/>
                      <w:sz w:val="21"/>
                      <w:szCs w:val="21"/>
                    </w:rPr>
                    <w:t>0.065</w:t>
                  </w:r>
                </w:p>
              </w:tc>
              <w:tc>
                <w:tcPr>
                  <w:tcW w:w="1110" w:type="pct"/>
                  <w:vAlign w:val="center"/>
                </w:tcPr>
                <w:p w14:paraId="420430D7">
                  <w:pPr>
                    <w:adjustRightInd w:val="0"/>
                    <w:snapToGrid w:val="0"/>
                    <w:jc w:val="center"/>
                    <w:rPr>
                      <w:color w:val="auto"/>
                      <w:sz w:val="21"/>
                      <w:szCs w:val="21"/>
                    </w:rPr>
                  </w:pPr>
                  <w:r>
                    <w:rPr>
                      <w:rFonts w:hint="eastAsia"/>
                      <w:color w:val="auto"/>
                      <w:sz w:val="21"/>
                      <w:szCs w:val="21"/>
                    </w:rPr>
                    <w:t>2.6</w:t>
                  </w:r>
                </w:p>
              </w:tc>
            </w:tr>
            <w:tr w14:paraId="62BF8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53F05EDC">
                  <w:pPr>
                    <w:adjustRightInd w:val="0"/>
                    <w:snapToGrid w:val="0"/>
                    <w:jc w:val="center"/>
                    <w:rPr>
                      <w:color w:val="auto"/>
                      <w:sz w:val="21"/>
                      <w:szCs w:val="21"/>
                      <w:highlight w:val="yellow"/>
                    </w:rPr>
                  </w:pPr>
                </w:p>
              </w:tc>
              <w:tc>
                <w:tcPr>
                  <w:tcW w:w="420" w:type="pct"/>
                  <w:vMerge w:val="continue"/>
                  <w:vAlign w:val="center"/>
                </w:tcPr>
                <w:p w14:paraId="6FA90AB1">
                  <w:pPr>
                    <w:adjustRightInd w:val="0"/>
                    <w:snapToGrid w:val="0"/>
                    <w:jc w:val="center"/>
                    <w:rPr>
                      <w:color w:val="auto"/>
                      <w:sz w:val="21"/>
                      <w:szCs w:val="21"/>
                    </w:rPr>
                  </w:pPr>
                </w:p>
              </w:tc>
              <w:tc>
                <w:tcPr>
                  <w:tcW w:w="939" w:type="pct"/>
                  <w:vAlign w:val="center"/>
                </w:tcPr>
                <w:p w14:paraId="759639D6">
                  <w:pPr>
                    <w:adjustRightInd w:val="0"/>
                    <w:snapToGrid w:val="0"/>
                    <w:jc w:val="center"/>
                    <w:rPr>
                      <w:color w:val="auto"/>
                      <w:sz w:val="21"/>
                      <w:szCs w:val="21"/>
                    </w:rPr>
                  </w:pPr>
                  <w:r>
                    <w:rPr>
                      <w:rFonts w:hint="eastAsia"/>
                      <w:color w:val="auto"/>
                      <w:sz w:val="21"/>
                      <w:szCs w:val="21"/>
                    </w:rPr>
                    <w:t>20:00-21:00</w:t>
                  </w:r>
                </w:p>
              </w:tc>
              <w:tc>
                <w:tcPr>
                  <w:tcW w:w="1110" w:type="pct"/>
                  <w:vAlign w:val="center"/>
                </w:tcPr>
                <w:p w14:paraId="5242F925">
                  <w:pPr>
                    <w:adjustRightInd w:val="0"/>
                    <w:snapToGrid w:val="0"/>
                    <w:jc w:val="center"/>
                    <w:rPr>
                      <w:color w:val="auto"/>
                      <w:sz w:val="21"/>
                      <w:szCs w:val="21"/>
                    </w:rPr>
                  </w:pPr>
                  <w:r>
                    <w:rPr>
                      <w:rFonts w:hint="eastAsia"/>
                      <w:color w:val="auto"/>
                      <w:sz w:val="21"/>
                      <w:szCs w:val="21"/>
                    </w:rPr>
                    <w:t>0.150</w:t>
                  </w:r>
                </w:p>
              </w:tc>
              <w:tc>
                <w:tcPr>
                  <w:tcW w:w="1110" w:type="pct"/>
                  <w:vAlign w:val="center"/>
                </w:tcPr>
                <w:p w14:paraId="0D026776">
                  <w:pPr>
                    <w:adjustRightInd w:val="0"/>
                    <w:snapToGrid w:val="0"/>
                    <w:jc w:val="center"/>
                    <w:rPr>
                      <w:color w:val="auto"/>
                      <w:sz w:val="21"/>
                      <w:szCs w:val="21"/>
                    </w:rPr>
                  </w:pPr>
                  <w:r>
                    <w:rPr>
                      <w:rFonts w:hint="eastAsia"/>
                      <w:color w:val="auto"/>
                      <w:sz w:val="21"/>
                      <w:szCs w:val="21"/>
                    </w:rPr>
                    <w:t>0.064</w:t>
                  </w:r>
                </w:p>
              </w:tc>
              <w:tc>
                <w:tcPr>
                  <w:tcW w:w="1110" w:type="pct"/>
                  <w:vAlign w:val="center"/>
                </w:tcPr>
                <w:p w14:paraId="4864D507">
                  <w:pPr>
                    <w:adjustRightInd w:val="0"/>
                    <w:snapToGrid w:val="0"/>
                    <w:jc w:val="center"/>
                    <w:rPr>
                      <w:color w:val="auto"/>
                      <w:sz w:val="21"/>
                      <w:szCs w:val="21"/>
                    </w:rPr>
                  </w:pPr>
                  <w:r>
                    <w:rPr>
                      <w:rFonts w:hint="eastAsia"/>
                      <w:color w:val="auto"/>
                      <w:sz w:val="21"/>
                      <w:szCs w:val="21"/>
                    </w:rPr>
                    <w:t>2.5</w:t>
                  </w:r>
                </w:p>
              </w:tc>
            </w:tr>
            <w:tr w14:paraId="30702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3041C391">
                  <w:pPr>
                    <w:adjustRightInd w:val="0"/>
                    <w:snapToGrid w:val="0"/>
                    <w:jc w:val="center"/>
                    <w:rPr>
                      <w:color w:val="auto"/>
                      <w:sz w:val="21"/>
                      <w:szCs w:val="21"/>
                      <w:highlight w:val="yellow"/>
                    </w:rPr>
                  </w:pPr>
                </w:p>
              </w:tc>
              <w:tc>
                <w:tcPr>
                  <w:tcW w:w="420" w:type="pct"/>
                  <w:vMerge w:val="restart"/>
                  <w:vAlign w:val="center"/>
                </w:tcPr>
                <w:p w14:paraId="7BF8E3E3">
                  <w:pPr>
                    <w:adjustRightInd w:val="0"/>
                    <w:snapToGrid w:val="0"/>
                    <w:jc w:val="center"/>
                    <w:rPr>
                      <w:color w:val="auto"/>
                      <w:sz w:val="21"/>
                      <w:szCs w:val="21"/>
                    </w:rPr>
                  </w:pPr>
                  <w:r>
                    <w:rPr>
                      <w:rFonts w:hint="eastAsia"/>
                      <w:color w:val="auto"/>
                      <w:sz w:val="21"/>
                      <w:szCs w:val="21"/>
                    </w:rPr>
                    <w:t>2023.05.25</w:t>
                  </w:r>
                </w:p>
              </w:tc>
              <w:tc>
                <w:tcPr>
                  <w:tcW w:w="939" w:type="pct"/>
                  <w:vAlign w:val="center"/>
                </w:tcPr>
                <w:p w14:paraId="65BD9E29">
                  <w:pPr>
                    <w:adjustRightInd w:val="0"/>
                    <w:snapToGrid w:val="0"/>
                    <w:jc w:val="center"/>
                    <w:rPr>
                      <w:color w:val="auto"/>
                      <w:sz w:val="21"/>
                      <w:szCs w:val="21"/>
                    </w:rPr>
                  </w:pPr>
                  <w:r>
                    <w:rPr>
                      <w:rFonts w:hint="eastAsia"/>
                      <w:color w:val="auto"/>
                      <w:sz w:val="21"/>
                      <w:szCs w:val="21"/>
                    </w:rPr>
                    <w:t>02:00-03:00</w:t>
                  </w:r>
                </w:p>
              </w:tc>
              <w:tc>
                <w:tcPr>
                  <w:tcW w:w="1110" w:type="pct"/>
                  <w:vAlign w:val="center"/>
                </w:tcPr>
                <w:p w14:paraId="3E2C6D45">
                  <w:pPr>
                    <w:adjustRightInd w:val="0"/>
                    <w:snapToGrid w:val="0"/>
                    <w:jc w:val="center"/>
                    <w:rPr>
                      <w:color w:val="auto"/>
                      <w:sz w:val="21"/>
                      <w:szCs w:val="21"/>
                    </w:rPr>
                  </w:pPr>
                  <w:r>
                    <w:rPr>
                      <w:rFonts w:hint="eastAsia"/>
                      <w:color w:val="auto"/>
                      <w:sz w:val="21"/>
                      <w:szCs w:val="21"/>
                    </w:rPr>
                    <w:t>0.117</w:t>
                  </w:r>
                </w:p>
              </w:tc>
              <w:tc>
                <w:tcPr>
                  <w:tcW w:w="1110" w:type="pct"/>
                  <w:vAlign w:val="center"/>
                </w:tcPr>
                <w:p w14:paraId="781A633D">
                  <w:pPr>
                    <w:adjustRightInd w:val="0"/>
                    <w:snapToGrid w:val="0"/>
                    <w:jc w:val="center"/>
                    <w:rPr>
                      <w:color w:val="auto"/>
                      <w:sz w:val="21"/>
                      <w:szCs w:val="21"/>
                    </w:rPr>
                  </w:pPr>
                  <w:r>
                    <w:rPr>
                      <w:rFonts w:hint="eastAsia"/>
                      <w:color w:val="auto"/>
                      <w:sz w:val="21"/>
                      <w:szCs w:val="21"/>
                    </w:rPr>
                    <w:t>0.046</w:t>
                  </w:r>
                </w:p>
              </w:tc>
              <w:tc>
                <w:tcPr>
                  <w:tcW w:w="1110" w:type="pct"/>
                  <w:vAlign w:val="center"/>
                </w:tcPr>
                <w:p w14:paraId="0B18C005">
                  <w:pPr>
                    <w:adjustRightInd w:val="0"/>
                    <w:snapToGrid w:val="0"/>
                    <w:jc w:val="center"/>
                    <w:rPr>
                      <w:color w:val="auto"/>
                      <w:sz w:val="21"/>
                      <w:szCs w:val="21"/>
                    </w:rPr>
                  </w:pPr>
                  <w:r>
                    <w:rPr>
                      <w:rFonts w:hint="eastAsia"/>
                      <w:color w:val="auto"/>
                      <w:sz w:val="21"/>
                      <w:szCs w:val="21"/>
                    </w:rPr>
                    <w:t>2.0</w:t>
                  </w:r>
                </w:p>
              </w:tc>
            </w:tr>
            <w:tr w14:paraId="38FA4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4468C438">
                  <w:pPr>
                    <w:adjustRightInd w:val="0"/>
                    <w:snapToGrid w:val="0"/>
                    <w:jc w:val="center"/>
                    <w:rPr>
                      <w:color w:val="auto"/>
                      <w:sz w:val="21"/>
                      <w:szCs w:val="21"/>
                      <w:highlight w:val="yellow"/>
                    </w:rPr>
                  </w:pPr>
                </w:p>
              </w:tc>
              <w:tc>
                <w:tcPr>
                  <w:tcW w:w="420" w:type="pct"/>
                  <w:vMerge w:val="continue"/>
                  <w:vAlign w:val="center"/>
                </w:tcPr>
                <w:p w14:paraId="3BF844F5">
                  <w:pPr>
                    <w:adjustRightInd w:val="0"/>
                    <w:snapToGrid w:val="0"/>
                    <w:jc w:val="center"/>
                    <w:rPr>
                      <w:color w:val="auto"/>
                      <w:sz w:val="21"/>
                      <w:szCs w:val="21"/>
                    </w:rPr>
                  </w:pPr>
                </w:p>
              </w:tc>
              <w:tc>
                <w:tcPr>
                  <w:tcW w:w="939" w:type="pct"/>
                  <w:vAlign w:val="center"/>
                </w:tcPr>
                <w:p w14:paraId="6985944D">
                  <w:pPr>
                    <w:adjustRightInd w:val="0"/>
                    <w:snapToGrid w:val="0"/>
                    <w:jc w:val="center"/>
                    <w:rPr>
                      <w:color w:val="auto"/>
                      <w:sz w:val="21"/>
                      <w:szCs w:val="21"/>
                    </w:rPr>
                  </w:pPr>
                  <w:r>
                    <w:rPr>
                      <w:rFonts w:hint="eastAsia"/>
                      <w:color w:val="auto"/>
                      <w:sz w:val="21"/>
                      <w:szCs w:val="21"/>
                    </w:rPr>
                    <w:t>08:00-09:00</w:t>
                  </w:r>
                </w:p>
              </w:tc>
              <w:tc>
                <w:tcPr>
                  <w:tcW w:w="1110" w:type="pct"/>
                  <w:vAlign w:val="center"/>
                </w:tcPr>
                <w:p w14:paraId="6E8A77D2">
                  <w:pPr>
                    <w:adjustRightInd w:val="0"/>
                    <w:snapToGrid w:val="0"/>
                    <w:jc w:val="center"/>
                    <w:rPr>
                      <w:color w:val="auto"/>
                      <w:sz w:val="21"/>
                      <w:szCs w:val="21"/>
                    </w:rPr>
                  </w:pPr>
                  <w:r>
                    <w:rPr>
                      <w:rFonts w:hint="eastAsia"/>
                      <w:color w:val="auto"/>
                      <w:sz w:val="21"/>
                      <w:szCs w:val="21"/>
                    </w:rPr>
                    <w:t>0.150</w:t>
                  </w:r>
                </w:p>
              </w:tc>
              <w:tc>
                <w:tcPr>
                  <w:tcW w:w="1110" w:type="pct"/>
                  <w:vAlign w:val="center"/>
                </w:tcPr>
                <w:p w14:paraId="7654EA15">
                  <w:pPr>
                    <w:adjustRightInd w:val="0"/>
                    <w:snapToGrid w:val="0"/>
                    <w:jc w:val="center"/>
                    <w:rPr>
                      <w:color w:val="auto"/>
                      <w:sz w:val="21"/>
                      <w:szCs w:val="21"/>
                    </w:rPr>
                  </w:pPr>
                  <w:r>
                    <w:rPr>
                      <w:rFonts w:hint="eastAsia"/>
                      <w:color w:val="auto"/>
                      <w:sz w:val="21"/>
                      <w:szCs w:val="21"/>
                    </w:rPr>
                    <w:t>0.043</w:t>
                  </w:r>
                </w:p>
              </w:tc>
              <w:tc>
                <w:tcPr>
                  <w:tcW w:w="1110" w:type="pct"/>
                  <w:vAlign w:val="center"/>
                </w:tcPr>
                <w:p w14:paraId="1D400BF3">
                  <w:pPr>
                    <w:adjustRightInd w:val="0"/>
                    <w:snapToGrid w:val="0"/>
                    <w:jc w:val="center"/>
                    <w:rPr>
                      <w:color w:val="auto"/>
                      <w:sz w:val="21"/>
                      <w:szCs w:val="21"/>
                    </w:rPr>
                  </w:pPr>
                  <w:r>
                    <w:rPr>
                      <w:rFonts w:hint="eastAsia"/>
                      <w:color w:val="auto"/>
                      <w:sz w:val="21"/>
                      <w:szCs w:val="21"/>
                    </w:rPr>
                    <w:t>2.1</w:t>
                  </w:r>
                </w:p>
              </w:tc>
            </w:tr>
            <w:tr w14:paraId="3CFFF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10CA8216">
                  <w:pPr>
                    <w:adjustRightInd w:val="0"/>
                    <w:snapToGrid w:val="0"/>
                    <w:jc w:val="center"/>
                    <w:rPr>
                      <w:color w:val="auto"/>
                      <w:sz w:val="21"/>
                      <w:szCs w:val="21"/>
                      <w:highlight w:val="yellow"/>
                    </w:rPr>
                  </w:pPr>
                </w:p>
              </w:tc>
              <w:tc>
                <w:tcPr>
                  <w:tcW w:w="420" w:type="pct"/>
                  <w:vMerge w:val="continue"/>
                  <w:vAlign w:val="center"/>
                </w:tcPr>
                <w:p w14:paraId="376E0B5A">
                  <w:pPr>
                    <w:adjustRightInd w:val="0"/>
                    <w:snapToGrid w:val="0"/>
                    <w:jc w:val="center"/>
                    <w:rPr>
                      <w:color w:val="auto"/>
                      <w:sz w:val="21"/>
                      <w:szCs w:val="21"/>
                    </w:rPr>
                  </w:pPr>
                </w:p>
              </w:tc>
              <w:tc>
                <w:tcPr>
                  <w:tcW w:w="939" w:type="pct"/>
                  <w:vAlign w:val="center"/>
                </w:tcPr>
                <w:p w14:paraId="00E0DF41">
                  <w:pPr>
                    <w:adjustRightInd w:val="0"/>
                    <w:snapToGrid w:val="0"/>
                    <w:jc w:val="center"/>
                    <w:rPr>
                      <w:color w:val="auto"/>
                      <w:sz w:val="21"/>
                      <w:szCs w:val="21"/>
                    </w:rPr>
                  </w:pPr>
                  <w:r>
                    <w:rPr>
                      <w:rFonts w:hint="eastAsia"/>
                      <w:color w:val="auto"/>
                      <w:sz w:val="21"/>
                      <w:szCs w:val="21"/>
                    </w:rPr>
                    <w:t>14:00-15:00</w:t>
                  </w:r>
                </w:p>
              </w:tc>
              <w:tc>
                <w:tcPr>
                  <w:tcW w:w="1110" w:type="pct"/>
                  <w:vAlign w:val="center"/>
                </w:tcPr>
                <w:p w14:paraId="7C39AB4F">
                  <w:pPr>
                    <w:adjustRightInd w:val="0"/>
                    <w:snapToGrid w:val="0"/>
                    <w:jc w:val="center"/>
                    <w:rPr>
                      <w:color w:val="auto"/>
                      <w:sz w:val="21"/>
                      <w:szCs w:val="21"/>
                    </w:rPr>
                  </w:pPr>
                  <w:r>
                    <w:rPr>
                      <w:rFonts w:hint="eastAsia"/>
                      <w:color w:val="auto"/>
                      <w:sz w:val="21"/>
                      <w:szCs w:val="21"/>
                    </w:rPr>
                    <w:t>0.117</w:t>
                  </w:r>
                </w:p>
              </w:tc>
              <w:tc>
                <w:tcPr>
                  <w:tcW w:w="1110" w:type="pct"/>
                  <w:vAlign w:val="center"/>
                </w:tcPr>
                <w:p w14:paraId="78F05415">
                  <w:pPr>
                    <w:adjustRightInd w:val="0"/>
                    <w:snapToGrid w:val="0"/>
                    <w:jc w:val="center"/>
                    <w:rPr>
                      <w:color w:val="auto"/>
                      <w:sz w:val="21"/>
                      <w:szCs w:val="21"/>
                    </w:rPr>
                  </w:pPr>
                  <w:r>
                    <w:rPr>
                      <w:rFonts w:hint="eastAsia"/>
                      <w:color w:val="auto"/>
                      <w:sz w:val="21"/>
                      <w:szCs w:val="21"/>
                    </w:rPr>
                    <w:t>0.049</w:t>
                  </w:r>
                </w:p>
              </w:tc>
              <w:tc>
                <w:tcPr>
                  <w:tcW w:w="1110" w:type="pct"/>
                  <w:vAlign w:val="center"/>
                </w:tcPr>
                <w:p w14:paraId="530359E1">
                  <w:pPr>
                    <w:adjustRightInd w:val="0"/>
                    <w:snapToGrid w:val="0"/>
                    <w:jc w:val="center"/>
                    <w:rPr>
                      <w:color w:val="auto"/>
                      <w:sz w:val="21"/>
                      <w:szCs w:val="21"/>
                    </w:rPr>
                  </w:pPr>
                  <w:r>
                    <w:rPr>
                      <w:rFonts w:hint="eastAsia"/>
                      <w:color w:val="auto"/>
                      <w:sz w:val="21"/>
                      <w:szCs w:val="21"/>
                    </w:rPr>
                    <w:t>2.2</w:t>
                  </w:r>
                </w:p>
              </w:tc>
            </w:tr>
            <w:tr w14:paraId="7030C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71401DB7">
                  <w:pPr>
                    <w:adjustRightInd w:val="0"/>
                    <w:snapToGrid w:val="0"/>
                    <w:jc w:val="center"/>
                    <w:rPr>
                      <w:color w:val="auto"/>
                      <w:sz w:val="21"/>
                      <w:szCs w:val="21"/>
                      <w:highlight w:val="yellow"/>
                    </w:rPr>
                  </w:pPr>
                </w:p>
              </w:tc>
              <w:tc>
                <w:tcPr>
                  <w:tcW w:w="420" w:type="pct"/>
                  <w:vMerge w:val="continue"/>
                  <w:vAlign w:val="center"/>
                </w:tcPr>
                <w:p w14:paraId="367EF334">
                  <w:pPr>
                    <w:adjustRightInd w:val="0"/>
                    <w:snapToGrid w:val="0"/>
                    <w:jc w:val="center"/>
                    <w:rPr>
                      <w:color w:val="auto"/>
                      <w:sz w:val="21"/>
                      <w:szCs w:val="21"/>
                    </w:rPr>
                  </w:pPr>
                </w:p>
              </w:tc>
              <w:tc>
                <w:tcPr>
                  <w:tcW w:w="939" w:type="pct"/>
                  <w:vAlign w:val="center"/>
                </w:tcPr>
                <w:p w14:paraId="07613AC4">
                  <w:pPr>
                    <w:adjustRightInd w:val="0"/>
                    <w:snapToGrid w:val="0"/>
                    <w:jc w:val="center"/>
                    <w:rPr>
                      <w:color w:val="auto"/>
                      <w:sz w:val="21"/>
                      <w:szCs w:val="21"/>
                    </w:rPr>
                  </w:pPr>
                  <w:r>
                    <w:rPr>
                      <w:rFonts w:hint="eastAsia"/>
                      <w:color w:val="auto"/>
                      <w:sz w:val="21"/>
                      <w:szCs w:val="21"/>
                    </w:rPr>
                    <w:t>20:00-21:00</w:t>
                  </w:r>
                </w:p>
              </w:tc>
              <w:tc>
                <w:tcPr>
                  <w:tcW w:w="1110" w:type="pct"/>
                  <w:vAlign w:val="center"/>
                </w:tcPr>
                <w:p w14:paraId="45262B0C">
                  <w:pPr>
                    <w:adjustRightInd w:val="0"/>
                    <w:snapToGrid w:val="0"/>
                    <w:jc w:val="center"/>
                    <w:rPr>
                      <w:color w:val="auto"/>
                      <w:sz w:val="21"/>
                      <w:szCs w:val="21"/>
                    </w:rPr>
                  </w:pPr>
                  <w:r>
                    <w:rPr>
                      <w:rFonts w:hint="eastAsia"/>
                      <w:color w:val="auto"/>
                      <w:sz w:val="21"/>
                      <w:szCs w:val="21"/>
                    </w:rPr>
                    <w:t>0.133</w:t>
                  </w:r>
                </w:p>
              </w:tc>
              <w:tc>
                <w:tcPr>
                  <w:tcW w:w="1110" w:type="pct"/>
                  <w:vAlign w:val="center"/>
                </w:tcPr>
                <w:p w14:paraId="4B2888A1">
                  <w:pPr>
                    <w:adjustRightInd w:val="0"/>
                    <w:snapToGrid w:val="0"/>
                    <w:jc w:val="center"/>
                    <w:rPr>
                      <w:color w:val="auto"/>
                      <w:sz w:val="21"/>
                      <w:szCs w:val="21"/>
                    </w:rPr>
                  </w:pPr>
                  <w:r>
                    <w:rPr>
                      <w:rFonts w:hint="eastAsia"/>
                      <w:color w:val="auto"/>
                      <w:sz w:val="21"/>
                      <w:szCs w:val="21"/>
                    </w:rPr>
                    <w:t>0.048</w:t>
                  </w:r>
                </w:p>
              </w:tc>
              <w:tc>
                <w:tcPr>
                  <w:tcW w:w="1110" w:type="pct"/>
                  <w:vAlign w:val="center"/>
                </w:tcPr>
                <w:p w14:paraId="674E275D">
                  <w:pPr>
                    <w:adjustRightInd w:val="0"/>
                    <w:snapToGrid w:val="0"/>
                    <w:jc w:val="center"/>
                    <w:rPr>
                      <w:color w:val="auto"/>
                      <w:sz w:val="21"/>
                      <w:szCs w:val="21"/>
                    </w:rPr>
                  </w:pPr>
                  <w:r>
                    <w:rPr>
                      <w:rFonts w:hint="eastAsia"/>
                      <w:color w:val="auto"/>
                      <w:sz w:val="21"/>
                      <w:szCs w:val="21"/>
                    </w:rPr>
                    <w:t>2.1</w:t>
                  </w:r>
                </w:p>
              </w:tc>
            </w:tr>
            <w:tr w14:paraId="1E701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190FAE9C">
                  <w:pPr>
                    <w:adjustRightInd w:val="0"/>
                    <w:snapToGrid w:val="0"/>
                    <w:jc w:val="center"/>
                    <w:rPr>
                      <w:color w:val="auto"/>
                      <w:sz w:val="21"/>
                      <w:szCs w:val="21"/>
                      <w:highlight w:val="yellow"/>
                    </w:rPr>
                  </w:pPr>
                </w:p>
              </w:tc>
              <w:tc>
                <w:tcPr>
                  <w:tcW w:w="420" w:type="pct"/>
                  <w:vMerge w:val="restart"/>
                  <w:vAlign w:val="center"/>
                </w:tcPr>
                <w:p w14:paraId="06B89973">
                  <w:pPr>
                    <w:adjustRightInd w:val="0"/>
                    <w:snapToGrid w:val="0"/>
                    <w:jc w:val="center"/>
                    <w:rPr>
                      <w:color w:val="auto"/>
                      <w:sz w:val="21"/>
                      <w:szCs w:val="21"/>
                    </w:rPr>
                  </w:pPr>
                  <w:r>
                    <w:rPr>
                      <w:rFonts w:hint="eastAsia"/>
                      <w:color w:val="auto"/>
                      <w:sz w:val="21"/>
                      <w:szCs w:val="21"/>
                    </w:rPr>
                    <w:t>2023.05.26</w:t>
                  </w:r>
                </w:p>
              </w:tc>
              <w:tc>
                <w:tcPr>
                  <w:tcW w:w="939" w:type="pct"/>
                  <w:vAlign w:val="center"/>
                </w:tcPr>
                <w:p w14:paraId="610708C2">
                  <w:pPr>
                    <w:adjustRightInd w:val="0"/>
                    <w:snapToGrid w:val="0"/>
                    <w:jc w:val="center"/>
                    <w:rPr>
                      <w:color w:val="auto"/>
                      <w:sz w:val="21"/>
                      <w:szCs w:val="21"/>
                    </w:rPr>
                  </w:pPr>
                  <w:r>
                    <w:rPr>
                      <w:rFonts w:hint="eastAsia"/>
                      <w:color w:val="auto"/>
                      <w:sz w:val="21"/>
                      <w:szCs w:val="21"/>
                    </w:rPr>
                    <w:t>02:00-03:00</w:t>
                  </w:r>
                </w:p>
              </w:tc>
              <w:tc>
                <w:tcPr>
                  <w:tcW w:w="1110" w:type="pct"/>
                  <w:vAlign w:val="center"/>
                </w:tcPr>
                <w:p w14:paraId="43F9ADAA">
                  <w:pPr>
                    <w:adjustRightInd w:val="0"/>
                    <w:snapToGrid w:val="0"/>
                    <w:jc w:val="center"/>
                    <w:rPr>
                      <w:color w:val="auto"/>
                      <w:sz w:val="21"/>
                      <w:szCs w:val="21"/>
                    </w:rPr>
                  </w:pPr>
                  <w:r>
                    <w:rPr>
                      <w:rFonts w:hint="eastAsia"/>
                      <w:color w:val="auto"/>
                      <w:sz w:val="21"/>
                      <w:szCs w:val="21"/>
                    </w:rPr>
                    <w:t>0.134</w:t>
                  </w:r>
                </w:p>
              </w:tc>
              <w:tc>
                <w:tcPr>
                  <w:tcW w:w="1110" w:type="pct"/>
                  <w:vAlign w:val="center"/>
                </w:tcPr>
                <w:p w14:paraId="139D8B36">
                  <w:pPr>
                    <w:adjustRightInd w:val="0"/>
                    <w:snapToGrid w:val="0"/>
                    <w:jc w:val="center"/>
                    <w:rPr>
                      <w:color w:val="auto"/>
                      <w:sz w:val="21"/>
                      <w:szCs w:val="21"/>
                    </w:rPr>
                  </w:pPr>
                  <w:r>
                    <w:rPr>
                      <w:rFonts w:hint="eastAsia"/>
                      <w:color w:val="auto"/>
                      <w:sz w:val="21"/>
                      <w:szCs w:val="21"/>
                    </w:rPr>
                    <w:t>0.042</w:t>
                  </w:r>
                </w:p>
              </w:tc>
              <w:tc>
                <w:tcPr>
                  <w:tcW w:w="1110" w:type="pct"/>
                  <w:vAlign w:val="center"/>
                </w:tcPr>
                <w:p w14:paraId="1B002D87">
                  <w:pPr>
                    <w:adjustRightInd w:val="0"/>
                    <w:snapToGrid w:val="0"/>
                    <w:jc w:val="center"/>
                    <w:rPr>
                      <w:color w:val="auto"/>
                      <w:sz w:val="21"/>
                      <w:szCs w:val="21"/>
                    </w:rPr>
                  </w:pPr>
                  <w:r>
                    <w:rPr>
                      <w:rFonts w:hint="eastAsia"/>
                      <w:color w:val="auto"/>
                      <w:sz w:val="21"/>
                      <w:szCs w:val="21"/>
                    </w:rPr>
                    <w:t>2.1</w:t>
                  </w:r>
                </w:p>
              </w:tc>
            </w:tr>
            <w:tr w14:paraId="4B780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003083AE">
                  <w:pPr>
                    <w:adjustRightInd w:val="0"/>
                    <w:snapToGrid w:val="0"/>
                    <w:jc w:val="center"/>
                    <w:rPr>
                      <w:color w:val="auto"/>
                      <w:sz w:val="21"/>
                      <w:szCs w:val="21"/>
                      <w:highlight w:val="yellow"/>
                    </w:rPr>
                  </w:pPr>
                </w:p>
              </w:tc>
              <w:tc>
                <w:tcPr>
                  <w:tcW w:w="420" w:type="pct"/>
                  <w:vMerge w:val="continue"/>
                  <w:vAlign w:val="center"/>
                </w:tcPr>
                <w:p w14:paraId="18405793">
                  <w:pPr>
                    <w:adjustRightInd w:val="0"/>
                    <w:snapToGrid w:val="0"/>
                    <w:jc w:val="center"/>
                    <w:rPr>
                      <w:color w:val="auto"/>
                      <w:sz w:val="21"/>
                      <w:szCs w:val="21"/>
                    </w:rPr>
                  </w:pPr>
                </w:p>
              </w:tc>
              <w:tc>
                <w:tcPr>
                  <w:tcW w:w="939" w:type="pct"/>
                  <w:vAlign w:val="center"/>
                </w:tcPr>
                <w:p w14:paraId="3E904AA6">
                  <w:pPr>
                    <w:adjustRightInd w:val="0"/>
                    <w:snapToGrid w:val="0"/>
                    <w:jc w:val="center"/>
                    <w:rPr>
                      <w:color w:val="auto"/>
                      <w:sz w:val="21"/>
                      <w:szCs w:val="21"/>
                    </w:rPr>
                  </w:pPr>
                  <w:r>
                    <w:rPr>
                      <w:rFonts w:hint="eastAsia"/>
                      <w:color w:val="auto"/>
                      <w:sz w:val="21"/>
                      <w:szCs w:val="21"/>
                    </w:rPr>
                    <w:t>08:00-09:00</w:t>
                  </w:r>
                </w:p>
              </w:tc>
              <w:tc>
                <w:tcPr>
                  <w:tcW w:w="1110" w:type="pct"/>
                  <w:vAlign w:val="center"/>
                </w:tcPr>
                <w:p w14:paraId="5E6041AC">
                  <w:pPr>
                    <w:adjustRightInd w:val="0"/>
                    <w:snapToGrid w:val="0"/>
                    <w:jc w:val="center"/>
                    <w:rPr>
                      <w:color w:val="auto"/>
                      <w:sz w:val="21"/>
                      <w:szCs w:val="21"/>
                    </w:rPr>
                  </w:pPr>
                  <w:r>
                    <w:rPr>
                      <w:rFonts w:hint="eastAsia"/>
                      <w:color w:val="auto"/>
                      <w:sz w:val="21"/>
                      <w:szCs w:val="21"/>
                    </w:rPr>
                    <w:t>0.117</w:t>
                  </w:r>
                </w:p>
              </w:tc>
              <w:tc>
                <w:tcPr>
                  <w:tcW w:w="1110" w:type="pct"/>
                  <w:vAlign w:val="center"/>
                </w:tcPr>
                <w:p w14:paraId="5522BA0F">
                  <w:pPr>
                    <w:adjustRightInd w:val="0"/>
                    <w:snapToGrid w:val="0"/>
                    <w:jc w:val="center"/>
                    <w:rPr>
                      <w:color w:val="auto"/>
                      <w:sz w:val="21"/>
                      <w:szCs w:val="21"/>
                    </w:rPr>
                  </w:pPr>
                  <w:r>
                    <w:rPr>
                      <w:rFonts w:hint="eastAsia"/>
                      <w:color w:val="auto"/>
                      <w:sz w:val="21"/>
                      <w:szCs w:val="21"/>
                    </w:rPr>
                    <w:t>0.043</w:t>
                  </w:r>
                </w:p>
              </w:tc>
              <w:tc>
                <w:tcPr>
                  <w:tcW w:w="1110" w:type="pct"/>
                  <w:vAlign w:val="center"/>
                </w:tcPr>
                <w:p w14:paraId="7B6763EE">
                  <w:pPr>
                    <w:adjustRightInd w:val="0"/>
                    <w:snapToGrid w:val="0"/>
                    <w:jc w:val="center"/>
                    <w:rPr>
                      <w:color w:val="auto"/>
                      <w:sz w:val="21"/>
                      <w:szCs w:val="21"/>
                    </w:rPr>
                  </w:pPr>
                  <w:r>
                    <w:rPr>
                      <w:rFonts w:hint="eastAsia"/>
                      <w:color w:val="auto"/>
                      <w:sz w:val="21"/>
                      <w:szCs w:val="21"/>
                    </w:rPr>
                    <w:t>2.1</w:t>
                  </w:r>
                </w:p>
              </w:tc>
            </w:tr>
            <w:tr w14:paraId="667B1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2ACC2444">
                  <w:pPr>
                    <w:adjustRightInd w:val="0"/>
                    <w:snapToGrid w:val="0"/>
                    <w:jc w:val="center"/>
                    <w:rPr>
                      <w:color w:val="auto"/>
                      <w:sz w:val="21"/>
                      <w:szCs w:val="21"/>
                      <w:highlight w:val="yellow"/>
                    </w:rPr>
                  </w:pPr>
                </w:p>
              </w:tc>
              <w:tc>
                <w:tcPr>
                  <w:tcW w:w="420" w:type="pct"/>
                  <w:vMerge w:val="continue"/>
                  <w:vAlign w:val="center"/>
                </w:tcPr>
                <w:p w14:paraId="0ADE13BA">
                  <w:pPr>
                    <w:adjustRightInd w:val="0"/>
                    <w:snapToGrid w:val="0"/>
                    <w:jc w:val="center"/>
                    <w:rPr>
                      <w:color w:val="auto"/>
                      <w:sz w:val="21"/>
                      <w:szCs w:val="21"/>
                    </w:rPr>
                  </w:pPr>
                </w:p>
              </w:tc>
              <w:tc>
                <w:tcPr>
                  <w:tcW w:w="939" w:type="pct"/>
                  <w:vAlign w:val="center"/>
                </w:tcPr>
                <w:p w14:paraId="76A94F90">
                  <w:pPr>
                    <w:adjustRightInd w:val="0"/>
                    <w:snapToGrid w:val="0"/>
                    <w:jc w:val="center"/>
                    <w:rPr>
                      <w:color w:val="auto"/>
                      <w:sz w:val="21"/>
                      <w:szCs w:val="21"/>
                    </w:rPr>
                  </w:pPr>
                  <w:r>
                    <w:rPr>
                      <w:rFonts w:hint="eastAsia"/>
                      <w:color w:val="auto"/>
                      <w:sz w:val="21"/>
                      <w:szCs w:val="21"/>
                    </w:rPr>
                    <w:t>14:00-15:00</w:t>
                  </w:r>
                </w:p>
              </w:tc>
              <w:tc>
                <w:tcPr>
                  <w:tcW w:w="1110" w:type="pct"/>
                  <w:vAlign w:val="center"/>
                </w:tcPr>
                <w:p w14:paraId="612812DC">
                  <w:pPr>
                    <w:adjustRightInd w:val="0"/>
                    <w:snapToGrid w:val="0"/>
                    <w:jc w:val="center"/>
                    <w:rPr>
                      <w:color w:val="auto"/>
                      <w:sz w:val="21"/>
                      <w:szCs w:val="21"/>
                    </w:rPr>
                  </w:pPr>
                  <w:r>
                    <w:rPr>
                      <w:rFonts w:hint="eastAsia"/>
                      <w:color w:val="auto"/>
                      <w:sz w:val="21"/>
                      <w:szCs w:val="21"/>
                    </w:rPr>
                    <w:t>0.117</w:t>
                  </w:r>
                </w:p>
              </w:tc>
              <w:tc>
                <w:tcPr>
                  <w:tcW w:w="1110" w:type="pct"/>
                  <w:vAlign w:val="center"/>
                </w:tcPr>
                <w:p w14:paraId="200089DF">
                  <w:pPr>
                    <w:adjustRightInd w:val="0"/>
                    <w:snapToGrid w:val="0"/>
                    <w:jc w:val="center"/>
                    <w:rPr>
                      <w:color w:val="auto"/>
                      <w:sz w:val="21"/>
                      <w:szCs w:val="21"/>
                    </w:rPr>
                  </w:pPr>
                  <w:r>
                    <w:rPr>
                      <w:rFonts w:hint="eastAsia"/>
                      <w:color w:val="auto"/>
                      <w:sz w:val="21"/>
                      <w:szCs w:val="21"/>
                    </w:rPr>
                    <w:t>0.048</w:t>
                  </w:r>
                </w:p>
              </w:tc>
              <w:tc>
                <w:tcPr>
                  <w:tcW w:w="1110" w:type="pct"/>
                  <w:vAlign w:val="center"/>
                </w:tcPr>
                <w:p w14:paraId="4DBFDF04">
                  <w:pPr>
                    <w:adjustRightInd w:val="0"/>
                    <w:snapToGrid w:val="0"/>
                    <w:jc w:val="center"/>
                    <w:rPr>
                      <w:color w:val="auto"/>
                      <w:sz w:val="21"/>
                      <w:szCs w:val="21"/>
                    </w:rPr>
                  </w:pPr>
                  <w:r>
                    <w:rPr>
                      <w:rFonts w:hint="eastAsia"/>
                      <w:color w:val="auto"/>
                      <w:sz w:val="21"/>
                      <w:szCs w:val="21"/>
                    </w:rPr>
                    <w:t>2.3</w:t>
                  </w:r>
                </w:p>
              </w:tc>
            </w:tr>
            <w:tr w14:paraId="519A1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3CFBF695">
                  <w:pPr>
                    <w:adjustRightInd w:val="0"/>
                    <w:snapToGrid w:val="0"/>
                    <w:jc w:val="center"/>
                    <w:rPr>
                      <w:color w:val="auto"/>
                      <w:sz w:val="21"/>
                      <w:szCs w:val="21"/>
                      <w:highlight w:val="yellow"/>
                    </w:rPr>
                  </w:pPr>
                </w:p>
              </w:tc>
              <w:tc>
                <w:tcPr>
                  <w:tcW w:w="420" w:type="pct"/>
                  <w:vMerge w:val="continue"/>
                  <w:vAlign w:val="center"/>
                </w:tcPr>
                <w:p w14:paraId="7F4F1B09">
                  <w:pPr>
                    <w:adjustRightInd w:val="0"/>
                    <w:snapToGrid w:val="0"/>
                    <w:jc w:val="center"/>
                    <w:rPr>
                      <w:color w:val="auto"/>
                      <w:sz w:val="21"/>
                      <w:szCs w:val="21"/>
                    </w:rPr>
                  </w:pPr>
                </w:p>
              </w:tc>
              <w:tc>
                <w:tcPr>
                  <w:tcW w:w="939" w:type="pct"/>
                  <w:vAlign w:val="center"/>
                </w:tcPr>
                <w:p w14:paraId="0995C9C7">
                  <w:pPr>
                    <w:adjustRightInd w:val="0"/>
                    <w:snapToGrid w:val="0"/>
                    <w:jc w:val="center"/>
                    <w:rPr>
                      <w:color w:val="auto"/>
                      <w:sz w:val="21"/>
                      <w:szCs w:val="21"/>
                    </w:rPr>
                  </w:pPr>
                  <w:r>
                    <w:rPr>
                      <w:rFonts w:hint="eastAsia"/>
                      <w:color w:val="auto"/>
                      <w:sz w:val="21"/>
                      <w:szCs w:val="21"/>
                    </w:rPr>
                    <w:t>20:00-21:00</w:t>
                  </w:r>
                </w:p>
              </w:tc>
              <w:tc>
                <w:tcPr>
                  <w:tcW w:w="1110" w:type="pct"/>
                  <w:vAlign w:val="center"/>
                </w:tcPr>
                <w:p w14:paraId="4B68EBC6">
                  <w:pPr>
                    <w:adjustRightInd w:val="0"/>
                    <w:snapToGrid w:val="0"/>
                    <w:jc w:val="center"/>
                    <w:rPr>
                      <w:color w:val="auto"/>
                      <w:sz w:val="21"/>
                      <w:szCs w:val="21"/>
                    </w:rPr>
                  </w:pPr>
                  <w:r>
                    <w:rPr>
                      <w:rFonts w:hint="eastAsia"/>
                      <w:color w:val="auto"/>
                      <w:sz w:val="21"/>
                      <w:szCs w:val="21"/>
                    </w:rPr>
                    <w:t>0.133</w:t>
                  </w:r>
                </w:p>
              </w:tc>
              <w:tc>
                <w:tcPr>
                  <w:tcW w:w="1110" w:type="pct"/>
                  <w:vAlign w:val="center"/>
                </w:tcPr>
                <w:p w14:paraId="31FAF56D">
                  <w:pPr>
                    <w:adjustRightInd w:val="0"/>
                    <w:snapToGrid w:val="0"/>
                    <w:jc w:val="center"/>
                    <w:rPr>
                      <w:color w:val="auto"/>
                      <w:sz w:val="21"/>
                      <w:szCs w:val="21"/>
                    </w:rPr>
                  </w:pPr>
                  <w:r>
                    <w:rPr>
                      <w:rFonts w:hint="eastAsia"/>
                      <w:color w:val="auto"/>
                      <w:sz w:val="21"/>
                      <w:szCs w:val="21"/>
                    </w:rPr>
                    <w:t>0.041</w:t>
                  </w:r>
                </w:p>
              </w:tc>
              <w:tc>
                <w:tcPr>
                  <w:tcW w:w="1110" w:type="pct"/>
                  <w:vAlign w:val="center"/>
                </w:tcPr>
                <w:p w14:paraId="24BA1CAF">
                  <w:pPr>
                    <w:adjustRightInd w:val="0"/>
                    <w:snapToGrid w:val="0"/>
                    <w:jc w:val="center"/>
                    <w:rPr>
                      <w:color w:val="auto"/>
                      <w:sz w:val="21"/>
                      <w:szCs w:val="21"/>
                    </w:rPr>
                  </w:pPr>
                  <w:r>
                    <w:rPr>
                      <w:rFonts w:hint="eastAsia"/>
                      <w:color w:val="auto"/>
                      <w:sz w:val="21"/>
                      <w:szCs w:val="21"/>
                    </w:rPr>
                    <w:t>2.2</w:t>
                  </w:r>
                </w:p>
              </w:tc>
            </w:tr>
            <w:tr w14:paraId="4218F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30D231AA">
                  <w:pPr>
                    <w:adjustRightInd w:val="0"/>
                    <w:snapToGrid w:val="0"/>
                    <w:jc w:val="center"/>
                    <w:rPr>
                      <w:color w:val="auto"/>
                      <w:sz w:val="21"/>
                      <w:szCs w:val="21"/>
                      <w:highlight w:val="yellow"/>
                    </w:rPr>
                  </w:pPr>
                </w:p>
              </w:tc>
              <w:tc>
                <w:tcPr>
                  <w:tcW w:w="420" w:type="pct"/>
                  <w:vMerge w:val="restart"/>
                  <w:vAlign w:val="center"/>
                </w:tcPr>
                <w:p w14:paraId="50F1CE92">
                  <w:pPr>
                    <w:adjustRightInd w:val="0"/>
                    <w:snapToGrid w:val="0"/>
                    <w:jc w:val="center"/>
                    <w:rPr>
                      <w:color w:val="auto"/>
                      <w:sz w:val="21"/>
                      <w:szCs w:val="21"/>
                    </w:rPr>
                  </w:pPr>
                  <w:r>
                    <w:rPr>
                      <w:rFonts w:hint="eastAsia"/>
                      <w:color w:val="auto"/>
                      <w:sz w:val="21"/>
                      <w:szCs w:val="21"/>
                    </w:rPr>
                    <w:t>2023.05.27</w:t>
                  </w:r>
                </w:p>
              </w:tc>
              <w:tc>
                <w:tcPr>
                  <w:tcW w:w="939" w:type="pct"/>
                  <w:vAlign w:val="center"/>
                </w:tcPr>
                <w:p w14:paraId="36DBBC91">
                  <w:pPr>
                    <w:adjustRightInd w:val="0"/>
                    <w:snapToGrid w:val="0"/>
                    <w:jc w:val="center"/>
                    <w:rPr>
                      <w:color w:val="auto"/>
                      <w:sz w:val="21"/>
                      <w:szCs w:val="21"/>
                    </w:rPr>
                  </w:pPr>
                  <w:r>
                    <w:rPr>
                      <w:rFonts w:hint="eastAsia"/>
                      <w:color w:val="auto"/>
                      <w:sz w:val="21"/>
                      <w:szCs w:val="21"/>
                    </w:rPr>
                    <w:t>02:00-03:00</w:t>
                  </w:r>
                </w:p>
              </w:tc>
              <w:tc>
                <w:tcPr>
                  <w:tcW w:w="1110" w:type="pct"/>
                  <w:vAlign w:val="center"/>
                </w:tcPr>
                <w:p w14:paraId="5571BA94">
                  <w:pPr>
                    <w:adjustRightInd w:val="0"/>
                    <w:snapToGrid w:val="0"/>
                    <w:jc w:val="center"/>
                    <w:rPr>
                      <w:color w:val="auto"/>
                      <w:sz w:val="21"/>
                      <w:szCs w:val="21"/>
                    </w:rPr>
                  </w:pPr>
                  <w:r>
                    <w:rPr>
                      <w:rFonts w:hint="eastAsia"/>
                      <w:color w:val="auto"/>
                      <w:sz w:val="21"/>
                      <w:szCs w:val="21"/>
                    </w:rPr>
                    <w:t>0.133</w:t>
                  </w:r>
                </w:p>
              </w:tc>
              <w:tc>
                <w:tcPr>
                  <w:tcW w:w="1110" w:type="pct"/>
                  <w:vAlign w:val="center"/>
                </w:tcPr>
                <w:p w14:paraId="7ADC7E49">
                  <w:pPr>
                    <w:adjustRightInd w:val="0"/>
                    <w:snapToGrid w:val="0"/>
                    <w:jc w:val="center"/>
                    <w:rPr>
                      <w:color w:val="auto"/>
                      <w:sz w:val="21"/>
                      <w:szCs w:val="21"/>
                    </w:rPr>
                  </w:pPr>
                  <w:r>
                    <w:rPr>
                      <w:rFonts w:hint="eastAsia"/>
                      <w:color w:val="auto"/>
                      <w:sz w:val="21"/>
                      <w:szCs w:val="21"/>
                    </w:rPr>
                    <w:t>0.042</w:t>
                  </w:r>
                </w:p>
              </w:tc>
              <w:tc>
                <w:tcPr>
                  <w:tcW w:w="1110" w:type="pct"/>
                  <w:vAlign w:val="center"/>
                </w:tcPr>
                <w:p w14:paraId="53E5872D">
                  <w:pPr>
                    <w:adjustRightInd w:val="0"/>
                    <w:snapToGrid w:val="0"/>
                    <w:jc w:val="center"/>
                    <w:rPr>
                      <w:color w:val="auto"/>
                      <w:sz w:val="21"/>
                      <w:szCs w:val="21"/>
                    </w:rPr>
                  </w:pPr>
                  <w:r>
                    <w:rPr>
                      <w:rFonts w:hint="eastAsia"/>
                      <w:color w:val="auto"/>
                      <w:sz w:val="21"/>
                      <w:szCs w:val="21"/>
                    </w:rPr>
                    <w:t>2.1</w:t>
                  </w:r>
                </w:p>
              </w:tc>
            </w:tr>
            <w:tr w14:paraId="359F4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6FB526DD">
                  <w:pPr>
                    <w:adjustRightInd w:val="0"/>
                    <w:snapToGrid w:val="0"/>
                    <w:jc w:val="center"/>
                    <w:rPr>
                      <w:color w:val="auto"/>
                      <w:sz w:val="21"/>
                      <w:szCs w:val="21"/>
                      <w:highlight w:val="yellow"/>
                    </w:rPr>
                  </w:pPr>
                </w:p>
              </w:tc>
              <w:tc>
                <w:tcPr>
                  <w:tcW w:w="420" w:type="pct"/>
                  <w:vMerge w:val="continue"/>
                  <w:vAlign w:val="center"/>
                </w:tcPr>
                <w:p w14:paraId="0CE94930">
                  <w:pPr>
                    <w:adjustRightInd w:val="0"/>
                    <w:snapToGrid w:val="0"/>
                    <w:jc w:val="center"/>
                    <w:rPr>
                      <w:color w:val="auto"/>
                      <w:sz w:val="21"/>
                      <w:szCs w:val="21"/>
                    </w:rPr>
                  </w:pPr>
                </w:p>
              </w:tc>
              <w:tc>
                <w:tcPr>
                  <w:tcW w:w="939" w:type="pct"/>
                  <w:vAlign w:val="center"/>
                </w:tcPr>
                <w:p w14:paraId="3F0DCC0C">
                  <w:pPr>
                    <w:adjustRightInd w:val="0"/>
                    <w:snapToGrid w:val="0"/>
                    <w:jc w:val="center"/>
                    <w:rPr>
                      <w:color w:val="auto"/>
                      <w:sz w:val="21"/>
                      <w:szCs w:val="21"/>
                    </w:rPr>
                  </w:pPr>
                  <w:r>
                    <w:rPr>
                      <w:rFonts w:hint="eastAsia"/>
                      <w:color w:val="auto"/>
                      <w:sz w:val="21"/>
                      <w:szCs w:val="21"/>
                    </w:rPr>
                    <w:t>08:00-09:00</w:t>
                  </w:r>
                </w:p>
              </w:tc>
              <w:tc>
                <w:tcPr>
                  <w:tcW w:w="1110" w:type="pct"/>
                  <w:vAlign w:val="center"/>
                </w:tcPr>
                <w:p w14:paraId="54DC9518">
                  <w:pPr>
                    <w:adjustRightInd w:val="0"/>
                    <w:snapToGrid w:val="0"/>
                    <w:jc w:val="center"/>
                    <w:rPr>
                      <w:color w:val="auto"/>
                      <w:sz w:val="21"/>
                      <w:szCs w:val="21"/>
                    </w:rPr>
                  </w:pPr>
                  <w:r>
                    <w:rPr>
                      <w:rFonts w:hint="eastAsia"/>
                      <w:color w:val="auto"/>
                      <w:sz w:val="21"/>
                      <w:szCs w:val="21"/>
                    </w:rPr>
                    <w:t>0.117</w:t>
                  </w:r>
                </w:p>
              </w:tc>
              <w:tc>
                <w:tcPr>
                  <w:tcW w:w="1110" w:type="pct"/>
                  <w:vAlign w:val="center"/>
                </w:tcPr>
                <w:p w14:paraId="562F63B9">
                  <w:pPr>
                    <w:adjustRightInd w:val="0"/>
                    <w:snapToGrid w:val="0"/>
                    <w:jc w:val="center"/>
                    <w:rPr>
                      <w:color w:val="auto"/>
                      <w:sz w:val="21"/>
                      <w:szCs w:val="21"/>
                    </w:rPr>
                  </w:pPr>
                  <w:r>
                    <w:rPr>
                      <w:rFonts w:hint="eastAsia"/>
                      <w:color w:val="auto"/>
                      <w:sz w:val="21"/>
                      <w:szCs w:val="21"/>
                    </w:rPr>
                    <w:t>0.047</w:t>
                  </w:r>
                </w:p>
              </w:tc>
              <w:tc>
                <w:tcPr>
                  <w:tcW w:w="1110" w:type="pct"/>
                  <w:vAlign w:val="center"/>
                </w:tcPr>
                <w:p w14:paraId="53438EE1">
                  <w:pPr>
                    <w:adjustRightInd w:val="0"/>
                    <w:snapToGrid w:val="0"/>
                    <w:jc w:val="center"/>
                    <w:rPr>
                      <w:color w:val="auto"/>
                      <w:sz w:val="21"/>
                      <w:szCs w:val="21"/>
                    </w:rPr>
                  </w:pPr>
                  <w:r>
                    <w:rPr>
                      <w:rFonts w:hint="eastAsia"/>
                      <w:color w:val="auto"/>
                      <w:sz w:val="21"/>
                      <w:szCs w:val="21"/>
                    </w:rPr>
                    <w:t>2.0</w:t>
                  </w:r>
                </w:p>
              </w:tc>
            </w:tr>
            <w:tr w14:paraId="246CB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7F62A6D7">
                  <w:pPr>
                    <w:adjustRightInd w:val="0"/>
                    <w:snapToGrid w:val="0"/>
                    <w:jc w:val="center"/>
                    <w:rPr>
                      <w:color w:val="auto"/>
                      <w:sz w:val="21"/>
                      <w:szCs w:val="21"/>
                      <w:highlight w:val="yellow"/>
                    </w:rPr>
                  </w:pPr>
                </w:p>
              </w:tc>
              <w:tc>
                <w:tcPr>
                  <w:tcW w:w="420" w:type="pct"/>
                  <w:vMerge w:val="continue"/>
                  <w:vAlign w:val="center"/>
                </w:tcPr>
                <w:p w14:paraId="0A470D8D">
                  <w:pPr>
                    <w:adjustRightInd w:val="0"/>
                    <w:snapToGrid w:val="0"/>
                    <w:jc w:val="center"/>
                    <w:rPr>
                      <w:color w:val="auto"/>
                      <w:sz w:val="21"/>
                      <w:szCs w:val="21"/>
                    </w:rPr>
                  </w:pPr>
                </w:p>
              </w:tc>
              <w:tc>
                <w:tcPr>
                  <w:tcW w:w="939" w:type="pct"/>
                  <w:vAlign w:val="center"/>
                </w:tcPr>
                <w:p w14:paraId="3188D2BB">
                  <w:pPr>
                    <w:adjustRightInd w:val="0"/>
                    <w:snapToGrid w:val="0"/>
                    <w:jc w:val="center"/>
                    <w:rPr>
                      <w:color w:val="auto"/>
                      <w:sz w:val="21"/>
                      <w:szCs w:val="21"/>
                    </w:rPr>
                  </w:pPr>
                  <w:r>
                    <w:rPr>
                      <w:rFonts w:hint="eastAsia"/>
                      <w:color w:val="auto"/>
                      <w:sz w:val="21"/>
                      <w:szCs w:val="21"/>
                    </w:rPr>
                    <w:t>14:00-15:00</w:t>
                  </w:r>
                </w:p>
              </w:tc>
              <w:tc>
                <w:tcPr>
                  <w:tcW w:w="1110" w:type="pct"/>
                  <w:vAlign w:val="center"/>
                </w:tcPr>
                <w:p w14:paraId="382D03AA">
                  <w:pPr>
                    <w:adjustRightInd w:val="0"/>
                    <w:snapToGrid w:val="0"/>
                    <w:jc w:val="center"/>
                    <w:rPr>
                      <w:color w:val="auto"/>
                      <w:sz w:val="21"/>
                      <w:szCs w:val="21"/>
                    </w:rPr>
                  </w:pPr>
                  <w:r>
                    <w:rPr>
                      <w:rFonts w:hint="eastAsia"/>
                      <w:color w:val="auto"/>
                      <w:sz w:val="21"/>
                      <w:szCs w:val="21"/>
                    </w:rPr>
                    <w:t>0.133</w:t>
                  </w:r>
                </w:p>
              </w:tc>
              <w:tc>
                <w:tcPr>
                  <w:tcW w:w="1110" w:type="pct"/>
                  <w:vAlign w:val="center"/>
                </w:tcPr>
                <w:p w14:paraId="1B398CB6">
                  <w:pPr>
                    <w:adjustRightInd w:val="0"/>
                    <w:snapToGrid w:val="0"/>
                    <w:jc w:val="center"/>
                    <w:rPr>
                      <w:color w:val="auto"/>
                      <w:sz w:val="21"/>
                      <w:szCs w:val="21"/>
                    </w:rPr>
                  </w:pPr>
                  <w:r>
                    <w:rPr>
                      <w:rFonts w:hint="eastAsia"/>
                      <w:color w:val="auto"/>
                      <w:sz w:val="21"/>
                      <w:szCs w:val="21"/>
                    </w:rPr>
                    <w:t>0.041</w:t>
                  </w:r>
                </w:p>
              </w:tc>
              <w:tc>
                <w:tcPr>
                  <w:tcW w:w="1110" w:type="pct"/>
                  <w:vAlign w:val="center"/>
                </w:tcPr>
                <w:p w14:paraId="538AB1B7">
                  <w:pPr>
                    <w:adjustRightInd w:val="0"/>
                    <w:snapToGrid w:val="0"/>
                    <w:jc w:val="center"/>
                    <w:rPr>
                      <w:color w:val="auto"/>
                      <w:sz w:val="21"/>
                      <w:szCs w:val="21"/>
                    </w:rPr>
                  </w:pPr>
                  <w:r>
                    <w:rPr>
                      <w:rFonts w:hint="eastAsia"/>
                      <w:color w:val="auto"/>
                      <w:sz w:val="21"/>
                      <w:szCs w:val="21"/>
                    </w:rPr>
                    <w:t>2.3</w:t>
                  </w:r>
                </w:p>
              </w:tc>
            </w:tr>
            <w:tr w14:paraId="2DDD1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53246C26">
                  <w:pPr>
                    <w:adjustRightInd w:val="0"/>
                    <w:snapToGrid w:val="0"/>
                    <w:jc w:val="center"/>
                    <w:rPr>
                      <w:color w:val="auto"/>
                      <w:sz w:val="21"/>
                      <w:szCs w:val="21"/>
                      <w:highlight w:val="yellow"/>
                    </w:rPr>
                  </w:pPr>
                </w:p>
              </w:tc>
              <w:tc>
                <w:tcPr>
                  <w:tcW w:w="420" w:type="pct"/>
                  <w:vMerge w:val="continue"/>
                  <w:vAlign w:val="center"/>
                </w:tcPr>
                <w:p w14:paraId="0FB16D65">
                  <w:pPr>
                    <w:adjustRightInd w:val="0"/>
                    <w:snapToGrid w:val="0"/>
                    <w:jc w:val="center"/>
                    <w:rPr>
                      <w:color w:val="auto"/>
                      <w:sz w:val="21"/>
                      <w:szCs w:val="21"/>
                    </w:rPr>
                  </w:pPr>
                </w:p>
              </w:tc>
              <w:tc>
                <w:tcPr>
                  <w:tcW w:w="939" w:type="pct"/>
                  <w:vAlign w:val="center"/>
                </w:tcPr>
                <w:p w14:paraId="5DA58C35">
                  <w:pPr>
                    <w:adjustRightInd w:val="0"/>
                    <w:snapToGrid w:val="0"/>
                    <w:jc w:val="center"/>
                    <w:rPr>
                      <w:color w:val="auto"/>
                      <w:sz w:val="21"/>
                      <w:szCs w:val="21"/>
                    </w:rPr>
                  </w:pPr>
                  <w:r>
                    <w:rPr>
                      <w:rFonts w:hint="eastAsia"/>
                      <w:color w:val="auto"/>
                      <w:sz w:val="21"/>
                      <w:szCs w:val="21"/>
                    </w:rPr>
                    <w:t>20:00-21:00</w:t>
                  </w:r>
                </w:p>
              </w:tc>
              <w:tc>
                <w:tcPr>
                  <w:tcW w:w="1110" w:type="pct"/>
                  <w:vAlign w:val="center"/>
                </w:tcPr>
                <w:p w14:paraId="4F206CA3">
                  <w:pPr>
                    <w:adjustRightInd w:val="0"/>
                    <w:snapToGrid w:val="0"/>
                    <w:jc w:val="center"/>
                    <w:rPr>
                      <w:color w:val="auto"/>
                      <w:sz w:val="21"/>
                      <w:szCs w:val="21"/>
                    </w:rPr>
                  </w:pPr>
                  <w:r>
                    <w:rPr>
                      <w:rFonts w:hint="eastAsia"/>
                      <w:color w:val="auto"/>
                      <w:sz w:val="21"/>
                      <w:szCs w:val="21"/>
                    </w:rPr>
                    <w:t>0.150</w:t>
                  </w:r>
                </w:p>
              </w:tc>
              <w:tc>
                <w:tcPr>
                  <w:tcW w:w="1110" w:type="pct"/>
                  <w:vAlign w:val="center"/>
                </w:tcPr>
                <w:p w14:paraId="3F2BA4F6">
                  <w:pPr>
                    <w:adjustRightInd w:val="0"/>
                    <w:snapToGrid w:val="0"/>
                    <w:jc w:val="center"/>
                    <w:rPr>
                      <w:color w:val="auto"/>
                      <w:sz w:val="21"/>
                      <w:szCs w:val="21"/>
                    </w:rPr>
                  </w:pPr>
                  <w:r>
                    <w:rPr>
                      <w:rFonts w:hint="eastAsia"/>
                      <w:color w:val="auto"/>
                      <w:sz w:val="21"/>
                      <w:szCs w:val="21"/>
                    </w:rPr>
                    <w:t>0.043</w:t>
                  </w:r>
                </w:p>
              </w:tc>
              <w:tc>
                <w:tcPr>
                  <w:tcW w:w="1110" w:type="pct"/>
                  <w:vAlign w:val="center"/>
                </w:tcPr>
                <w:p w14:paraId="17D9251F">
                  <w:pPr>
                    <w:adjustRightInd w:val="0"/>
                    <w:snapToGrid w:val="0"/>
                    <w:jc w:val="center"/>
                    <w:rPr>
                      <w:color w:val="auto"/>
                      <w:sz w:val="21"/>
                      <w:szCs w:val="21"/>
                    </w:rPr>
                  </w:pPr>
                  <w:r>
                    <w:rPr>
                      <w:rFonts w:hint="eastAsia"/>
                      <w:color w:val="auto"/>
                      <w:sz w:val="21"/>
                      <w:szCs w:val="21"/>
                    </w:rPr>
                    <w:t>2.2</w:t>
                  </w:r>
                </w:p>
              </w:tc>
            </w:tr>
            <w:tr w14:paraId="421FD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59CDD9CF">
                  <w:pPr>
                    <w:adjustRightInd w:val="0"/>
                    <w:snapToGrid w:val="0"/>
                    <w:jc w:val="center"/>
                    <w:rPr>
                      <w:color w:val="auto"/>
                      <w:sz w:val="21"/>
                      <w:szCs w:val="21"/>
                      <w:highlight w:val="yellow"/>
                    </w:rPr>
                  </w:pPr>
                </w:p>
              </w:tc>
              <w:tc>
                <w:tcPr>
                  <w:tcW w:w="420" w:type="pct"/>
                  <w:vMerge w:val="restart"/>
                  <w:vAlign w:val="center"/>
                </w:tcPr>
                <w:p w14:paraId="5E09C6B1">
                  <w:pPr>
                    <w:adjustRightInd w:val="0"/>
                    <w:snapToGrid w:val="0"/>
                    <w:jc w:val="center"/>
                    <w:rPr>
                      <w:color w:val="auto"/>
                      <w:sz w:val="21"/>
                      <w:szCs w:val="21"/>
                    </w:rPr>
                  </w:pPr>
                  <w:r>
                    <w:rPr>
                      <w:rFonts w:hint="eastAsia"/>
                      <w:color w:val="auto"/>
                      <w:sz w:val="21"/>
                      <w:szCs w:val="21"/>
                    </w:rPr>
                    <w:t>2023.05.28</w:t>
                  </w:r>
                </w:p>
              </w:tc>
              <w:tc>
                <w:tcPr>
                  <w:tcW w:w="939" w:type="pct"/>
                  <w:vAlign w:val="center"/>
                </w:tcPr>
                <w:p w14:paraId="72EB4734">
                  <w:pPr>
                    <w:adjustRightInd w:val="0"/>
                    <w:snapToGrid w:val="0"/>
                    <w:jc w:val="center"/>
                    <w:rPr>
                      <w:color w:val="auto"/>
                      <w:sz w:val="21"/>
                      <w:szCs w:val="21"/>
                    </w:rPr>
                  </w:pPr>
                  <w:r>
                    <w:rPr>
                      <w:rFonts w:hint="eastAsia"/>
                      <w:color w:val="auto"/>
                      <w:sz w:val="21"/>
                      <w:szCs w:val="21"/>
                    </w:rPr>
                    <w:t>02:00-03:00</w:t>
                  </w:r>
                </w:p>
              </w:tc>
              <w:tc>
                <w:tcPr>
                  <w:tcW w:w="1110" w:type="pct"/>
                  <w:vAlign w:val="center"/>
                </w:tcPr>
                <w:p w14:paraId="30036F88">
                  <w:pPr>
                    <w:adjustRightInd w:val="0"/>
                    <w:snapToGrid w:val="0"/>
                    <w:jc w:val="center"/>
                    <w:rPr>
                      <w:color w:val="auto"/>
                      <w:sz w:val="21"/>
                      <w:szCs w:val="21"/>
                    </w:rPr>
                  </w:pPr>
                  <w:r>
                    <w:rPr>
                      <w:rFonts w:hint="eastAsia"/>
                      <w:color w:val="auto"/>
                      <w:sz w:val="21"/>
                      <w:szCs w:val="21"/>
                    </w:rPr>
                    <w:t>0.133</w:t>
                  </w:r>
                </w:p>
              </w:tc>
              <w:tc>
                <w:tcPr>
                  <w:tcW w:w="1110" w:type="pct"/>
                  <w:vAlign w:val="center"/>
                </w:tcPr>
                <w:p w14:paraId="32C5EF21">
                  <w:pPr>
                    <w:adjustRightInd w:val="0"/>
                    <w:snapToGrid w:val="0"/>
                    <w:jc w:val="center"/>
                    <w:rPr>
                      <w:color w:val="auto"/>
                      <w:sz w:val="21"/>
                      <w:szCs w:val="21"/>
                    </w:rPr>
                  </w:pPr>
                  <w:r>
                    <w:rPr>
                      <w:rFonts w:hint="eastAsia"/>
                      <w:color w:val="auto"/>
                      <w:sz w:val="21"/>
                      <w:szCs w:val="21"/>
                    </w:rPr>
                    <w:t>0.047</w:t>
                  </w:r>
                </w:p>
              </w:tc>
              <w:tc>
                <w:tcPr>
                  <w:tcW w:w="1110" w:type="pct"/>
                  <w:vAlign w:val="center"/>
                </w:tcPr>
                <w:p w14:paraId="349D038A">
                  <w:pPr>
                    <w:adjustRightInd w:val="0"/>
                    <w:snapToGrid w:val="0"/>
                    <w:jc w:val="center"/>
                    <w:rPr>
                      <w:color w:val="auto"/>
                      <w:sz w:val="21"/>
                      <w:szCs w:val="21"/>
                    </w:rPr>
                  </w:pPr>
                  <w:r>
                    <w:rPr>
                      <w:rFonts w:hint="eastAsia"/>
                      <w:color w:val="auto"/>
                      <w:sz w:val="21"/>
                      <w:szCs w:val="21"/>
                    </w:rPr>
                    <w:t>2.2</w:t>
                  </w:r>
                </w:p>
              </w:tc>
            </w:tr>
            <w:tr w14:paraId="2876C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36A46B01">
                  <w:pPr>
                    <w:adjustRightInd w:val="0"/>
                    <w:snapToGrid w:val="0"/>
                    <w:jc w:val="center"/>
                    <w:rPr>
                      <w:color w:val="auto"/>
                      <w:sz w:val="21"/>
                      <w:szCs w:val="21"/>
                      <w:highlight w:val="yellow"/>
                    </w:rPr>
                  </w:pPr>
                </w:p>
              </w:tc>
              <w:tc>
                <w:tcPr>
                  <w:tcW w:w="420" w:type="pct"/>
                  <w:vMerge w:val="continue"/>
                  <w:vAlign w:val="center"/>
                </w:tcPr>
                <w:p w14:paraId="3CCAD7D9">
                  <w:pPr>
                    <w:adjustRightInd w:val="0"/>
                    <w:snapToGrid w:val="0"/>
                    <w:jc w:val="center"/>
                    <w:rPr>
                      <w:color w:val="auto"/>
                      <w:sz w:val="21"/>
                      <w:szCs w:val="21"/>
                    </w:rPr>
                  </w:pPr>
                </w:p>
              </w:tc>
              <w:tc>
                <w:tcPr>
                  <w:tcW w:w="939" w:type="pct"/>
                  <w:vAlign w:val="center"/>
                </w:tcPr>
                <w:p w14:paraId="61AA7296">
                  <w:pPr>
                    <w:adjustRightInd w:val="0"/>
                    <w:snapToGrid w:val="0"/>
                    <w:jc w:val="center"/>
                    <w:rPr>
                      <w:color w:val="auto"/>
                      <w:sz w:val="21"/>
                      <w:szCs w:val="21"/>
                    </w:rPr>
                  </w:pPr>
                  <w:r>
                    <w:rPr>
                      <w:rFonts w:hint="eastAsia"/>
                      <w:color w:val="auto"/>
                      <w:sz w:val="21"/>
                      <w:szCs w:val="21"/>
                    </w:rPr>
                    <w:t>08:00-09:00</w:t>
                  </w:r>
                </w:p>
              </w:tc>
              <w:tc>
                <w:tcPr>
                  <w:tcW w:w="1110" w:type="pct"/>
                  <w:vAlign w:val="center"/>
                </w:tcPr>
                <w:p w14:paraId="07557CCB">
                  <w:pPr>
                    <w:adjustRightInd w:val="0"/>
                    <w:snapToGrid w:val="0"/>
                    <w:jc w:val="center"/>
                    <w:rPr>
                      <w:color w:val="auto"/>
                      <w:sz w:val="21"/>
                      <w:szCs w:val="21"/>
                    </w:rPr>
                  </w:pPr>
                  <w:r>
                    <w:rPr>
                      <w:rFonts w:hint="eastAsia"/>
                      <w:color w:val="auto"/>
                      <w:sz w:val="21"/>
                      <w:szCs w:val="21"/>
                    </w:rPr>
                    <w:t>0.117</w:t>
                  </w:r>
                </w:p>
              </w:tc>
              <w:tc>
                <w:tcPr>
                  <w:tcW w:w="1110" w:type="pct"/>
                  <w:vAlign w:val="center"/>
                </w:tcPr>
                <w:p w14:paraId="59763EA3">
                  <w:pPr>
                    <w:adjustRightInd w:val="0"/>
                    <w:snapToGrid w:val="0"/>
                    <w:jc w:val="center"/>
                    <w:rPr>
                      <w:color w:val="auto"/>
                      <w:sz w:val="21"/>
                      <w:szCs w:val="21"/>
                    </w:rPr>
                  </w:pPr>
                  <w:r>
                    <w:rPr>
                      <w:rFonts w:hint="eastAsia"/>
                      <w:color w:val="auto"/>
                      <w:sz w:val="21"/>
                      <w:szCs w:val="21"/>
                    </w:rPr>
                    <w:t>0.040</w:t>
                  </w:r>
                </w:p>
              </w:tc>
              <w:tc>
                <w:tcPr>
                  <w:tcW w:w="1110" w:type="pct"/>
                  <w:vAlign w:val="center"/>
                </w:tcPr>
                <w:p w14:paraId="26780E21">
                  <w:pPr>
                    <w:adjustRightInd w:val="0"/>
                    <w:snapToGrid w:val="0"/>
                    <w:jc w:val="center"/>
                    <w:rPr>
                      <w:color w:val="auto"/>
                      <w:sz w:val="21"/>
                      <w:szCs w:val="21"/>
                    </w:rPr>
                  </w:pPr>
                  <w:r>
                    <w:rPr>
                      <w:rFonts w:hint="eastAsia"/>
                      <w:color w:val="auto"/>
                      <w:sz w:val="21"/>
                      <w:szCs w:val="21"/>
                    </w:rPr>
                    <w:t>2.2</w:t>
                  </w:r>
                </w:p>
              </w:tc>
            </w:tr>
            <w:tr w14:paraId="077D4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7EEDC490">
                  <w:pPr>
                    <w:adjustRightInd w:val="0"/>
                    <w:snapToGrid w:val="0"/>
                    <w:jc w:val="center"/>
                    <w:rPr>
                      <w:color w:val="auto"/>
                      <w:sz w:val="21"/>
                      <w:szCs w:val="21"/>
                      <w:highlight w:val="yellow"/>
                    </w:rPr>
                  </w:pPr>
                </w:p>
              </w:tc>
              <w:tc>
                <w:tcPr>
                  <w:tcW w:w="420" w:type="pct"/>
                  <w:vMerge w:val="continue"/>
                  <w:vAlign w:val="center"/>
                </w:tcPr>
                <w:p w14:paraId="4D8C28AE">
                  <w:pPr>
                    <w:adjustRightInd w:val="0"/>
                    <w:snapToGrid w:val="0"/>
                    <w:jc w:val="center"/>
                    <w:rPr>
                      <w:color w:val="auto"/>
                      <w:sz w:val="21"/>
                      <w:szCs w:val="21"/>
                    </w:rPr>
                  </w:pPr>
                </w:p>
              </w:tc>
              <w:tc>
                <w:tcPr>
                  <w:tcW w:w="939" w:type="pct"/>
                  <w:vAlign w:val="center"/>
                </w:tcPr>
                <w:p w14:paraId="42ED4FA9">
                  <w:pPr>
                    <w:adjustRightInd w:val="0"/>
                    <w:snapToGrid w:val="0"/>
                    <w:jc w:val="center"/>
                    <w:rPr>
                      <w:color w:val="auto"/>
                      <w:sz w:val="21"/>
                      <w:szCs w:val="21"/>
                    </w:rPr>
                  </w:pPr>
                  <w:r>
                    <w:rPr>
                      <w:rFonts w:hint="eastAsia"/>
                      <w:color w:val="auto"/>
                      <w:sz w:val="21"/>
                      <w:szCs w:val="21"/>
                    </w:rPr>
                    <w:t>14:00-15:00</w:t>
                  </w:r>
                </w:p>
              </w:tc>
              <w:tc>
                <w:tcPr>
                  <w:tcW w:w="1110" w:type="pct"/>
                  <w:vAlign w:val="center"/>
                </w:tcPr>
                <w:p w14:paraId="5E9602E8">
                  <w:pPr>
                    <w:adjustRightInd w:val="0"/>
                    <w:snapToGrid w:val="0"/>
                    <w:jc w:val="center"/>
                    <w:rPr>
                      <w:color w:val="auto"/>
                      <w:sz w:val="21"/>
                      <w:szCs w:val="21"/>
                    </w:rPr>
                  </w:pPr>
                  <w:r>
                    <w:rPr>
                      <w:rFonts w:hint="eastAsia"/>
                      <w:color w:val="auto"/>
                      <w:sz w:val="21"/>
                      <w:szCs w:val="21"/>
                    </w:rPr>
                    <w:t>0.150</w:t>
                  </w:r>
                </w:p>
              </w:tc>
              <w:tc>
                <w:tcPr>
                  <w:tcW w:w="1110" w:type="pct"/>
                  <w:vAlign w:val="center"/>
                </w:tcPr>
                <w:p w14:paraId="7C4FD55A">
                  <w:pPr>
                    <w:adjustRightInd w:val="0"/>
                    <w:snapToGrid w:val="0"/>
                    <w:jc w:val="center"/>
                    <w:rPr>
                      <w:color w:val="auto"/>
                      <w:sz w:val="21"/>
                      <w:szCs w:val="21"/>
                    </w:rPr>
                  </w:pPr>
                  <w:r>
                    <w:rPr>
                      <w:rFonts w:hint="eastAsia"/>
                      <w:color w:val="auto"/>
                      <w:sz w:val="21"/>
                      <w:szCs w:val="21"/>
                    </w:rPr>
                    <w:t>0.045</w:t>
                  </w:r>
                </w:p>
              </w:tc>
              <w:tc>
                <w:tcPr>
                  <w:tcW w:w="1110" w:type="pct"/>
                  <w:vAlign w:val="center"/>
                </w:tcPr>
                <w:p w14:paraId="4BA4450B">
                  <w:pPr>
                    <w:adjustRightInd w:val="0"/>
                    <w:snapToGrid w:val="0"/>
                    <w:jc w:val="center"/>
                    <w:rPr>
                      <w:color w:val="auto"/>
                      <w:sz w:val="21"/>
                      <w:szCs w:val="21"/>
                    </w:rPr>
                  </w:pPr>
                  <w:r>
                    <w:rPr>
                      <w:rFonts w:hint="eastAsia"/>
                      <w:color w:val="auto"/>
                      <w:sz w:val="21"/>
                      <w:szCs w:val="21"/>
                    </w:rPr>
                    <w:t>2.4</w:t>
                  </w:r>
                </w:p>
              </w:tc>
            </w:tr>
            <w:tr w14:paraId="79031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49139A4B">
                  <w:pPr>
                    <w:adjustRightInd w:val="0"/>
                    <w:snapToGrid w:val="0"/>
                    <w:jc w:val="center"/>
                    <w:rPr>
                      <w:color w:val="auto"/>
                      <w:sz w:val="21"/>
                      <w:szCs w:val="21"/>
                      <w:highlight w:val="yellow"/>
                    </w:rPr>
                  </w:pPr>
                </w:p>
              </w:tc>
              <w:tc>
                <w:tcPr>
                  <w:tcW w:w="420" w:type="pct"/>
                  <w:vMerge w:val="continue"/>
                  <w:vAlign w:val="center"/>
                </w:tcPr>
                <w:p w14:paraId="21122F26">
                  <w:pPr>
                    <w:adjustRightInd w:val="0"/>
                    <w:snapToGrid w:val="0"/>
                    <w:jc w:val="center"/>
                    <w:rPr>
                      <w:color w:val="auto"/>
                      <w:sz w:val="21"/>
                      <w:szCs w:val="21"/>
                    </w:rPr>
                  </w:pPr>
                </w:p>
              </w:tc>
              <w:tc>
                <w:tcPr>
                  <w:tcW w:w="939" w:type="pct"/>
                  <w:vAlign w:val="center"/>
                </w:tcPr>
                <w:p w14:paraId="192FC792">
                  <w:pPr>
                    <w:adjustRightInd w:val="0"/>
                    <w:snapToGrid w:val="0"/>
                    <w:jc w:val="center"/>
                    <w:rPr>
                      <w:color w:val="auto"/>
                      <w:sz w:val="21"/>
                      <w:szCs w:val="21"/>
                    </w:rPr>
                  </w:pPr>
                  <w:r>
                    <w:rPr>
                      <w:rFonts w:hint="eastAsia"/>
                      <w:color w:val="auto"/>
                      <w:sz w:val="21"/>
                      <w:szCs w:val="21"/>
                    </w:rPr>
                    <w:t>20:00-21:00</w:t>
                  </w:r>
                </w:p>
              </w:tc>
              <w:tc>
                <w:tcPr>
                  <w:tcW w:w="1110" w:type="pct"/>
                  <w:vAlign w:val="center"/>
                </w:tcPr>
                <w:p w14:paraId="6E6B0C0E">
                  <w:pPr>
                    <w:adjustRightInd w:val="0"/>
                    <w:snapToGrid w:val="0"/>
                    <w:jc w:val="center"/>
                    <w:rPr>
                      <w:color w:val="auto"/>
                      <w:sz w:val="21"/>
                      <w:szCs w:val="21"/>
                    </w:rPr>
                  </w:pPr>
                  <w:r>
                    <w:rPr>
                      <w:rFonts w:hint="eastAsia"/>
                      <w:color w:val="auto"/>
                      <w:sz w:val="21"/>
                      <w:szCs w:val="21"/>
                    </w:rPr>
                    <w:t>0.133</w:t>
                  </w:r>
                </w:p>
              </w:tc>
              <w:tc>
                <w:tcPr>
                  <w:tcW w:w="1110" w:type="pct"/>
                  <w:vAlign w:val="center"/>
                </w:tcPr>
                <w:p w14:paraId="15E82C8E">
                  <w:pPr>
                    <w:adjustRightInd w:val="0"/>
                    <w:snapToGrid w:val="0"/>
                    <w:jc w:val="center"/>
                    <w:rPr>
                      <w:color w:val="auto"/>
                      <w:sz w:val="21"/>
                      <w:szCs w:val="21"/>
                    </w:rPr>
                  </w:pPr>
                  <w:r>
                    <w:rPr>
                      <w:rFonts w:hint="eastAsia"/>
                      <w:color w:val="auto"/>
                      <w:sz w:val="21"/>
                      <w:szCs w:val="21"/>
                    </w:rPr>
                    <w:t>0.045</w:t>
                  </w:r>
                </w:p>
              </w:tc>
              <w:tc>
                <w:tcPr>
                  <w:tcW w:w="1110" w:type="pct"/>
                  <w:vAlign w:val="center"/>
                </w:tcPr>
                <w:p w14:paraId="637201B1">
                  <w:pPr>
                    <w:adjustRightInd w:val="0"/>
                    <w:snapToGrid w:val="0"/>
                    <w:jc w:val="center"/>
                    <w:rPr>
                      <w:color w:val="auto"/>
                      <w:sz w:val="21"/>
                      <w:szCs w:val="21"/>
                    </w:rPr>
                  </w:pPr>
                  <w:r>
                    <w:rPr>
                      <w:rFonts w:hint="eastAsia"/>
                      <w:color w:val="auto"/>
                      <w:sz w:val="21"/>
                      <w:szCs w:val="21"/>
                    </w:rPr>
                    <w:t>2.2</w:t>
                  </w:r>
                </w:p>
              </w:tc>
            </w:tr>
            <w:tr w14:paraId="1C667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1AADBA21">
                  <w:pPr>
                    <w:adjustRightInd w:val="0"/>
                    <w:snapToGrid w:val="0"/>
                    <w:jc w:val="center"/>
                    <w:rPr>
                      <w:color w:val="auto"/>
                      <w:sz w:val="21"/>
                      <w:szCs w:val="21"/>
                      <w:highlight w:val="yellow"/>
                    </w:rPr>
                  </w:pPr>
                </w:p>
              </w:tc>
              <w:tc>
                <w:tcPr>
                  <w:tcW w:w="420" w:type="pct"/>
                  <w:vMerge w:val="restart"/>
                  <w:vAlign w:val="center"/>
                </w:tcPr>
                <w:p w14:paraId="3B1B0363">
                  <w:pPr>
                    <w:adjustRightInd w:val="0"/>
                    <w:snapToGrid w:val="0"/>
                    <w:jc w:val="center"/>
                    <w:rPr>
                      <w:color w:val="auto"/>
                      <w:sz w:val="21"/>
                      <w:szCs w:val="21"/>
                    </w:rPr>
                  </w:pPr>
                  <w:r>
                    <w:rPr>
                      <w:rFonts w:hint="eastAsia"/>
                      <w:color w:val="auto"/>
                      <w:sz w:val="21"/>
                      <w:szCs w:val="21"/>
                    </w:rPr>
                    <w:t>2023.05.29</w:t>
                  </w:r>
                </w:p>
              </w:tc>
              <w:tc>
                <w:tcPr>
                  <w:tcW w:w="939" w:type="pct"/>
                  <w:vAlign w:val="center"/>
                </w:tcPr>
                <w:p w14:paraId="75EA4C57">
                  <w:pPr>
                    <w:adjustRightInd w:val="0"/>
                    <w:snapToGrid w:val="0"/>
                    <w:jc w:val="center"/>
                    <w:rPr>
                      <w:color w:val="auto"/>
                      <w:sz w:val="21"/>
                      <w:szCs w:val="21"/>
                    </w:rPr>
                  </w:pPr>
                  <w:r>
                    <w:rPr>
                      <w:rFonts w:hint="eastAsia"/>
                      <w:color w:val="auto"/>
                      <w:sz w:val="21"/>
                      <w:szCs w:val="21"/>
                    </w:rPr>
                    <w:t>02:00-03:00</w:t>
                  </w:r>
                </w:p>
              </w:tc>
              <w:tc>
                <w:tcPr>
                  <w:tcW w:w="1110" w:type="pct"/>
                  <w:vAlign w:val="center"/>
                </w:tcPr>
                <w:p w14:paraId="02F87CC8">
                  <w:pPr>
                    <w:adjustRightInd w:val="0"/>
                    <w:snapToGrid w:val="0"/>
                    <w:jc w:val="center"/>
                    <w:rPr>
                      <w:color w:val="auto"/>
                      <w:sz w:val="21"/>
                      <w:szCs w:val="21"/>
                    </w:rPr>
                  </w:pPr>
                  <w:r>
                    <w:rPr>
                      <w:rFonts w:hint="eastAsia"/>
                      <w:color w:val="auto"/>
                      <w:sz w:val="21"/>
                      <w:szCs w:val="21"/>
                    </w:rPr>
                    <w:t>0.117</w:t>
                  </w:r>
                </w:p>
              </w:tc>
              <w:tc>
                <w:tcPr>
                  <w:tcW w:w="1110" w:type="pct"/>
                  <w:vAlign w:val="center"/>
                </w:tcPr>
                <w:p w14:paraId="3E7644CE">
                  <w:pPr>
                    <w:adjustRightInd w:val="0"/>
                    <w:snapToGrid w:val="0"/>
                    <w:jc w:val="center"/>
                    <w:rPr>
                      <w:color w:val="auto"/>
                      <w:sz w:val="21"/>
                      <w:szCs w:val="21"/>
                    </w:rPr>
                  </w:pPr>
                  <w:r>
                    <w:rPr>
                      <w:rFonts w:hint="eastAsia"/>
                      <w:color w:val="auto"/>
                      <w:sz w:val="21"/>
                      <w:szCs w:val="21"/>
                    </w:rPr>
                    <w:t>0.040</w:t>
                  </w:r>
                </w:p>
              </w:tc>
              <w:tc>
                <w:tcPr>
                  <w:tcW w:w="1110" w:type="pct"/>
                  <w:vAlign w:val="center"/>
                </w:tcPr>
                <w:p w14:paraId="24EF0EE1">
                  <w:pPr>
                    <w:adjustRightInd w:val="0"/>
                    <w:snapToGrid w:val="0"/>
                    <w:jc w:val="center"/>
                    <w:rPr>
                      <w:color w:val="auto"/>
                      <w:sz w:val="21"/>
                      <w:szCs w:val="21"/>
                    </w:rPr>
                  </w:pPr>
                  <w:r>
                    <w:rPr>
                      <w:rFonts w:hint="eastAsia"/>
                      <w:color w:val="auto"/>
                      <w:sz w:val="21"/>
                      <w:szCs w:val="21"/>
                    </w:rPr>
                    <w:t>2.0</w:t>
                  </w:r>
                </w:p>
              </w:tc>
            </w:tr>
            <w:tr w14:paraId="0811A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3D4F1078">
                  <w:pPr>
                    <w:adjustRightInd w:val="0"/>
                    <w:snapToGrid w:val="0"/>
                    <w:jc w:val="center"/>
                    <w:rPr>
                      <w:color w:val="auto"/>
                      <w:sz w:val="21"/>
                      <w:szCs w:val="21"/>
                      <w:highlight w:val="yellow"/>
                    </w:rPr>
                  </w:pPr>
                </w:p>
              </w:tc>
              <w:tc>
                <w:tcPr>
                  <w:tcW w:w="420" w:type="pct"/>
                  <w:vMerge w:val="continue"/>
                  <w:vAlign w:val="center"/>
                </w:tcPr>
                <w:p w14:paraId="2407A169">
                  <w:pPr>
                    <w:adjustRightInd w:val="0"/>
                    <w:snapToGrid w:val="0"/>
                    <w:jc w:val="center"/>
                    <w:rPr>
                      <w:color w:val="auto"/>
                      <w:sz w:val="21"/>
                      <w:szCs w:val="21"/>
                    </w:rPr>
                  </w:pPr>
                </w:p>
              </w:tc>
              <w:tc>
                <w:tcPr>
                  <w:tcW w:w="939" w:type="pct"/>
                  <w:vAlign w:val="center"/>
                </w:tcPr>
                <w:p w14:paraId="38681A14">
                  <w:pPr>
                    <w:adjustRightInd w:val="0"/>
                    <w:snapToGrid w:val="0"/>
                    <w:jc w:val="center"/>
                    <w:rPr>
                      <w:color w:val="auto"/>
                      <w:sz w:val="21"/>
                      <w:szCs w:val="21"/>
                    </w:rPr>
                  </w:pPr>
                  <w:r>
                    <w:rPr>
                      <w:rFonts w:hint="eastAsia"/>
                      <w:color w:val="auto"/>
                      <w:sz w:val="21"/>
                      <w:szCs w:val="21"/>
                    </w:rPr>
                    <w:t>08:00-09:00</w:t>
                  </w:r>
                </w:p>
              </w:tc>
              <w:tc>
                <w:tcPr>
                  <w:tcW w:w="1110" w:type="pct"/>
                  <w:vAlign w:val="center"/>
                </w:tcPr>
                <w:p w14:paraId="0DBD9D2F">
                  <w:pPr>
                    <w:adjustRightInd w:val="0"/>
                    <w:snapToGrid w:val="0"/>
                    <w:jc w:val="center"/>
                    <w:rPr>
                      <w:color w:val="auto"/>
                      <w:sz w:val="21"/>
                      <w:szCs w:val="21"/>
                    </w:rPr>
                  </w:pPr>
                  <w:r>
                    <w:rPr>
                      <w:rFonts w:hint="eastAsia"/>
                      <w:color w:val="auto"/>
                      <w:sz w:val="21"/>
                      <w:szCs w:val="21"/>
                    </w:rPr>
                    <w:t>0.133</w:t>
                  </w:r>
                </w:p>
              </w:tc>
              <w:tc>
                <w:tcPr>
                  <w:tcW w:w="1110" w:type="pct"/>
                  <w:vAlign w:val="center"/>
                </w:tcPr>
                <w:p w14:paraId="2B513775">
                  <w:pPr>
                    <w:adjustRightInd w:val="0"/>
                    <w:snapToGrid w:val="0"/>
                    <w:jc w:val="center"/>
                    <w:rPr>
                      <w:color w:val="auto"/>
                      <w:sz w:val="21"/>
                      <w:szCs w:val="21"/>
                    </w:rPr>
                  </w:pPr>
                  <w:r>
                    <w:rPr>
                      <w:rFonts w:hint="eastAsia"/>
                      <w:color w:val="auto"/>
                      <w:sz w:val="21"/>
                      <w:szCs w:val="21"/>
                    </w:rPr>
                    <w:t>0.042</w:t>
                  </w:r>
                </w:p>
              </w:tc>
              <w:tc>
                <w:tcPr>
                  <w:tcW w:w="1110" w:type="pct"/>
                  <w:vAlign w:val="center"/>
                </w:tcPr>
                <w:p w14:paraId="00A29DFB">
                  <w:pPr>
                    <w:adjustRightInd w:val="0"/>
                    <w:snapToGrid w:val="0"/>
                    <w:jc w:val="center"/>
                    <w:rPr>
                      <w:color w:val="auto"/>
                      <w:sz w:val="21"/>
                      <w:szCs w:val="21"/>
                    </w:rPr>
                  </w:pPr>
                  <w:r>
                    <w:rPr>
                      <w:rFonts w:hint="eastAsia"/>
                      <w:color w:val="auto"/>
                      <w:sz w:val="21"/>
                      <w:szCs w:val="21"/>
                    </w:rPr>
                    <w:t>2.1</w:t>
                  </w:r>
                </w:p>
              </w:tc>
            </w:tr>
            <w:tr w14:paraId="20F20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23AA9644">
                  <w:pPr>
                    <w:adjustRightInd w:val="0"/>
                    <w:snapToGrid w:val="0"/>
                    <w:jc w:val="center"/>
                    <w:rPr>
                      <w:color w:val="auto"/>
                      <w:sz w:val="21"/>
                      <w:szCs w:val="21"/>
                      <w:highlight w:val="yellow"/>
                    </w:rPr>
                  </w:pPr>
                </w:p>
              </w:tc>
              <w:tc>
                <w:tcPr>
                  <w:tcW w:w="420" w:type="pct"/>
                  <w:vMerge w:val="continue"/>
                  <w:vAlign w:val="center"/>
                </w:tcPr>
                <w:p w14:paraId="4F3BC9EA">
                  <w:pPr>
                    <w:adjustRightInd w:val="0"/>
                    <w:snapToGrid w:val="0"/>
                    <w:jc w:val="center"/>
                    <w:rPr>
                      <w:color w:val="auto"/>
                      <w:sz w:val="21"/>
                      <w:szCs w:val="21"/>
                    </w:rPr>
                  </w:pPr>
                </w:p>
              </w:tc>
              <w:tc>
                <w:tcPr>
                  <w:tcW w:w="939" w:type="pct"/>
                  <w:vAlign w:val="center"/>
                </w:tcPr>
                <w:p w14:paraId="027078BB">
                  <w:pPr>
                    <w:adjustRightInd w:val="0"/>
                    <w:snapToGrid w:val="0"/>
                    <w:jc w:val="center"/>
                    <w:rPr>
                      <w:color w:val="auto"/>
                      <w:sz w:val="21"/>
                      <w:szCs w:val="21"/>
                    </w:rPr>
                  </w:pPr>
                  <w:r>
                    <w:rPr>
                      <w:rFonts w:hint="eastAsia"/>
                      <w:color w:val="auto"/>
                      <w:sz w:val="21"/>
                      <w:szCs w:val="21"/>
                    </w:rPr>
                    <w:t>14:00-15:00</w:t>
                  </w:r>
                </w:p>
              </w:tc>
              <w:tc>
                <w:tcPr>
                  <w:tcW w:w="1110" w:type="pct"/>
                  <w:vAlign w:val="center"/>
                </w:tcPr>
                <w:p w14:paraId="24B8F145">
                  <w:pPr>
                    <w:adjustRightInd w:val="0"/>
                    <w:snapToGrid w:val="0"/>
                    <w:jc w:val="center"/>
                    <w:rPr>
                      <w:color w:val="auto"/>
                      <w:sz w:val="21"/>
                      <w:szCs w:val="21"/>
                    </w:rPr>
                  </w:pPr>
                  <w:r>
                    <w:rPr>
                      <w:rFonts w:hint="eastAsia"/>
                      <w:color w:val="auto"/>
                      <w:sz w:val="21"/>
                      <w:szCs w:val="21"/>
                    </w:rPr>
                    <w:t>0.134</w:t>
                  </w:r>
                </w:p>
              </w:tc>
              <w:tc>
                <w:tcPr>
                  <w:tcW w:w="1110" w:type="pct"/>
                  <w:vAlign w:val="center"/>
                </w:tcPr>
                <w:p w14:paraId="264CD573">
                  <w:pPr>
                    <w:adjustRightInd w:val="0"/>
                    <w:snapToGrid w:val="0"/>
                    <w:jc w:val="center"/>
                    <w:rPr>
                      <w:color w:val="auto"/>
                      <w:sz w:val="21"/>
                      <w:szCs w:val="21"/>
                    </w:rPr>
                  </w:pPr>
                  <w:r>
                    <w:rPr>
                      <w:rFonts w:hint="eastAsia"/>
                      <w:color w:val="auto"/>
                      <w:sz w:val="21"/>
                      <w:szCs w:val="21"/>
                    </w:rPr>
                    <w:t>0.040</w:t>
                  </w:r>
                </w:p>
              </w:tc>
              <w:tc>
                <w:tcPr>
                  <w:tcW w:w="1110" w:type="pct"/>
                  <w:vAlign w:val="center"/>
                </w:tcPr>
                <w:p w14:paraId="5B850FE7">
                  <w:pPr>
                    <w:adjustRightInd w:val="0"/>
                    <w:snapToGrid w:val="0"/>
                    <w:jc w:val="center"/>
                    <w:rPr>
                      <w:color w:val="auto"/>
                      <w:sz w:val="21"/>
                      <w:szCs w:val="21"/>
                    </w:rPr>
                  </w:pPr>
                  <w:r>
                    <w:rPr>
                      <w:rFonts w:hint="eastAsia"/>
                      <w:color w:val="auto"/>
                      <w:sz w:val="21"/>
                      <w:szCs w:val="21"/>
                    </w:rPr>
                    <w:t>2.0</w:t>
                  </w:r>
                </w:p>
              </w:tc>
            </w:tr>
            <w:tr w14:paraId="7D44D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78DBA0FF">
                  <w:pPr>
                    <w:adjustRightInd w:val="0"/>
                    <w:snapToGrid w:val="0"/>
                    <w:jc w:val="center"/>
                    <w:rPr>
                      <w:color w:val="auto"/>
                      <w:sz w:val="21"/>
                      <w:szCs w:val="21"/>
                      <w:highlight w:val="yellow"/>
                    </w:rPr>
                  </w:pPr>
                </w:p>
              </w:tc>
              <w:tc>
                <w:tcPr>
                  <w:tcW w:w="420" w:type="pct"/>
                  <w:vMerge w:val="continue"/>
                  <w:vAlign w:val="center"/>
                </w:tcPr>
                <w:p w14:paraId="0ADDCC47">
                  <w:pPr>
                    <w:adjustRightInd w:val="0"/>
                    <w:snapToGrid w:val="0"/>
                    <w:jc w:val="center"/>
                    <w:rPr>
                      <w:color w:val="auto"/>
                      <w:sz w:val="21"/>
                      <w:szCs w:val="21"/>
                    </w:rPr>
                  </w:pPr>
                </w:p>
              </w:tc>
              <w:tc>
                <w:tcPr>
                  <w:tcW w:w="939" w:type="pct"/>
                  <w:vAlign w:val="center"/>
                </w:tcPr>
                <w:p w14:paraId="45152270">
                  <w:pPr>
                    <w:adjustRightInd w:val="0"/>
                    <w:snapToGrid w:val="0"/>
                    <w:jc w:val="center"/>
                    <w:rPr>
                      <w:color w:val="auto"/>
                      <w:sz w:val="21"/>
                      <w:szCs w:val="21"/>
                    </w:rPr>
                  </w:pPr>
                  <w:r>
                    <w:rPr>
                      <w:rFonts w:hint="eastAsia"/>
                      <w:color w:val="auto"/>
                      <w:sz w:val="21"/>
                      <w:szCs w:val="21"/>
                    </w:rPr>
                    <w:t>20:00-21:00</w:t>
                  </w:r>
                </w:p>
              </w:tc>
              <w:tc>
                <w:tcPr>
                  <w:tcW w:w="1110" w:type="pct"/>
                  <w:vAlign w:val="center"/>
                </w:tcPr>
                <w:p w14:paraId="6A9DE615">
                  <w:pPr>
                    <w:adjustRightInd w:val="0"/>
                    <w:snapToGrid w:val="0"/>
                    <w:jc w:val="center"/>
                    <w:rPr>
                      <w:color w:val="auto"/>
                      <w:sz w:val="21"/>
                      <w:szCs w:val="21"/>
                    </w:rPr>
                  </w:pPr>
                  <w:r>
                    <w:rPr>
                      <w:rFonts w:hint="eastAsia"/>
                      <w:color w:val="auto"/>
                      <w:sz w:val="21"/>
                      <w:szCs w:val="21"/>
                    </w:rPr>
                    <w:t>0.134</w:t>
                  </w:r>
                </w:p>
              </w:tc>
              <w:tc>
                <w:tcPr>
                  <w:tcW w:w="1110" w:type="pct"/>
                  <w:vAlign w:val="center"/>
                </w:tcPr>
                <w:p w14:paraId="2AAD454B">
                  <w:pPr>
                    <w:adjustRightInd w:val="0"/>
                    <w:snapToGrid w:val="0"/>
                    <w:jc w:val="center"/>
                    <w:rPr>
                      <w:color w:val="auto"/>
                      <w:sz w:val="21"/>
                      <w:szCs w:val="21"/>
                    </w:rPr>
                  </w:pPr>
                  <w:r>
                    <w:rPr>
                      <w:rFonts w:hint="eastAsia"/>
                      <w:color w:val="auto"/>
                      <w:sz w:val="21"/>
                      <w:szCs w:val="21"/>
                    </w:rPr>
                    <w:t>0.042</w:t>
                  </w:r>
                </w:p>
              </w:tc>
              <w:tc>
                <w:tcPr>
                  <w:tcW w:w="1110" w:type="pct"/>
                  <w:vAlign w:val="center"/>
                </w:tcPr>
                <w:p w14:paraId="60EC5DA9">
                  <w:pPr>
                    <w:adjustRightInd w:val="0"/>
                    <w:snapToGrid w:val="0"/>
                    <w:jc w:val="center"/>
                    <w:rPr>
                      <w:color w:val="auto"/>
                      <w:sz w:val="21"/>
                      <w:szCs w:val="21"/>
                    </w:rPr>
                  </w:pPr>
                  <w:r>
                    <w:rPr>
                      <w:rFonts w:hint="eastAsia"/>
                      <w:color w:val="auto"/>
                      <w:sz w:val="21"/>
                      <w:szCs w:val="21"/>
                    </w:rPr>
                    <w:t>2.2</w:t>
                  </w:r>
                </w:p>
              </w:tc>
            </w:tr>
            <w:tr w14:paraId="7FB0F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2F2F6B0A">
                  <w:pPr>
                    <w:adjustRightInd w:val="0"/>
                    <w:snapToGrid w:val="0"/>
                    <w:jc w:val="center"/>
                    <w:rPr>
                      <w:color w:val="auto"/>
                      <w:sz w:val="21"/>
                      <w:szCs w:val="21"/>
                      <w:highlight w:val="yellow"/>
                    </w:rPr>
                  </w:pPr>
                </w:p>
              </w:tc>
              <w:tc>
                <w:tcPr>
                  <w:tcW w:w="1360" w:type="pct"/>
                  <w:gridSpan w:val="2"/>
                  <w:vAlign w:val="center"/>
                </w:tcPr>
                <w:p w14:paraId="1837419E">
                  <w:pPr>
                    <w:adjustRightInd w:val="0"/>
                    <w:snapToGrid w:val="0"/>
                    <w:jc w:val="center"/>
                    <w:rPr>
                      <w:b/>
                      <w:bCs/>
                      <w:color w:val="auto"/>
                      <w:sz w:val="21"/>
                      <w:szCs w:val="21"/>
                    </w:rPr>
                  </w:pPr>
                  <w:r>
                    <w:rPr>
                      <w:rFonts w:hint="eastAsia"/>
                      <w:b/>
                      <w:bCs/>
                      <w:color w:val="auto"/>
                      <w:sz w:val="21"/>
                      <w:szCs w:val="21"/>
                    </w:rPr>
                    <w:t>标准值</w:t>
                  </w:r>
                </w:p>
              </w:tc>
              <w:tc>
                <w:tcPr>
                  <w:tcW w:w="1110" w:type="pct"/>
                  <w:vAlign w:val="center"/>
                </w:tcPr>
                <w:p w14:paraId="5E2032CC">
                  <w:pPr>
                    <w:adjustRightInd w:val="0"/>
                    <w:snapToGrid w:val="0"/>
                    <w:jc w:val="center"/>
                    <w:rPr>
                      <w:b/>
                      <w:bCs/>
                      <w:color w:val="auto"/>
                      <w:sz w:val="21"/>
                      <w:szCs w:val="21"/>
                    </w:rPr>
                  </w:pPr>
                  <w:r>
                    <w:rPr>
                      <w:rFonts w:hint="eastAsia"/>
                      <w:b/>
                      <w:bCs/>
                      <w:color w:val="auto"/>
                      <w:sz w:val="21"/>
                      <w:szCs w:val="21"/>
                    </w:rPr>
                    <w:t>/</w:t>
                  </w:r>
                </w:p>
              </w:tc>
              <w:tc>
                <w:tcPr>
                  <w:tcW w:w="1110" w:type="pct"/>
                  <w:vAlign w:val="center"/>
                </w:tcPr>
                <w:p w14:paraId="3A805E4A">
                  <w:pPr>
                    <w:adjustRightInd w:val="0"/>
                    <w:snapToGrid w:val="0"/>
                    <w:jc w:val="center"/>
                    <w:rPr>
                      <w:b/>
                      <w:bCs/>
                      <w:color w:val="auto"/>
                      <w:sz w:val="21"/>
                      <w:szCs w:val="21"/>
                    </w:rPr>
                  </w:pPr>
                  <w:r>
                    <w:rPr>
                      <w:rFonts w:hint="eastAsia"/>
                      <w:b/>
                      <w:bCs/>
                      <w:color w:val="auto"/>
                      <w:sz w:val="21"/>
                      <w:szCs w:val="21"/>
                    </w:rPr>
                    <w:t>0.5</w:t>
                  </w:r>
                </w:p>
              </w:tc>
              <w:tc>
                <w:tcPr>
                  <w:tcW w:w="1110" w:type="pct"/>
                  <w:vAlign w:val="center"/>
                </w:tcPr>
                <w:p w14:paraId="092DE343">
                  <w:pPr>
                    <w:adjustRightInd w:val="0"/>
                    <w:snapToGrid w:val="0"/>
                    <w:jc w:val="center"/>
                    <w:rPr>
                      <w:b/>
                      <w:bCs/>
                      <w:color w:val="auto"/>
                      <w:sz w:val="21"/>
                      <w:szCs w:val="21"/>
                    </w:rPr>
                  </w:pPr>
                  <w:r>
                    <w:rPr>
                      <w:rFonts w:hint="eastAsia"/>
                      <w:b/>
                      <w:bCs/>
                      <w:color w:val="auto"/>
                      <w:sz w:val="21"/>
                      <w:szCs w:val="21"/>
                    </w:rPr>
                    <w:t>20</w:t>
                  </w:r>
                </w:p>
              </w:tc>
            </w:tr>
            <w:tr w14:paraId="486EE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2D67DA18">
                  <w:pPr>
                    <w:adjustRightInd w:val="0"/>
                    <w:snapToGrid w:val="0"/>
                    <w:jc w:val="center"/>
                    <w:rPr>
                      <w:color w:val="auto"/>
                    </w:rPr>
                  </w:pPr>
                </w:p>
              </w:tc>
              <w:tc>
                <w:tcPr>
                  <w:tcW w:w="1360" w:type="pct"/>
                  <w:gridSpan w:val="2"/>
                  <w:vAlign w:val="center"/>
                </w:tcPr>
                <w:p w14:paraId="6990F754">
                  <w:pPr>
                    <w:adjustRightInd w:val="0"/>
                    <w:snapToGrid w:val="0"/>
                    <w:jc w:val="center"/>
                    <w:rPr>
                      <w:b/>
                      <w:bCs/>
                      <w:color w:val="auto"/>
                      <w:sz w:val="21"/>
                      <w:szCs w:val="21"/>
                    </w:rPr>
                  </w:pPr>
                  <w:r>
                    <w:rPr>
                      <w:rFonts w:hint="eastAsia"/>
                      <w:b/>
                      <w:bCs/>
                      <w:color w:val="auto"/>
                      <w:sz w:val="21"/>
                      <w:szCs w:val="21"/>
                    </w:rPr>
                    <w:t>最大浓度占标率%</w:t>
                  </w:r>
                </w:p>
              </w:tc>
              <w:tc>
                <w:tcPr>
                  <w:tcW w:w="1110" w:type="pct"/>
                  <w:vAlign w:val="center"/>
                </w:tcPr>
                <w:p w14:paraId="2199F300">
                  <w:pPr>
                    <w:adjustRightInd w:val="0"/>
                    <w:snapToGrid w:val="0"/>
                    <w:jc w:val="center"/>
                    <w:rPr>
                      <w:b/>
                      <w:bCs/>
                      <w:color w:val="auto"/>
                      <w:sz w:val="21"/>
                      <w:szCs w:val="21"/>
                    </w:rPr>
                  </w:pPr>
                  <w:r>
                    <w:rPr>
                      <w:rFonts w:hint="eastAsia"/>
                      <w:b/>
                      <w:bCs/>
                      <w:color w:val="auto"/>
                      <w:sz w:val="21"/>
                      <w:szCs w:val="21"/>
                    </w:rPr>
                    <w:t>/</w:t>
                  </w:r>
                </w:p>
              </w:tc>
              <w:tc>
                <w:tcPr>
                  <w:tcW w:w="1110" w:type="pct"/>
                  <w:vAlign w:val="center"/>
                </w:tcPr>
                <w:p w14:paraId="5DBAF3AB">
                  <w:pPr>
                    <w:adjustRightInd w:val="0"/>
                    <w:snapToGrid w:val="0"/>
                    <w:jc w:val="center"/>
                    <w:rPr>
                      <w:b/>
                      <w:bCs/>
                      <w:color w:val="auto"/>
                      <w:sz w:val="21"/>
                      <w:szCs w:val="21"/>
                    </w:rPr>
                  </w:pPr>
                  <w:r>
                    <w:rPr>
                      <w:rFonts w:hint="eastAsia"/>
                      <w:b/>
                      <w:bCs/>
                      <w:color w:val="auto"/>
                      <w:sz w:val="21"/>
                      <w:szCs w:val="21"/>
                    </w:rPr>
                    <w:t>13</w:t>
                  </w:r>
                </w:p>
              </w:tc>
              <w:tc>
                <w:tcPr>
                  <w:tcW w:w="1110" w:type="pct"/>
                  <w:vAlign w:val="center"/>
                </w:tcPr>
                <w:p w14:paraId="560B46C4">
                  <w:pPr>
                    <w:adjustRightInd w:val="0"/>
                    <w:snapToGrid w:val="0"/>
                    <w:jc w:val="center"/>
                    <w:rPr>
                      <w:b/>
                      <w:bCs/>
                      <w:color w:val="auto"/>
                      <w:sz w:val="21"/>
                      <w:szCs w:val="21"/>
                    </w:rPr>
                  </w:pPr>
                  <w:r>
                    <w:rPr>
                      <w:rFonts w:hint="eastAsia"/>
                      <w:b/>
                      <w:bCs/>
                      <w:color w:val="auto"/>
                      <w:sz w:val="21"/>
                      <w:szCs w:val="21"/>
                    </w:rPr>
                    <w:t>11.5</w:t>
                  </w:r>
                </w:p>
              </w:tc>
            </w:tr>
            <w:tr w14:paraId="56047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472FCA6B">
                  <w:pPr>
                    <w:adjustRightInd w:val="0"/>
                    <w:snapToGrid w:val="0"/>
                    <w:jc w:val="center"/>
                    <w:rPr>
                      <w:b/>
                      <w:bCs/>
                      <w:color w:val="auto"/>
                      <w:sz w:val="21"/>
                      <w:szCs w:val="21"/>
                    </w:rPr>
                  </w:pPr>
                </w:p>
              </w:tc>
              <w:tc>
                <w:tcPr>
                  <w:tcW w:w="1360" w:type="pct"/>
                  <w:gridSpan w:val="2"/>
                  <w:vAlign w:val="center"/>
                </w:tcPr>
                <w:p w14:paraId="55DB13C6">
                  <w:pPr>
                    <w:adjustRightInd w:val="0"/>
                    <w:snapToGrid w:val="0"/>
                    <w:jc w:val="center"/>
                    <w:rPr>
                      <w:b/>
                      <w:bCs/>
                      <w:color w:val="auto"/>
                      <w:sz w:val="21"/>
                      <w:szCs w:val="21"/>
                    </w:rPr>
                  </w:pPr>
                  <w:r>
                    <w:rPr>
                      <w:rFonts w:hint="eastAsia"/>
                      <w:b/>
                      <w:bCs/>
                      <w:color w:val="auto"/>
                      <w:sz w:val="21"/>
                      <w:szCs w:val="21"/>
                    </w:rPr>
                    <w:t>超标频率%</w:t>
                  </w:r>
                </w:p>
              </w:tc>
              <w:tc>
                <w:tcPr>
                  <w:tcW w:w="1110" w:type="pct"/>
                  <w:vAlign w:val="center"/>
                </w:tcPr>
                <w:p w14:paraId="35AB36D9">
                  <w:pPr>
                    <w:adjustRightInd w:val="0"/>
                    <w:snapToGrid w:val="0"/>
                    <w:jc w:val="center"/>
                    <w:rPr>
                      <w:b/>
                      <w:bCs/>
                      <w:color w:val="auto"/>
                      <w:sz w:val="21"/>
                      <w:szCs w:val="21"/>
                    </w:rPr>
                  </w:pPr>
                  <w:r>
                    <w:rPr>
                      <w:rFonts w:hint="eastAsia"/>
                      <w:b/>
                      <w:bCs/>
                      <w:color w:val="auto"/>
                      <w:sz w:val="21"/>
                      <w:szCs w:val="21"/>
                    </w:rPr>
                    <w:t>/</w:t>
                  </w:r>
                </w:p>
              </w:tc>
              <w:tc>
                <w:tcPr>
                  <w:tcW w:w="1110" w:type="pct"/>
                  <w:vAlign w:val="center"/>
                </w:tcPr>
                <w:p w14:paraId="380361A3">
                  <w:pPr>
                    <w:adjustRightInd w:val="0"/>
                    <w:snapToGrid w:val="0"/>
                    <w:jc w:val="center"/>
                    <w:rPr>
                      <w:b/>
                      <w:bCs/>
                      <w:color w:val="auto"/>
                      <w:sz w:val="21"/>
                      <w:szCs w:val="21"/>
                    </w:rPr>
                  </w:pPr>
                  <w:r>
                    <w:rPr>
                      <w:rFonts w:hint="eastAsia"/>
                      <w:b/>
                      <w:bCs/>
                      <w:color w:val="auto"/>
                      <w:sz w:val="21"/>
                      <w:szCs w:val="21"/>
                    </w:rPr>
                    <w:t>0</w:t>
                  </w:r>
                </w:p>
              </w:tc>
              <w:tc>
                <w:tcPr>
                  <w:tcW w:w="1110" w:type="pct"/>
                  <w:vAlign w:val="center"/>
                </w:tcPr>
                <w:p w14:paraId="52D05A3D">
                  <w:pPr>
                    <w:adjustRightInd w:val="0"/>
                    <w:snapToGrid w:val="0"/>
                    <w:jc w:val="center"/>
                    <w:rPr>
                      <w:b/>
                      <w:bCs/>
                      <w:color w:val="auto"/>
                      <w:sz w:val="21"/>
                      <w:szCs w:val="21"/>
                    </w:rPr>
                  </w:pPr>
                  <w:r>
                    <w:rPr>
                      <w:rFonts w:hint="eastAsia"/>
                      <w:b/>
                      <w:bCs/>
                      <w:color w:val="auto"/>
                      <w:sz w:val="21"/>
                      <w:szCs w:val="21"/>
                    </w:rPr>
                    <w:t>0</w:t>
                  </w:r>
                </w:p>
              </w:tc>
            </w:tr>
            <w:tr w14:paraId="7971F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06790896">
                  <w:pPr>
                    <w:adjustRightInd w:val="0"/>
                    <w:snapToGrid w:val="0"/>
                    <w:jc w:val="center"/>
                    <w:rPr>
                      <w:color w:val="auto"/>
                      <w:sz w:val="21"/>
                      <w:szCs w:val="21"/>
                      <w:highlight w:val="yellow"/>
                    </w:rPr>
                  </w:pPr>
                </w:p>
              </w:tc>
              <w:tc>
                <w:tcPr>
                  <w:tcW w:w="1360" w:type="pct"/>
                  <w:gridSpan w:val="2"/>
                  <w:vAlign w:val="center"/>
                </w:tcPr>
                <w:p w14:paraId="46F11F35">
                  <w:pPr>
                    <w:adjustRightInd w:val="0"/>
                    <w:snapToGrid w:val="0"/>
                    <w:jc w:val="center"/>
                    <w:rPr>
                      <w:b/>
                      <w:bCs/>
                      <w:color w:val="auto"/>
                      <w:sz w:val="21"/>
                      <w:szCs w:val="21"/>
                    </w:rPr>
                  </w:pPr>
                  <w:r>
                    <w:rPr>
                      <w:rFonts w:hint="eastAsia"/>
                      <w:b/>
                      <w:bCs/>
                      <w:color w:val="auto"/>
                      <w:sz w:val="21"/>
                      <w:szCs w:val="21"/>
                    </w:rPr>
                    <w:t>评价结果</w:t>
                  </w:r>
                </w:p>
              </w:tc>
              <w:tc>
                <w:tcPr>
                  <w:tcW w:w="1110" w:type="pct"/>
                  <w:vAlign w:val="center"/>
                </w:tcPr>
                <w:p w14:paraId="075AE5C5">
                  <w:pPr>
                    <w:adjustRightInd w:val="0"/>
                    <w:snapToGrid w:val="0"/>
                    <w:jc w:val="center"/>
                    <w:rPr>
                      <w:b/>
                      <w:bCs/>
                      <w:color w:val="auto"/>
                      <w:sz w:val="21"/>
                      <w:szCs w:val="21"/>
                    </w:rPr>
                  </w:pPr>
                  <w:r>
                    <w:rPr>
                      <w:rFonts w:hint="eastAsia"/>
                      <w:b/>
                      <w:bCs/>
                      <w:color w:val="auto"/>
                      <w:sz w:val="21"/>
                      <w:szCs w:val="21"/>
                    </w:rPr>
                    <w:t>/</w:t>
                  </w:r>
                </w:p>
              </w:tc>
              <w:tc>
                <w:tcPr>
                  <w:tcW w:w="1110" w:type="pct"/>
                  <w:vAlign w:val="center"/>
                </w:tcPr>
                <w:p w14:paraId="2BA4C092">
                  <w:pPr>
                    <w:adjustRightInd w:val="0"/>
                    <w:snapToGrid w:val="0"/>
                    <w:jc w:val="center"/>
                    <w:rPr>
                      <w:b/>
                      <w:bCs/>
                      <w:color w:val="auto"/>
                      <w:sz w:val="21"/>
                      <w:szCs w:val="21"/>
                    </w:rPr>
                  </w:pPr>
                  <w:r>
                    <w:rPr>
                      <w:rFonts w:hint="eastAsia"/>
                      <w:b/>
                      <w:bCs/>
                      <w:color w:val="auto"/>
                      <w:sz w:val="21"/>
                      <w:szCs w:val="21"/>
                    </w:rPr>
                    <w:t>达标</w:t>
                  </w:r>
                </w:p>
              </w:tc>
              <w:tc>
                <w:tcPr>
                  <w:tcW w:w="1110" w:type="pct"/>
                  <w:vAlign w:val="center"/>
                </w:tcPr>
                <w:p w14:paraId="31ADF536">
                  <w:pPr>
                    <w:adjustRightInd w:val="0"/>
                    <w:snapToGrid w:val="0"/>
                    <w:jc w:val="center"/>
                    <w:rPr>
                      <w:b/>
                      <w:bCs/>
                      <w:color w:val="auto"/>
                      <w:sz w:val="21"/>
                      <w:szCs w:val="21"/>
                    </w:rPr>
                  </w:pPr>
                  <w:r>
                    <w:rPr>
                      <w:rFonts w:hint="eastAsia"/>
                      <w:b/>
                      <w:bCs/>
                      <w:color w:val="auto"/>
                      <w:sz w:val="21"/>
                      <w:szCs w:val="21"/>
                    </w:rPr>
                    <w:t>达标</w:t>
                  </w:r>
                </w:p>
              </w:tc>
            </w:tr>
            <w:tr w14:paraId="1D1BF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restart"/>
                  <w:vAlign w:val="center"/>
                </w:tcPr>
                <w:p w14:paraId="76133F6E">
                  <w:pPr>
                    <w:adjustRightInd w:val="0"/>
                    <w:snapToGrid w:val="0"/>
                    <w:jc w:val="center"/>
                    <w:rPr>
                      <w:color w:val="auto"/>
                      <w:sz w:val="21"/>
                      <w:szCs w:val="21"/>
                      <w:highlight w:val="yellow"/>
                    </w:rPr>
                  </w:pPr>
                  <w:r>
                    <w:rPr>
                      <w:rFonts w:hint="eastAsia"/>
                      <w:color w:val="auto"/>
                      <w:sz w:val="21"/>
                      <w:szCs w:val="21"/>
                    </w:rPr>
                    <w:t>陡坡湾</w:t>
                  </w:r>
                </w:p>
              </w:tc>
              <w:tc>
                <w:tcPr>
                  <w:tcW w:w="420" w:type="pct"/>
                  <w:vMerge w:val="restart"/>
                  <w:vAlign w:val="center"/>
                </w:tcPr>
                <w:p w14:paraId="1C91EDEA">
                  <w:pPr>
                    <w:adjustRightInd w:val="0"/>
                    <w:snapToGrid w:val="0"/>
                    <w:jc w:val="center"/>
                    <w:rPr>
                      <w:color w:val="auto"/>
                      <w:sz w:val="21"/>
                      <w:szCs w:val="21"/>
                    </w:rPr>
                  </w:pPr>
                  <w:r>
                    <w:rPr>
                      <w:rFonts w:hint="eastAsia"/>
                      <w:color w:val="auto"/>
                      <w:sz w:val="21"/>
                      <w:szCs w:val="21"/>
                    </w:rPr>
                    <w:t>2023.05.23</w:t>
                  </w:r>
                </w:p>
              </w:tc>
              <w:tc>
                <w:tcPr>
                  <w:tcW w:w="939" w:type="pct"/>
                  <w:vAlign w:val="center"/>
                </w:tcPr>
                <w:p w14:paraId="01A2CA38">
                  <w:pPr>
                    <w:adjustRightInd w:val="0"/>
                    <w:snapToGrid w:val="0"/>
                    <w:jc w:val="center"/>
                    <w:rPr>
                      <w:color w:val="auto"/>
                      <w:sz w:val="21"/>
                      <w:szCs w:val="21"/>
                    </w:rPr>
                  </w:pPr>
                  <w:r>
                    <w:rPr>
                      <w:rFonts w:hint="eastAsia"/>
                      <w:color w:val="auto"/>
                      <w:sz w:val="21"/>
                      <w:szCs w:val="21"/>
                    </w:rPr>
                    <w:t>02:00-03:00</w:t>
                  </w:r>
                </w:p>
              </w:tc>
              <w:tc>
                <w:tcPr>
                  <w:tcW w:w="1110" w:type="pct"/>
                  <w:vAlign w:val="center"/>
                </w:tcPr>
                <w:p w14:paraId="471CE861">
                  <w:pPr>
                    <w:adjustRightInd w:val="0"/>
                    <w:snapToGrid w:val="0"/>
                    <w:jc w:val="center"/>
                    <w:rPr>
                      <w:color w:val="auto"/>
                      <w:sz w:val="21"/>
                      <w:szCs w:val="21"/>
                    </w:rPr>
                  </w:pPr>
                  <w:r>
                    <w:rPr>
                      <w:rFonts w:hint="eastAsia"/>
                      <w:color w:val="auto"/>
                      <w:sz w:val="21"/>
                      <w:szCs w:val="21"/>
                    </w:rPr>
                    <w:t>0.150</w:t>
                  </w:r>
                </w:p>
              </w:tc>
              <w:tc>
                <w:tcPr>
                  <w:tcW w:w="1110" w:type="pct"/>
                  <w:vAlign w:val="center"/>
                </w:tcPr>
                <w:p w14:paraId="0C245039">
                  <w:pPr>
                    <w:adjustRightInd w:val="0"/>
                    <w:snapToGrid w:val="0"/>
                    <w:jc w:val="center"/>
                    <w:rPr>
                      <w:color w:val="auto"/>
                      <w:sz w:val="21"/>
                      <w:szCs w:val="21"/>
                    </w:rPr>
                  </w:pPr>
                  <w:r>
                    <w:rPr>
                      <w:rFonts w:hint="eastAsia"/>
                      <w:color w:val="auto"/>
                      <w:sz w:val="21"/>
                      <w:szCs w:val="21"/>
                    </w:rPr>
                    <w:t>0.061</w:t>
                  </w:r>
                </w:p>
              </w:tc>
              <w:tc>
                <w:tcPr>
                  <w:tcW w:w="1110" w:type="pct"/>
                  <w:vAlign w:val="center"/>
                </w:tcPr>
                <w:p w14:paraId="32E65273">
                  <w:pPr>
                    <w:adjustRightInd w:val="0"/>
                    <w:snapToGrid w:val="0"/>
                    <w:jc w:val="center"/>
                    <w:rPr>
                      <w:color w:val="auto"/>
                      <w:sz w:val="21"/>
                      <w:szCs w:val="21"/>
                    </w:rPr>
                  </w:pPr>
                  <w:r>
                    <w:rPr>
                      <w:rFonts w:hint="eastAsia"/>
                      <w:color w:val="auto"/>
                      <w:sz w:val="21"/>
                      <w:szCs w:val="21"/>
                    </w:rPr>
                    <w:t>2.2</w:t>
                  </w:r>
                </w:p>
              </w:tc>
            </w:tr>
            <w:tr w14:paraId="15E0A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7C946C61">
                  <w:pPr>
                    <w:adjustRightInd w:val="0"/>
                    <w:snapToGrid w:val="0"/>
                    <w:jc w:val="center"/>
                    <w:rPr>
                      <w:color w:val="auto"/>
                      <w:sz w:val="21"/>
                      <w:szCs w:val="21"/>
                      <w:highlight w:val="yellow"/>
                    </w:rPr>
                  </w:pPr>
                </w:p>
              </w:tc>
              <w:tc>
                <w:tcPr>
                  <w:tcW w:w="420" w:type="pct"/>
                  <w:vMerge w:val="continue"/>
                  <w:vAlign w:val="center"/>
                </w:tcPr>
                <w:p w14:paraId="50A680EE">
                  <w:pPr>
                    <w:adjustRightInd w:val="0"/>
                    <w:snapToGrid w:val="0"/>
                    <w:jc w:val="center"/>
                    <w:rPr>
                      <w:color w:val="auto"/>
                      <w:sz w:val="21"/>
                      <w:szCs w:val="21"/>
                    </w:rPr>
                  </w:pPr>
                </w:p>
              </w:tc>
              <w:tc>
                <w:tcPr>
                  <w:tcW w:w="939" w:type="pct"/>
                  <w:vAlign w:val="center"/>
                </w:tcPr>
                <w:p w14:paraId="7CC3E145">
                  <w:pPr>
                    <w:adjustRightInd w:val="0"/>
                    <w:snapToGrid w:val="0"/>
                    <w:jc w:val="center"/>
                    <w:rPr>
                      <w:color w:val="auto"/>
                      <w:sz w:val="21"/>
                      <w:szCs w:val="21"/>
                    </w:rPr>
                  </w:pPr>
                  <w:r>
                    <w:rPr>
                      <w:rFonts w:hint="eastAsia"/>
                      <w:color w:val="auto"/>
                      <w:sz w:val="21"/>
                      <w:szCs w:val="21"/>
                    </w:rPr>
                    <w:t>08:00-09:00</w:t>
                  </w:r>
                </w:p>
              </w:tc>
              <w:tc>
                <w:tcPr>
                  <w:tcW w:w="1110" w:type="pct"/>
                  <w:vAlign w:val="center"/>
                </w:tcPr>
                <w:p w14:paraId="0BC88BFD">
                  <w:pPr>
                    <w:adjustRightInd w:val="0"/>
                    <w:snapToGrid w:val="0"/>
                    <w:jc w:val="center"/>
                    <w:rPr>
                      <w:color w:val="auto"/>
                      <w:sz w:val="21"/>
                      <w:szCs w:val="21"/>
                    </w:rPr>
                  </w:pPr>
                  <w:r>
                    <w:rPr>
                      <w:rFonts w:hint="eastAsia"/>
                      <w:color w:val="auto"/>
                      <w:sz w:val="21"/>
                      <w:szCs w:val="21"/>
                    </w:rPr>
                    <w:t>0.134</w:t>
                  </w:r>
                </w:p>
              </w:tc>
              <w:tc>
                <w:tcPr>
                  <w:tcW w:w="1110" w:type="pct"/>
                  <w:vAlign w:val="center"/>
                </w:tcPr>
                <w:p w14:paraId="5EC6FB51">
                  <w:pPr>
                    <w:adjustRightInd w:val="0"/>
                    <w:snapToGrid w:val="0"/>
                    <w:jc w:val="center"/>
                    <w:rPr>
                      <w:color w:val="auto"/>
                      <w:sz w:val="21"/>
                      <w:szCs w:val="21"/>
                    </w:rPr>
                  </w:pPr>
                  <w:r>
                    <w:rPr>
                      <w:rFonts w:hint="eastAsia"/>
                      <w:color w:val="auto"/>
                      <w:sz w:val="21"/>
                      <w:szCs w:val="21"/>
                    </w:rPr>
                    <w:t>0.057</w:t>
                  </w:r>
                </w:p>
              </w:tc>
              <w:tc>
                <w:tcPr>
                  <w:tcW w:w="1110" w:type="pct"/>
                  <w:vAlign w:val="center"/>
                </w:tcPr>
                <w:p w14:paraId="0543562A">
                  <w:pPr>
                    <w:adjustRightInd w:val="0"/>
                    <w:snapToGrid w:val="0"/>
                    <w:jc w:val="center"/>
                    <w:rPr>
                      <w:color w:val="auto"/>
                      <w:sz w:val="21"/>
                      <w:szCs w:val="21"/>
                    </w:rPr>
                  </w:pPr>
                  <w:r>
                    <w:rPr>
                      <w:rFonts w:hint="eastAsia"/>
                      <w:color w:val="auto"/>
                      <w:sz w:val="21"/>
                      <w:szCs w:val="21"/>
                    </w:rPr>
                    <w:t>2.3</w:t>
                  </w:r>
                </w:p>
              </w:tc>
            </w:tr>
            <w:tr w14:paraId="329CB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208BA8BE">
                  <w:pPr>
                    <w:adjustRightInd w:val="0"/>
                    <w:snapToGrid w:val="0"/>
                    <w:jc w:val="center"/>
                    <w:rPr>
                      <w:color w:val="auto"/>
                      <w:sz w:val="21"/>
                      <w:szCs w:val="21"/>
                      <w:highlight w:val="yellow"/>
                    </w:rPr>
                  </w:pPr>
                </w:p>
              </w:tc>
              <w:tc>
                <w:tcPr>
                  <w:tcW w:w="420" w:type="pct"/>
                  <w:vMerge w:val="continue"/>
                  <w:vAlign w:val="center"/>
                </w:tcPr>
                <w:p w14:paraId="4F4E502E">
                  <w:pPr>
                    <w:adjustRightInd w:val="0"/>
                    <w:snapToGrid w:val="0"/>
                    <w:jc w:val="center"/>
                    <w:rPr>
                      <w:color w:val="auto"/>
                      <w:sz w:val="21"/>
                      <w:szCs w:val="21"/>
                    </w:rPr>
                  </w:pPr>
                </w:p>
              </w:tc>
              <w:tc>
                <w:tcPr>
                  <w:tcW w:w="939" w:type="pct"/>
                  <w:vAlign w:val="center"/>
                </w:tcPr>
                <w:p w14:paraId="6C76D348">
                  <w:pPr>
                    <w:adjustRightInd w:val="0"/>
                    <w:snapToGrid w:val="0"/>
                    <w:jc w:val="center"/>
                    <w:rPr>
                      <w:color w:val="auto"/>
                      <w:sz w:val="21"/>
                      <w:szCs w:val="21"/>
                    </w:rPr>
                  </w:pPr>
                  <w:r>
                    <w:rPr>
                      <w:rFonts w:hint="eastAsia"/>
                      <w:color w:val="auto"/>
                      <w:sz w:val="21"/>
                      <w:szCs w:val="21"/>
                    </w:rPr>
                    <w:t>14:00-15:00</w:t>
                  </w:r>
                </w:p>
              </w:tc>
              <w:tc>
                <w:tcPr>
                  <w:tcW w:w="1110" w:type="pct"/>
                  <w:vAlign w:val="center"/>
                </w:tcPr>
                <w:p w14:paraId="0AEF5F77">
                  <w:pPr>
                    <w:adjustRightInd w:val="0"/>
                    <w:snapToGrid w:val="0"/>
                    <w:jc w:val="center"/>
                    <w:rPr>
                      <w:color w:val="auto"/>
                      <w:sz w:val="21"/>
                      <w:szCs w:val="21"/>
                    </w:rPr>
                  </w:pPr>
                  <w:r>
                    <w:rPr>
                      <w:rFonts w:hint="eastAsia"/>
                      <w:color w:val="auto"/>
                      <w:sz w:val="21"/>
                      <w:szCs w:val="21"/>
                    </w:rPr>
                    <w:t>0.167</w:t>
                  </w:r>
                </w:p>
              </w:tc>
              <w:tc>
                <w:tcPr>
                  <w:tcW w:w="1110" w:type="pct"/>
                  <w:vAlign w:val="center"/>
                </w:tcPr>
                <w:p w14:paraId="2526FC8A">
                  <w:pPr>
                    <w:adjustRightInd w:val="0"/>
                    <w:snapToGrid w:val="0"/>
                    <w:jc w:val="center"/>
                    <w:rPr>
                      <w:color w:val="auto"/>
                      <w:sz w:val="21"/>
                      <w:szCs w:val="21"/>
                    </w:rPr>
                  </w:pPr>
                  <w:r>
                    <w:rPr>
                      <w:rFonts w:hint="eastAsia"/>
                      <w:color w:val="auto"/>
                      <w:sz w:val="21"/>
                      <w:szCs w:val="21"/>
                    </w:rPr>
                    <w:t>0.061</w:t>
                  </w:r>
                </w:p>
              </w:tc>
              <w:tc>
                <w:tcPr>
                  <w:tcW w:w="1110" w:type="pct"/>
                  <w:vAlign w:val="center"/>
                </w:tcPr>
                <w:p w14:paraId="56695E62">
                  <w:pPr>
                    <w:adjustRightInd w:val="0"/>
                    <w:snapToGrid w:val="0"/>
                    <w:jc w:val="center"/>
                    <w:rPr>
                      <w:color w:val="auto"/>
                      <w:sz w:val="21"/>
                      <w:szCs w:val="21"/>
                    </w:rPr>
                  </w:pPr>
                  <w:r>
                    <w:rPr>
                      <w:rFonts w:hint="eastAsia"/>
                      <w:color w:val="auto"/>
                      <w:sz w:val="21"/>
                      <w:szCs w:val="21"/>
                    </w:rPr>
                    <w:t>2.2</w:t>
                  </w:r>
                </w:p>
              </w:tc>
            </w:tr>
            <w:tr w14:paraId="5A5AF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5AEB7010">
                  <w:pPr>
                    <w:adjustRightInd w:val="0"/>
                    <w:snapToGrid w:val="0"/>
                    <w:jc w:val="center"/>
                    <w:rPr>
                      <w:color w:val="auto"/>
                      <w:sz w:val="21"/>
                      <w:szCs w:val="21"/>
                      <w:highlight w:val="yellow"/>
                    </w:rPr>
                  </w:pPr>
                </w:p>
              </w:tc>
              <w:tc>
                <w:tcPr>
                  <w:tcW w:w="420" w:type="pct"/>
                  <w:vMerge w:val="continue"/>
                  <w:vAlign w:val="center"/>
                </w:tcPr>
                <w:p w14:paraId="7E69F786">
                  <w:pPr>
                    <w:adjustRightInd w:val="0"/>
                    <w:snapToGrid w:val="0"/>
                    <w:jc w:val="center"/>
                    <w:rPr>
                      <w:color w:val="auto"/>
                      <w:sz w:val="21"/>
                      <w:szCs w:val="21"/>
                    </w:rPr>
                  </w:pPr>
                </w:p>
              </w:tc>
              <w:tc>
                <w:tcPr>
                  <w:tcW w:w="939" w:type="pct"/>
                  <w:vAlign w:val="center"/>
                </w:tcPr>
                <w:p w14:paraId="23FEF1AB">
                  <w:pPr>
                    <w:adjustRightInd w:val="0"/>
                    <w:snapToGrid w:val="0"/>
                    <w:jc w:val="center"/>
                    <w:rPr>
                      <w:color w:val="auto"/>
                      <w:sz w:val="21"/>
                      <w:szCs w:val="21"/>
                    </w:rPr>
                  </w:pPr>
                  <w:r>
                    <w:rPr>
                      <w:rFonts w:hint="eastAsia"/>
                      <w:color w:val="auto"/>
                      <w:sz w:val="21"/>
                      <w:szCs w:val="21"/>
                    </w:rPr>
                    <w:t>20:00-21:00</w:t>
                  </w:r>
                </w:p>
              </w:tc>
              <w:tc>
                <w:tcPr>
                  <w:tcW w:w="1110" w:type="pct"/>
                  <w:vAlign w:val="center"/>
                </w:tcPr>
                <w:p w14:paraId="43F72CEF">
                  <w:pPr>
                    <w:adjustRightInd w:val="0"/>
                    <w:snapToGrid w:val="0"/>
                    <w:jc w:val="center"/>
                    <w:rPr>
                      <w:color w:val="auto"/>
                      <w:sz w:val="21"/>
                      <w:szCs w:val="21"/>
                    </w:rPr>
                  </w:pPr>
                  <w:r>
                    <w:rPr>
                      <w:rFonts w:hint="eastAsia"/>
                      <w:color w:val="auto"/>
                      <w:sz w:val="21"/>
                      <w:szCs w:val="21"/>
                    </w:rPr>
                    <w:t>0.150</w:t>
                  </w:r>
                </w:p>
              </w:tc>
              <w:tc>
                <w:tcPr>
                  <w:tcW w:w="1110" w:type="pct"/>
                  <w:vAlign w:val="center"/>
                </w:tcPr>
                <w:p w14:paraId="3451B409">
                  <w:pPr>
                    <w:adjustRightInd w:val="0"/>
                    <w:snapToGrid w:val="0"/>
                    <w:jc w:val="center"/>
                    <w:rPr>
                      <w:color w:val="auto"/>
                      <w:sz w:val="21"/>
                      <w:szCs w:val="21"/>
                    </w:rPr>
                  </w:pPr>
                  <w:r>
                    <w:rPr>
                      <w:rFonts w:hint="eastAsia"/>
                      <w:color w:val="auto"/>
                      <w:sz w:val="21"/>
                      <w:szCs w:val="21"/>
                    </w:rPr>
                    <w:t>0.057</w:t>
                  </w:r>
                </w:p>
              </w:tc>
              <w:tc>
                <w:tcPr>
                  <w:tcW w:w="1110" w:type="pct"/>
                  <w:vAlign w:val="center"/>
                </w:tcPr>
                <w:p w14:paraId="26C12829">
                  <w:pPr>
                    <w:adjustRightInd w:val="0"/>
                    <w:snapToGrid w:val="0"/>
                    <w:jc w:val="center"/>
                    <w:rPr>
                      <w:color w:val="auto"/>
                      <w:sz w:val="21"/>
                      <w:szCs w:val="21"/>
                    </w:rPr>
                  </w:pPr>
                  <w:r>
                    <w:rPr>
                      <w:rFonts w:hint="eastAsia"/>
                      <w:color w:val="auto"/>
                      <w:sz w:val="21"/>
                      <w:szCs w:val="21"/>
                    </w:rPr>
                    <w:t>2.2</w:t>
                  </w:r>
                </w:p>
              </w:tc>
            </w:tr>
            <w:tr w14:paraId="1879D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78C0E6B1">
                  <w:pPr>
                    <w:adjustRightInd w:val="0"/>
                    <w:snapToGrid w:val="0"/>
                    <w:jc w:val="center"/>
                    <w:rPr>
                      <w:color w:val="auto"/>
                      <w:sz w:val="21"/>
                      <w:szCs w:val="21"/>
                      <w:highlight w:val="yellow"/>
                    </w:rPr>
                  </w:pPr>
                </w:p>
              </w:tc>
              <w:tc>
                <w:tcPr>
                  <w:tcW w:w="420" w:type="pct"/>
                  <w:vMerge w:val="restart"/>
                  <w:vAlign w:val="center"/>
                </w:tcPr>
                <w:p w14:paraId="75DE35F4">
                  <w:pPr>
                    <w:adjustRightInd w:val="0"/>
                    <w:snapToGrid w:val="0"/>
                    <w:jc w:val="center"/>
                    <w:rPr>
                      <w:color w:val="auto"/>
                      <w:sz w:val="21"/>
                      <w:szCs w:val="21"/>
                    </w:rPr>
                  </w:pPr>
                  <w:r>
                    <w:rPr>
                      <w:rFonts w:hint="eastAsia"/>
                      <w:color w:val="auto"/>
                      <w:sz w:val="21"/>
                      <w:szCs w:val="21"/>
                    </w:rPr>
                    <w:t>2023.05.24</w:t>
                  </w:r>
                </w:p>
              </w:tc>
              <w:tc>
                <w:tcPr>
                  <w:tcW w:w="939" w:type="pct"/>
                  <w:vAlign w:val="center"/>
                </w:tcPr>
                <w:p w14:paraId="5D5D3FED">
                  <w:pPr>
                    <w:adjustRightInd w:val="0"/>
                    <w:snapToGrid w:val="0"/>
                    <w:jc w:val="center"/>
                    <w:rPr>
                      <w:color w:val="auto"/>
                      <w:sz w:val="21"/>
                      <w:szCs w:val="21"/>
                    </w:rPr>
                  </w:pPr>
                  <w:r>
                    <w:rPr>
                      <w:rFonts w:hint="eastAsia"/>
                      <w:color w:val="auto"/>
                      <w:sz w:val="21"/>
                      <w:szCs w:val="21"/>
                    </w:rPr>
                    <w:t>02:00-03:00</w:t>
                  </w:r>
                </w:p>
              </w:tc>
              <w:tc>
                <w:tcPr>
                  <w:tcW w:w="1110" w:type="pct"/>
                  <w:vAlign w:val="center"/>
                </w:tcPr>
                <w:p w14:paraId="30F69B48">
                  <w:pPr>
                    <w:adjustRightInd w:val="0"/>
                    <w:snapToGrid w:val="0"/>
                    <w:jc w:val="center"/>
                    <w:rPr>
                      <w:color w:val="auto"/>
                      <w:sz w:val="21"/>
                      <w:szCs w:val="21"/>
                    </w:rPr>
                  </w:pPr>
                  <w:r>
                    <w:rPr>
                      <w:rFonts w:hint="eastAsia"/>
                      <w:color w:val="auto"/>
                      <w:sz w:val="21"/>
                      <w:szCs w:val="21"/>
                    </w:rPr>
                    <w:t>0.150</w:t>
                  </w:r>
                </w:p>
              </w:tc>
              <w:tc>
                <w:tcPr>
                  <w:tcW w:w="1110" w:type="pct"/>
                  <w:vAlign w:val="center"/>
                </w:tcPr>
                <w:p w14:paraId="0DFE5509">
                  <w:pPr>
                    <w:adjustRightInd w:val="0"/>
                    <w:snapToGrid w:val="0"/>
                    <w:jc w:val="center"/>
                    <w:rPr>
                      <w:color w:val="auto"/>
                      <w:sz w:val="21"/>
                      <w:szCs w:val="21"/>
                    </w:rPr>
                  </w:pPr>
                  <w:r>
                    <w:rPr>
                      <w:rFonts w:hint="eastAsia"/>
                      <w:color w:val="auto"/>
                      <w:sz w:val="21"/>
                      <w:szCs w:val="21"/>
                    </w:rPr>
                    <w:t>0.055</w:t>
                  </w:r>
                </w:p>
              </w:tc>
              <w:tc>
                <w:tcPr>
                  <w:tcW w:w="1110" w:type="pct"/>
                  <w:vAlign w:val="center"/>
                </w:tcPr>
                <w:p w14:paraId="79279FB1">
                  <w:pPr>
                    <w:adjustRightInd w:val="0"/>
                    <w:snapToGrid w:val="0"/>
                    <w:jc w:val="center"/>
                    <w:rPr>
                      <w:color w:val="auto"/>
                      <w:sz w:val="21"/>
                      <w:szCs w:val="21"/>
                    </w:rPr>
                  </w:pPr>
                  <w:r>
                    <w:rPr>
                      <w:rFonts w:hint="eastAsia"/>
                      <w:color w:val="auto"/>
                      <w:sz w:val="21"/>
                      <w:szCs w:val="21"/>
                    </w:rPr>
                    <w:t>2.3</w:t>
                  </w:r>
                </w:p>
              </w:tc>
            </w:tr>
            <w:tr w14:paraId="7811F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2B117279">
                  <w:pPr>
                    <w:adjustRightInd w:val="0"/>
                    <w:snapToGrid w:val="0"/>
                    <w:jc w:val="center"/>
                    <w:rPr>
                      <w:color w:val="auto"/>
                      <w:sz w:val="21"/>
                      <w:szCs w:val="21"/>
                      <w:highlight w:val="yellow"/>
                    </w:rPr>
                  </w:pPr>
                </w:p>
              </w:tc>
              <w:tc>
                <w:tcPr>
                  <w:tcW w:w="420" w:type="pct"/>
                  <w:vMerge w:val="continue"/>
                  <w:vAlign w:val="center"/>
                </w:tcPr>
                <w:p w14:paraId="3F78F901">
                  <w:pPr>
                    <w:adjustRightInd w:val="0"/>
                    <w:snapToGrid w:val="0"/>
                    <w:jc w:val="center"/>
                    <w:rPr>
                      <w:color w:val="auto"/>
                      <w:sz w:val="21"/>
                      <w:szCs w:val="21"/>
                    </w:rPr>
                  </w:pPr>
                </w:p>
              </w:tc>
              <w:tc>
                <w:tcPr>
                  <w:tcW w:w="939" w:type="pct"/>
                  <w:vAlign w:val="center"/>
                </w:tcPr>
                <w:p w14:paraId="164ED741">
                  <w:pPr>
                    <w:adjustRightInd w:val="0"/>
                    <w:snapToGrid w:val="0"/>
                    <w:jc w:val="center"/>
                    <w:rPr>
                      <w:color w:val="auto"/>
                      <w:sz w:val="21"/>
                      <w:szCs w:val="21"/>
                    </w:rPr>
                  </w:pPr>
                  <w:r>
                    <w:rPr>
                      <w:rFonts w:hint="eastAsia"/>
                      <w:color w:val="auto"/>
                      <w:sz w:val="21"/>
                      <w:szCs w:val="21"/>
                    </w:rPr>
                    <w:t>08:00-09:00</w:t>
                  </w:r>
                </w:p>
              </w:tc>
              <w:tc>
                <w:tcPr>
                  <w:tcW w:w="1110" w:type="pct"/>
                  <w:vAlign w:val="center"/>
                </w:tcPr>
                <w:p w14:paraId="4A47BC03">
                  <w:pPr>
                    <w:adjustRightInd w:val="0"/>
                    <w:snapToGrid w:val="0"/>
                    <w:jc w:val="center"/>
                    <w:rPr>
                      <w:color w:val="auto"/>
                      <w:sz w:val="21"/>
                      <w:szCs w:val="21"/>
                    </w:rPr>
                  </w:pPr>
                  <w:r>
                    <w:rPr>
                      <w:rFonts w:hint="eastAsia"/>
                      <w:color w:val="auto"/>
                      <w:sz w:val="21"/>
                      <w:szCs w:val="21"/>
                    </w:rPr>
                    <w:t>0.134</w:t>
                  </w:r>
                </w:p>
              </w:tc>
              <w:tc>
                <w:tcPr>
                  <w:tcW w:w="1110" w:type="pct"/>
                  <w:vAlign w:val="center"/>
                </w:tcPr>
                <w:p w14:paraId="26ACD47C">
                  <w:pPr>
                    <w:adjustRightInd w:val="0"/>
                    <w:snapToGrid w:val="0"/>
                    <w:jc w:val="center"/>
                    <w:rPr>
                      <w:color w:val="auto"/>
                      <w:sz w:val="21"/>
                      <w:szCs w:val="21"/>
                    </w:rPr>
                  </w:pPr>
                  <w:r>
                    <w:rPr>
                      <w:rFonts w:hint="eastAsia"/>
                      <w:color w:val="auto"/>
                      <w:sz w:val="21"/>
                      <w:szCs w:val="21"/>
                    </w:rPr>
                    <w:t>0.063</w:t>
                  </w:r>
                </w:p>
              </w:tc>
              <w:tc>
                <w:tcPr>
                  <w:tcW w:w="1110" w:type="pct"/>
                  <w:vAlign w:val="center"/>
                </w:tcPr>
                <w:p w14:paraId="72BFADA3">
                  <w:pPr>
                    <w:adjustRightInd w:val="0"/>
                    <w:snapToGrid w:val="0"/>
                    <w:jc w:val="center"/>
                    <w:rPr>
                      <w:color w:val="auto"/>
                      <w:sz w:val="21"/>
                      <w:szCs w:val="21"/>
                    </w:rPr>
                  </w:pPr>
                  <w:r>
                    <w:rPr>
                      <w:rFonts w:hint="eastAsia"/>
                      <w:color w:val="auto"/>
                      <w:sz w:val="21"/>
                      <w:szCs w:val="21"/>
                    </w:rPr>
                    <w:t>2.4</w:t>
                  </w:r>
                </w:p>
              </w:tc>
            </w:tr>
            <w:tr w14:paraId="4637E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0E9216C2">
                  <w:pPr>
                    <w:adjustRightInd w:val="0"/>
                    <w:snapToGrid w:val="0"/>
                    <w:jc w:val="center"/>
                    <w:rPr>
                      <w:color w:val="auto"/>
                      <w:sz w:val="21"/>
                      <w:szCs w:val="21"/>
                      <w:highlight w:val="yellow"/>
                    </w:rPr>
                  </w:pPr>
                </w:p>
              </w:tc>
              <w:tc>
                <w:tcPr>
                  <w:tcW w:w="420" w:type="pct"/>
                  <w:vMerge w:val="continue"/>
                  <w:vAlign w:val="center"/>
                </w:tcPr>
                <w:p w14:paraId="0B6B2CAC">
                  <w:pPr>
                    <w:adjustRightInd w:val="0"/>
                    <w:snapToGrid w:val="0"/>
                    <w:jc w:val="center"/>
                    <w:rPr>
                      <w:color w:val="auto"/>
                      <w:sz w:val="21"/>
                      <w:szCs w:val="21"/>
                    </w:rPr>
                  </w:pPr>
                </w:p>
              </w:tc>
              <w:tc>
                <w:tcPr>
                  <w:tcW w:w="939" w:type="pct"/>
                  <w:vAlign w:val="center"/>
                </w:tcPr>
                <w:p w14:paraId="342591D5">
                  <w:pPr>
                    <w:adjustRightInd w:val="0"/>
                    <w:snapToGrid w:val="0"/>
                    <w:jc w:val="center"/>
                    <w:rPr>
                      <w:color w:val="auto"/>
                      <w:sz w:val="21"/>
                      <w:szCs w:val="21"/>
                    </w:rPr>
                  </w:pPr>
                  <w:r>
                    <w:rPr>
                      <w:rFonts w:hint="eastAsia"/>
                      <w:color w:val="auto"/>
                      <w:sz w:val="21"/>
                      <w:szCs w:val="21"/>
                    </w:rPr>
                    <w:t>14:00-15:00</w:t>
                  </w:r>
                </w:p>
              </w:tc>
              <w:tc>
                <w:tcPr>
                  <w:tcW w:w="1110" w:type="pct"/>
                  <w:vAlign w:val="center"/>
                </w:tcPr>
                <w:p w14:paraId="5D921CE9">
                  <w:pPr>
                    <w:adjustRightInd w:val="0"/>
                    <w:snapToGrid w:val="0"/>
                    <w:jc w:val="center"/>
                    <w:rPr>
                      <w:color w:val="auto"/>
                      <w:sz w:val="21"/>
                      <w:szCs w:val="21"/>
                    </w:rPr>
                  </w:pPr>
                  <w:r>
                    <w:rPr>
                      <w:rFonts w:hint="eastAsia"/>
                      <w:color w:val="auto"/>
                      <w:sz w:val="21"/>
                      <w:szCs w:val="21"/>
                    </w:rPr>
                    <w:t>0.134</w:t>
                  </w:r>
                </w:p>
              </w:tc>
              <w:tc>
                <w:tcPr>
                  <w:tcW w:w="1110" w:type="pct"/>
                  <w:vAlign w:val="center"/>
                </w:tcPr>
                <w:p w14:paraId="2970DC8F">
                  <w:pPr>
                    <w:adjustRightInd w:val="0"/>
                    <w:snapToGrid w:val="0"/>
                    <w:jc w:val="center"/>
                    <w:rPr>
                      <w:color w:val="auto"/>
                      <w:sz w:val="21"/>
                      <w:szCs w:val="21"/>
                    </w:rPr>
                  </w:pPr>
                  <w:r>
                    <w:rPr>
                      <w:rFonts w:hint="eastAsia"/>
                      <w:color w:val="auto"/>
                      <w:sz w:val="21"/>
                      <w:szCs w:val="21"/>
                    </w:rPr>
                    <w:t>0.065</w:t>
                  </w:r>
                </w:p>
              </w:tc>
              <w:tc>
                <w:tcPr>
                  <w:tcW w:w="1110" w:type="pct"/>
                  <w:vAlign w:val="center"/>
                </w:tcPr>
                <w:p w14:paraId="1BD6BCC4">
                  <w:pPr>
                    <w:adjustRightInd w:val="0"/>
                    <w:snapToGrid w:val="0"/>
                    <w:jc w:val="center"/>
                    <w:rPr>
                      <w:color w:val="auto"/>
                      <w:sz w:val="21"/>
                      <w:szCs w:val="21"/>
                    </w:rPr>
                  </w:pPr>
                  <w:r>
                    <w:rPr>
                      <w:rFonts w:hint="eastAsia"/>
                      <w:color w:val="auto"/>
                      <w:sz w:val="21"/>
                      <w:szCs w:val="21"/>
                    </w:rPr>
                    <w:t>2.6</w:t>
                  </w:r>
                </w:p>
              </w:tc>
            </w:tr>
            <w:tr w14:paraId="01EA0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24216D86">
                  <w:pPr>
                    <w:adjustRightInd w:val="0"/>
                    <w:snapToGrid w:val="0"/>
                    <w:jc w:val="center"/>
                    <w:rPr>
                      <w:color w:val="auto"/>
                      <w:sz w:val="21"/>
                      <w:szCs w:val="21"/>
                      <w:highlight w:val="yellow"/>
                    </w:rPr>
                  </w:pPr>
                </w:p>
              </w:tc>
              <w:tc>
                <w:tcPr>
                  <w:tcW w:w="420" w:type="pct"/>
                  <w:vMerge w:val="continue"/>
                  <w:vAlign w:val="center"/>
                </w:tcPr>
                <w:p w14:paraId="1B2884EA">
                  <w:pPr>
                    <w:adjustRightInd w:val="0"/>
                    <w:snapToGrid w:val="0"/>
                    <w:jc w:val="center"/>
                    <w:rPr>
                      <w:color w:val="auto"/>
                      <w:sz w:val="21"/>
                      <w:szCs w:val="21"/>
                    </w:rPr>
                  </w:pPr>
                </w:p>
              </w:tc>
              <w:tc>
                <w:tcPr>
                  <w:tcW w:w="939" w:type="pct"/>
                  <w:vAlign w:val="center"/>
                </w:tcPr>
                <w:p w14:paraId="54CB685E">
                  <w:pPr>
                    <w:adjustRightInd w:val="0"/>
                    <w:snapToGrid w:val="0"/>
                    <w:jc w:val="center"/>
                    <w:rPr>
                      <w:color w:val="auto"/>
                      <w:sz w:val="21"/>
                      <w:szCs w:val="21"/>
                    </w:rPr>
                  </w:pPr>
                  <w:r>
                    <w:rPr>
                      <w:rFonts w:hint="eastAsia"/>
                      <w:color w:val="auto"/>
                      <w:sz w:val="21"/>
                      <w:szCs w:val="21"/>
                    </w:rPr>
                    <w:t>20:00-21:00</w:t>
                  </w:r>
                </w:p>
              </w:tc>
              <w:tc>
                <w:tcPr>
                  <w:tcW w:w="1110" w:type="pct"/>
                  <w:vAlign w:val="center"/>
                </w:tcPr>
                <w:p w14:paraId="035FB7BA">
                  <w:pPr>
                    <w:adjustRightInd w:val="0"/>
                    <w:snapToGrid w:val="0"/>
                    <w:jc w:val="center"/>
                    <w:rPr>
                      <w:color w:val="auto"/>
                      <w:sz w:val="21"/>
                      <w:szCs w:val="21"/>
                    </w:rPr>
                  </w:pPr>
                  <w:r>
                    <w:rPr>
                      <w:rFonts w:hint="eastAsia"/>
                      <w:color w:val="auto"/>
                      <w:sz w:val="21"/>
                      <w:szCs w:val="21"/>
                    </w:rPr>
                    <w:t>0.150</w:t>
                  </w:r>
                </w:p>
              </w:tc>
              <w:tc>
                <w:tcPr>
                  <w:tcW w:w="1110" w:type="pct"/>
                  <w:vAlign w:val="center"/>
                </w:tcPr>
                <w:p w14:paraId="04D32F10">
                  <w:pPr>
                    <w:adjustRightInd w:val="0"/>
                    <w:snapToGrid w:val="0"/>
                    <w:jc w:val="center"/>
                    <w:rPr>
                      <w:color w:val="auto"/>
                      <w:sz w:val="21"/>
                      <w:szCs w:val="21"/>
                    </w:rPr>
                  </w:pPr>
                  <w:r>
                    <w:rPr>
                      <w:rFonts w:hint="eastAsia"/>
                      <w:color w:val="auto"/>
                      <w:sz w:val="21"/>
                      <w:szCs w:val="21"/>
                    </w:rPr>
                    <w:t>0.064</w:t>
                  </w:r>
                </w:p>
              </w:tc>
              <w:tc>
                <w:tcPr>
                  <w:tcW w:w="1110" w:type="pct"/>
                  <w:vAlign w:val="center"/>
                </w:tcPr>
                <w:p w14:paraId="15C798D5">
                  <w:pPr>
                    <w:adjustRightInd w:val="0"/>
                    <w:snapToGrid w:val="0"/>
                    <w:jc w:val="center"/>
                    <w:rPr>
                      <w:color w:val="auto"/>
                      <w:sz w:val="21"/>
                      <w:szCs w:val="21"/>
                    </w:rPr>
                  </w:pPr>
                  <w:r>
                    <w:rPr>
                      <w:rFonts w:hint="eastAsia"/>
                      <w:color w:val="auto"/>
                      <w:sz w:val="21"/>
                      <w:szCs w:val="21"/>
                    </w:rPr>
                    <w:t>2.5</w:t>
                  </w:r>
                </w:p>
              </w:tc>
            </w:tr>
            <w:tr w14:paraId="6F863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0C5583D6">
                  <w:pPr>
                    <w:adjustRightInd w:val="0"/>
                    <w:snapToGrid w:val="0"/>
                    <w:jc w:val="center"/>
                    <w:rPr>
                      <w:color w:val="auto"/>
                      <w:sz w:val="21"/>
                      <w:szCs w:val="21"/>
                      <w:highlight w:val="yellow"/>
                    </w:rPr>
                  </w:pPr>
                </w:p>
              </w:tc>
              <w:tc>
                <w:tcPr>
                  <w:tcW w:w="420" w:type="pct"/>
                  <w:vMerge w:val="restart"/>
                  <w:vAlign w:val="center"/>
                </w:tcPr>
                <w:p w14:paraId="727E8DE2">
                  <w:pPr>
                    <w:adjustRightInd w:val="0"/>
                    <w:snapToGrid w:val="0"/>
                    <w:jc w:val="center"/>
                    <w:rPr>
                      <w:color w:val="auto"/>
                      <w:sz w:val="21"/>
                      <w:szCs w:val="21"/>
                    </w:rPr>
                  </w:pPr>
                  <w:r>
                    <w:rPr>
                      <w:rFonts w:hint="eastAsia"/>
                      <w:color w:val="auto"/>
                      <w:sz w:val="21"/>
                      <w:szCs w:val="21"/>
                    </w:rPr>
                    <w:t>2023.05.25</w:t>
                  </w:r>
                </w:p>
              </w:tc>
              <w:tc>
                <w:tcPr>
                  <w:tcW w:w="939" w:type="pct"/>
                  <w:vAlign w:val="center"/>
                </w:tcPr>
                <w:p w14:paraId="59B5F56B">
                  <w:pPr>
                    <w:adjustRightInd w:val="0"/>
                    <w:snapToGrid w:val="0"/>
                    <w:jc w:val="center"/>
                    <w:rPr>
                      <w:color w:val="auto"/>
                      <w:sz w:val="21"/>
                      <w:szCs w:val="21"/>
                    </w:rPr>
                  </w:pPr>
                  <w:r>
                    <w:rPr>
                      <w:rFonts w:hint="eastAsia"/>
                      <w:color w:val="auto"/>
                      <w:sz w:val="21"/>
                      <w:szCs w:val="21"/>
                    </w:rPr>
                    <w:t>02:00-03:00</w:t>
                  </w:r>
                </w:p>
              </w:tc>
              <w:tc>
                <w:tcPr>
                  <w:tcW w:w="1110" w:type="pct"/>
                  <w:vAlign w:val="center"/>
                </w:tcPr>
                <w:p w14:paraId="2103373C">
                  <w:pPr>
                    <w:adjustRightInd w:val="0"/>
                    <w:snapToGrid w:val="0"/>
                    <w:jc w:val="center"/>
                    <w:rPr>
                      <w:color w:val="auto"/>
                      <w:sz w:val="21"/>
                      <w:szCs w:val="21"/>
                    </w:rPr>
                  </w:pPr>
                  <w:r>
                    <w:rPr>
                      <w:rFonts w:hint="eastAsia"/>
                      <w:color w:val="auto"/>
                      <w:sz w:val="21"/>
                      <w:szCs w:val="21"/>
                    </w:rPr>
                    <w:t>0.150</w:t>
                  </w:r>
                </w:p>
              </w:tc>
              <w:tc>
                <w:tcPr>
                  <w:tcW w:w="1110" w:type="pct"/>
                  <w:vAlign w:val="center"/>
                </w:tcPr>
                <w:p w14:paraId="03706A62">
                  <w:pPr>
                    <w:adjustRightInd w:val="0"/>
                    <w:snapToGrid w:val="0"/>
                    <w:jc w:val="center"/>
                    <w:rPr>
                      <w:color w:val="auto"/>
                      <w:sz w:val="21"/>
                      <w:szCs w:val="21"/>
                    </w:rPr>
                  </w:pPr>
                  <w:r>
                    <w:rPr>
                      <w:rFonts w:hint="eastAsia"/>
                      <w:color w:val="auto"/>
                      <w:sz w:val="21"/>
                      <w:szCs w:val="21"/>
                    </w:rPr>
                    <w:t>0.063</w:t>
                  </w:r>
                </w:p>
              </w:tc>
              <w:tc>
                <w:tcPr>
                  <w:tcW w:w="1110" w:type="pct"/>
                  <w:vAlign w:val="center"/>
                </w:tcPr>
                <w:p w14:paraId="0FA7AB0A">
                  <w:pPr>
                    <w:adjustRightInd w:val="0"/>
                    <w:snapToGrid w:val="0"/>
                    <w:jc w:val="center"/>
                    <w:rPr>
                      <w:color w:val="auto"/>
                      <w:sz w:val="21"/>
                      <w:szCs w:val="21"/>
                    </w:rPr>
                  </w:pPr>
                  <w:r>
                    <w:rPr>
                      <w:rFonts w:hint="eastAsia"/>
                      <w:color w:val="auto"/>
                      <w:sz w:val="21"/>
                      <w:szCs w:val="21"/>
                    </w:rPr>
                    <w:t>2.1</w:t>
                  </w:r>
                </w:p>
              </w:tc>
            </w:tr>
            <w:tr w14:paraId="2DFF5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3EDDA1D3">
                  <w:pPr>
                    <w:adjustRightInd w:val="0"/>
                    <w:snapToGrid w:val="0"/>
                    <w:jc w:val="center"/>
                    <w:rPr>
                      <w:color w:val="auto"/>
                      <w:sz w:val="21"/>
                      <w:szCs w:val="21"/>
                      <w:highlight w:val="yellow"/>
                    </w:rPr>
                  </w:pPr>
                </w:p>
              </w:tc>
              <w:tc>
                <w:tcPr>
                  <w:tcW w:w="420" w:type="pct"/>
                  <w:vMerge w:val="continue"/>
                  <w:vAlign w:val="center"/>
                </w:tcPr>
                <w:p w14:paraId="5F23768A">
                  <w:pPr>
                    <w:adjustRightInd w:val="0"/>
                    <w:snapToGrid w:val="0"/>
                    <w:jc w:val="center"/>
                    <w:rPr>
                      <w:color w:val="auto"/>
                      <w:sz w:val="21"/>
                      <w:szCs w:val="21"/>
                    </w:rPr>
                  </w:pPr>
                </w:p>
              </w:tc>
              <w:tc>
                <w:tcPr>
                  <w:tcW w:w="939" w:type="pct"/>
                  <w:vAlign w:val="center"/>
                </w:tcPr>
                <w:p w14:paraId="5285E205">
                  <w:pPr>
                    <w:adjustRightInd w:val="0"/>
                    <w:snapToGrid w:val="0"/>
                    <w:jc w:val="center"/>
                    <w:rPr>
                      <w:color w:val="auto"/>
                      <w:sz w:val="21"/>
                      <w:szCs w:val="21"/>
                    </w:rPr>
                  </w:pPr>
                  <w:r>
                    <w:rPr>
                      <w:rFonts w:hint="eastAsia"/>
                      <w:color w:val="auto"/>
                      <w:sz w:val="21"/>
                      <w:szCs w:val="21"/>
                    </w:rPr>
                    <w:t>08:00-09:00</w:t>
                  </w:r>
                </w:p>
              </w:tc>
              <w:tc>
                <w:tcPr>
                  <w:tcW w:w="1110" w:type="pct"/>
                  <w:vAlign w:val="center"/>
                </w:tcPr>
                <w:p w14:paraId="0A526724">
                  <w:pPr>
                    <w:adjustRightInd w:val="0"/>
                    <w:snapToGrid w:val="0"/>
                    <w:jc w:val="center"/>
                    <w:rPr>
                      <w:color w:val="auto"/>
                      <w:sz w:val="21"/>
                      <w:szCs w:val="21"/>
                    </w:rPr>
                  </w:pPr>
                  <w:r>
                    <w:rPr>
                      <w:rFonts w:hint="eastAsia"/>
                      <w:color w:val="auto"/>
                      <w:sz w:val="21"/>
                      <w:szCs w:val="21"/>
                    </w:rPr>
                    <w:t>0.167</w:t>
                  </w:r>
                </w:p>
              </w:tc>
              <w:tc>
                <w:tcPr>
                  <w:tcW w:w="1110" w:type="pct"/>
                  <w:vAlign w:val="center"/>
                </w:tcPr>
                <w:p w14:paraId="68C9BA8E">
                  <w:pPr>
                    <w:adjustRightInd w:val="0"/>
                    <w:snapToGrid w:val="0"/>
                    <w:jc w:val="center"/>
                    <w:rPr>
                      <w:color w:val="auto"/>
                      <w:sz w:val="21"/>
                      <w:szCs w:val="21"/>
                    </w:rPr>
                  </w:pPr>
                  <w:r>
                    <w:rPr>
                      <w:rFonts w:hint="eastAsia"/>
                      <w:color w:val="auto"/>
                      <w:sz w:val="21"/>
                      <w:szCs w:val="21"/>
                    </w:rPr>
                    <w:t>0.064</w:t>
                  </w:r>
                </w:p>
              </w:tc>
              <w:tc>
                <w:tcPr>
                  <w:tcW w:w="1110" w:type="pct"/>
                  <w:vAlign w:val="center"/>
                </w:tcPr>
                <w:p w14:paraId="5D90DAE2">
                  <w:pPr>
                    <w:adjustRightInd w:val="0"/>
                    <w:snapToGrid w:val="0"/>
                    <w:jc w:val="center"/>
                    <w:rPr>
                      <w:color w:val="auto"/>
                      <w:sz w:val="21"/>
                      <w:szCs w:val="21"/>
                    </w:rPr>
                  </w:pPr>
                  <w:r>
                    <w:rPr>
                      <w:rFonts w:hint="eastAsia"/>
                      <w:color w:val="auto"/>
                      <w:sz w:val="21"/>
                      <w:szCs w:val="21"/>
                    </w:rPr>
                    <w:t>2.3</w:t>
                  </w:r>
                </w:p>
              </w:tc>
            </w:tr>
            <w:tr w14:paraId="0E15E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4CD19483">
                  <w:pPr>
                    <w:adjustRightInd w:val="0"/>
                    <w:snapToGrid w:val="0"/>
                    <w:jc w:val="center"/>
                    <w:rPr>
                      <w:color w:val="auto"/>
                      <w:sz w:val="21"/>
                      <w:szCs w:val="21"/>
                      <w:highlight w:val="yellow"/>
                    </w:rPr>
                  </w:pPr>
                </w:p>
              </w:tc>
              <w:tc>
                <w:tcPr>
                  <w:tcW w:w="420" w:type="pct"/>
                  <w:vMerge w:val="continue"/>
                  <w:vAlign w:val="center"/>
                </w:tcPr>
                <w:p w14:paraId="3BFFD048">
                  <w:pPr>
                    <w:adjustRightInd w:val="0"/>
                    <w:snapToGrid w:val="0"/>
                    <w:jc w:val="center"/>
                    <w:rPr>
                      <w:color w:val="auto"/>
                      <w:sz w:val="21"/>
                      <w:szCs w:val="21"/>
                    </w:rPr>
                  </w:pPr>
                </w:p>
              </w:tc>
              <w:tc>
                <w:tcPr>
                  <w:tcW w:w="939" w:type="pct"/>
                  <w:vAlign w:val="center"/>
                </w:tcPr>
                <w:p w14:paraId="21FB258C">
                  <w:pPr>
                    <w:adjustRightInd w:val="0"/>
                    <w:snapToGrid w:val="0"/>
                    <w:jc w:val="center"/>
                    <w:rPr>
                      <w:color w:val="auto"/>
                      <w:sz w:val="21"/>
                      <w:szCs w:val="21"/>
                    </w:rPr>
                  </w:pPr>
                  <w:r>
                    <w:rPr>
                      <w:rFonts w:hint="eastAsia"/>
                      <w:color w:val="auto"/>
                      <w:sz w:val="21"/>
                      <w:szCs w:val="21"/>
                    </w:rPr>
                    <w:t>14:00-15:00</w:t>
                  </w:r>
                </w:p>
              </w:tc>
              <w:tc>
                <w:tcPr>
                  <w:tcW w:w="1110" w:type="pct"/>
                  <w:vAlign w:val="center"/>
                </w:tcPr>
                <w:p w14:paraId="0434AB0A">
                  <w:pPr>
                    <w:adjustRightInd w:val="0"/>
                    <w:snapToGrid w:val="0"/>
                    <w:jc w:val="center"/>
                    <w:rPr>
                      <w:color w:val="auto"/>
                      <w:sz w:val="21"/>
                      <w:szCs w:val="21"/>
                    </w:rPr>
                  </w:pPr>
                  <w:r>
                    <w:rPr>
                      <w:rFonts w:hint="eastAsia"/>
                      <w:color w:val="auto"/>
                      <w:sz w:val="21"/>
                      <w:szCs w:val="21"/>
                    </w:rPr>
                    <w:t>0.167</w:t>
                  </w:r>
                </w:p>
              </w:tc>
              <w:tc>
                <w:tcPr>
                  <w:tcW w:w="1110" w:type="pct"/>
                  <w:vAlign w:val="center"/>
                </w:tcPr>
                <w:p w14:paraId="22B668AB">
                  <w:pPr>
                    <w:adjustRightInd w:val="0"/>
                    <w:snapToGrid w:val="0"/>
                    <w:jc w:val="center"/>
                    <w:rPr>
                      <w:color w:val="auto"/>
                      <w:sz w:val="21"/>
                      <w:szCs w:val="21"/>
                    </w:rPr>
                  </w:pPr>
                  <w:r>
                    <w:rPr>
                      <w:rFonts w:hint="eastAsia"/>
                      <w:color w:val="auto"/>
                      <w:sz w:val="21"/>
                      <w:szCs w:val="21"/>
                    </w:rPr>
                    <w:t>0.061</w:t>
                  </w:r>
                </w:p>
              </w:tc>
              <w:tc>
                <w:tcPr>
                  <w:tcW w:w="1110" w:type="pct"/>
                  <w:vAlign w:val="center"/>
                </w:tcPr>
                <w:p w14:paraId="55A763D4">
                  <w:pPr>
                    <w:adjustRightInd w:val="0"/>
                    <w:snapToGrid w:val="0"/>
                    <w:jc w:val="center"/>
                    <w:rPr>
                      <w:color w:val="auto"/>
                      <w:sz w:val="21"/>
                      <w:szCs w:val="21"/>
                    </w:rPr>
                  </w:pPr>
                  <w:r>
                    <w:rPr>
                      <w:rFonts w:hint="eastAsia"/>
                      <w:color w:val="auto"/>
                      <w:sz w:val="21"/>
                      <w:szCs w:val="21"/>
                    </w:rPr>
                    <w:t>2.5</w:t>
                  </w:r>
                </w:p>
              </w:tc>
            </w:tr>
            <w:tr w14:paraId="38A33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09C3BAC6">
                  <w:pPr>
                    <w:adjustRightInd w:val="0"/>
                    <w:snapToGrid w:val="0"/>
                    <w:jc w:val="center"/>
                    <w:rPr>
                      <w:color w:val="auto"/>
                      <w:sz w:val="21"/>
                      <w:szCs w:val="21"/>
                      <w:highlight w:val="yellow"/>
                    </w:rPr>
                  </w:pPr>
                </w:p>
              </w:tc>
              <w:tc>
                <w:tcPr>
                  <w:tcW w:w="420" w:type="pct"/>
                  <w:vMerge w:val="continue"/>
                  <w:vAlign w:val="center"/>
                </w:tcPr>
                <w:p w14:paraId="095A1CEF">
                  <w:pPr>
                    <w:adjustRightInd w:val="0"/>
                    <w:snapToGrid w:val="0"/>
                    <w:jc w:val="center"/>
                    <w:rPr>
                      <w:color w:val="auto"/>
                      <w:sz w:val="21"/>
                      <w:szCs w:val="21"/>
                    </w:rPr>
                  </w:pPr>
                </w:p>
              </w:tc>
              <w:tc>
                <w:tcPr>
                  <w:tcW w:w="939" w:type="pct"/>
                  <w:vAlign w:val="center"/>
                </w:tcPr>
                <w:p w14:paraId="3CA5269F">
                  <w:pPr>
                    <w:adjustRightInd w:val="0"/>
                    <w:snapToGrid w:val="0"/>
                    <w:jc w:val="center"/>
                    <w:rPr>
                      <w:color w:val="auto"/>
                      <w:sz w:val="21"/>
                      <w:szCs w:val="21"/>
                    </w:rPr>
                  </w:pPr>
                  <w:r>
                    <w:rPr>
                      <w:rFonts w:hint="eastAsia"/>
                      <w:color w:val="auto"/>
                      <w:sz w:val="21"/>
                      <w:szCs w:val="21"/>
                    </w:rPr>
                    <w:t>20:00-21:00</w:t>
                  </w:r>
                </w:p>
              </w:tc>
              <w:tc>
                <w:tcPr>
                  <w:tcW w:w="1110" w:type="pct"/>
                  <w:vAlign w:val="center"/>
                </w:tcPr>
                <w:p w14:paraId="387FB0D7">
                  <w:pPr>
                    <w:adjustRightInd w:val="0"/>
                    <w:snapToGrid w:val="0"/>
                    <w:jc w:val="center"/>
                    <w:rPr>
                      <w:color w:val="auto"/>
                      <w:sz w:val="21"/>
                      <w:szCs w:val="21"/>
                    </w:rPr>
                  </w:pPr>
                  <w:r>
                    <w:rPr>
                      <w:rFonts w:hint="eastAsia"/>
                      <w:color w:val="auto"/>
                      <w:sz w:val="21"/>
                      <w:szCs w:val="21"/>
                    </w:rPr>
                    <w:t>0.134</w:t>
                  </w:r>
                </w:p>
              </w:tc>
              <w:tc>
                <w:tcPr>
                  <w:tcW w:w="1110" w:type="pct"/>
                  <w:vAlign w:val="center"/>
                </w:tcPr>
                <w:p w14:paraId="63D8207F">
                  <w:pPr>
                    <w:adjustRightInd w:val="0"/>
                    <w:snapToGrid w:val="0"/>
                    <w:jc w:val="center"/>
                    <w:rPr>
                      <w:color w:val="auto"/>
                      <w:sz w:val="21"/>
                      <w:szCs w:val="21"/>
                    </w:rPr>
                  </w:pPr>
                  <w:r>
                    <w:rPr>
                      <w:rFonts w:hint="eastAsia"/>
                      <w:color w:val="auto"/>
                      <w:sz w:val="21"/>
                      <w:szCs w:val="21"/>
                    </w:rPr>
                    <w:t>0.057</w:t>
                  </w:r>
                </w:p>
              </w:tc>
              <w:tc>
                <w:tcPr>
                  <w:tcW w:w="1110" w:type="pct"/>
                  <w:vAlign w:val="center"/>
                </w:tcPr>
                <w:p w14:paraId="177CDB0E">
                  <w:pPr>
                    <w:adjustRightInd w:val="0"/>
                    <w:snapToGrid w:val="0"/>
                    <w:jc w:val="center"/>
                    <w:rPr>
                      <w:color w:val="auto"/>
                      <w:sz w:val="21"/>
                      <w:szCs w:val="21"/>
                    </w:rPr>
                  </w:pPr>
                  <w:r>
                    <w:rPr>
                      <w:rFonts w:hint="eastAsia"/>
                      <w:color w:val="auto"/>
                      <w:sz w:val="21"/>
                      <w:szCs w:val="21"/>
                    </w:rPr>
                    <w:t>2.2</w:t>
                  </w:r>
                </w:p>
              </w:tc>
            </w:tr>
            <w:tr w14:paraId="22FBD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682B1E9E">
                  <w:pPr>
                    <w:adjustRightInd w:val="0"/>
                    <w:snapToGrid w:val="0"/>
                    <w:jc w:val="center"/>
                    <w:rPr>
                      <w:color w:val="auto"/>
                      <w:sz w:val="21"/>
                      <w:szCs w:val="21"/>
                      <w:highlight w:val="yellow"/>
                    </w:rPr>
                  </w:pPr>
                </w:p>
              </w:tc>
              <w:tc>
                <w:tcPr>
                  <w:tcW w:w="420" w:type="pct"/>
                  <w:vMerge w:val="restart"/>
                  <w:vAlign w:val="center"/>
                </w:tcPr>
                <w:p w14:paraId="0E92847D">
                  <w:pPr>
                    <w:adjustRightInd w:val="0"/>
                    <w:snapToGrid w:val="0"/>
                    <w:jc w:val="center"/>
                    <w:rPr>
                      <w:color w:val="auto"/>
                      <w:sz w:val="21"/>
                      <w:szCs w:val="21"/>
                    </w:rPr>
                  </w:pPr>
                  <w:r>
                    <w:rPr>
                      <w:rFonts w:hint="eastAsia"/>
                      <w:color w:val="auto"/>
                      <w:sz w:val="21"/>
                      <w:szCs w:val="21"/>
                    </w:rPr>
                    <w:t>2023.05.26</w:t>
                  </w:r>
                </w:p>
              </w:tc>
              <w:tc>
                <w:tcPr>
                  <w:tcW w:w="939" w:type="pct"/>
                  <w:vAlign w:val="center"/>
                </w:tcPr>
                <w:p w14:paraId="77808375">
                  <w:pPr>
                    <w:adjustRightInd w:val="0"/>
                    <w:snapToGrid w:val="0"/>
                    <w:jc w:val="center"/>
                    <w:rPr>
                      <w:color w:val="auto"/>
                      <w:sz w:val="21"/>
                      <w:szCs w:val="21"/>
                    </w:rPr>
                  </w:pPr>
                  <w:r>
                    <w:rPr>
                      <w:rFonts w:hint="eastAsia"/>
                      <w:color w:val="auto"/>
                      <w:sz w:val="21"/>
                      <w:szCs w:val="21"/>
                    </w:rPr>
                    <w:t>02:00-03:00</w:t>
                  </w:r>
                </w:p>
              </w:tc>
              <w:tc>
                <w:tcPr>
                  <w:tcW w:w="1110" w:type="pct"/>
                  <w:vAlign w:val="center"/>
                </w:tcPr>
                <w:p w14:paraId="08EF7377">
                  <w:pPr>
                    <w:adjustRightInd w:val="0"/>
                    <w:snapToGrid w:val="0"/>
                    <w:jc w:val="center"/>
                    <w:rPr>
                      <w:color w:val="auto"/>
                      <w:sz w:val="21"/>
                      <w:szCs w:val="21"/>
                    </w:rPr>
                  </w:pPr>
                  <w:r>
                    <w:rPr>
                      <w:rFonts w:hint="eastAsia"/>
                      <w:color w:val="auto"/>
                      <w:sz w:val="21"/>
                      <w:szCs w:val="21"/>
                    </w:rPr>
                    <w:t>0.150</w:t>
                  </w:r>
                </w:p>
              </w:tc>
              <w:tc>
                <w:tcPr>
                  <w:tcW w:w="1110" w:type="pct"/>
                  <w:vAlign w:val="center"/>
                </w:tcPr>
                <w:p w14:paraId="6CECE6D6">
                  <w:pPr>
                    <w:adjustRightInd w:val="0"/>
                    <w:snapToGrid w:val="0"/>
                    <w:jc w:val="center"/>
                    <w:rPr>
                      <w:color w:val="auto"/>
                      <w:sz w:val="21"/>
                      <w:szCs w:val="21"/>
                    </w:rPr>
                  </w:pPr>
                  <w:r>
                    <w:rPr>
                      <w:rFonts w:hint="eastAsia"/>
                      <w:color w:val="auto"/>
                      <w:sz w:val="21"/>
                      <w:szCs w:val="21"/>
                    </w:rPr>
                    <w:t>0.068</w:t>
                  </w:r>
                </w:p>
              </w:tc>
              <w:tc>
                <w:tcPr>
                  <w:tcW w:w="1110" w:type="pct"/>
                  <w:vAlign w:val="center"/>
                </w:tcPr>
                <w:p w14:paraId="7FE06463">
                  <w:pPr>
                    <w:adjustRightInd w:val="0"/>
                    <w:snapToGrid w:val="0"/>
                    <w:jc w:val="center"/>
                    <w:rPr>
                      <w:color w:val="auto"/>
                      <w:sz w:val="21"/>
                      <w:szCs w:val="21"/>
                    </w:rPr>
                  </w:pPr>
                  <w:r>
                    <w:rPr>
                      <w:rFonts w:hint="eastAsia"/>
                      <w:color w:val="auto"/>
                      <w:sz w:val="21"/>
                      <w:szCs w:val="21"/>
                    </w:rPr>
                    <w:t>2.2</w:t>
                  </w:r>
                </w:p>
              </w:tc>
            </w:tr>
            <w:tr w14:paraId="35521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2130CA72">
                  <w:pPr>
                    <w:adjustRightInd w:val="0"/>
                    <w:snapToGrid w:val="0"/>
                    <w:jc w:val="center"/>
                    <w:rPr>
                      <w:color w:val="auto"/>
                      <w:sz w:val="21"/>
                      <w:szCs w:val="21"/>
                      <w:highlight w:val="yellow"/>
                    </w:rPr>
                  </w:pPr>
                </w:p>
              </w:tc>
              <w:tc>
                <w:tcPr>
                  <w:tcW w:w="420" w:type="pct"/>
                  <w:vMerge w:val="continue"/>
                  <w:vAlign w:val="center"/>
                </w:tcPr>
                <w:p w14:paraId="42D28663">
                  <w:pPr>
                    <w:adjustRightInd w:val="0"/>
                    <w:snapToGrid w:val="0"/>
                    <w:jc w:val="center"/>
                    <w:rPr>
                      <w:color w:val="auto"/>
                      <w:sz w:val="21"/>
                      <w:szCs w:val="21"/>
                    </w:rPr>
                  </w:pPr>
                </w:p>
              </w:tc>
              <w:tc>
                <w:tcPr>
                  <w:tcW w:w="939" w:type="pct"/>
                  <w:vAlign w:val="center"/>
                </w:tcPr>
                <w:p w14:paraId="4FCF4FA2">
                  <w:pPr>
                    <w:adjustRightInd w:val="0"/>
                    <w:snapToGrid w:val="0"/>
                    <w:jc w:val="center"/>
                    <w:rPr>
                      <w:color w:val="auto"/>
                      <w:sz w:val="21"/>
                      <w:szCs w:val="21"/>
                    </w:rPr>
                  </w:pPr>
                  <w:r>
                    <w:rPr>
                      <w:rFonts w:hint="eastAsia"/>
                      <w:color w:val="auto"/>
                      <w:sz w:val="21"/>
                      <w:szCs w:val="21"/>
                    </w:rPr>
                    <w:t>08:00-09:00</w:t>
                  </w:r>
                </w:p>
              </w:tc>
              <w:tc>
                <w:tcPr>
                  <w:tcW w:w="1110" w:type="pct"/>
                  <w:vAlign w:val="center"/>
                </w:tcPr>
                <w:p w14:paraId="04A4736E">
                  <w:pPr>
                    <w:adjustRightInd w:val="0"/>
                    <w:snapToGrid w:val="0"/>
                    <w:jc w:val="center"/>
                    <w:rPr>
                      <w:color w:val="auto"/>
                      <w:sz w:val="21"/>
                      <w:szCs w:val="21"/>
                    </w:rPr>
                  </w:pPr>
                  <w:r>
                    <w:rPr>
                      <w:rFonts w:hint="eastAsia"/>
                      <w:color w:val="auto"/>
                      <w:sz w:val="21"/>
                      <w:szCs w:val="21"/>
                    </w:rPr>
                    <w:t>0.134</w:t>
                  </w:r>
                </w:p>
              </w:tc>
              <w:tc>
                <w:tcPr>
                  <w:tcW w:w="1110" w:type="pct"/>
                  <w:vAlign w:val="center"/>
                </w:tcPr>
                <w:p w14:paraId="7F2305DA">
                  <w:pPr>
                    <w:adjustRightInd w:val="0"/>
                    <w:snapToGrid w:val="0"/>
                    <w:jc w:val="center"/>
                    <w:rPr>
                      <w:color w:val="auto"/>
                      <w:sz w:val="21"/>
                      <w:szCs w:val="21"/>
                    </w:rPr>
                  </w:pPr>
                  <w:r>
                    <w:rPr>
                      <w:rFonts w:hint="eastAsia"/>
                      <w:color w:val="auto"/>
                      <w:sz w:val="21"/>
                      <w:szCs w:val="21"/>
                    </w:rPr>
                    <w:t>0.059</w:t>
                  </w:r>
                </w:p>
              </w:tc>
              <w:tc>
                <w:tcPr>
                  <w:tcW w:w="1110" w:type="pct"/>
                  <w:vAlign w:val="center"/>
                </w:tcPr>
                <w:p w14:paraId="67306416">
                  <w:pPr>
                    <w:adjustRightInd w:val="0"/>
                    <w:snapToGrid w:val="0"/>
                    <w:jc w:val="center"/>
                    <w:rPr>
                      <w:color w:val="auto"/>
                      <w:sz w:val="21"/>
                      <w:szCs w:val="21"/>
                    </w:rPr>
                  </w:pPr>
                  <w:r>
                    <w:rPr>
                      <w:rFonts w:hint="eastAsia"/>
                      <w:color w:val="auto"/>
                      <w:sz w:val="21"/>
                      <w:szCs w:val="21"/>
                    </w:rPr>
                    <w:t>2.2</w:t>
                  </w:r>
                </w:p>
              </w:tc>
            </w:tr>
            <w:tr w14:paraId="5CC20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75B3029C">
                  <w:pPr>
                    <w:adjustRightInd w:val="0"/>
                    <w:snapToGrid w:val="0"/>
                    <w:jc w:val="center"/>
                    <w:rPr>
                      <w:color w:val="auto"/>
                      <w:sz w:val="21"/>
                      <w:szCs w:val="21"/>
                      <w:highlight w:val="yellow"/>
                    </w:rPr>
                  </w:pPr>
                </w:p>
              </w:tc>
              <w:tc>
                <w:tcPr>
                  <w:tcW w:w="420" w:type="pct"/>
                  <w:vMerge w:val="continue"/>
                  <w:vAlign w:val="center"/>
                </w:tcPr>
                <w:p w14:paraId="7F03F624">
                  <w:pPr>
                    <w:adjustRightInd w:val="0"/>
                    <w:snapToGrid w:val="0"/>
                    <w:jc w:val="center"/>
                    <w:rPr>
                      <w:color w:val="auto"/>
                      <w:sz w:val="21"/>
                      <w:szCs w:val="21"/>
                    </w:rPr>
                  </w:pPr>
                </w:p>
              </w:tc>
              <w:tc>
                <w:tcPr>
                  <w:tcW w:w="939" w:type="pct"/>
                  <w:vAlign w:val="center"/>
                </w:tcPr>
                <w:p w14:paraId="52729B5B">
                  <w:pPr>
                    <w:adjustRightInd w:val="0"/>
                    <w:snapToGrid w:val="0"/>
                    <w:jc w:val="center"/>
                    <w:rPr>
                      <w:color w:val="auto"/>
                      <w:sz w:val="21"/>
                      <w:szCs w:val="21"/>
                    </w:rPr>
                  </w:pPr>
                  <w:r>
                    <w:rPr>
                      <w:rFonts w:hint="eastAsia"/>
                      <w:color w:val="auto"/>
                      <w:sz w:val="21"/>
                      <w:szCs w:val="21"/>
                    </w:rPr>
                    <w:t>14:00-15:00</w:t>
                  </w:r>
                </w:p>
              </w:tc>
              <w:tc>
                <w:tcPr>
                  <w:tcW w:w="1110" w:type="pct"/>
                  <w:vAlign w:val="center"/>
                </w:tcPr>
                <w:p w14:paraId="40146975">
                  <w:pPr>
                    <w:adjustRightInd w:val="0"/>
                    <w:snapToGrid w:val="0"/>
                    <w:jc w:val="center"/>
                    <w:rPr>
                      <w:color w:val="auto"/>
                      <w:sz w:val="21"/>
                      <w:szCs w:val="21"/>
                    </w:rPr>
                  </w:pPr>
                  <w:r>
                    <w:rPr>
                      <w:rFonts w:hint="eastAsia"/>
                      <w:color w:val="auto"/>
                      <w:sz w:val="21"/>
                      <w:szCs w:val="21"/>
                    </w:rPr>
                    <w:t>0.134</w:t>
                  </w:r>
                </w:p>
              </w:tc>
              <w:tc>
                <w:tcPr>
                  <w:tcW w:w="1110" w:type="pct"/>
                  <w:vAlign w:val="center"/>
                </w:tcPr>
                <w:p w14:paraId="057ABE14">
                  <w:pPr>
                    <w:adjustRightInd w:val="0"/>
                    <w:snapToGrid w:val="0"/>
                    <w:jc w:val="center"/>
                    <w:rPr>
                      <w:color w:val="auto"/>
                      <w:sz w:val="21"/>
                      <w:szCs w:val="21"/>
                    </w:rPr>
                  </w:pPr>
                  <w:r>
                    <w:rPr>
                      <w:rFonts w:hint="eastAsia"/>
                      <w:color w:val="auto"/>
                      <w:sz w:val="21"/>
                      <w:szCs w:val="21"/>
                    </w:rPr>
                    <w:t>0.062</w:t>
                  </w:r>
                </w:p>
              </w:tc>
              <w:tc>
                <w:tcPr>
                  <w:tcW w:w="1110" w:type="pct"/>
                  <w:vAlign w:val="center"/>
                </w:tcPr>
                <w:p w14:paraId="07292E96">
                  <w:pPr>
                    <w:adjustRightInd w:val="0"/>
                    <w:snapToGrid w:val="0"/>
                    <w:jc w:val="center"/>
                    <w:rPr>
                      <w:color w:val="auto"/>
                      <w:sz w:val="21"/>
                      <w:szCs w:val="21"/>
                    </w:rPr>
                  </w:pPr>
                  <w:r>
                    <w:rPr>
                      <w:rFonts w:hint="eastAsia"/>
                      <w:color w:val="auto"/>
                      <w:sz w:val="21"/>
                      <w:szCs w:val="21"/>
                    </w:rPr>
                    <w:t>2.2</w:t>
                  </w:r>
                </w:p>
              </w:tc>
            </w:tr>
            <w:tr w14:paraId="417A0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7DF657A8">
                  <w:pPr>
                    <w:adjustRightInd w:val="0"/>
                    <w:snapToGrid w:val="0"/>
                    <w:jc w:val="center"/>
                    <w:rPr>
                      <w:color w:val="auto"/>
                      <w:sz w:val="21"/>
                      <w:szCs w:val="21"/>
                      <w:highlight w:val="yellow"/>
                    </w:rPr>
                  </w:pPr>
                </w:p>
              </w:tc>
              <w:tc>
                <w:tcPr>
                  <w:tcW w:w="420" w:type="pct"/>
                  <w:vMerge w:val="continue"/>
                  <w:vAlign w:val="center"/>
                </w:tcPr>
                <w:p w14:paraId="3C2FCAE4">
                  <w:pPr>
                    <w:adjustRightInd w:val="0"/>
                    <w:snapToGrid w:val="0"/>
                    <w:jc w:val="center"/>
                    <w:rPr>
                      <w:color w:val="auto"/>
                      <w:sz w:val="21"/>
                      <w:szCs w:val="21"/>
                    </w:rPr>
                  </w:pPr>
                </w:p>
              </w:tc>
              <w:tc>
                <w:tcPr>
                  <w:tcW w:w="939" w:type="pct"/>
                  <w:vAlign w:val="center"/>
                </w:tcPr>
                <w:p w14:paraId="3DDAF738">
                  <w:pPr>
                    <w:adjustRightInd w:val="0"/>
                    <w:snapToGrid w:val="0"/>
                    <w:jc w:val="center"/>
                    <w:rPr>
                      <w:color w:val="auto"/>
                      <w:sz w:val="21"/>
                      <w:szCs w:val="21"/>
                    </w:rPr>
                  </w:pPr>
                  <w:r>
                    <w:rPr>
                      <w:rFonts w:hint="eastAsia"/>
                      <w:color w:val="auto"/>
                      <w:sz w:val="21"/>
                      <w:szCs w:val="21"/>
                    </w:rPr>
                    <w:t>20:00-21:00</w:t>
                  </w:r>
                </w:p>
              </w:tc>
              <w:tc>
                <w:tcPr>
                  <w:tcW w:w="1110" w:type="pct"/>
                  <w:vAlign w:val="center"/>
                </w:tcPr>
                <w:p w14:paraId="0D3AE576">
                  <w:pPr>
                    <w:adjustRightInd w:val="0"/>
                    <w:snapToGrid w:val="0"/>
                    <w:jc w:val="center"/>
                    <w:rPr>
                      <w:color w:val="auto"/>
                      <w:sz w:val="21"/>
                      <w:szCs w:val="21"/>
                    </w:rPr>
                  </w:pPr>
                  <w:r>
                    <w:rPr>
                      <w:rFonts w:hint="eastAsia"/>
                      <w:color w:val="auto"/>
                      <w:sz w:val="21"/>
                      <w:szCs w:val="21"/>
                    </w:rPr>
                    <w:t>0.167</w:t>
                  </w:r>
                </w:p>
              </w:tc>
              <w:tc>
                <w:tcPr>
                  <w:tcW w:w="1110" w:type="pct"/>
                  <w:vAlign w:val="center"/>
                </w:tcPr>
                <w:p w14:paraId="3300790A">
                  <w:pPr>
                    <w:adjustRightInd w:val="0"/>
                    <w:snapToGrid w:val="0"/>
                    <w:jc w:val="center"/>
                    <w:rPr>
                      <w:color w:val="auto"/>
                      <w:sz w:val="21"/>
                      <w:szCs w:val="21"/>
                    </w:rPr>
                  </w:pPr>
                  <w:r>
                    <w:rPr>
                      <w:rFonts w:hint="eastAsia"/>
                      <w:color w:val="auto"/>
                      <w:sz w:val="21"/>
                      <w:szCs w:val="21"/>
                    </w:rPr>
                    <w:t>0.052</w:t>
                  </w:r>
                </w:p>
              </w:tc>
              <w:tc>
                <w:tcPr>
                  <w:tcW w:w="1110" w:type="pct"/>
                  <w:vAlign w:val="center"/>
                </w:tcPr>
                <w:p w14:paraId="081A85C3">
                  <w:pPr>
                    <w:adjustRightInd w:val="0"/>
                    <w:snapToGrid w:val="0"/>
                    <w:jc w:val="center"/>
                    <w:rPr>
                      <w:color w:val="auto"/>
                      <w:sz w:val="21"/>
                      <w:szCs w:val="21"/>
                    </w:rPr>
                  </w:pPr>
                  <w:r>
                    <w:rPr>
                      <w:rFonts w:hint="eastAsia"/>
                      <w:color w:val="auto"/>
                      <w:sz w:val="21"/>
                      <w:szCs w:val="21"/>
                    </w:rPr>
                    <w:t>2.3</w:t>
                  </w:r>
                </w:p>
              </w:tc>
            </w:tr>
            <w:tr w14:paraId="7364B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60D4CF29">
                  <w:pPr>
                    <w:adjustRightInd w:val="0"/>
                    <w:snapToGrid w:val="0"/>
                    <w:jc w:val="center"/>
                    <w:rPr>
                      <w:color w:val="auto"/>
                      <w:sz w:val="21"/>
                      <w:szCs w:val="21"/>
                      <w:highlight w:val="yellow"/>
                    </w:rPr>
                  </w:pPr>
                </w:p>
              </w:tc>
              <w:tc>
                <w:tcPr>
                  <w:tcW w:w="420" w:type="pct"/>
                  <w:vMerge w:val="restart"/>
                  <w:vAlign w:val="center"/>
                </w:tcPr>
                <w:p w14:paraId="3FDF8A08">
                  <w:pPr>
                    <w:adjustRightInd w:val="0"/>
                    <w:snapToGrid w:val="0"/>
                    <w:jc w:val="center"/>
                    <w:rPr>
                      <w:color w:val="auto"/>
                      <w:sz w:val="21"/>
                      <w:szCs w:val="21"/>
                    </w:rPr>
                  </w:pPr>
                  <w:r>
                    <w:rPr>
                      <w:rFonts w:hint="eastAsia"/>
                      <w:color w:val="auto"/>
                      <w:sz w:val="21"/>
                      <w:szCs w:val="21"/>
                    </w:rPr>
                    <w:t>2023.05.27</w:t>
                  </w:r>
                </w:p>
              </w:tc>
              <w:tc>
                <w:tcPr>
                  <w:tcW w:w="939" w:type="pct"/>
                  <w:vAlign w:val="center"/>
                </w:tcPr>
                <w:p w14:paraId="7EADDE35">
                  <w:pPr>
                    <w:adjustRightInd w:val="0"/>
                    <w:snapToGrid w:val="0"/>
                    <w:jc w:val="center"/>
                    <w:rPr>
                      <w:color w:val="auto"/>
                      <w:sz w:val="21"/>
                      <w:szCs w:val="21"/>
                    </w:rPr>
                  </w:pPr>
                  <w:r>
                    <w:rPr>
                      <w:rFonts w:hint="eastAsia"/>
                      <w:color w:val="auto"/>
                      <w:sz w:val="21"/>
                      <w:szCs w:val="21"/>
                    </w:rPr>
                    <w:t>02:00-03:00</w:t>
                  </w:r>
                </w:p>
              </w:tc>
              <w:tc>
                <w:tcPr>
                  <w:tcW w:w="1110" w:type="pct"/>
                  <w:vAlign w:val="center"/>
                </w:tcPr>
                <w:p w14:paraId="76B6F228">
                  <w:pPr>
                    <w:adjustRightInd w:val="0"/>
                    <w:snapToGrid w:val="0"/>
                    <w:jc w:val="center"/>
                    <w:rPr>
                      <w:color w:val="auto"/>
                      <w:sz w:val="21"/>
                      <w:szCs w:val="21"/>
                    </w:rPr>
                  </w:pPr>
                  <w:r>
                    <w:rPr>
                      <w:rFonts w:hint="eastAsia"/>
                      <w:color w:val="auto"/>
                      <w:sz w:val="21"/>
                      <w:szCs w:val="21"/>
                    </w:rPr>
                    <w:t>0.150</w:t>
                  </w:r>
                </w:p>
              </w:tc>
              <w:tc>
                <w:tcPr>
                  <w:tcW w:w="1110" w:type="pct"/>
                  <w:vAlign w:val="center"/>
                </w:tcPr>
                <w:p w14:paraId="73419E0E">
                  <w:pPr>
                    <w:adjustRightInd w:val="0"/>
                    <w:snapToGrid w:val="0"/>
                    <w:jc w:val="center"/>
                    <w:rPr>
                      <w:color w:val="auto"/>
                      <w:sz w:val="21"/>
                      <w:szCs w:val="21"/>
                    </w:rPr>
                  </w:pPr>
                  <w:r>
                    <w:rPr>
                      <w:rFonts w:hint="eastAsia"/>
                      <w:color w:val="auto"/>
                      <w:sz w:val="21"/>
                      <w:szCs w:val="21"/>
                    </w:rPr>
                    <w:t>0.055</w:t>
                  </w:r>
                </w:p>
              </w:tc>
              <w:tc>
                <w:tcPr>
                  <w:tcW w:w="1110" w:type="pct"/>
                  <w:vAlign w:val="center"/>
                </w:tcPr>
                <w:p w14:paraId="5E49E072">
                  <w:pPr>
                    <w:adjustRightInd w:val="0"/>
                    <w:snapToGrid w:val="0"/>
                    <w:jc w:val="center"/>
                    <w:rPr>
                      <w:color w:val="auto"/>
                      <w:sz w:val="21"/>
                      <w:szCs w:val="21"/>
                    </w:rPr>
                  </w:pPr>
                  <w:r>
                    <w:rPr>
                      <w:rFonts w:hint="eastAsia"/>
                      <w:color w:val="auto"/>
                      <w:sz w:val="21"/>
                      <w:szCs w:val="21"/>
                    </w:rPr>
                    <w:t>2.3</w:t>
                  </w:r>
                </w:p>
              </w:tc>
            </w:tr>
            <w:tr w14:paraId="4FB87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2E680419">
                  <w:pPr>
                    <w:adjustRightInd w:val="0"/>
                    <w:snapToGrid w:val="0"/>
                    <w:jc w:val="center"/>
                    <w:rPr>
                      <w:color w:val="auto"/>
                      <w:sz w:val="21"/>
                      <w:szCs w:val="21"/>
                      <w:highlight w:val="yellow"/>
                    </w:rPr>
                  </w:pPr>
                </w:p>
              </w:tc>
              <w:tc>
                <w:tcPr>
                  <w:tcW w:w="420" w:type="pct"/>
                  <w:vMerge w:val="continue"/>
                  <w:vAlign w:val="center"/>
                </w:tcPr>
                <w:p w14:paraId="50AB9B7E">
                  <w:pPr>
                    <w:adjustRightInd w:val="0"/>
                    <w:snapToGrid w:val="0"/>
                    <w:jc w:val="center"/>
                    <w:rPr>
                      <w:color w:val="auto"/>
                      <w:sz w:val="21"/>
                      <w:szCs w:val="21"/>
                    </w:rPr>
                  </w:pPr>
                </w:p>
              </w:tc>
              <w:tc>
                <w:tcPr>
                  <w:tcW w:w="939" w:type="pct"/>
                  <w:vAlign w:val="center"/>
                </w:tcPr>
                <w:p w14:paraId="66225388">
                  <w:pPr>
                    <w:adjustRightInd w:val="0"/>
                    <w:snapToGrid w:val="0"/>
                    <w:jc w:val="center"/>
                    <w:rPr>
                      <w:color w:val="auto"/>
                      <w:sz w:val="21"/>
                      <w:szCs w:val="21"/>
                    </w:rPr>
                  </w:pPr>
                  <w:r>
                    <w:rPr>
                      <w:rFonts w:hint="eastAsia"/>
                      <w:color w:val="auto"/>
                      <w:sz w:val="21"/>
                      <w:szCs w:val="21"/>
                    </w:rPr>
                    <w:t>08:00-09:00</w:t>
                  </w:r>
                </w:p>
              </w:tc>
              <w:tc>
                <w:tcPr>
                  <w:tcW w:w="1110" w:type="pct"/>
                  <w:vAlign w:val="center"/>
                </w:tcPr>
                <w:p w14:paraId="5CCB6A20">
                  <w:pPr>
                    <w:adjustRightInd w:val="0"/>
                    <w:snapToGrid w:val="0"/>
                    <w:jc w:val="center"/>
                    <w:rPr>
                      <w:color w:val="auto"/>
                      <w:sz w:val="21"/>
                      <w:szCs w:val="21"/>
                    </w:rPr>
                  </w:pPr>
                  <w:r>
                    <w:rPr>
                      <w:rFonts w:hint="eastAsia"/>
                      <w:color w:val="auto"/>
                      <w:sz w:val="21"/>
                      <w:szCs w:val="21"/>
                    </w:rPr>
                    <w:t>0.167</w:t>
                  </w:r>
                </w:p>
              </w:tc>
              <w:tc>
                <w:tcPr>
                  <w:tcW w:w="1110" w:type="pct"/>
                  <w:vAlign w:val="center"/>
                </w:tcPr>
                <w:p w14:paraId="76D9D74A">
                  <w:pPr>
                    <w:adjustRightInd w:val="0"/>
                    <w:snapToGrid w:val="0"/>
                    <w:jc w:val="center"/>
                    <w:rPr>
                      <w:color w:val="auto"/>
                      <w:sz w:val="21"/>
                      <w:szCs w:val="21"/>
                    </w:rPr>
                  </w:pPr>
                  <w:r>
                    <w:rPr>
                      <w:rFonts w:hint="eastAsia"/>
                      <w:color w:val="auto"/>
                      <w:sz w:val="21"/>
                      <w:szCs w:val="21"/>
                    </w:rPr>
                    <w:t>0.057</w:t>
                  </w:r>
                </w:p>
              </w:tc>
              <w:tc>
                <w:tcPr>
                  <w:tcW w:w="1110" w:type="pct"/>
                  <w:vAlign w:val="center"/>
                </w:tcPr>
                <w:p w14:paraId="7673AA1C">
                  <w:pPr>
                    <w:adjustRightInd w:val="0"/>
                    <w:snapToGrid w:val="0"/>
                    <w:jc w:val="center"/>
                    <w:rPr>
                      <w:color w:val="auto"/>
                      <w:sz w:val="21"/>
                      <w:szCs w:val="21"/>
                    </w:rPr>
                  </w:pPr>
                  <w:r>
                    <w:rPr>
                      <w:rFonts w:hint="eastAsia"/>
                      <w:color w:val="auto"/>
                      <w:sz w:val="21"/>
                      <w:szCs w:val="21"/>
                    </w:rPr>
                    <w:t>2.2</w:t>
                  </w:r>
                </w:p>
              </w:tc>
            </w:tr>
            <w:tr w14:paraId="68AEF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5CB23AB4">
                  <w:pPr>
                    <w:adjustRightInd w:val="0"/>
                    <w:snapToGrid w:val="0"/>
                    <w:jc w:val="center"/>
                    <w:rPr>
                      <w:color w:val="auto"/>
                      <w:sz w:val="21"/>
                      <w:szCs w:val="21"/>
                      <w:highlight w:val="yellow"/>
                    </w:rPr>
                  </w:pPr>
                </w:p>
              </w:tc>
              <w:tc>
                <w:tcPr>
                  <w:tcW w:w="420" w:type="pct"/>
                  <w:vMerge w:val="continue"/>
                  <w:vAlign w:val="center"/>
                </w:tcPr>
                <w:p w14:paraId="7C6FC20A">
                  <w:pPr>
                    <w:adjustRightInd w:val="0"/>
                    <w:snapToGrid w:val="0"/>
                    <w:jc w:val="center"/>
                    <w:rPr>
                      <w:color w:val="auto"/>
                      <w:sz w:val="21"/>
                      <w:szCs w:val="21"/>
                    </w:rPr>
                  </w:pPr>
                </w:p>
              </w:tc>
              <w:tc>
                <w:tcPr>
                  <w:tcW w:w="939" w:type="pct"/>
                  <w:vAlign w:val="center"/>
                </w:tcPr>
                <w:p w14:paraId="3295E7F9">
                  <w:pPr>
                    <w:adjustRightInd w:val="0"/>
                    <w:snapToGrid w:val="0"/>
                    <w:jc w:val="center"/>
                    <w:rPr>
                      <w:color w:val="auto"/>
                      <w:sz w:val="21"/>
                      <w:szCs w:val="21"/>
                    </w:rPr>
                  </w:pPr>
                  <w:r>
                    <w:rPr>
                      <w:rFonts w:hint="eastAsia"/>
                      <w:color w:val="auto"/>
                      <w:sz w:val="21"/>
                      <w:szCs w:val="21"/>
                    </w:rPr>
                    <w:t>14:00-15:00</w:t>
                  </w:r>
                </w:p>
              </w:tc>
              <w:tc>
                <w:tcPr>
                  <w:tcW w:w="1110" w:type="pct"/>
                  <w:vAlign w:val="center"/>
                </w:tcPr>
                <w:p w14:paraId="2D8C88E5">
                  <w:pPr>
                    <w:adjustRightInd w:val="0"/>
                    <w:snapToGrid w:val="0"/>
                    <w:jc w:val="center"/>
                    <w:rPr>
                      <w:color w:val="auto"/>
                      <w:sz w:val="21"/>
                      <w:szCs w:val="21"/>
                    </w:rPr>
                  </w:pPr>
                  <w:r>
                    <w:rPr>
                      <w:rFonts w:hint="eastAsia"/>
                      <w:color w:val="auto"/>
                      <w:sz w:val="21"/>
                      <w:szCs w:val="21"/>
                    </w:rPr>
                    <w:t>0.134</w:t>
                  </w:r>
                </w:p>
              </w:tc>
              <w:tc>
                <w:tcPr>
                  <w:tcW w:w="1110" w:type="pct"/>
                  <w:vAlign w:val="center"/>
                </w:tcPr>
                <w:p w14:paraId="65923EA9">
                  <w:pPr>
                    <w:adjustRightInd w:val="0"/>
                    <w:snapToGrid w:val="0"/>
                    <w:jc w:val="center"/>
                    <w:rPr>
                      <w:color w:val="auto"/>
                      <w:sz w:val="21"/>
                      <w:szCs w:val="21"/>
                    </w:rPr>
                  </w:pPr>
                  <w:r>
                    <w:rPr>
                      <w:rFonts w:hint="eastAsia"/>
                      <w:color w:val="auto"/>
                      <w:sz w:val="21"/>
                      <w:szCs w:val="21"/>
                    </w:rPr>
                    <w:t>0.056</w:t>
                  </w:r>
                </w:p>
              </w:tc>
              <w:tc>
                <w:tcPr>
                  <w:tcW w:w="1110" w:type="pct"/>
                  <w:vAlign w:val="center"/>
                </w:tcPr>
                <w:p w14:paraId="33CD621C">
                  <w:pPr>
                    <w:adjustRightInd w:val="0"/>
                    <w:snapToGrid w:val="0"/>
                    <w:jc w:val="center"/>
                    <w:rPr>
                      <w:color w:val="auto"/>
                      <w:sz w:val="21"/>
                      <w:szCs w:val="21"/>
                    </w:rPr>
                  </w:pPr>
                  <w:r>
                    <w:rPr>
                      <w:rFonts w:hint="eastAsia"/>
                      <w:color w:val="auto"/>
                      <w:sz w:val="21"/>
                      <w:szCs w:val="21"/>
                    </w:rPr>
                    <w:t>2.2</w:t>
                  </w:r>
                </w:p>
              </w:tc>
            </w:tr>
            <w:tr w14:paraId="18D8D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4AA02E61">
                  <w:pPr>
                    <w:adjustRightInd w:val="0"/>
                    <w:snapToGrid w:val="0"/>
                    <w:jc w:val="center"/>
                    <w:rPr>
                      <w:color w:val="auto"/>
                      <w:sz w:val="21"/>
                      <w:szCs w:val="21"/>
                      <w:highlight w:val="yellow"/>
                    </w:rPr>
                  </w:pPr>
                </w:p>
              </w:tc>
              <w:tc>
                <w:tcPr>
                  <w:tcW w:w="420" w:type="pct"/>
                  <w:vMerge w:val="continue"/>
                  <w:vAlign w:val="center"/>
                </w:tcPr>
                <w:p w14:paraId="6DC875D7">
                  <w:pPr>
                    <w:adjustRightInd w:val="0"/>
                    <w:snapToGrid w:val="0"/>
                    <w:jc w:val="center"/>
                    <w:rPr>
                      <w:color w:val="auto"/>
                      <w:sz w:val="21"/>
                      <w:szCs w:val="21"/>
                    </w:rPr>
                  </w:pPr>
                </w:p>
              </w:tc>
              <w:tc>
                <w:tcPr>
                  <w:tcW w:w="939" w:type="pct"/>
                  <w:vAlign w:val="center"/>
                </w:tcPr>
                <w:p w14:paraId="600D51EA">
                  <w:pPr>
                    <w:adjustRightInd w:val="0"/>
                    <w:snapToGrid w:val="0"/>
                    <w:jc w:val="center"/>
                    <w:rPr>
                      <w:color w:val="auto"/>
                      <w:sz w:val="21"/>
                      <w:szCs w:val="21"/>
                    </w:rPr>
                  </w:pPr>
                  <w:r>
                    <w:rPr>
                      <w:rFonts w:hint="eastAsia"/>
                      <w:color w:val="auto"/>
                      <w:sz w:val="21"/>
                      <w:szCs w:val="21"/>
                    </w:rPr>
                    <w:t>20:00-21:00</w:t>
                  </w:r>
                </w:p>
              </w:tc>
              <w:tc>
                <w:tcPr>
                  <w:tcW w:w="1110" w:type="pct"/>
                  <w:vAlign w:val="center"/>
                </w:tcPr>
                <w:p w14:paraId="2AE3C729">
                  <w:pPr>
                    <w:adjustRightInd w:val="0"/>
                    <w:snapToGrid w:val="0"/>
                    <w:jc w:val="center"/>
                    <w:rPr>
                      <w:color w:val="auto"/>
                      <w:sz w:val="21"/>
                      <w:szCs w:val="21"/>
                    </w:rPr>
                  </w:pPr>
                  <w:r>
                    <w:rPr>
                      <w:rFonts w:hint="eastAsia"/>
                      <w:color w:val="auto"/>
                      <w:sz w:val="21"/>
                      <w:szCs w:val="21"/>
                    </w:rPr>
                    <w:t>0.134</w:t>
                  </w:r>
                </w:p>
              </w:tc>
              <w:tc>
                <w:tcPr>
                  <w:tcW w:w="1110" w:type="pct"/>
                  <w:vAlign w:val="center"/>
                </w:tcPr>
                <w:p w14:paraId="1A8422DF">
                  <w:pPr>
                    <w:adjustRightInd w:val="0"/>
                    <w:snapToGrid w:val="0"/>
                    <w:jc w:val="center"/>
                    <w:rPr>
                      <w:color w:val="auto"/>
                      <w:sz w:val="21"/>
                      <w:szCs w:val="21"/>
                    </w:rPr>
                  </w:pPr>
                  <w:r>
                    <w:rPr>
                      <w:rFonts w:hint="eastAsia"/>
                      <w:color w:val="auto"/>
                      <w:sz w:val="21"/>
                      <w:szCs w:val="21"/>
                    </w:rPr>
                    <w:t>0.055</w:t>
                  </w:r>
                </w:p>
              </w:tc>
              <w:tc>
                <w:tcPr>
                  <w:tcW w:w="1110" w:type="pct"/>
                  <w:vAlign w:val="center"/>
                </w:tcPr>
                <w:p w14:paraId="5488AFB1">
                  <w:pPr>
                    <w:adjustRightInd w:val="0"/>
                    <w:snapToGrid w:val="0"/>
                    <w:jc w:val="center"/>
                    <w:rPr>
                      <w:color w:val="auto"/>
                      <w:sz w:val="21"/>
                      <w:szCs w:val="21"/>
                    </w:rPr>
                  </w:pPr>
                  <w:r>
                    <w:rPr>
                      <w:rFonts w:hint="eastAsia"/>
                      <w:color w:val="auto"/>
                      <w:sz w:val="21"/>
                      <w:szCs w:val="21"/>
                    </w:rPr>
                    <w:t>2.3</w:t>
                  </w:r>
                </w:p>
              </w:tc>
            </w:tr>
            <w:tr w14:paraId="5E8FD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6A6271B5">
                  <w:pPr>
                    <w:adjustRightInd w:val="0"/>
                    <w:snapToGrid w:val="0"/>
                    <w:jc w:val="center"/>
                    <w:rPr>
                      <w:color w:val="auto"/>
                      <w:sz w:val="21"/>
                      <w:szCs w:val="21"/>
                      <w:highlight w:val="yellow"/>
                    </w:rPr>
                  </w:pPr>
                </w:p>
              </w:tc>
              <w:tc>
                <w:tcPr>
                  <w:tcW w:w="420" w:type="pct"/>
                  <w:vMerge w:val="restart"/>
                  <w:vAlign w:val="center"/>
                </w:tcPr>
                <w:p w14:paraId="6DD5CB85">
                  <w:pPr>
                    <w:adjustRightInd w:val="0"/>
                    <w:snapToGrid w:val="0"/>
                    <w:jc w:val="center"/>
                    <w:rPr>
                      <w:color w:val="auto"/>
                      <w:sz w:val="21"/>
                      <w:szCs w:val="21"/>
                    </w:rPr>
                  </w:pPr>
                  <w:r>
                    <w:rPr>
                      <w:rFonts w:hint="eastAsia"/>
                      <w:color w:val="auto"/>
                      <w:sz w:val="21"/>
                      <w:szCs w:val="21"/>
                    </w:rPr>
                    <w:t>2023.05.28</w:t>
                  </w:r>
                </w:p>
              </w:tc>
              <w:tc>
                <w:tcPr>
                  <w:tcW w:w="939" w:type="pct"/>
                  <w:vAlign w:val="center"/>
                </w:tcPr>
                <w:p w14:paraId="42939757">
                  <w:pPr>
                    <w:adjustRightInd w:val="0"/>
                    <w:snapToGrid w:val="0"/>
                    <w:jc w:val="center"/>
                    <w:rPr>
                      <w:color w:val="auto"/>
                      <w:sz w:val="21"/>
                      <w:szCs w:val="21"/>
                    </w:rPr>
                  </w:pPr>
                  <w:r>
                    <w:rPr>
                      <w:rFonts w:hint="eastAsia"/>
                      <w:color w:val="auto"/>
                      <w:sz w:val="21"/>
                      <w:szCs w:val="21"/>
                    </w:rPr>
                    <w:t>02:00-03:00</w:t>
                  </w:r>
                </w:p>
              </w:tc>
              <w:tc>
                <w:tcPr>
                  <w:tcW w:w="1110" w:type="pct"/>
                  <w:vAlign w:val="center"/>
                </w:tcPr>
                <w:p w14:paraId="7B1EB317">
                  <w:pPr>
                    <w:adjustRightInd w:val="0"/>
                    <w:snapToGrid w:val="0"/>
                    <w:jc w:val="center"/>
                    <w:rPr>
                      <w:color w:val="auto"/>
                      <w:sz w:val="21"/>
                      <w:szCs w:val="21"/>
                    </w:rPr>
                  </w:pPr>
                  <w:r>
                    <w:rPr>
                      <w:rFonts w:hint="eastAsia"/>
                      <w:color w:val="auto"/>
                      <w:sz w:val="21"/>
                      <w:szCs w:val="21"/>
                    </w:rPr>
                    <w:t>0.150</w:t>
                  </w:r>
                </w:p>
              </w:tc>
              <w:tc>
                <w:tcPr>
                  <w:tcW w:w="1110" w:type="pct"/>
                  <w:vAlign w:val="center"/>
                </w:tcPr>
                <w:p w14:paraId="0086F7D3">
                  <w:pPr>
                    <w:adjustRightInd w:val="0"/>
                    <w:snapToGrid w:val="0"/>
                    <w:jc w:val="center"/>
                    <w:rPr>
                      <w:color w:val="auto"/>
                      <w:sz w:val="21"/>
                      <w:szCs w:val="21"/>
                    </w:rPr>
                  </w:pPr>
                  <w:r>
                    <w:rPr>
                      <w:rFonts w:hint="eastAsia"/>
                      <w:color w:val="auto"/>
                      <w:sz w:val="21"/>
                      <w:szCs w:val="21"/>
                    </w:rPr>
                    <w:t>0.059</w:t>
                  </w:r>
                </w:p>
              </w:tc>
              <w:tc>
                <w:tcPr>
                  <w:tcW w:w="1110" w:type="pct"/>
                  <w:vAlign w:val="center"/>
                </w:tcPr>
                <w:p w14:paraId="45765475">
                  <w:pPr>
                    <w:adjustRightInd w:val="0"/>
                    <w:snapToGrid w:val="0"/>
                    <w:jc w:val="center"/>
                    <w:rPr>
                      <w:color w:val="auto"/>
                      <w:sz w:val="21"/>
                      <w:szCs w:val="21"/>
                    </w:rPr>
                  </w:pPr>
                  <w:r>
                    <w:rPr>
                      <w:rFonts w:hint="eastAsia"/>
                      <w:color w:val="auto"/>
                      <w:sz w:val="21"/>
                      <w:szCs w:val="21"/>
                    </w:rPr>
                    <w:t>2.1</w:t>
                  </w:r>
                </w:p>
              </w:tc>
            </w:tr>
            <w:tr w14:paraId="3868D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224489DC">
                  <w:pPr>
                    <w:adjustRightInd w:val="0"/>
                    <w:snapToGrid w:val="0"/>
                    <w:jc w:val="center"/>
                    <w:rPr>
                      <w:color w:val="auto"/>
                      <w:sz w:val="21"/>
                      <w:szCs w:val="21"/>
                      <w:highlight w:val="yellow"/>
                    </w:rPr>
                  </w:pPr>
                </w:p>
              </w:tc>
              <w:tc>
                <w:tcPr>
                  <w:tcW w:w="420" w:type="pct"/>
                  <w:vMerge w:val="continue"/>
                  <w:vAlign w:val="center"/>
                </w:tcPr>
                <w:p w14:paraId="54971BCB">
                  <w:pPr>
                    <w:adjustRightInd w:val="0"/>
                    <w:snapToGrid w:val="0"/>
                    <w:jc w:val="center"/>
                    <w:rPr>
                      <w:color w:val="auto"/>
                      <w:sz w:val="21"/>
                      <w:szCs w:val="21"/>
                    </w:rPr>
                  </w:pPr>
                </w:p>
              </w:tc>
              <w:tc>
                <w:tcPr>
                  <w:tcW w:w="939" w:type="pct"/>
                  <w:vAlign w:val="center"/>
                </w:tcPr>
                <w:p w14:paraId="7C539650">
                  <w:pPr>
                    <w:adjustRightInd w:val="0"/>
                    <w:snapToGrid w:val="0"/>
                    <w:jc w:val="center"/>
                    <w:rPr>
                      <w:color w:val="auto"/>
                      <w:sz w:val="21"/>
                      <w:szCs w:val="21"/>
                    </w:rPr>
                  </w:pPr>
                  <w:r>
                    <w:rPr>
                      <w:rFonts w:hint="eastAsia"/>
                      <w:color w:val="auto"/>
                      <w:sz w:val="21"/>
                      <w:szCs w:val="21"/>
                    </w:rPr>
                    <w:t>08:00-09:00</w:t>
                  </w:r>
                </w:p>
              </w:tc>
              <w:tc>
                <w:tcPr>
                  <w:tcW w:w="1110" w:type="pct"/>
                  <w:vAlign w:val="center"/>
                </w:tcPr>
                <w:p w14:paraId="0729623E">
                  <w:pPr>
                    <w:adjustRightInd w:val="0"/>
                    <w:snapToGrid w:val="0"/>
                    <w:jc w:val="center"/>
                    <w:rPr>
                      <w:color w:val="auto"/>
                      <w:sz w:val="21"/>
                      <w:szCs w:val="21"/>
                    </w:rPr>
                  </w:pPr>
                  <w:r>
                    <w:rPr>
                      <w:rFonts w:hint="eastAsia"/>
                      <w:color w:val="auto"/>
                      <w:sz w:val="21"/>
                      <w:szCs w:val="21"/>
                    </w:rPr>
                    <w:t>0.134</w:t>
                  </w:r>
                </w:p>
              </w:tc>
              <w:tc>
                <w:tcPr>
                  <w:tcW w:w="1110" w:type="pct"/>
                  <w:vAlign w:val="center"/>
                </w:tcPr>
                <w:p w14:paraId="25FF3186">
                  <w:pPr>
                    <w:adjustRightInd w:val="0"/>
                    <w:snapToGrid w:val="0"/>
                    <w:jc w:val="center"/>
                    <w:rPr>
                      <w:color w:val="auto"/>
                      <w:sz w:val="21"/>
                      <w:szCs w:val="21"/>
                    </w:rPr>
                  </w:pPr>
                  <w:r>
                    <w:rPr>
                      <w:rFonts w:hint="eastAsia"/>
                      <w:color w:val="auto"/>
                      <w:sz w:val="21"/>
                      <w:szCs w:val="21"/>
                    </w:rPr>
                    <w:t>0.061</w:t>
                  </w:r>
                </w:p>
              </w:tc>
              <w:tc>
                <w:tcPr>
                  <w:tcW w:w="1110" w:type="pct"/>
                  <w:vAlign w:val="center"/>
                </w:tcPr>
                <w:p w14:paraId="7BF0451B">
                  <w:pPr>
                    <w:adjustRightInd w:val="0"/>
                    <w:snapToGrid w:val="0"/>
                    <w:jc w:val="center"/>
                    <w:rPr>
                      <w:color w:val="auto"/>
                      <w:sz w:val="21"/>
                      <w:szCs w:val="21"/>
                    </w:rPr>
                  </w:pPr>
                  <w:r>
                    <w:rPr>
                      <w:rFonts w:hint="eastAsia"/>
                      <w:color w:val="auto"/>
                      <w:sz w:val="21"/>
                      <w:szCs w:val="21"/>
                    </w:rPr>
                    <w:t>2.3</w:t>
                  </w:r>
                </w:p>
              </w:tc>
            </w:tr>
            <w:tr w14:paraId="7387A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6B736253">
                  <w:pPr>
                    <w:adjustRightInd w:val="0"/>
                    <w:snapToGrid w:val="0"/>
                    <w:jc w:val="center"/>
                    <w:rPr>
                      <w:color w:val="auto"/>
                      <w:sz w:val="21"/>
                      <w:szCs w:val="21"/>
                      <w:highlight w:val="yellow"/>
                    </w:rPr>
                  </w:pPr>
                </w:p>
              </w:tc>
              <w:tc>
                <w:tcPr>
                  <w:tcW w:w="420" w:type="pct"/>
                  <w:vMerge w:val="continue"/>
                  <w:vAlign w:val="center"/>
                </w:tcPr>
                <w:p w14:paraId="3247F09C">
                  <w:pPr>
                    <w:adjustRightInd w:val="0"/>
                    <w:snapToGrid w:val="0"/>
                    <w:jc w:val="center"/>
                    <w:rPr>
                      <w:color w:val="auto"/>
                      <w:sz w:val="21"/>
                      <w:szCs w:val="21"/>
                    </w:rPr>
                  </w:pPr>
                </w:p>
              </w:tc>
              <w:tc>
                <w:tcPr>
                  <w:tcW w:w="939" w:type="pct"/>
                  <w:vAlign w:val="center"/>
                </w:tcPr>
                <w:p w14:paraId="2EE767F9">
                  <w:pPr>
                    <w:adjustRightInd w:val="0"/>
                    <w:snapToGrid w:val="0"/>
                    <w:jc w:val="center"/>
                    <w:rPr>
                      <w:color w:val="auto"/>
                      <w:sz w:val="21"/>
                      <w:szCs w:val="21"/>
                    </w:rPr>
                  </w:pPr>
                  <w:r>
                    <w:rPr>
                      <w:rFonts w:hint="eastAsia"/>
                      <w:color w:val="auto"/>
                      <w:sz w:val="21"/>
                      <w:szCs w:val="21"/>
                    </w:rPr>
                    <w:t>14:00-15:00</w:t>
                  </w:r>
                </w:p>
              </w:tc>
              <w:tc>
                <w:tcPr>
                  <w:tcW w:w="1110" w:type="pct"/>
                  <w:vAlign w:val="center"/>
                </w:tcPr>
                <w:p w14:paraId="37B52C67">
                  <w:pPr>
                    <w:adjustRightInd w:val="0"/>
                    <w:snapToGrid w:val="0"/>
                    <w:jc w:val="center"/>
                    <w:rPr>
                      <w:color w:val="auto"/>
                      <w:sz w:val="21"/>
                      <w:szCs w:val="21"/>
                    </w:rPr>
                  </w:pPr>
                  <w:r>
                    <w:rPr>
                      <w:rFonts w:hint="eastAsia"/>
                      <w:color w:val="auto"/>
                      <w:sz w:val="21"/>
                      <w:szCs w:val="21"/>
                    </w:rPr>
                    <w:t>0.134</w:t>
                  </w:r>
                </w:p>
              </w:tc>
              <w:tc>
                <w:tcPr>
                  <w:tcW w:w="1110" w:type="pct"/>
                  <w:vAlign w:val="center"/>
                </w:tcPr>
                <w:p w14:paraId="3760EBF5">
                  <w:pPr>
                    <w:adjustRightInd w:val="0"/>
                    <w:snapToGrid w:val="0"/>
                    <w:jc w:val="center"/>
                    <w:rPr>
                      <w:color w:val="auto"/>
                      <w:sz w:val="21"/>
                      <w:szCs w:val="21"/>
                    </w:rPr>
                  </w:pPr>
                  <w:r>
                    <w:rPr>
                      <w:rFonts w:hint="eastAsia"/>
                      <w:color w:val="auto"/>
                      <w:sz w:val="21"/>
                      <w:szCs w:val="21"/>
                    </w:rPr>
                    <w:t>0.064</w:t>
                  </w:r>
                </w:p>
              </w:tc>
              <w:tc>
                <w:tcPr>
                  <w:tcW w:w="1110" w:type="pct"/>
                  <w:vAlign w:val="center"/>
                </w:tcPr>
                <w:p w14:paraId="481C767F">
                  <w:pPr>
                    <w:adjustRightInd w:val="0"/>
                    <w:snapToGrid w:val="0"/>
                    <w:jc w:val="center"/>
                    <w:rPr>
                      <w:color w:val="auto"/>
                      <w:sz w:val="21"/>
                      <w:szCs w:val="21"/>
                    </w:rPr>
                  </w:pPr>
                  <w:r>
                    <w:rPr>
                      <w:rFonts w:hint="eastAsia"/>
                      <w:color w:val="auto"/>
                      <w:sz w:val="21"/>
                      <w:szCs w:val="21"/>
                    </w:rPr>
                    <w:t>2.3</w:t>
                  </w:r>
                </w:p>
              </w:tc>
            </w:tr>
            <w:tr w14:paraId="2DC4E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00000321">
                  <w:pPr>
                    <w:adjustRightInd w:val="0"/>
                    <w:snapToGrid w:val="0"/>
                    <w:jc w:val="center"/>
                    <w:rPr>
                      <w:color w:val="auto"/>
                      <w:sz w:val="21"/>
                      <w:szCs w:val="21"/>
                      <w:highlight w:val="yellow"/>
                    </w:rPr>
                  </w:pPr>
                </w:p>
              </w:tc>
              <w:tc>
                <w:tcPr>
                  <w:tcW w:w="420" w:type="pct"/>
                  <w:vMerge w:val="continue"/>
                  <w:vAlign w:val="center"/>
                </w:tcPr>
                <w:p w14:paraId="24FEA969">
                  <w:pPr>
                    <w:adjustRightInd w:val="0"/>
                    <w:snapToGrid w:val="0"/>
                    <w:jc w:val="center"/>
                    <w:rPr>
                      <w:color w:val="auto"/>
                      <w:sz w:val="21"/>
                      <w:szCs w:val="21"/>
                    </w:rPr>
                  </w:pPr>
                </w:p>
              </w:tc>
              <w:tc>
                <w:tcPr>
                  <w:tcW w:w="939" w:type="pct"/>
                  <w:vAlign w:val="center"/>
                </w:tcPr>
                <w:p w14:paraId="67EDBCA0">
                  <w:pPr>
                    <w:adjustRightInd w:val="0"/>
                    <w:snapToGrid w:val="0"/>
                    <w:jc w:val="center"/>
                    <w:rPr>
                      <w:color w:val="auto"/>
                      <w:sz w:val="21"/>
                      <w:szCs w:val="21"/>
                    </w:rPr>
                  </w:pPr>
                  <w:r>
                    <w:rPr>
                      <w:rFonts w:hint="eastAsia"/>
                      <w:color w:val="auto"/>
                      <w:sz w:val="21"/>
                      <w:szCs w:val="21"/>
                    </w:rPr>
                    <w:t>20:00-21:00</w:t>
                  </w:r>
                </w:p>
              </w:tc>
              <w:tc>
                <w:tcPr>
                  <w:tcW w:w="1110" w:type="pct"/>
                  <w:vAlign w:val="center"/>
                </w:tcPr>
                <w:p w14:paraId="6500E9E6">
                  <w:pPr>
                    <w:adjustRightInd w:val="0"/>
                    <w:snapToGrid w:val="0"/>
                    <w:jc w:val="center"/>
                    <w:rPr>
                      <w:color w:val="auto"/>
                      <w:sz w:val="21"/>
                      <w:szCs w:val="21"/>
                    </w:rPr>
                  </w:pPr>
                  <w:r>
                    <w:rPr>
                      <w:rFonts w:hint="eastAsia"/>
                      <w:color w:val="auto"/>
                      <w:sz w:val="21"/>
                      <w:szCs w:val="21"/>
                    </w:rPr>
                    <w:t>0.150</w:t>
                  </w:r>
                </w:p>
              </w:tc>
              <w:tc>
                <w:tcPr>
                  <w:tcW w:w="1110" w:type="pct"/>
                  <w:vAlign w:val="center"/>
                </w:tcPr>
                <w:p w14:paraId="31E74D2E">
                  <w:pPr>
                    <w:adjustRightInd w:val="0"/>
                    <w:snapToGrid w:val="0"/>
                    <w:jc w:val="center"/>
                    <w:rPr>
                      <w:color w:val="auto"/>
                      <w:sz w:val="21"/>
                      <w:szCs w:val="21"/>
                    </w:rPr>
                  </w:pPr>
                  <w:r>
                    <w:rPr>
                      <w:rFonts w:hint="eastAsia"/>
                      <w:color w:val="auto"/>
                      <w:sz w:val="21"/>
                      <w:szCs w:val="21"/>
                    </w:rPr>
                    <w:t>0.058</w:t>
                  </w:r>
                </w:p>
              </w:tc>
              <w:tc>
                <w:tcPr>
                  <w:tcW w:w="1110" w:type="pct"/>
                  <w:vAlign w:val="center"/>
                </w:tcPr>
                <w:p w14:paraId="3E5B6299">
                  <w:pPr>
                    <w:adjustRightInd w:val="0"/>
                    <w:snapToGrid w:val="0"/>
                    <w:jc w:val="center"/>
                    <w:rPr>
                      <w:color w:val="auto"/>
                      <w:sz w:val="21"/>
                      <w:szCs w:val="21"/>
                    </w:rPr>
                  </w:pPr>
                  <w:r>
                    <w:rPr>
                      <w:rFonts w:hint="eastAsia"/>
                      <w:color w:val="auto"/>
                      <w:sz w:val="21"/>
                      <w:szCs w:val="21"/>
                    </w:rPr>
                    <w:t>2.2</w:t>
                  </w:r>
                </w:p>
              </w:tc>
            </w:tr>
            <w:tr w14:paraId="0AACF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0991A1E0">
                  <w:pPr>
                    <w:adjustRightInd w:val="0"/>
                    <w:snapToGrid w:val="0"/>
                    <w:jc w:val="center"/>
                    <w:rPr>
                      <w:color w:val="auto"/>
                      <w:sz w:val="21"/>
                      <w:szCs w:val="21"/>
                      <w:highlight w:val="yellow"/>
                    </w:rPr>
                  </w:pPr>
                </w:p>
              </w:tc>
              <w:tc>
                <w:tcPr>
                  <w:tcW w:w="420" w:type="pct"/>
                  <w:vMerge w:val="restart"/>
                  <w:vAlign w:val="center"/>
                </w:tcPr>
                <w:p w14:paraId="3601B482">
                  <w:pPr>
                    <w:adjustRightInd w:val="0"/>
                    <w:snapToGrid w:val="0"/>
                    <w:jc w:val="center"/>
                    <w:rPr>
                      <w:color w:val="auto"/>
                      <w:sz w:val="21"/>
                      <w:szCs w:val="21"/>
                    </w:rPr>
                  </w:pPr>
                  <w:r>
                    <w:rPr>
                      <w:rFonts w:hint="eastAsia"/>
                      <w:color w:val="auto"/>
                      <w:sz w:val="21"/>
                      <w:szCs w:val="21"/>
                    </w:rPr>
                    <w:t>2023.05.29</w:t>
                  </w:r>
                </w:p>
              </w:tc>
              <w:tc>
                <w:tcPr>
                  <w:tcW w:w="939" w:type="pct"/>
                  <w:vAlign w:val="center"/>
                </w:tcPr>
                <w:p w14:paraId="2E69BE36">
                  <w:pPr>
                    <w:adjustRightInd w:val="0"/>
                    <w:snapToGrid w:val="0"/>
                    <w:jc w:val="center"/>
                    <w:rPr>
                      <w:color w:val="auto"/>
                      <w:sz w:val="21"/>
                      <w:szCs w:val="21"/>
                    </w:rPr>
                  </w:pPr>
                  <w:r>
                    <w:rPr>
                      <w:rFonts w:hint="eastAsia"/>
                      <w:color w:val="auto"/>
                      <w:sz w:val="21"/>
                      <w:szCs w:val="21"/>
                    </w:rPr>
                    <w:t>02:00-03:00</w:t>
                  </w:r>
                </w:p>
              </w:tc>
              <w:tc>
                <w:tcPr>
                  <w:tcW w:w="1110" w:type="pct"/>
                  <w:vAlign w:val="center"/>
                </w:tcPr>
                <w:p w14:paraId="5E40EE0B">
                  <w:pPr>
                    <w:adjustRightInd w:val="0"/>
                    <w:snapToGrid w:val="0"/>
                    <w:jc w:val="center"/>
                    <w:rPr>
                      <w:color w:val="auto"/>
                      <w:sz w:val="21"/>
                      <w:szCs w:val="21"/>
                    </w:rPr>
                  </w:pPr>
                  <w:r>
                    <w:rPr>
                      <w:rFonts w:hint="eastAsia"/>
                      <w:color w:val="auto"/>
                      <w:sz w:val="21"/>
                      <w:szCs w:val="21"/>
                    </w:rPr>
                    <w:t>0.150</w:t>
                  </w:r>
                </w:p>
              </w:tc>
              <w:tc>
                <w:tcPr>
                  <w:tcW w:w="1110" w:type="pct"/>
                  <w:vAlign w:val="center"/>
                </w:tcPr>
                <w:p w14:paraId="37DA801B">
                  <w:pPr>
                    <w:adjustRightInd w:val="0"/>
                    <w:snapToGrid w:val="0"/>
                    <w:jc w:val="center"/>
                    <w:rPr>
                      <w:color w:val="auto"/>
                      <w:sz w:val="21"/>
                      <w:szCs w:val="21"/>
                    </w:rPr>
                  </w:pPr>
                  <w:r>
                    <w:rPr>
                      <w:rFonts w:hint="eastAsia"/>
                      <w:color w:val="auto"/>
                      <w:sz w:val="21"/>
                      <w:szCs w:val="21"/>
                    </w:rPr>
                    <w:t>0.064</w:t>
                  </w:r>
                </w:p>
              </w:tc>
              <w:tc>
                <w:tcPr>
                  <w:tcW w:w="1110" w:type="pct"/>
                  <w:vAlign w:val="center"/>
                </w:tcPr>
                <w:p w14:paraId="49124DC4">
                  <w:pPr>
                    <w:adjustRightInd w:val="0"/>
                    <w:snapToGrid w:val="0"/>
                    <w:jc w:val="center"/>
                    <w:rPr>
                      <w:color w:val="auto"/>
                      <w:sz w:val="21"/>
                      <w:szCs w:val="21"/>
                    </w:rPr>
                  </w:pPr>
                  <w:r>
                    <w:rPr>
                      <w:rFonts w:hint="eastAsia"/>
                      <w:color w:val="auto"/>
                      <w:sz w:val="21"/>
                      <w:szCs w:val="21"/>
                    </w:rPr>
                    <w:t>2.1</w:t>
                  </w:r>
                </w:p>
              </w:tc>
            </w:tr>
            <w:tr w14:paraId="05C7C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57FC0F29">
                  <w:pPr>
                    <w:adjustRightInd w:val="0"/>
                    <w:snapToGrid w:val="0"/>
                    <w:jc w:val="center"/>
                    <w:rPr>
                      <w:color w:val="auto"/>
                      <w:sz w:val="21"/>
                      <w:szCs w:val="21"/>
                      <w:highlight w:val="yellow"/>
                    </w:rPr>
                  </w:pPr>
                </w:p>
              </w:tc>
              <w:tc>
                <w:tcPr>
                  <w:tcW w:w="420" w:type="pct"/>
                  <w:vMerge w:val="continue"/>
                  <w:vAlign w:val="center"/>
                </w:tcPr>
                <w:p w14:paraId="5CDE4BC3">
                  <w:pPr>
                    <w:adjustRightInd w:val="0"/>
                    <w:snapToGrid w:val="0"/>
                    <w:jc w:val="center"/>
                    <w:rPr>
                      <w:color w:val="auto"/>
                      <w:sz w:val="21"/>
                      <w:szCs w:val="21"/>
                    </w:rPr>
                  </w:pPr>
                </w:p>
              </w:tc>
              <w:tc>
                <w:tcPr>
                  <w:tcW w:w="939" w:type="pct"/>
                  <w:vAlign w:val="center"/>
                </w:tcPr>
                <w:p w14:paraId="49DE1AAA">
                  <w:pPr>
                    <w:adjustRightInd w:val="0"/>
                    <w:snapToGrid w:val="0"/>
                    <w:jc w:val="center"/>
                    <w:rPr>
                      <w:color w:val="auto"/>
                      <w:sz w:val="21"/>
                      <w:szCs w:val="21"/>
                    </w:rPr>
                  </w:pPr>
                  <w:r>
                    <w:rPr>
                      <w:rFonts w:hint="eastAsia"/>
                      <w:color w:val="auto"/>
                      <w:sz w:val="21"/>
                      <w:szCs w:val="21"/>
                    </w:rPr>
                    <w:t>08:00-09:00</w:t>
                  </w:r>
                </w:p>
              </w:tc>
              <w:tc>
                <w:tcPr>
                  <w:tcW w:w="1110" w:type="pct"/>
                  <w:vAlign w:val="center"/>
                </w:tcPr>
                <w:p w14:paraId="458AF237">
                  <w:pPr>
                    <w:adjustRightInd w:val="0"/>
                    <w:snapToGrid w:val="0"/>
                    <w:jc w:val="center"/>
                    <w:rPr>
                      <w:color w:val="auto"/>
                      <w:sz w:val="21"/>
                      <w:szCs w:val="21"/>
                    </w:rPr>
                  </w:pPr>
                  <w:r>
                    <w:rPr>
                      <w:rFonts w:hint="eastAsia"/>
                      <w:color w:val="auto"/>
                      <w:sz w:val="21"/>
                      <w:szCs w:val="21"/>
                    </w:rPr>
                    <w:t>0.167</w:t>
                  </w:r>
                </w:p>
              </w:tc>
              <w:tc>
                <w:tcPr>
                  <w:tcW w:w="1110" w:type="pct"/>
                  <w:vAlign w:val="center"/>
                </w:tcPr>
                <w:p w14:paraId="6AD07BDA">
                  <w:pPr>
                    <w:adjustRightInd w:val="0"/>
                    <w:snapToGrid w:val="0"/>
                    <w:jc w:val="center"/>
                    <w:rPr>
                      <w:color w:val="auto"/>
                      <w:sz w:val="21"/>
                      <w:szCs w:val="21"/>
                    </w:rPr>
                  </w:pPr>
                  <w:r>
                    <w:rPr>
                      <w:rFonts w:hint="eastAsia"/>
                      <w:color w:val="auto"/>
                      <w:sz w:val="21"/>
                      <w:szCs w:val="21"/>
                    </w:rPr>
                    <w:t>0.064</w:t>
                  </w:r>
                </w:p>
              </w:tc>
              <w:tc>
                <w:tcPr>
                  <w:tcW w:w="1110" w:type="pct"/>
                  <w:vAlign w:val="center"/>
                </w:tcPr>
                <w:p w14:paraId="4812FD73">
                  <w:pPr>
                    <w:adjustRightInd w:val="0"/>
                    <w:snapToGrid w:val="0"/>
                    <w:jc w:val="center"/>
                    <w:rPr>
                      <w:color w:val="auto"/>
                      <w:sz w:val="21"/>
                      <w:szCs w:val="21"/>
                    </w:rPr>
                  </w:pPr>
                  <w:r>
                    <w:rPr>
                      <w:rFonts w:hint="eastAsia"/>
                      <w:color w:val="auto"/>
                      <w:sz w:val="21"/>
                      <w:szCs w:val="21"/>
                    </w:rPr>
                    <w:t>2.2</w:t>
                  </w:r>
                </w:p>
              </w:tc>
            </w:tr>
            <w:tr w14:paraId="19FD0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101286C2">
                  <w:pPr>
                    <w:adjustRightInd w:val="0"/>
                    <w:snapToGrid w:val="0"/>
                    <w:jc w:val="center"/>
                    <w:rPr>
                      <w:color w:val="auto"/>
                      <w:sz w:val="21"/>
                      <w:szCs w:val="21"/>
                      <w:highlight w:val="yellow"/>
                    </w:rPr>
                  </w:pPr>
                </w:p>
              </w:tc>
              <w:tc>
                <w:tcPr>
                  <w:tcW w:w="420" w:type="pct"/>
                  <w:vMerge w:val="continue"/>
                  <w:vAlign w:val="center"/>
                </w:tcPr>
                <w:p w14:paraId="64B3692E">
                  <w:pPr>
                    <w:adjustRightInd w:val="0"/>
                    <w:snapToGrid w:val="0"/>
                    <w:jc w:val="center"/>
                    <w:rPr>
                      <w:color w:val="auto"/>
                      <w:sz w:val="21"/>
                      <w:szCs w:val="21"/>
                    </w:rPr>
                  </w:pPr>
                </w:p>
              </w:tc>
              <w:tc>
                <w:tcPr>
                  <w:tcW w:w="939" w:type="pct"/>
                  <w:vAlign w:val="center"/>
                </w:tcPr>
                <w:p w14:paraId="7774EA91">
                  <w:pPr>
                    <w:adjustRightInd w:val="0"/>
                    <w:snapToGrid w:val="0"/>
                    <w:jc w:val="center"/>
                    <w:rPr>
                      <w:color w:val="auto"/>
                      <w:sz w:val="21"/>
                      <w:szCs w:val="21"/>
                    </w:rPr>
                  </w:pPr>
                  <w:r>
                    <w:rPr>
                      <w:rFonts w:hint="eastAsia"/>
                      <w:color w:val="auto"/>
                      <w:sz w:val="21"/>
                      <w:szCs w:val="21"/>
                    </w:rPr>
                    <w:t>14:00-15:00</w:t>
                  </w:r>
                </w:p>
              </w:tc>
              <w:tc>
                <w:tcPr>
                  <w:tcW w:w="1110" w:type="pct"/>
                  <w:vAlign w:val="center"/>
                </w:tcPr>
                <w:p w14:paraId="1E20FA4E">
                  <w:pPr>
                    <w:adjustRightInd w:val="0"/>
                    <w:snapToGrid w:val="0"/>
                    <w:jc w:val="center"/>
                    <w:rPr>
                      <w:color w:val="auto"/>
                      <w:sz w:val="21"/>
                      <w:szCs w:val="21"/>
                    </w:rPr>
                  </w:pPr>
                  <w:r>
                    <w:rPr>
                      <w:rFonts w:hint="eastAsia"/>
                      <w:color w:val="auto"/>
                      <w:sz w:val="21"/>
                      <w:szCs w:val="21"/>
                    </w:rPr>
                    <w:t>0.150</w:t>
                  </w:r>
                </w:p>
              </w:tc>
              <w:tc>
                <w:tcPr>
                  <w:tcW w:w="1110" w:type="pct"/>
                  <w:vAlign w:val="center"/>
                </w:tcPr>
                <w:p w14:paraId="5C9A0935">
                  <w:pPr>
                    <w:adjustRightInd w:val="0"/>
                    <w:snapToGrid w:val="0"/>
                    <w:jc w:val="center"/>
                    <w:rPr>
                      <w:color w:val="auto"/>
                      <w:sz w:val="21"/>
                      <w:szCs w:val="21"/>
                    </w:rPr>
                  </w:pPr>
                  <w:r>
                    <w:rPr>
                      <w:rFonts w:hint="eastAsia"/>
                      <w:color w:val="auto"/>
                      <w:sz w:val="21"/>
                      <w:szCs w:val="21"/>
                    </w:rPr>
                    <w:t>0.061</w:t>
                  </w:r>
                </w:p>
              </w:tc>
              <w:tc>
                <w:tcPr>
                  <w:tcW w:w="1110" w:type="pct"/>
                  <w:vAlign w:val="center"/>
                </w:tcPr>
                <w:p w14:paraId="2A121EB7">
                  <w:pPr>
                    <w:adjustRightInd w:val="0"/>
                    <w:snapToGrid w:val="0"/>
                    <w:jc w:val="center"/>
                    <w:rPr>
                      <w:color w:val="auto"/>
                      <w:sz w:val="21"/>
                      <w:szCs w:val="21"/>
                    </w:rPr>
                  </w:pPr>
                  <w:r>
                    <w:rPr>
                      <w:rFonts w:hint="eastAsia"/>
                      <w:color w:val="auto"/>
                      <w:sz w:val="21"/>
                      <w:szCs w:val="21"/>
                    </w:rPr>
                    <w:t>2.1</w:t>
                  </w:r>
                </w:p>
              </w:tc>
            </w:tr>
            <w:tr w14:paraId="210F1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3BBEB342">
                  <w:pPr>
                    <w:adjustRightInd w:val="0"/>
                    <w:snapToGrid w:val="0"/>
                    <w:jc w:val="center"/>
                    <w:rPr>
                      <w:color w:val="auto"/>
                      <w:sz w:val="21"/>
                      <w:szCs w:val="21"/>
                      <w:highlight w:val="yellow"/>
                    </w:rPr>
                  </w:pPr>
                </w:p>
              </w:tc>
              <w:tc>
                <w:tcPr>
                  <w:tcW w:w="420" w:type="pct"/>
                  <w:vMerge w:val="continue"/>
                  <w:vAlign w:val="center"/>
                </w:tcPr>
                <w:p w14:paraId="019084B0">
                  <w:pPr>
                    <w:adjustRightInd w:val="0"/>
                    <w:snapToGrid w:val="0"/>
                    <w:jc w:val="center"/>
                    <w:rPr>
                      <w:color w:val="auto"/>
                      <w:sz w:val="21"/>
                      <w:szCs w:val="21"/>
                    </w:rPr>
                  </w:pPr>
                </w:p>
              </w:tc>
              <w:tc>
                <w:tcPr>
                  <w:tcW w:w="939" w:type="pct"/>
                  <w:vAlign w:val="center"/>
                </w:tcPr>
                <w:p w14:paraId="1F0099B5">
                  <w:pPr>
                    <w:adjustRightInd w:val="0"/>
                    <w:snapToGrid w:val="0"/>
                    <w:jc w:val="center"/>
                    <w:rPr>
                      <w:color w:val="auto"/>
                      <w:sz w:val="21"/>
                      <w:szCs w:val="21"/>
                    </w:rPr>
                  </w:pPr>
                  <w:r>
                    <w:rPr>
                      <w:rFonts w:hint="eastAsia"/>
                      <w:color w:val="auto"/>
                      <w:sz w:val="21"/>
                      <w:szCs w:val="21"/>
                    </w:rPr>
                    <w:t>20:00-21:00</w:t>
                  </w:r>
                </w:p>
              </w:tc>
              <w:tc>
                <w:tcPr>
                  <w:tcW w:w="1110" w:type="pct"/>
                  <w:vAlign w:val="center"/>
                </w:tcPr>
                <w:p w14:paraId="3DCA8571">
                  <w:pPr>
                    <w:adjustRightInd w:val="0"/>
                    <w:snapToGrid w:val="0"/>
                    <w:jc w:val="center"/>
                    <w:rPr>
                      <w:color w:val="auto"/>
                      <w:sz w:val="21"/>
                      <w:szCs w:val="21"/>
                    </w:rPr>
                  </w:pPr>
                  <w:r>
                    <w:rPr>
                      <w:rFonts w:hint="eastAsia"/>
                      <w:color w:val="auto"/>
                      <w:sz w:val="21"/>
                      <w:szCs w:val="21"/>
                    </w:rPr>
                    <w:t>0.150</w:t>
                  </w:r>
                </w:p>
              </w:tc>
              <w:tc>
                <w:tcPr>
                  <w:tcW w:w="1110" w:type="pct"/>
                  <w:vAlign w:val="center"/>
                </w:tcPr>
                <w:p w14:paraId="09A5418C">
                  <w:pPr>
                    <w:adjustRightInd w:val="0"/>
                    <w:snapToGrid w:val="0"/>
                    <w:jc w:val="center"/>
                    <w:rPr>
                      <w:color w:val="auto"/>
                      <w:sz w:val="21"/>
                      <w:szCs w:val="21"/>
                    </w:rPr>
                  </w:pPr>
                  <w:r>
                    <w:rPr>
                      <w:rFonts w:hint="eastAsia"/>
                      <w:color w:val="auto"/>
                      <w:sz w:val="21"/>
                      <w:szCs w:val="21"/>
                    </w:rPr>
                    <w:t>0.061</w:t>
                  </w:r>
                </w:p>
              </w:tc>
              <w:tc>
                <w:tcPr>
                  <w:tcW w:w="1110" w:type="pct"/>
                  <w:vAlign w:val="center"/>
                </w:tcPr>
                <w:p w14:paraId="763DE2CB">
                  <w:pPr>
                    <w:adjustRightInd w:val="0"/>
                    <w:snapToGrid w:val="0"/>
                    <w:jc w:val="center"/>
                    <w:rPr>
                      <w:color w:val="auto"/>
                      <w:sz w:val="21"/>
                      <w:szCs w:val="21"/>
                    </w:rPr>
                  </w:pPr>
                  <w:r>
                    <w:rPr>
                      <w:rFonts w:hint="eastAsia"/>
                      <w:color w:val="auto"/>
                      <w:sz w:val="21"/>
                      <w:szCs w:val="21"/>
                    </w:rPr>
                    <w:t>2.3</w:t>
                  </w:r>
                </w:p>
              </w:tc>
            </w:tr>
            <w:tr w14:paraId="69FEB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2F9067FE">
                  <w:pPr>
                    <w:adjustRightInd w:val="0"/>
                    <w:snapToGrid w:val="0"/>
                    <w:jc w:val="center"/>
                    <w:rPr>
                      <w:color w:val="auto"/>
                      <w:sz w:val="21"/>
                      <w:szCs w:val="21"/>
                      <w:highlight w:val="yellow"/>
                    </w:rPr>
                  </w:pPr>
                </w:p>
              </w:tc>
              <w:tc>
                <w:tcPr>
                  <w:tcW w:w="1360" w:type="pct"/>
                  <w:gridSpan w:val="2"/>
                  <w:vAlign w:val="center"/>
                </w:tcPr>
                <w:p w14:paraId="4F9C7318">
                  <w:pPr>
                    <w:adjustRightInd w:val="0"/>
                    <w:snapToGrid w:val="0"/>
                    <w:jc w:val="center"/>
                    <w:rPr>
                      <w:b/>
                      <w:bCs/>
                      <w:color w:val="auto"/>
                      <w:sz w:val="21"/>
                      <w:szCs w:val="21"/>
                    </w:rPr>
                  </w:pPr>
                  <w:r>
                    <w:rPr>
                      <w:rFonts w:hint="eastAsia"/>
                      <w:b/>
                      <w:bCs/>
                      <w:color w:val="auto"/>
                      <w:sz w:val="21"/>
                      <w:szCs w:val="21"/>
                    </w:rPr>
                    <w:t>标准值</w:t>
                  </w:r>
                </w:p>
              </w:tc>
              <w:tc>
                <w:tcPr>
                  <w:tcW w:w="1110" w:type="pct"/>
                  <w:vAlign w:val="center"/>
                </w:tcPr>
                <w:p w14:paraId="77C0CB2E">
                  <w:pPr>
                    <w:adjustRightInd w:val="0"/>
                    <w:snapToGrid w:val="0"/>
                    <w:jc w:val="center"/>
                    <w:rPr>
                      <w:b/>
                      <w:bCs/>
                      <w:color w:val="auto"/>
                      <w:sz w:val="21"/>
                      <w:szCs w:val="21"/>
                    </w:rPr>
                  </w:pPr>
                  <w:r>
                    <w:rPr>
                      <w:rFonts w:hint="eastAsia"/>
                      <w:b/>
                      <w:bCs/>
                      <w:color w:val="auto"/>
                      <w:sz w:val="21"/>
                      <w:szCs w:val="21"/>
                    </w:rPr>
                    <w:t>/</w:t>
                  </w:r>
                </w:p>
              </w:tc>
              <w:tc>
                <w:tcPr>
                  <w:tcW w:w="1110" w:type="pct"/>
                  <w:vAlign w:val="center"/>
                </w:tcPr>
                <w:p w14:paraId="3A61DA57">
                  <w:pPr>
                    <w:adjustRightInd w:val="0"/>
                    <w:snapToGrid w:val="0"/>
                    <w:jc w:val="center"/>
                    <w:rPr>
                      <w:b/>
                      <w:bCs/>
                      <w:color w:val="auto"/>
                      <w:sz w:val="21"/>
                      <w:szCs w:val="21"/>
                    </w:rPr>
                  </w:pPr>
                  <w:r>
                    <w:rPr>
                      <w:rFonts w:hint="eastAsia"/>
                      <w:b/>
                      <w:bCs/>
                      <w:color w:val="auto"/>
                      <w:sz w:val="21"/>
                      <w:szCs w:val="21"/>
                    </w:rPr>
                    <w:t>0.5</w:t>
                  </w:r>
                </w:p>
              </w:tc>
              <w:tc>
                <w:tcPr>
                  <w:tcW w:w="1110" w:type="pct"/>
                  <w:vAlign w:val="center"/>
                </w:tcPr>
                <w:p w14:paraId="6E95D4F1">
                  <w:pPr>
                    <w:adjustRightInd w:val="0"/>
                    <w:snapToGrid w:val="0"/>
                    <w:jc w:val="center"/>
                    <w:rPr>
                      <w:b/>
                      <w:bCs/>
                      <w:color w:val="auto"/>
                      <w:sz w:val="21"/>
                      <w:szCs w:val="21"/>
                    </w:rPr>
                  </w:pPr>
                  <w:r>
                    <w:rPr>
                      <w:rFonts w:hint="eastAsia"/>
                      <w:b/>
                      <w:bCs/>
                      <w:color w:val="auto"/>
                      <w:sz w:val="21"/>
                      <w:szCs w:val="21"/>
                    </w:rPr>
                    <w:t>20</w:t>
                  </w:r>
                </w:p>
              </w:tc>
            </w:tr>
            <w:tr w14:paraId="69E6C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36ABB6FA">
                  <w:pPr>
                    <w:adjustRightInd w:val="0"/>
                    <w:snapToGrid w:val="0"/>
                    <w:jc w:val="center"/>
                    <w:rPr>
                      <w:color w:val="auto"/>
                    </w:rPr>
                  </w:pPr>
                </w:p>
              </w:tc>
              <w:tc>
                <w:tcPr>
                  <w:tcW w:w="1360" w:type="pct"/>
                  <w:gridSpan w:val="2"/>
                  <w:vAlign w:val="center"/>
                </w:tcPr>
                <w:p w14:paraId="4F7396F3">
                  <w:pPr>
                    <w:adjustRightInd w:val="0"/>
                    <w:snapToGrid w:val="0"/>
                    <w:jc w:val="center"/>
                    <w:rPr>
                      <w:b/>
                      <w:bCs/>
                      <w:color w:val="auto"/>
                      <w:sz w:val="21"/>
                      <w:szCs w:val="21"/>
                    </w:rPr>
                  </w:pPr>
                  <w:r>
                    <w:rPr>
                      <w:rFonts w:hint="eastAsia"/>
                      <w:b/>
                      <w:bCs/>
                      <w:color w:val="auto"/>
                      <w:sz w:val="21"/>
                      <w:szCs w:val="21"/>
                    </w:rPr>
                    <w:t>最大浓度占标率%</w:t>
                  </w:r>
                </w:p>
              </w:tc>
              <w:tc>
                <w:tcPr>
                  <w:tcW w:w="1110" w:type="pct"/>
                  <w:vAlign w:val="center"/>
                </w:tcPr>
                <w:p w14:paraId="54525959">
                  <w:pPr>
                    <w:adjustRightInd w:val="0"/>
                    <w:snapToGrid w:val="0"/>
                    <w:jc w:val="center"/>
                    <w:rPr>
                      <w:b/>
                      <w:bCs/>
                      <w:color w:val="auto"/>
                      <w:sz w:val="21"/>
                      <w:szCs w:val="21"/>
                    </w:rPr>
                  </w:pPr>
                  <w:r>
                    <w:rPr>
                      <w:rFonts w:hint="eastAsia"/>
                      <w:b/>
                      <w:bCs/>
                      <w:color w:val="auto"/>
                      <w:sz w:val="21"/>
                      <w:szCs w:val="21"/>
                    </w:rPr>
                    <w:t>/</w:t>
                  </w:r>
                </w:p>
              </w:tc>
              <w:tc>
                <w:tcPr>
                  <w:tcW w:w="1110" w:type="pct"/>
                  <w:vAlign w:val="center"/>
                </w:tcPr>
                <w:p w14:paraId="585223B4">
                  <w:pPr>
                    <w:adjustRightInd w:val="0"/>
                    <w:snapToGrid w:val="0"/>
                    <w:jc w:val="center"/>
                    <w:rPr>
                      <w:b/>
                      <w:bCs/>
                      <w:color w:val="auto"/>
                      <w:sz w:val="21"/>
                      <w:szCs w:val="21"/>
                    </w:rPr>
                  </w:pPr>
                  <w:r>
                    <w:rPr>
                      <w:rFonts w:hint="eastAsia"/>
                      <w:b/>
                      <w:bCs/>
                      <w:color w:val="auto"/>
                      <w:sz w:val="21"/>
                      <w:szCs w:val="21"/>
                    </w:rPr>
                    <w:t>13</w:t>
                  </w:r>
                </w:p>
              </w:tc>
              <w:tc>
                <w:tcPr>
                  <w:tcW w:w="1110" w:type="pct"/>
                  <w:vAlign w:val="center"/>
                </w:tcPr>
                <w:p w14:paraId="3E63899C">
                  <w:pPr>
                    <w:adjustRightInd w:val="0"/>
                    <w:snapToGrid w:val="0"/>
                    <w:jc w:val="center"/>
                    <w:rPr>
                      <w:b/>
                      <w:bCs/>
                      <w:color w:val="auto"/>
                      <w:sz w:val="21"/>
                      <w:szCs w:val="21"/>
                    </w:rPr>
                  </w:pPr>
                  <w:r>
                    <w:rPr>
                      <w:rFonts w:hint="eastAsia"/>
                      <w:b/>
                      <w:bCs/>
                      <w:color w:val="auto"/>
                      <w:sz w:val="21"/>
                      <w:szCs w:val="21"/>
                    </w:rPr>
                    <w:t>13</w:t>
                  </w:r>
                </w:p>
              </w:tc>
            </w:tr>
            <w:tr w14:paraId="68443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771B3C5E">
                  <w:pPr>
                    <w:adjustRightInd w:val="0"/>
                    <w:snapToGrid w:val="0"/>
                    <w:jc w:val="center"/>
                    <w:rPr>
                      <w:b/>
                      <w:bCs/>
                      <w:color w:val="auto"/>
                      <w:sz w:val="21"/>
                      <w:szCs w:val="21"/>
                    </w:rPr>
                  </w:pPr>
                </w:p>
              </w:tc>
              <w:tc>
                <w:tcPr>
                  <w:tcW w:w="1360" w:type="pct"/>
                  <w:gridSpan w:val="2"/>
                  <w:vAlign w:val="center"/>
                </w:tcPr>
                <w:p w14:paraId="5FDC8E15">
                  <w:pPr>
                    <w:adjustRightInd w:val="0"/>
                    <w:snapToGrid w:val="0"/>
                    <w:jc w:val="center"/>
                    <w:rPr>
                      <w:b/>
                      <w:bCs/>
                      <w:color w:val="auto"/>
                      <w:sz w:val="21"/>
                      <w:szCs w:val="21"/>
                    </w:rPr>
                  </w:pPr>
                  <w:r>
                    <w:rPr>
                      <w:rFonts w:hint="eastAsia"/>
                      <w:b/>
                      <w:bCs/>
                      <w:color w:val="auto"/>
                      <w:sz w:val="21"/>
                      <w:szCs w:val="21"/>
                    </w:rPr>
                    <w:t>超标频率%</w:t>
                  </w:r>
                </w:p>
              </w:tc>
              <w:tc>
                <w:tcPr>
                  <w:tcW w:w="1110" w:type="pct"/>
                  <w:vAlign w:val="center"/>
                </w:tcPr>
                <w:p w14:paraId="44C1AA9A">
                  <w:pPr>
                    <w:adjustRightInd w:val="0"/>
                    <w:snapToGrid w:val="0"/>
                    <w:jc w:val="center"/>
                    <w:rPr>
                      <w:b/>
                      <w:bCs/>
                      <w:color w:val="auto"/>
                      <w:sz w:val="21"/>
                      <w:szCs w:val="21"/>
                    </w:rPr>
                  </w:pPr>
                  <w:r>
                    <w:rPr>
                      <w:rFonts w:hint="eastAsia"/>
                      <w:b/>
                      <w:bCs/>
                      <w:color w:val="auto"/>
                      <w:sz w:val="21"/>
                      <w:szCs w:val="21"/>
                    </w:rPr>
                    <w:t>/</w:t>
                  </w:r>
                </w:p>
              </w:tc>
              <w:tc>
                <w:tcPr>
                  <w:tcW w:w="1110" w:type="pct"/>
                  <w:vAlign w:val="center"/>
                </w:tcPr>
                <w:p w14:paraId="3A0D77B4">
                  <w:pPr>
                    <w:adjustRightInd w:val="0"/>
                    <w:snapToGrid w:val="0"/>
                    <w:jc w:val="center"/>
                    <w:rPr>
                      <w:b/>
                      <w:bCs/>
                      <w:color w:val="auto"/>
                      <w:sz w:val="21"/>
                      <w:szCs w:val="21"/>
                    </w:rPr>
                  </w:pPr>
                  <w:r>
                    <w:rPr>
                      <w:rFonts w:hint="eastAsia"/>
                      <w:b/>
                      <w:bCs/>
                      <w:color w:val="auto"/>
                      <w:sz w:val="21"/>
                      <w:szCs w:val="21"/>
                    </w:rPr>
                    <w:t>0</w:t>
                  </w:r>
                </w:p>
              </w:tc>
              <w:tc>
                <w:tcPr>
                  <w:tcW w:w="1110" w:type="pct"/>
                  <w:vAlign w:val="center"/>
                </w:tcPr>
                <w:p w14:paraId="0A573E3A">
                  <w:pPr>
                    <w:adjustRightInd w:val="0"/>
                    <w:snapToGrid w:val="0"/>
                    <w:jc w:val="center"/>
                    <w:rPr>
                      <w:b/>
                      <w:bCs/>
                      <w:color w:val="auto"/>
                      <w:sz w:val="21"/>
                      <w:szCs w:val="21"/>
                    </w:rPr>
                  </w:pPr>
                  <w:r>
                    <w:rPr>
                      <w:rFonts w:hint="eastAsia"/>
                      <w:b/>
                      <w:bCs/>
                      <w:color w:val="auto"/>
                      <w:sz w:val="21"/>
                      <w:szCs w:val="21"/>
                    </w:rPr>
                    <w:t>0</w:t>
                  </w:r>
                </w:p>
              </w:tc>
            </w:tr>
            <w:tr w14:paraId="583A0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 w:type="pct"/>
                  <w:vMerge w:val="continue"/>
                  <w:vAlign w:val="center"/>
                </w:tcPr>
                <w:p w14:paraId="0A615ADD">
                  <w:pPr>
                    <w:adjustRightInd w:val="0"/>
                    <w:snapToGrid w:val="0"/>
                    <w:jc w:val="center"/>
                    <w:rPr>
                      <w:color w:val="auto"/>
                      <w:sz w:val="21"/>
                      <w:szCs w:val="21"/>
                      <w:highlight w:val="yellow"/>
                    </w:rPr>
                  </w:pPr>
                </w:p>
              </w:tc>
              <w:tc>
                <w:tcPr>
                  <w:tcW w:w="1360" w:type="pct"/>
                  <w:gridSpan w:val="2"/>
                  <w:vAlign w:val="center"/>
                </w:tcPr>
                <w:p w14:paraId="65CB5AC8">
                  <w:pPr>
                    <w:adjustRightInd w:val="0"/>
                    <w:snapToGrid w:val="0"/>
                    <w:jc w:val="center"/>
                    <w:rPr>
                      <w:b/>
                      <w:bCs/>
                      <w:color w:val="auto"/>
                      <w:sz w:val="21"/>
                      <w:szCs w:val="21"/>
                    </w:rPr>
                  </w:pPr>
                  <w:r>
                    <w:rPr>
                      <w:rFonts w:hint="eastAsia"/>
                      <w:b/>
                      <w:bCs/>
                      <w:color w:val="auto"/>
                      <w:sz w:val="21"/>
                      <w:szCs w:val="21"/>
                    </w:rPr>
                    <w:t>评价结果</w:t>
                  </w:r>
                </w:p>
              </w:tc>
              <w:tc>
                <w:tcPr>
                  <w:tcW w:w="1110" w:type="pct"/>
                  <w:vAlign w:val="center"/>
                </w:tcPr>
                <w:p w14:paraId="67FF2DDC">
                  <w:pPr>
                    <w:adjustRightInd w:val="0"/>
                    <w:snapToGrid w:val="0"/>
                    <w:jc w:val="center"/>
                    <w:rPr>
                      <w:b/>
                      <w:bCs/>
                      <w:color w:val="auto"/>
                      <w:sz w:val="21"/>
                      <w:szCs w:val="21"/>
                    </w:rPr>
                  </w:pPr>
                  <w:r>
                    <w:rPr>
                      <w:rFonts w:hint="eastAsia"/>
                      <w:b/>
                      <w:bCs/>
                      <w:color w:val="auto"/>
                      <w:sz w:val="21"/>
                      <w:szCs w:val="21"/>
                    </w:rPr>
                    <w:t>/</w:t>
                  </w:r>
                </w:p>
              </w:tc>
              <w:tc>
                <w:tcPr>
                  <w:tcW w:w="1110" w:type="pct"/>
                  <w:vAlign w:val="center"/>
                </w:tcPr>
                <w:p w14:paraId="2A250D08">
                  <w:pPr>
                    <w:adjustRightInd w:val="0"/>
                    <w:snapToGrid w:val="0"/>
                    <w:jc w:val="center"/>
                    <w:rPr>
                      <w:b/>
                      <w:bCs/>
                      <w:color w:val="auto"/>
                      <w:sz w:val="21"/>
                      <w:szCs w:val="21"/>
                    </w:rPr>
                  </w:pPr>
                  <w:r>
                    <w:rPr>
                      <w:rFonts w:hint="eastAsia"/>
                      <w:b/>
                      <w:bCs/>
                      <w:color w:val="auto"/>
                      <w:sz w:val="21"/>
                      <w:szCs w:val="21"/>
                    </w:rPr>
                    <w:t>达标</w:t>
                  </w:r>
                </w:p>
              </w:tc>
              <w:tc>
                <w:tcPr>
                  <w:tcW w:w="1110" w:type="pct"/>
                  <w:vAlign w:val="center"/>
                </w:tcPr>
                <w:p w14:paraId="3FA491CA">
                  <w:pPr>
                    <w:adjustRightInd w:val="0"/>
                    <w:snapToGrid w:val="0"/>
                    <w:jc w:val="center"/>
                    <w:rPr>
                      <w:b/>
                      <w:bCs/>
                      <w:color w:val="auto"/>
                      <w:sz w:val="21"/>
                      <w:szCs w:val="21"/>
                    </w:rPr>
                  </w:pPr>
                  <w:r>
                    <w:rPr>
                      <w:rFonts w:hint="eastAsia"/>
                      <w:b/>
                      <w:bCs/>
                      <w:color w:val="auto"/>
                      <w:sz w:val="21"/>
                      <w:szCs w:val="21"/>
                    </w:rPr>
                    <w:t>达标</w:t>
                  </w:r>
                </w:p>
              </w:tc>
            </w:tr>
          </w:tbl>
          <w:p w14:paraId="0EB25A13">
            <w:pPr>
              <w:spacing w:line="360" w:lineRule="auto"/>
              <w:ind w:firstLine="480" w:firstLineChars="200"/>
              <w:rPr>
                <w:color w:val="auto"/>
                <w:sz w:val="24"/>
              </w:rPr>
            </w:pPr>
            <w:r>
              <w:rPr>
                <w:color w:val="auto"/>
                <w:sz w:val="24"/>
              </w:rPr>
              <w:t>根据上表监测结果，</w:t>
            </w:r>
            <w:r>
              <w:rPr>
                <w:rFonts w:hint="eastAsia" w:ascii="Times New Roman" w:hAnsi="Times New Roman" w:eastAsia="宋体" w:cs="Times New Roman"/>
                <w:color w:val="auto"/>
                <w:sz w:val="24"/>
                <w:lang w:val="en-US" w:eastAsia="zh-CN"/>
              </w:rPr>
              <w:t>项目区上风向大桥村、侧风向王岗屯村，下风向陡峰</w:t>
            </w:r>
            <w:r>
              <w:rPr>
                <w:rFonts w:hint="eastAsia" w:ascii="Times New Roman" w:hAnsi="Times New Roman" w:cs="Times New Roman"/>
                <w:color w:val="auto"/>
                <w:sz w:val="24"/>
                <w:lang w:val="en-US" w:eastAsia="zh-CN"/>
              </w:rPr>
              <w:t>湾村</w:t>
            </w:r>
            <w:r>
              <w:rPr>
                <w:color w:val="auto"/>
                <w:sz w:val="24"/>
              </w:rPr>
              <w:t>SO</w:t>
            </w:r>
            <w:r>
              <w:rPr>
                <w:color w:val="auto"/>
                <w:sz w:val="24"/>
                <w:vertAlign w:val="subscript"/>
              </w:rPr>
              <w:t>2</w:t>
            </w:r>
            <w:r>
              <w:rPr>
                <w:color w:val="auto"/>
                <w:sz w:val="24"/>
              </w:rPr>
              <w:t>、TSP</w:t>
            </w:r>
            <w:r>
              <w:rPr>
                <w:rFonts w:hint="eastAsia"/>
                <w:color w:val="auto"/>
                <w:sz w:val="24"/>
                <w:lang w:val="en-US" w:eastAsia="zh-CN"/>
              </w:rPr>
              <w:t>均</w:t>
            </w:r>
            <w:r>
              <w:rPr>
                <w:color w:val="auto"/>
                <w:sz w:val="24"/>
              </w:rPr>
              <w:t>能够达到《环境空气质量标准》（GB3095-2012）二级标准；氟化物</w:t>
            </w:r>
            <w:r>
              <w:rPr>
                <w:rFonts w:hint="eastAsia"/>
                <w:color w:val="auto"/>
                <w:sz w:val="24"/>
                <w:lang w:val="en-US" w:eastAsia="zh-CN"/>
              </w:rPr>
              <w:t>均</w:t>
            </w:r>
            <w:r>
              <w:rPr>
                <w:color w:val="auto"/>
                <w:sz w:val="24"/>
              </w:rPr>
              <w:t>能够达到《环境空气质量标准》（GB3095-2012）附录A中二级标准限值。</w:t>
            </w:r>
            <w:r>
              <w:rPr>
                <w:rFonts w:hint="eastAsia"/>
                <w:color w:val="auto"/>
                <w:sz w:val="24"/>
              </w:rPr>
              <w:t>对周围环境影响较小。</w:t>
            </w:r>
          </w:p>
          <w:p w14:paraId="716DB191">
            <w:pPr>
              <w:spacing w:line="360" w:lineRule="auto"/>
              <w:ind w:firstLine="480" w:firstLineChars="200"/>
              <w:jc w:val="left"/>
              <w:rPr>
                <w:color w:val="auto"/>
                <w:sz w:val="24"/>
                <w:lang w:bidi="ar"/>
              </w:rPr>
            </w:pPr>
            <w:r>
              <w:rPr>
                <w:color w:val="auto"/>
                <w:sz w:val="24"/>
                <w:lang w:bidi="ar"/>
              </w:rPr>
              <w:t>综上，</w:t>
            </w:r>
            <w:r>
              <w:rPr>
                <w:rFonts w:hint="eastAsia"/>
                <w:color w:val="auto"/>
                <w:sz w:val="24"/>
              </w:rPr>
              <w:t>本项目的选址是可行的</w:t>
            </w:r>
            <w:r>
              <w:rPr>
                <w:color w:val="auto"/>
                <w:sz w:val="24"/>
                <w:lang w:bidi="ar"/>
              </w:rPr>
              <w:t>。</w:t>
            </w:r>
            <w:r>
              <w:rPr>
                <w:rFonts w:hint="eastAsia"/>
                <w:color w:val="auto"/>
                <w:sz w:val="24"/>
              </w:rPr>
              <w:t>根据工程分析，项目产生的噪声能达标排放，废水全部回用，固体废物</w:t>
            </w:r>
            <w:r>
              <w:rPr>
                <w:color w:val="auto"/>
                <w:sz w:val="24"/>
              </w:rPr>
              <w:t>100%</w:t>
            </w:r>
            <w:r>
              <w:rPr>
                <w:rFonts w:hint="eastAsia"/>
                <w:color w:val="auto"/>
                <w:sz w:val="24"/>
              </w:rPr>
              <w:t>合理处置，项目的生产对周围</w:t>
            </w:r>
            <w:r>
              <w:rPr>
                <w:rFonts w:hint="eastAsia"/>
                <w:color w:val="auto"/>
                <w:sz w:val="24"/>
                <w:lang w:val="en-US" w:eastAsia="zh-CN"/>
              </w:rPr>
              <w:t>村庄等敏感点</w:t>
            </w:r>
            <w:r>
              <w:rPr>
                <w:rFonts w:hint="eastAsia"/>
                <w:color w:val="auto"/>
                <w:sz w:val="24"/>
              </w:rPr>
              <w:t>影响不大，本项目与周围环境是相容的。</w:t>
            </w:r>
          </w:p>
          <w:p w14:paraId="4B34F65E">
            <w:pPr>
              <w:spacing w:line="360" w:lineRule="auto"/>
              <w:ind w:firstLine="480" w:firstLineChars="200"/>
              <w:jc w:val="left"/>
              <w:rPr>
                <w:color w:val="auto"/>
                <w:sz w:val="24"/>
                <w:lang w:bidi="ar"/>
              </w:rPr>
            </w:pPr>
          </w:p>
          <w:p w14:paraId="03E50232">
            <w:pPr>
              <w:spacing w:line="360" w:lineRule="auto"/>
              <w:ind w:firstLine="480" w:firstLineChars="200"/>
              <w:jc w:val="left"/>
              <w:rPr>
                <w:color w:val="auto"/>
                <w:sz w:val="24"/>
                <w:lang w:bidi="ar"/>
              </w:rPr>
            </w:pPr>
          </w:p>
          <w:p w14:paraId="135D9E7E">
            <w:pPr>
              <w:spacing w:line="360" w:lineRule="auto"/>
              <w:jc w:val="left"/>
              <w:rPr>
                <w:color w:val="auto"/>
                <w:sz w:val="24"/>
              </w:rPr>
            </w:pPr>
          </w:p>
        </w:tc>
      </w:tr>
    </w:tbl>
    <w:p w14:paraId="3EF39151">
      <w:pPr>
        <w:numPr>
          <w:ilvl w:val="0"/>
          <w:numId w:val="3"/>
        </w:numPr>
        <w:spacing w:line="360" w:lineRule="auto"/>
        <w:jc w:val="center"/>
        <w:outlineLvl w:val="0"/>
        <w:rPr>
          <w:b/>
          <w:snapToGrid w:val="0"/>
          <w:color w:val="auto"/>
          <w:sz w:val="30"/>
          <w:szCs w:val="30"/>
        </w:rPr>
        <w:sectPr>
          <w:footerReference r:id="rId7" w:type="default"/>
          <w:footerReference r:id="rId8" w:type="even"/>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1FE65242">
      <w:pPr>
        <w:numPr>
          <w:ilvl w:val="0"/>
          <w:numId w:val="3"/>
        </w:numPr>
        <w:spacing w:line="360" w:lineRule="auto"/>
        <w:jc w:val="center"/>
        <w:outlineLvl w:val="0"/>
        <w:rPr>
          <w:b/>
          <w:snapToGrid w:val="0"/>
          <w:color w:val="auto"/>
          <w:sz w:val="30"/>
          <w:szCs w:val="30"/>
        </w:rPr>
      </w:pPr>
      <w:r>
        <w:rPr>
          <w:rFonts w:hint="eastAsia"/>
          <w:b/>
          <w:snapToGrid w:val="0"/>
          <w:color w:val="auto"/>
          <w:sz w:val="30"/>
          <w:szCs w:val="30"/>
        </w:rPr>
        <w:t>建设项目工程分析</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604"/>
      </w:tblGrid>
      <w:tr w14:paraId="644D9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Borders>
              <w:top w:val="single" w:color="auto" w:sz="4" w:space="0"/>
            </w:tcBorders>
          </w:tcPr>
          <w:p w14:paraId="3212CC48">
            <w:pPr>
              <w:pStyle w:val="41"/>
              <w:adjustRightInd w:val="0"/>
              <w:snapToGrid w:val="0"/>
              <w:spacing w:before="120" w:beforeAutospacing="0" w:after="0" w:afterAutospacing="0" w:line="360" w:lineRule="auto"/>
              <w:jc w:val="center"/>
              <w:rPr>
                <w:rFonts w:ascii="Times New Roman" w:hAnsi="Times New Roman"/>
                <w:color w:val="auto"/>
                <w:szCs w:val="24"/>
              </w:rPr>
            </w:pPr>
            <w:r>
              <w:rPr>
                <w:rFonts w:ascii="Times New Roman" w:hAnsi="Times New Roman"/>
                <w:color w:val="auto"/>
                <w:szCs w:val="24"/>
              </w:rPr>
              <w:t>建设内容</w:t>
            </w:r>
          </w:p>
        </w:tc>
        <w:tc>
          <w:tcPr>
            <w:tcW w:w="8604" w:type="dxa"/>
            <w:tcBorders>
              <w:top w:val="single" w:color="auto" w:sz="4" w:space="0"/>
            </w:tcBorders>
          </w:tcPr>
          <w:p w14:paraId="438CD642">
            <w:pPr>
              <w:autoSpaceDE w:val="0"/>
              <w:autoSpaceDN w:val="0"/>
              <w:adjustRightInd w:val="0"/>
              <w:spacing w:line="360" w:lineRule="auto"/>
              <w:ind w:firstLine="562" w:firstLineChars="200"/>
              <w:rPr>
                <w:color w:val="auto"/>
                <w:sz w:val="28"/>
                <w:szCs w:val="28"/>
              </w:rPr>
            </w:pPr>
            <w:r>
              <w:rPr>
                <w:b/>
                <w:color w:val="auto"/>
                <w:sz w:val="28"/>
                <w:szCs w:val="28"/>
              </w:rPr>
              <w:t>1、</w:t>
            </w:r>
            <w:r>
              <w:rPr>
                <w:rFonts w:hint="eastAsia"/>
                <w:b/>
                <w:color w:val="auto"/>
                <w:sz w:val="28"/>
                <w:szCs w:val="28"/>
              </w:rPr>
              <w:t>项目</w:t>
            </w:r>
            <w:r>
              <w:rPr>
                <w:b/>
                <w:color w:val="auto"/>
                <w:sz w:val="28"/>
                <w:szCs w:val="28"/>
              </w:rPr>
              <w:t>提出的背景</w:t>
            </w:r>
          </w:p>
          <w:p w14:paraId="2DB961F3">
            <w:pPr>
              <w:autoSpaceDE w:val="0"/>
              <w:autoSpaceDN w:val="0"/>
              <w:adjustRightInd w:val="0"/>
              <w:spacing w:line="360" w:lineRule="auto"/>
              <w:ind w:firstLine="480" w:firstLineChars="200"/>
              <w:rPr>
                <w:color w:val="auto"/>
                <w:sz w:val="24"/>
                <w:szCs w:val="24"/>
              </w:rPr>
            </w:pPr>
            <w:r>
              <w:rPr>
                <w:color w:val="auto"/>
                <w:sz w:val="24"/>
                <w:szCs w:val="24"/>
              </w:rPr>
              <w:t>2021年十部门印发《关于“十四五”大宗固体废弃物综合利用的指导意见》（发改环资</w:t>
            </w:r>
            <w:r>
              <w:rPr>
                <w:rFonts w:hint="eastAsia"/>
                <w:color w:val="auto"/>
                <w:sz w:val="24"/>
                <w:szCs w:val="24"/>
              </w:rPr>
              <w:t>〔</w:t>
            </w:r>
            <w:r>
              <w:rPr>
                <w:color w:val="auto"/>
                <w:sz w:val="24"/>
                <w:szCs w:val="24"/>
              </w:rPr>
              <w:t>2021</w:t>
            </w:r>
            <w:r>
              <w:rPr>
                <w:rFonts w:hint="eastAsia"/>
                <w:color w:val="auto"/>
                <w:sz w:val="24"/>
                <w:szCs w:val="24"/>
              </w:rPr>
              <w:t>〕</w:t>
            </w:r>
            <w:r>
              <w:rPr>
                <w:color w:val="auto"/>
                <w:sz w:val="24"/>
                <w:szCs w:val="24"/>
              </w:rPr>
              <w:t>381号），“十四五”时期，我国将开启全面建设社会主义现代化国家新征程，围绕推动高质量发展主题，全面提高资源利用效率的任务更加迫切。受资源禀赋、能源结构、发展阶段等因素影响，未来我国大宗固废仍将面临产生强度高、利用不充分、综合利用产品附加值低的严峻挑战。目前，赤泥、磷石膏、钢渣等固废利用率仍较低，占用大量土地资源，存在较大的生态环境安全隐患要深入贯彻落实《中华人民共和国固体废物污染环境防治法》等法律法规，大力推进大宗固废源头减量、资源化利用和无害化处置，强化全链条治理，着力解决突出矛盾和问题，推动资源综合利用实现新发展。</w:t>
            </w:r>
          </w:p>
          <w:p w14:paraId="7223EF87">
            <w:pPr>
              <w:autoSpaceDE w:val="0"/>
              <w:autoSpaceDN w:val="0"/>
              <w:adjustRightInd w:val="0"/>
              <w:spacing w:line="360" w:lineRule="auto"/>
              <w:ind w:firstLine="480" w:firstLineChars="200"/>
              <w:rPr>
                <w:color w:val="auto"/>
                <w:sz w:val="24"/>
                <w:szCs w:val="24"/>
              </w:rPr>
            </w:pPr>
            <w:r>
              <w:rPr>
                <w:color w:val="auto"/>
                <w:sz w:val="24"/>
                <w:szCs w:val="24"/>
              </w:rPr>
              <w:t>总体要求中第九条要求：拓宽磷石膏利用途径，继续推广磷石膏在生产水泥和新型建筑材料等领域的利用，在确保环境安全的前提下，探索磷石膏在土壤改良、井下充填、路基材料等领域的应用。支持利用脱硫石膏、柠檬酸石膏制备绿色建材、石膏晶须等新产品新材料，扩大工业副产石膏高值化利用规模。积极探索钛石膏、氟石膏等复杂难用工业副产石膏的资源化利用途径。</w:t>
            </w:r>
          </w:p>
          <w:p w14:paraId="12725EF6">
            <w:pPr>
              <w:autoSpaceDE w:val="0"/>
              <w:autoSpaceDN w:val="0"/>
              <w:adjustRightInd w:val="0"/>
              <w:spacing w:line="360" w:lineRule="auto"/>
              <w:ind w:firstLine="480" w:firstLineChars="200"/>
              <w:rPr>
                <w:rFonts w:hint="default"/>
                <w:color w:val="auto"/>
                <w:sz w:val="24"/>
                <w:szCs w:val="24"/>
                <w:lang w:val="en-US" w:eastAsia="zh-CN"/>
              </w:rPr>
            </w:pPr>
            <w:r>
              <w:rPr>
                <w:rFonts w:hint="eastAsia"/>
                <w:color w:val="auto"/>
                <w:sz w:val="24"/>
                <w:szCs w:val="24"/>
                <w:lang w:val="en-US" w:eastAsia="zh-CN"/>
              </w:rPr>
              <w:t xml:space="preserve">为消耗磷石膏，云南常青树化工有限公司分别于2012年、2015年分别建成的 </w:t>
            </w:r>
            <w:r>
              <w:rPr>
                <w:rFonts w:hint="default"/>
                <w:color w:val="auto"/>
                <w:sz w:val="24"/>
                <w:szCs w:val="24"/>
                <w:lang w:val="en-US" w:eastAsia="zh-CN"/>
              </w:rPr>
              <w:t xml:space="preserve">1 </w:t>
            </w:r>
            <w:r>
              <w:rPr>
                <w:rFonts w:hint="eastAsia"/>
                <w:color w:val="auto"/>
                <w:sz w:val="24"/>
                <w:szCs w:val="24"/>
                <w:lang w:val="en-US" w:eastAsia="zh-CN"/>
              </w:rPr>
              <w:t>亿块</w:t>
            </w:r>
            <w:r>
              <w:rPr>
                <w:rFonts w:hint="default"/>
                <w:color w:val="auto"/>
                <w:sz w:val="24"/>
                <w:szCs w:val="24"/>
                <w:lang w:val="en-US" w:eastAsia="zh-CN"/>
              </w:rPr>
              <w:t>/</w:t>
            </w:r>
            <w:r>
              <w:rPr>
                <w:rFonts w:hint="eastAsia"/>
                <w:color w:val="auto"/>
                <w:sz w:val="24"/>
                <w:szCs w:val="24"/>
                <w:lang w:val="en-US" w:eastAsia="zh-CN"/>
              </w:rPr>
              <w:t xml:space="preserve">年磷石膏免烧砖生产线（共 </w:t>
            </w:r>
            <w:r>
              <w:rPr>
                <w:rFonts w:hint="default"/>
                <w:color w:val="auto"/>
                <w:sz w:val="24"/>
                <w:szCs w:val="24"/>
                <w:lang w:val="en-US" w:eastAsia="zh-CN"/>
              </w:rPr>
              <w:t xml:space="preserve">2 </w:t>
            </w:r>
            <w:r>
              <w:rPr>
                <w:rFonts w:hint="eastAsia"/>
                <w:color w:val="auto"/>
                <w:sz w:val="24"/>
                <w:szCs w:val="24"/>
                <w:lang w:val="en-US" w:eastAsia="zh-CN"/>
              </w:rPr>
              <w:t>条），于2017年建成</w:t>
            </w:r>
            <w:r>
              <w:rPr>
                <w:rFonts w:hint="default" w:ascii="Times New Roman" w:hAnsi="Times New Roman" w:eastAsia="宋体" w:cs="Times New Roman"/>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条</w:t>
            </w:r>
            <w:r>
              <w:rPr>
                <w:rFonts w:hint="default" w:ascii="Times New Roman" w:hAnsi="Times New Roman" w:eastAsia="宋体" w:cs="Times New Roman"/>
                <w:color w:val="auto"/>
                <w:kern w:val="0"/>
                <w:sz w:val="24"/>
                <w:szCs w:val="24"/>
                <w:lang w:val="en-US" w:eastAsia="zh-CN" w:bidi="ar"/>
              </w:rPr>
              <w:t>10</w:t>
            </w:r>
            <w:r>
              <w:rPr>
                <w:rFonts w:hint="eastAsia" w:ascii="宋体" w:hAnsi="宋体" w:eastAsia="宋体" w:cs="宋体"/>
                <w:color w:val="auto"/>
                <w:kern w:val="0"/>
                <w:sz w:val="24"/>
                <w:szCs w:val="24"/>
                <w:lang w:val="en-US" w:eastAsia="zh-CN" w:bidi="ar"/>
              </w:rPr>
              <w:t>万</w:t>
            </w:r>
            <w:r>
              <w:rPr>
                <w:rFonts w:hint="default" w:ascii="Times New Roman" w:hAnsi="Times New Roman" w:eastAsia="宋体" w:cs="Times New Roman"/>
                <w:color w:val="auto"/>
                <w:kern w:val="0"/>
                <w:sz w:val="24"/>
                <w:szCs w:val="24"/>
                <w:lang w:val="en-US" w:eastAsia="zh-CN" w:bidi="ar"/>
              </w:rPr>
              <w:t>t/a</w:t>
            </w:r>
            <w:r>
              <w:rPr>
                <w:rFonts w:hint="eastAsia" w:ascii="宋体" w:hAnsi="宋体" w:eastAsia="宋体" w:cs="宋体"/>
                <w:color w:val="auto"/>
                <w:kern w:val="0"/>
                <w:sz w:val="24"/>
                <w:szCs w:val="24"/>
                <w:lang w:val="en-US" w:eastAsia="zh-CN" w:bidi="ar"/>
              </w:rPr>
              <w:t>粉状水泥缓凝剂生产线，并已完成了环保验收工作</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cs="Times New Roman"/>
                <w:color w:val="auto"/>
                <w:kern w:val="0"/>
                <w:sz w:val="24"/>
                <w:szCs w:val="24"/>
                <w:lang w:val="en-US" w:eastAsia="zh-CN" w:bidi="ar"/>
              </w:rPr>
              <w:t>后于20</w:t>
            </w:r>
            <w:r>
              <w:rPr>
                <w:rFonts w:hint="eastAsia" w:ascii="Times New Roman" w:hAnsi="Times New Roman" w:cs="Times New Roman"/>
                <w:color w:val="auto"/>
                <w:kern w:val="0"/>
                <w:sz w:val="24"/>
                <w:szCs w:val="24"/>
                <w:lang w:val="en-US" w:eastAsia="zh-CN" w:bidi="ar"/>
              </w:rPr>
              <w:t>20</w:t>
            </w:r>
            <w:r>
              <w:rPr>
                <w:rFonts w:hint="default" w:ascii="Times New Roman" w:hAnsi="Times New Roman" w:cs="Times New Roman"/>
                <w:color w:val="auto"/>
                <w:kern w:val="0"/>
                <w:sz w:val="24"/>
                <w:szCs w:val="24"/>
                <w:lang w:val="en-US" w:eastAsia="zh-CN" w:bidi="ar"/>
              </w:rPr>
              <w:t>年将</w:t>
            </w:r>
            <w:r>
              <w:rPr>
                <w:rFonts w:hint="eastAsia" w:ascii="Times New Roman" w:hAnsi="Times New Roman" w:cs="Times New Roman"/>
                <w:color w:val="auto"/>
                <w:kern w:val="0"/>
                <w:sz w:val="24"/>
                <w:szCs w:val="24"/>
                <w:lang w:val="en-US" w:eastAsia="zh-CN" w:bidi="ar"/>
              </w:rPr>
              <w:t>2条1亿</w:t>
            </w:r>
            <w:r>
              <w:rPr>
                <w:rFonts w:hint="eastAsia"/>
                <w:color w:val="auto"/>
                <w:sz w:val="24"/>
                <w:szCs w:val="24"/>
                <w:lang w:val="en-US" w:eastAsia="zh-CN"/>
              </w:rPr>
              <w:t>块</w:t>
            </w:r>
            <w:r>
              <w:rPr>
                <w:rFonts w:hint="default"/>
                <w:color w:val="auto"/>
                <w:sz w:val="24"/>
                <w:szCs w:val="24"/>
                <w:lang w:val="en-US" w:eastAsia="zh-CN"/>
              </w:rPr>
              <w:t>/</w:t>
            </w:r>
            <w:r>
              <w:rPr>
                <w:rFonts w:hint="eastAsia"/>
                <w:color w:val="auto"/>
                <w:sz w:val="24"/>
                <w:szCs w:val="24"/>
                <w:lang w:val="en-US" w:eastAsia="zh-CN"/>
              </w:rPr>
              <w:t>年磷石膏免烧砖生产线进行技术改造，利用50t/h循环流化床锅炉，建成了50万t/a球状水泥缓凝剂生产线。技术改造后，公司厂内共形成60万t/a水泥缓凝剂生产规模（</w:t>
            </w:r>
            <w:r>
              <w:rPr>
                <w:rFonts w:hint="default" w:ascii="Times New Roman" w:hAnsi="Times New Roman" w:eastAsia="宋体" w:cs="Times New Roman"/>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条</w:t>
            </w:r>
            <w:r>
              <w:rPr>
                <w:rFonts w:hint="default" w:ascii="Times New Roman" w:hAnsi="Times New Roman" w:eastAsia="宋体" w:cs="Times New Roman"/>
                <w:color w:val="auto"/>
                <w:kern w:val="0"/>
                <w:sz w:val="24"/>
                <w:szCs w:val="24"/>
                <w:lang w:val="en-US" w:eastAsia="zh-CN" w:bidi="ar"/>
              </w:rPr>
              <w:t>10</w:t>
            </w:r>
            <w:r>
              <w:rPr>
                <w:rFonts w:hint="eastAsia" w:ascii="宋体" w:hAnsi="宋体" w:eastAsia="宋体" w:cs="宋体"/>
                <w:color w:val="auto"/>
                <w:kern w:val="0"/>
                <w:sz w:val="24"/>
                <w:szCs w:val="24"/>
                <w:lang w:val="en-US" w:eastAsia="zh-CN" w:bidi="ar"/>
              </w:rPr>
              <w:t>万</w:t>
            </w:r>
            <w:r>
              <w:rPr>
                <w:rFonts w:hint="default" w:ascii="Times New Roman" w:hAnsi="Times New Roman" w:eastAsia="宋体" w:cs="Times New Roman"/>
                <w:color w:val="auto"/>
                <w:kern w:val="0"/>
                <w:sz w:val="24"/>
                <w:szCs w:val="24"/>
                <w:lang w:val="en-US" w:eastAsia="zh-CN" w:bidi="ar"/>
              </w:rPr>
              <w:t>t/a</w:t>
            </w:r>
            <w:r>
              <w:rPr>
                <w:rFonts w:hint="eastAsia" w:ascii="宋体" w:hAnsi="宋体" w:eastAsia="宋体" w:cs="宋体"/>
                <w:color w:val="auto"/>
                <w:kern w:val="0"/>
                <w:sz w:val="24"/>
                <w:szCs w:val="24"/>
                <w:lang w:val="en-US" w:eastAsia="zh-CN" w:bidi="ar"/>
              </w:rPr>
              <w:t>粉状水泥缓凝剂生产线</w:t>
            </w:r>
            <w:r>
              <w:rPr>
                <w:rFonts w:hint="eastAsia" w:ascii="宋体" w:hAnsi="宋体" w:cs="宋体"/>
                <w:color w:val="auto"/>
                <w:kern w:val="0"/>
                <w:sz w:val="24"/>
                <w:szCs w:val="24"/>
                <w:lang w:val="en-US" w:eastAsia="zh-CN" w:bidi="ar"/>
              </w:rPr>
              <w:t>、</w:t>
            </w:r>
            <w:r>
              <w:rPr>
                <w:rFonts w:hint="default"/>
                <w:color w:val="auto"/>
                <w:sz w:val="24"/>
                <w:szCs w:val="24"/>
                <w:lang w:val="en-US" w:eastAsia="zh-CN"/>
              </w:rPr>
              <w:t>1</w:t>
            </w:r>
            <w:r>
              <w:rPr>
                <w:rFonts w:hint="eastAsia"/>
                <w:color w:val="auto"/>
                <w:sz w:val="24"/>
                <w:szCs w:val="24"/>
                <w:lang w:val="en-US" w:eastAsia="zh-CN"/>
              </w:rPr>
              <w:t>条50万t/a球状水泥缓凝剂生产线）。50万t/a球状水泥缓凝剂生产线已于2019年11月委托安徽禹水华阳环境工程技术有限公司编制了《50万 吨/年水泥缓凝剂改造项目环境影响报告表》，于2020年3月19日取得了昆明市生态环境局寻甸分局关于《50万吨/年水泥缓凝剂改造项目环境影响报告表》的批复（昆生环寻[2020]10号）。2020年4月1日开始建设，2020年9月10日竣工，2021年8月28日</w:t>
            </w:r>
            <w:r>
              <w:rPr>
                <w:snapToGrid w:val="0"/>
                <w:color w:val="auto"/>
                <w:sz w:val="24"/>
                <w:szCs w:val="24"/>
              </w:rPr>
              <w:t>进行了竣工环境保护验收</w:t>
            </w:r>
            <w:r>
              <w:rPr>
                <w:rFonts w:hint="eastAsia"/>
                <w:snapToGrid w:val="0"/>
                <w:color w:val="auto"/>
                <w:sz w:val="24"/>
                <w:szCs w:val="24"/>
                <w:lang w:eastAsia="zh-CN"/>
              </w:rPr>
              <w:t>。</w:t>
            </w:r>
            <w:r>
              <w:rPr>
                <w:snapToGrid w:val="0"/>
                <w:color w:val="auto"/>
                <w:sz w:val="24"/>
                <w:szCs w:val="24"/>
              </w:rPr>
              <w:t>2022年</w:t>
            </w:r>
            <w:r>
              <w:rPr>
                <w:rFonts w:hint="eastAsia"/>
                <w:snapToGrid w:val="0"/>
                <w:color w:val="auto"/>
                <w:sz w:val="24"/>
                <w:szCs w:val="24"/>
                <w:lang w:val="en-US" w:eastAsia="zh-CN"/>
              </w:rPr>
              <w:t>10</w:t>
            </w:r>
            <w:r>
              <w:rPr>
                <w:snapToGrid w:val="0"/>
                <w:color w:val="auto"/>
                <w:sz w:val="24"/>
                <w:szCs w:val="24"/>
              </w:rPr>
              <w:t>月</w:t>
            </w:r>
            <w:r>
              <w:rPr>
                <w:rFonts w:hint="eastAsia"/>
                <w:snapToGrid w:val="0"/>
                <w:color w:val="auto"/>
                <w:sz w:val="24"/>
                <w:szCs w:val="24"/>
                <w:lang w:val="en-US" w:eastAsia="zh-CN"/>
              </w:rPr>
              <w:t>09</w:t>
            </w:r>
            <w:r>
              <w:rPr>
                <w:snapToGrid w:val="0"/>
                <w:color w:val="auto"/>
                <w:sz w:val="24"/>
                <w:szCs w:val="24"/>
              </w:rPr>
              <w:t>日取得昆明市生态环境局下发的排污许可证（证书编号：915301297</w:t>
            </w:r>
            <w:r>
              <w:rPr>
                <w:rFonts w:hint="eastAsia"/>
                <w:snapToGrid w:val="0"/>
                <w:color w:val="auto"/>
                <w:sz w:val="24"/>
                <w:szCs w:val="24"/>
                <w:lang w:val="en-US" w:eastAsia="zh-CN"/>
              </w:rPr>
              <w:t>53573495C001U</w:t>
            </w:r>
            <w:r>
              <w:rPr>
                <w:snapToGrid w:val="0"/>
                <w:color w:val="auto"/>
                <w:sz w:val="24"/>
                <w:szCs w:val="24"/>
              </w:rPr>
              <w:t>）</w:t>
            </w:r>
            <w:r>
              <w:rPr>
                <w:rFonts w:hint="eastAsia"/>
                <w:snapToGrid w:val="0"/>
                <w:color w:val="auto"/>
                <w:sz w:val="24"/>
                <w:szCs w:val="24"/>
                <w:lang w:eastAsia="zh-CN"/>
              </w:rPr>
              <w:t>，</w:t>
            </w:r>
            <w:r>
              <w:rPr>
                <w:rFonts w:hint="eastAsia"/>
                <w:snapToGrid w:val="0"/>
                <w:color w:val="auto"/>
                <w:sz w:val="24"/>
                <w:szCs w:val="24"/>
                <w:lang w:val="en-US" w:eastAsia="zh-CN"/>
              </w:rPr>
              <w:t>2024年4月2日重新取得了排污许可证</w:t>
            </w:r>
            <w:r>
              <w:rPr>
                <w:snapToGrid w:val="0"/>
                <w:color w:val="auto"/>
                <w:sz w:val="24"/>
                <w:szCs w:val="24"/>
              </w:rPr>
              <w:t>。</w:t>
            </w:r>
          </w:p>
          <w:p w14:paraId="10AC7993">
            <w:pPr>
              <w:autoSpaceDE w:val="0"/>
              <w:autoSpaceDN w:val="0"/>
              <w:adjustRightInd w:val="0"/>
              <w:spacing w:line="360" w:lineRule="auto"/>
              <w:ind w:firstLine="480" w:firstLineChars="200"/>
              <w:rPr>
                <w:color w:val="auto"/>
                <w:sz w:val="24"/>
                <w:szCs w:val="24"/>
              </w:rPr>
            </w:pPr>
            <w:r>
              <w:rPr>
                <w:rFonts w:hint="eastAsia"/>
                <w:color w:val="auto"/>
                <w:sz w:val="24"/>
                <w:szCs w:val="24"/>
              </w:rPr>
              <w:t>项目运行后，202</w:t>
            </w:r>
            <w:r>
              <w:rPr>
                <w:rFonts w:hint="eastAsia"/>
                <w:color w:val="auto"/>
                <w:sz w:val="24"/>
                <w:szCs w:val="24"/>
                <w:lang w:val="en-US" w:eastAsia="zh-CN"/>
              </w:rPr>
              <w:t>4</w:t>
            </w:r>
            <w:r>
              <w:rPr>
                <w:rFonts w:hint="eastAsia"/>
                <w:color w:val="auto"/>
                <w:sz w:val="24"/>
                <w:szCs w:val="24"/>
              </w:rPr>
              <w:t>年</w:t>
            </w:r>
            <w:r>
              <w:rPr>
                <w:rFonts w:hint="eastAsia"/>
                <w:color w:val="auto"/>
                <w:sz w:val="24"/>
                <w:szCs w:val="24"/>
                <w:lang w:val="en-US" w:eastAsia="zh-CN"/>
              </w:rPr>
              <w:t>1</w:t>
            </w:r>
            <w:r>
              <w:rPr>
                <w:rFonts w:hint="eastAsia"/>
                <w:color w:val="auto"/>
                <w:sz w:val="24"/>
                <w:szCs w:val="24"/>
              </w:rPr>
              <w:t>月建设单位提出增大磷石膏改性规模，主要在</w:t>
            </w:r>
            <w:r>
              <w:rPr>
                <w:rFonts w:hint="eastAsia" w:ascii="Times New Roman" w:hAnsi="Times New Roman"/>
                <w:bCs w:val="0"/>
                <w:color w:val="auto"/>
                <w:sz w:val="24"/>
                <w:szCs w:val="24"/>
                <w:lang w:val="en-US" w:eastAsia="zh-CN"/>
              </w:rPr>
              <w:t>50万吨</w:t>
            </w:r>
            <w:r>
              <w:rPr>
                <w:rFonts w:hint="eastAsia" w:ascii="Times New Roman" w:hAnsi="Times New Roman" w:eastAsia="宋体" w:cs="Times New Roman"/>
                <w:color w:val="auto"/>
                <w:kern w:val="0"/>
                <w:sz w:val="24"/>
                <w:szCs w:val="24"/>
                <w:lang w:val="en-US" w:eastAsia="zh-CN" w:bidi="ar"/>
              </w:rPr>
              <w:t>/年球状水泥缓凝剂生产线</w:t>
            </w:r>
            <w:r>
              <w:rPr>
                <w:rFonts w:hint="eastAsia" w:ascii="Times New Roman" w:hAnsi="Times New Roman" w:cs="Times New Roman"/>
                <w:color w:val="auto"/>
                <w:kern w:val="0"/>
                <w:sz w:val="24"/>
                <w:szCs w:val="24"/>
                <w:lang w:val="en-US" w:eastAsia="zh-CN" w:bidi="ar"/>
              </w:rPr>
              <w:t>基础上，利用球状水泥缓凝剂生产线已建的受料仓、计量系统、搅拌机，并新增出料系统等配套设施，扩建</w:t>
            </w:r>
            <w:r>
              <w:rPr>
                <w:rFonts w:hint="eastAsia" w:cs="Times New Roman"/>
                <w:color w:val="auto"/>
                <w:kern w:val="0"/>
                <w:sz w:val="24"/>
                <w:szCs w:val="24"/>
                <w:lang w:val="en-US" w:eastAsia="zh-CN" w:bidi="ar"/>
              </w:rPr>
              <w:t>后在现有</w:t>
            </w:r>
            <w:r>
              <w:rPr>
                <w:rFonts w:hint="eastAsia" w:ascii="Times New Roman" w:hAnsi="Times New Roman" w:cs="Times New Roman"/>
                <w:color w:val="auto"/>
                <w:kern w:val="0"/>
                <w:sz w:val="24"/>
                <w:szCs w:val="24"/>
                <w:lang w:val="en-US" w:eastAsia="zh-CN" w:bidi="ar"/>
              </w:rPr>
              <w:t>年产</w:t>
            </w:r>
            <w:r>
              <w:rPr>
                <w:rFonts w:hint="eastAsia" w:ascii="Times New Roman" w:hAnsi="Times New Roman"/>
                <w:bCs w:val="0"/>
                <w:color w:val="auto"/>
                <w:sz w:val="24"/>
                <w:szCs w:val="24"/>
                <w:lang w:val="en-US" w:eastAsia="zh-CN"/>
              </w:rPr>
              <w:t>50万吨</w:t>
            </w:r>
            <w:r>
              <w:rPr>
                <w:rFonts w:hint="eastAsia" w:ascii="Times New Roman" w:hAnsi="Times New Roman" w:eastAsia="宋体" w:cs="Times New Roman"/>
                <w:color w:val="auto"/>
                <w:kern w:val="0"/>
                <w:sz w:val="24"/>
                <w:szCs w:val="24"/>
                <w:lang w:val="en-US" w:eastAsia="zh-CN" w:bidi="ar"/>
              </w:rPr>
              <w:t>球状水泥缓凝剂生产线的基础上扩建年产2</w:t>
            </w:r>
            <w:r>
              <w:rPr>
                <w:rFonts w:hint="eastAsia" w:ascii="Times New Roman" w:hAnsi="Times New Roman" w:cs="Times New Roman"/>
                <w:color w:val="auto"/>
                <w:kern w:val="0"/>
                <w:sz w:val="24"/>
                <w:szCs w:val="24"/>
                <w:lang w:val="en-US" w:eastAsia="zh-CN" w:bidi="ar"/>
              </w:rPr>
              <w:t>0万吨土壤改良剂、15万吨矿山生态修复材料、15万吨路基材料生产线。</w:t>
            </w:r>
          </w:p>
          <w:p w14:paraId="74FDD7F9">
            <w:pPr>
              <w:autoSpaceDE w:val="0"/>
              <w:autoSpaceDN w:val="0"/>
              <w:adjustRightInd w:val="0"/>
              <w:spacing w:line="360" w:lineRule="auto"/>
              <w:ind w:firstLine="562" w:firstLineChars="200"/>
              <w:rPr>
                <w:color w:val="auto"/>
                <w:sz w:val="28"/>
                <w:szCs w:val="28"/>
              </w:rPr>
            </w:pPr>
            <w:r>
              <w:rPr>
                <w:rFonts w:hint="eastAsia"/>
                <w:b/>
                <w:color w:val="auto"/>
                <w:sz w:val="28"/>
                <w:szCs w:val="28"/>
              </w:rPr>
              <w:t>2</w:t>
            </w:r>
            <w:r>
              <w:rPr>
                <w:b/>
                <w:color w:val="auto"/>
                <w:sz w:val="28"/>
                <w:szCs w:val="28"/>
              </w:rPr>
              <w:t>、本次</w:t>
            </w:r>
            <w:r>
              <w:rPr>
                <w:rFonts w:hint="eastAsia"/>
                <w:b/>
                <w:color w:val="auto"/>
                <w:sz w:val="28"/>
                <w:szCs w:val="28"/>
                <w:lang w:val="en-US" w:eastAsia="zh-CN"/>
              </w:rPr>
              <w:t>改</w:t>
            </w:r>
            <w:r>
              <w:rPr>
                <w:b/>
                <w:color w:val="auto"/>
                <w:sz w:val="28"/>
                <w:szCs w:val="28"/>
              </w:rPr>
              <w:t>扩建项目概况</w:t>
            </w:r>
          </w:p>
          <w:p w14:paraId="3C47E706">
            <w:pPr>
              <w:spacing w:line="360" w:lineRule="auto"/>
              <w:ind w:firstLine="480" w:firstLineChars="200"/>
              <w:rPr>
                <w:rFonts w:hint="eastAsia" w:eastAsia="宋体"/>
                <w:color w:val="auto"/>
                <w:sz w:val="24"/>
                <w:lang w:eastAsia="zh-CN"/>
              </w:rPr>
            </w:pPr>
            <w:r>
              <w:rPr>
                <w:color w:val="auto"/>
                <w:sz w:val="24"/>
              </w:rPr>
              <w:t>项目名称：</w:t>
            </w:r>
            <w:r>
              <w:rPr>
                <w:rFonts w:hint="eastAsia"/>
                <w:color w:val="auto"/>
                <w:sz w:val="24"/>
                <w:lang w:eastAsia="zh-CN"/>
              </w:rPr>
              <w:t>云南常青树化工有限公司磷石膏综合利用改扩建项目</w:t>
            </w:r>
          </w:p>
          <w:p w14:paraId="5E38F7E7">
            <w:pPr>
              <w:spacing w:line="360" w:lineRule="auto"/>
              <w:ind w:firstLine="480" w:firstLineChars="200"/>
              <w:rPr>
                <w:rFonts w:hint="eastAsia" w:eastAsia="宋体"/>
                <w:color w:val="auto"/>
                <w:sz w:val="24"/>
                <w:lang w:eastAsia="zh-CN"/>
              </w:rPr>
            </w:pPr>
            <w:r>
              <w:rPr>
                <w:color w:val="auto"/>
                <w:sz w:val="24"/>
              </w:rPr>
              <w:t>建设单位：</w:t>
            </w:r>
            <w:r>
              <w:rPr>
                <w:rFonts w:hint="eastAsia"/>
                <w:color w:val="auto"/>
                <w:sz w:val="24"/>
                <w:lang w:eastAsia="zh-CN"/>
              </w:rPr>
              <w:t>云南常青树化工有限公司</w:t>
            </w:r>
          </w:p>
          <w:p w14:paraId="41EFE5CD">
            <w:pPr>
              <w:spacing w:line="360" w:lineRule="auto"/>
              <w:ind w:firstLine="480" w:firstLineChars="200"/>
              <w:rPr>
                <w:color w:val="auto"/>
                <w:sz w:val="24"/>
              </w:rPr>
            </w:pPr>
            <w:r>
              <w:rPr>
                <w:color w:val="auto"/>
                <w:sz w:val="24"/>
              </w:rPr>
              <w:t>建设性质：</w:t>
            </w:r>
            <w:r>
              <w:rPr>
                <w:rFonts w:hint="eastAsia"/>
                <w:color w:val="auto"/>
                <w:sz w:val="24"/>
              </w:rPr>
              <w:t>扩</w:t>
            </w:r>
            <w:r>
              <w:rPr>
                <w:color w:val="auto"/>
                <w:sz w:val="24"/>
              </w:rPr>
              <w:t>建</w:t>
            </w:r>
          </w:p>
          <w:p w14:paraId="59DE2CF5">
            <w:pPr>
              <w:spacing w:line="360" w:lineRule="auto"/>
              <w:ind w:firstLine="480" w:firstLineChars="200"/>
              <w:rPr>
                <w:color w:val="auto"/>
                <w:sz w:val="24"/>
              </w:rPr>
            </w:pPr>
            <w:r>
              <w:rPr>
                <w:color w:val="auto"/>
                <w:sz w:val="24"/>
              </w:rPr>
              <w:t>建设地点：</w:t>
            </w:r>
            <w:r>
              <w:rPr>
                <w:rFonts w:hint="eastAsia" w:ascii="Times New Roman" w:hAnsi="Times New Roman" w:eastAsia="宋体"/>
                <w:bCs w:val="0"/>
                <w:color w:val="auto"/>
                <w:sz w:val="24"/>
                <w:szCs w:val="24"/>
                <w:lang w:eastAsia="zh-CN"/>
              </w:rPr>
              <w:t>云南省昆明市寻甸县塘子镇</w:t>
            </w:r>
            <w:r>
              <w:rPr>
                <w:rFonts w:hint="eastAsia" w:ascii="Times New Roman" w:hAnsi="Times New Roman"/>
                <w:bCs w:val="0"/>
                <w:color w:val="auto"/>
                <w:sz w:val="24"/>
                <w:szCs w:val="24"/>
                <w:lang w:val="en-US" w:eastAsia="zh-CN"/>
              </w:rPr>
              <w:t>云南常青树化工有限公司内</w:t>
            </w:r>
          </w:p>
          <w:p w14:paraId="3D65E0AE">
            <w:pPr>
              <w:autoSpaceDE w:val="0"/>
              <w:autoSpaceDN w:val="0"/>
              <w:spacing w:line="360" w:lineRule="auto"/>
              <w:ind w:firstLine="480" w:firstLineChars="200"/>
              <w:rPr>
                <w:color w:val="auto"/>
                <w:sz w:val="24"/>
              </w:rPr>
            </w:pPr>
            <w:r>
              <w:rPr>
                <w:color w:val="auto"/>
                <w:sz w:val="24"/>
              </w:rPr>
              <w:t>项目总投资：</w:t>
            </w:r>
            <w:r>
              <w:rPr>
                <w:rFonts w:hint="eastAsia"/>
                <w:color w:val="auto"/>
                <w:sz w:val="24"/>
                <w:lang w:val="en-US" w:eastAsia="zh-CN"/>
              </w:rPr>
              <w:t>503.61</w:t>
            </w:r>
            <w:r>
              <w:rPr>
                <w:color w:val="auto"/>
                <w:sz w:val="24"/>
              </w:rPr>
              <w:t>万元</w:t>
            </w:r>
          </w:p>
          <w:p w14:paraId="59358E04">
            <w:pPr>
              <w:autoSpaceDE w:val="0"/>
              <w:autoSpaceDN w:val="0"/>
              <w:spacing w:line="360" w:lineRule="auto"/>
              <w:ind w:firstLine="480" w:firstLineChars="200"/>
              <w:rPr>
                <w:color w:val="auto"/>
                <w:sz w:val="24"/>
              </w:rPr>
            </w:pPr>
            <w:r>
              <w:rPr>
                <w:color w:val="auto"/>
                <w:sz w:val="24"/>
              </w:rPr>
              <w:t>项目占地面积：占地面积</w:t>
            </w:r>
            <w:r>
              <w:rPr>
                <w:rFonts w:hint="eastAsia"/>
                <w:color w:val="auto"/>
                <w:sz w:val="24"/>
                <w:lang w:val="en-US" w:eastAsia="zh-CN"/>
              </w:rPr>
              <w:t>17000</w:t>
            </w:r>
            <w:r>
              <w:rPr>
                <w:color w:val="auto"/>
                <w:sz w:val="24"/>
              </w:rPr>
              <w:t>m</w:t>
            </w:r>
            <w:r>
              <w:rPr>
                <w:color w:val="auto"/>
                <w:sz w:val="24"/>
                <w:vertAlign w:val="superscript"/>
              </w:rPr>
              <w:t>2</w:t>
            </w:r>
          </w:p>
          <w:p w14:paraId="72238550">
            <w:pPr>
              <w:autoSpaceDE w:val="0"/>
              <w:autoSpaceDN w:val="0"/>
              <w:spacing w:line="360" w:lineRule="auto"/>
              <w:ind w:firstLine="480" w:firstLineChars="200"/>
              <w:rPr>
                <w:color w:val="auto"/>
                <w:sz w:val="24"/>
                <w:szCs w:val="24"/>
              </w:rPr>
            </w:pPr>
            <w:r>
              <w:rPr>
                <w:color w:val="auto"/>
                <w:sz w:val="24"/>
              </w:rPr>
              <w:t>建设内容及规模：项</w:t>
            </w:r>
            <w:r>
              <w:rPr>
                <w:rFonts w:hint="eastAsia"/>
                <w:color w:val="auto"/>
                <w:sz w:val="24"/>
                <w:szCs w:val="24"/>
              </w:rPr>
              <w:t>目主要在</w:t>
            </w:r>
            <w:r>
              <w:rPr>
                <w:rFonts w:hint="eastAsia" w:ascii="Times New Roman" w:hAnsi="Times New Roman"/>
                <w:bCs w:val="0"/>
                <w:color w:val="auto"/>
                <w:sz w:val="24"/>
                <w:szCs w:val="24"/>
                <w:lang w:val="en-US" w:eastAsia="zh-CN"/>
              </w:rPr>
              <w:t>50万吨</w:t>
            </w:r>
            <w:r>
              <w:rPr>
                <w:rFonts w:hint="eastAsia" w:ascii="Times New Roman" w:hAnsi="Times New Roman" w:eastAsia="宋体" w:cs="Times New Roman"/>
                <w:color w:val="auto"/>
                <w:kern w:val="0"/>
                <w:sz w:val="24"/>
                <w:szCs w:val="24"/>
                <w:lang w:val="en-US" w:eastAsia="zh-CN" w:bidi="ar"/>
              </w:rPr>
              <w:t>/年球状水泥缓凝剂生产线</w:t>
            </w:r>
            <w:r>
              <w:rPr>
                <w:rFonts w:hint="eastAsia" w:ascii="Times New Roman" w:hAnsi="Times New Roman" w:cs="Times New Roman"/>
                <w:color w:val="auto"/>
                <w:kern w:val="0"/>
                <w:sz w:val="24"/>
                <w:szCs w:val="24"/>
                <w:lang w:val="en-US" w:eastAsia="zh-CN" w:bidi="ar"/>
              </w:rPr>
              <w:t>基础上，利用球状水泥缓凝剂生产线已建的受料仓、计量系统、搅拌机，并新增出料系统等配套设施，扩建</w:t>
            </w:r>
            <w:r>
              <w:rPr>
                <w:rFonts w:hint="eastAsia" w:cs="Times New Roman"/>
                <w:color w:val="auto"/>
                <w:kern w:val="0"/>
                <w:sz w:val="24"/>
                <w:szCs w:val="24"/>
                <w:lang w:val="en-US" w:eastAsia="zh-CN" w:bidi="ar"/>
              </w:rPr>
              <w:t>后</w:t>
            </w:r>
            <w:r>
              <w:rPr>
                <w:rFonts w:hint="eastAsia" w:ascii="Times New Roman" w:hAnsi="Times New Roman" w:cs="Times New Roman"/>
                <w:color w:val="auto"/>
                <w:kern w:val="0"/>
                <w:sz w:val="24"/>
                <w:szCs w:val="24"/>
                <w:lang w:val="en-US" w:eastAsia="zh-CN" w:bidi="ar"/>
              </w:rPr>
              <w:t>年产</w:t>
            </w:r>
            <w:r>
              <w:rPr>
                <w:rFonts w:hint="eastAsia" w:ascii="Times New Roman" w:hAnsi="Times New Roman"/>
                <w:bCs w:val="0"/>
                <w:color w:val="auto"/>
                <w:sz w:val="24"/>
                <w:szCs w:val="24"/>
                <w:lang w:val="en-US" w:eastAsia="zh-CN"/>
              </w:rPr>
              <w:t>50万吨</w:t>
            </w:r>
            <w:r>
              <w:rPr>
                <w:rFonts w:hint="eastAsia" w:ascii="Times New Roman" w:hAnsi="Times New Roman" w:eastAsia="宋体" w:cs="Times New Roman"/>
                <w:color w:val="auto"/>
                <w:kern w:val="0"/>
                <w:sz w:val="24"/>
                <w:szCs w:val="24"/>
                <w:lang w:val="en-US" w:eastAsia="zh-CN" w:bidi="ar"/>
              </w:rPr>
              <w:t>球状水泥缓凝剂</w:t>
            </w:r>
            <w:r>
              <w:rPr>
                <w:rFonts w:hint="eastAsia" w:ascii="Times New Roman" w:hAnsi="Times New Roman" w:cs="Times New Roman"/>
                <w:color w:val="auto"/>
                <w:kern w:val="0"/>
                <w:sz w:val="24"/>
                <w:szCs w:val="24"/>
                <w:lang w:val="en-US" w:eastAsia="zh-CN" w:bidi="ar"/>
              </w:rPr>
              <w:t>、20万吨土壤改良剂、15万吨矿山生态修复材料、15万吨路基材料生产线。</w:t>
            </w:r>
          </w:p>
          <w:p w14:paraId="1088BABE">
            <w:pPr>
              <w:autoSpaceDE w:val="0"/>
              <w:autoSpaceDN w:val="0"/>
              <w:spacing w:line="360" w:lineRule="auto"/>
              <w:ind w:firstLine="562" w:firstLineChars="200"/>
              <w:rPr>
                <w:b/>
                <w:bCs/>
                <w:color w:val="auto"/>
                <w:sz w:val="28"/>
                <w:szCs w:val="28"/>
              </w:rPr>
            </w:pPr>
            <w:r>
              <w:rPr>
                <w:b/>
                <w:bCs/>
                <w:color w:val="auto"/>
                <w:sz w:val="28"/>
                <w:szCs w:val="28"/>
              </w:rPr>
              <w:t>2、工程组成</w:t>
            </w:r>
          </w:p>
          <w:p w14:paraId="7905F50F">
            <w:pPr>
              <w:autoSpaceDE w:val="0"/>
              <w:autoSpaceDN w:val="0"/>
              <w:spacing w:line="360" w:lineRule="auto"/>
              <w:ind w:firstLine="480" w:firstLineChars="200"/>
              <w:rPr>
                <w:color w:val="auto"/>
                <w:sz w:val="24"/>
              </w:rPr>
            </w:pPr>
            <w:r>
              <w:rPr>
                <w:rFonts w:hint="eastAsia"/>
                <w:color w:val="auto"/>
                <w:sz w:val="24"/>
                <w:lang w:val="en-US" w:eastAsia="zh-CN"/>
              </w:rPr>
              <w:t>本次改扩建工程主要在球状水泥缓凝剂生产线基础上新增出料系统级电石渣筛分设备，主要包括</w:t>
            </w:r>
            <w:r>
              <w:rPr>
                <w:color w:val="auto"/>
                <w:sz w:val="24"/>
              </w:rPr>
              <w:t>主体工程、辅助工程、公用工程、环保工程及依托工程，</w:t>
            </w:r>
            <w:r>
              <w:rPr>
                <w:rFonts w:hint="eastAsia"/>
                <w:color w:val="auto"/>
                <w:sz w:val="24"/>
                <w:lang w:val="en-US" w:eastAsia="zh-CN"/>
              </w:rPr>
              <w:t>改扩建完成后建设内容</w:t>
            </w:r>
            <w:r>
              <w:rPr>
                <w:color w:val="auto"/>
                <w:sz w:val="24"/>
              </w:rPr>
              <w:t>见表2-</w:t>
            </w:r>
            <w:r>
              <w:rPr>
                <w:rFonts w:hint="eastAsia"/>
                <w:color w:val="auto"/>
                <w:sz w:val="24"/>
                <w:lang w:val="en-US" w:eastAsia="zh-CN"/>
              </w:rPr>
              <w:t>1</w:t>
            </w:r>
            <w:r>
              <w:rPr>
                <w:color w:val="auto"/>
                <w:sz w:val="24"/>
              </w:rPr>
              <w:t>。</w:t>
            </w:r>
          </w:p>
          <w:p w14:paraId="2FCAC0F5">
            <w:pPr>
              <w:autoSpaceDE w:val="0"/>
              <w:autoSpaceDN w:val="0"/>
              <w:jc w:val="center"/>
              <w:rPr>
                <w:b/>
                <w:color w:val="auto"/>
                <w:sz w:val="24"/>
                <w:highlight w:val="yellow"/>
              </w:rPr>
            </w:pPr>
            <w:r>
              <w:rPr>
                <w:b/>
                <w:color w:val="auto"/>
                <w:sz w:val="24"/>
              </w:rPr>
              <w:t>表2-</w:t>
            </w:r>
            <w:r>
              <w:rPr>
                <w:rFonts w:hint="eastAsia"/>
                <w:b/>
                <w:color w:val="auto"/>
                <w:sz w:val="24"/>
                <w:lang w:val="en-US" w:eastAsia="zh-CN"/>
              </w:rPr>
              <w:t>1</w:t>
            </w:r>
            <w:r>
              <w:rPr>
                <w:b/>
                <w:color w:val="auto"/>
                <w:sz w:val="24"/>
              </w:rPr>
              <w:t xml:space="preserve">  </w:t>
            </w:r>
            <w:r>
              <w:rPr>
                <w:rFonts w:hint="eastAsia"/>
                <w:b/>
                <w:color w:val="auto"/>
                <w:sz w:val="24"/>
                <w:lang w:val="en-US" w:eastAsia="zh-CN"/>
              </w:rPr>
              <w:t>改扩建</w:t>
            </w:r>
            <w:r>
              <w:rPr>
                <w:b/>
                <w:color w:val="auto"/>
                <w:sz w:val="24"/>
              </w:rPr>
              <w:t>工程建设内容一览表</w:t>
            </w:r>
          </w:p>
          <w:tbl>
            <w:tblPr>
              <w:tblStyle w:val="45"/>
              <w:tblW w:w="49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649"/>
              <w:gridCol w:w="2038"/>
              <w:gridCol w:w="3589"/>
              <w:gridCol w:w="1267"/>
            </w:tblGrid>
            <w:tr w14:paraId="39A0B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Align w:val="center"/>
                </w:tcPr>
                <w:p w14:paraId="5CE7A9BC">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类别</w:t>
                  </w:r>
                </w:p>
              </w:tc>
              <w:tc>
                <w:tcPr>
                  <w:tcW w:w="1635" w:type="pct"/>
                  <w:gridSpan w:val="2"/>
                  <w:vAlign w:val="center"/>
                </w:tcPr>
                <w:p w14:paraId="256F37F1">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建设内容</w:t>
                  </w:r>
                </w:p>
              </w:tc>
              <w:tc>
                <w:tcPr>
                  <w:tcW w:w="2184" w:type="pct"/>
                  <w:vAlign w:val="center"/>
                </w:tcPr>
                <w:p w14:paraId="0D66ED79">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基本情况</w:t>
                  </w:r>
                </w:p>
              </w:tc>
              <w:tc>
                <w:tcPr>
                  <w:tcW w:w="771" w:type="pct"/>
                  <w:vAlign w:val="center"/>
                </w:tcPr>
                <w:p w14:paraId="79784AD8">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备注</w:t>
                  </w:r>
                </w:p>
              </w:tc>
            </w:tr>
            <w:tr w14:paraId="42A4F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restart"/>
                  <w:vAlign w:val="center"/>
                </w:tcPr>
                <w:p w14:paraId="3738340C">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主体</w:t>
                  </w:r>
                </w:p>
                <w:p w14:paraId="37A01B19">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工程</w:t>
                  </w:r>
                </w:p>
              </w:tc>
              <w:tc>
                <w:tcPr>
                  <w:tcW w:w="1635" w:type="pct"/>
                  <w:gridSpan w:val="2"/>
                  <w:vAlign w:val="center"/>
                </w:tcPr>
                <w:p w14:paraId="75CDC13E">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rFonts w:hint="eastAsia" w:ascii="Times New Roman" w:hAnsi="Times New Roman" w:cs="Times New Roman"/>
                      <w:color w:val="auto"/>
                      <w:kern w:val="0"/>
                      <w:sz w:val="21"/>
                      <w:szCs w:val="21"/>
                      <w:lang w:val="en-US" w:eastAsia="zh-CN" w:bidi="ar"/>
                    </w:rPr>
                    <w:t>年产20万吨土壤改良剂、15万吨矿山生态修复材料、15万吨路基材料生产线</w:t>
                  </w:r>
                </w:p>
              </w:tc>
              <w:tc>
                <w:tcPr>
                  <w:tcW w:w="2184" w:type="pct"/>
                  <w:vAlign w:val="center"/>
                </w:tcPr>
                <w:p w14:paraId="6B8CADF6">
                  <w:pPr>
                    <w:keepNext w:val="0"/>
                    <w:keepLines w:val="0"/>
                    <w:pageBreakBefore w:val="0"/>
                    <w:kinsoku/>
                    <w:wordWrap/>
                    <w:overflowPunct/>
                    <w:topLinePunct w:val="0"/>
                    <w:autoSpaceDE/>
                    <w:autoSpaceDN/>
                    <w:bidi w:val="0"/>
                    <w:adjustRightInd w:val="0"/>
                    <w:snapToGrid w:val="0"/>
                    <w:jc w:val="left"/>
                    <w:textAlignment w:val="auto"/>
                    <w:rPr>
                      <w:rFonts w:hint="eastAsia" w:cs="Times New Roman"/>
                      <w:color w:val="auto"/>
                      <w:kern w:val="0"/>
                      <w:sz w:val="21"/>
                      <w:szCs w:val="21"/>
                      <w:lang w:val="en-US" w:eastAsia="zh-CN" w:bidi="ar"/>
                    </w:rPr>
                  </w:pPr>
                  <w:r>
                    <w:rPr>
                      <w:rFonts w:hint="eastAsia" w:ascii="宋体" w:hAnsi="宋体" w:eastAsia="宋体" w:cs="宋体"/>
                      <w:color w:val="auto"/>
                      <w:sz w:val="21"/>
                      <w:szCs w:val="21"/>
                    </w:rPr>
                    <w:t>①</w:t>
                  </w:r>
                  <w:r>
                    <w:rPr>
                      <w:rFonts w:hint="eastAsia" w:eastAsia="宋体"/>
                      <w:color w:val="auto"/>
                      <w:sz w:val="21"/>
                      <w:szCs w:val="21"/>
                      <w:lang w:val="en-US" w:eastAsia="zh-CN"/>
                    </w:rPr>
                    <w:t>项目利用现有的</w:t>
                  </w:r>
                  <w:r>
                    <w:rPr>
                      <w:rFonts w:hint="eastAsia" w:ascii="Times New Roman" w:hAnsi="Times New Roman"/>
                      <w:bCs w:val="0"/>
                      <w:color w:val="auto"/>
                      <w:sz w:val="21"/>
                      <w:szCs w:val="21"/>
                      <w:lang w:val="en-US" w:eastAsia="zh-CN"/>
                    </w:rPr>
                    <w:t>50万吨</w:t>
                  </w:r>
                  <w:r>
                    <w:rPr>
                      <w:rFonts w:hint="eastAsia"/>
                      <w:bCs w:val="0"/>
                      <w:color w:val="auto"/>
                      <w:sz w:val="21"/>
                      <w:szCs w:val="21"/>
                      <w:lang w:val="en-US" w:eastAsia="zh-CN"/>
                    </w:rPr>
                    <w:t>/年</w:t>
                  </w:r>
                  <w:r>
                    <w:rPr>
                      <w:rFonts w:hint="eastAsia" w:ascii="Times New Roman" w:hAnsi="Times New Roman" w:eastAsia="宋体" w:cs="Times New Roman"/>
                      <w:color w:val="auto"/>
                      <w:kern w:val="0"/>
                      <w:sz w:val="21"/>
                      <w:szCs w:val="21"/>
                      <w:lang w:val="en-US" w:eastAsia="zh-CN" w:bidi="ar"/>
                    </w:rPr>
                    <w:t>球状水泥缓凝剂</w:t>
                  </w:r>
                  <w:r>
                    <w:rPr>
                      <w:rFonts w:hint="eastAsia" w:cs="Times New Roman"/>
                      <w:color w:val="auto"/>
                      <w:kern w:val="0"/>
                      <w:sz w:val="21"/>
                      <w:szCs w:val="21"/>
                      <w:lang w:val="en-US" w:eastAsia="zh-CN" w:bidi="ar"/>
                    </w:rPr>
                    <w:t>生产线进行改扩建，新增3条出料系统和电石渣筛分设备，不新增占地，项目占地面积为17000m</w:t>
                  </w:r>
                  <w:r>
                    <w:rPr>
                      <w:rFonts w:hint="eastAsia" w:cs="Times New Roman"/>
                      <w:color w:val="auto"/>
                      <w:kern w:val="0"/>
                      <w:sz w:val="21"/>
                      <w:szCs w:val="21"/>
                      <w:vertAlign w:val="superscript"/>
                      <w:lang w:val="en-US" w:eastAsia="zh-CN" w:bidi="ar"/>
                    </w:rPr>
                    <w:t>2</w:t>
                  </w:r>
                  <w:r>
                    <w:rPr>
                      <w:rFonts w:hint="eastAsia" w:cs="Times New Roman"/>
                      <w:color w:val="auto"/>
                      <w:kern w:val="0"/>
                      <w:sz w:val="21"/>
                      <w:szCs w:val="21"/>
                      <w:lang w:val="en-US" w:eastAsia="zh-CN" w:bidi="ar"/>
                    </w:rPr>
                    <w:t>。</w:t>
                  </w:r>
                </w:p>
                <w:p w14:paraId="38C680DF">
                  <w:pPr>
                    <w:keepNext w:val="0"/>
                    <w:keepLines w:val="0"/>
                    <w:pageBreakBefore w:val="0"/>
                    <w:kinsoku/>
                    <w:wordWrap/>
                    <w:overflowPunct/>
                    <w:topLinePunct w:val="0"/>
                    <w:autoSpaceDE/>
                    <w:autoSpaceDN/>
                    <w:bidi w:val="0"/>
                    <w:adjustRightInd w:val="0"/>
                    <w:snapToGrid w:val="0"/>
                    <w:jc w:val="left"/>
                    <w:textAlignment w:val="auto"/>
                    <w:rPr>
                      <w:rFonts w:hint="default"/>
                      <w:color w:val="auto"/>
                      <w:lang w:val="en-US" w:eastAsia="zh-CN"/>
                    </w:rPr>
                  </w:pPr>
                  <w:r>
                    <w:rPr>
                      <w:rFonts w:hint="eastAsia" w:ascii="宋体" w:hAnsi="宋体" w:eastAsia="宋体" w:cs="宋体"/>
                      <w:color w:val="auto"/>
                      <w:lang w:val="en-US" w:eastAsia="zh-CN"/>
                    </w:rPr>
                    <w:t>②</w:t>
                  </w:r>
                  <w:r>
                    <w:rPr>
                      <w:rFonts w:hint="eastAsia"/>
                      <w:color w:val="auto"/>
                      <w:lang w:val="en-US" w:eastAsia="zh-CN"/>
                    </w:rPr>
                    <w:t>项目扩建后新增年产</w:t>
                  </w:r>
                  <w:r>
                    <w:rPr>
                      <w:rFonts w:hint="eastAsia" w:ascii="Times New Roman" w:hAnsi="Times New Roman" w:cs="Times New Roman"/>
                      <w:color w:val="auto"/>
                      <w:kern w:val="0"/>
                      <w:sz w:val="21"/>
                      <w:szCs w:val="21"/>
                      <w:lang w:val="en-US" w:eastAsia="zh-CN" w:bidi="ar"/>
                    </w:rPr>
                    <w:t>20万吨土壤改良剂、15万吨矿山生态修复材料、15万吨路基材料</w:t>
                  </w:r>
                  <w:r>
                    <w:rPr>
                      <w:rFonts w:hint="eastAsia" w:cs="Times New Roman"/>
                      <w:color w:val="auto"/>
                      <w:kern w:val="0"/>
                      <w:sz w:val="21"/>
                      <w:szCs w:val="21"/>
                      <w:lang w:val="en-US" w:eastAsia="zh-CN" w:bidi="ar"/>
                    </w:rPr>
                    <w:t>。</w:t>
                  </w:r>
                </w:p>
              </w:tc>
              <w:tc>
                <w:tcPr>
                  <w:tcW w:w="771" w:type="pct"/>
                  <w:vAlign w:val="center"/>
                </w:tcPr>
                <w:p w14:paraId="5969C7DF">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color w:val="auto"/>
                      <w:sz w:val="21"/>
                      <w:szCs w:val="21"/>
                      <w:lang w:val="en-US" w:eastAsia="zh-CN"/>
                    </w:rPr>
                    <w:t>扩建，新增3条出料系统</w:t>
                  </w:r>
                  <w:r>
                    <w:rPr>
                      <w:rFonts w:hint="eastAsia" w:cs="Times New Roman"/>
                      <w:color w:val="auto"/>
                      <w:kern w:val="0"/>
                      <w:sz w:val="21"/>
                      <w:szCs w:val="21"/>
                      <w:lang w:val="en-US" w:eastAsia="zh-CN" w:bidi="ar"/>
                    </w:rPr>
                    <w:t>和电石渣筛分设备</w:t>
                  </w:r>
                </w:p>
              </w:tc>
            </w:tr>
            <w:tr w14:paraId="195F2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5F2168D5">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635" w:type="pct"/>
                  <w:gridSpan w:val="2"/>
                  <w:vAlign w:val="center"/>
                </w:tcPr>
                <w:p w14:paraId="04E78E99">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生产区</w:t>
                  </w:r>
                </w:p>
              </w:tc>
              <w:tc>
                <w:tcPr>
                  <w:tcW w:w="2184" w:type="pct"/>
                  <w:vAlign w:val="center"/>
                </w:tcPr>
                <w:p w14:paraId="23870280">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占地面积约1</w:t>
                  </w:r>
                  <w:r>
                    <w:rPr>
                      <w:rFonts w:hint="eastAsia"/>
                      <w:color w:val="auto"/>
                      <w:sz w:val="21"/>
                      <w:szCs w:val="21"/>
                      <w:lang w:val="en-US" w:eastAsia="zh-CN"/>
                    </w:rPr>
                    <w:t>6</w:t>
                  </w:r>
                  <w:r>
                    <w:rPr>
                      <w:color w:val="auto"/>
                      <w:sz w:val="21"/>
                      <w:szCs w:val="21"/>
                    </w:rPr>
                    <w:t>00m</w:t>
                  </w:r>
                  <w:r>
                    <w:rPr>
                      <w:color w:val="auto"/>
                      <w:sz w:val="21"/>
                      <w:szCs w:val="21"/>
                      <w:vertAlign w:val="superscript"/>
                    </w:rPr>
                    <w:t>2</w:t>
                  </w:r>
                  <w:r>
                    <w:rPr>
                      <w:color w:val="auto"/>
                      <w:sz w:val="21"/>
                      <w:szCs w:val="21"/>
                    </w:rPr>
                    <w:t>，位于</w:t>
                  </w:r>
                  <w:r>
                    <w:rPr>
                      <w:rFonts w:hint="eastAsia"/>
                      <w:color w:val="auto"/>
                      <w:sz w:val="21"/>
                      <w:szCs w:val="21"/>
                      <w:lang w:val="en-US" w:eastAsia="zh-CN"/>
                    </w:rPr>
                    <w:t>项目中部</w:t>
                  </w:r>
                  <w:r>
                    <w:rPr>
                      <w:color w:val="auto"/>
                      <w:sz w:val="21"/>
                      <w:szCs w:val="21"/>
                    </w:rPr>
                    <w:t>，进行</w:t>
                  </w:r>
                  <w:r>
                    <w:rPr>
                      <w:rFonts w:hint="eastAsia"/>
                      <w:color w:val="auto"/>
                      <w:sz w:val="21"/>
                      <w:szCs w:val="21"/>
                      <w:lang w:val="en-US" w:eastAsia="zh-CN"/>
                    </w:rPr>
                    <w:t>电石渣筛分，磷石膏和电石渣、生石灰</w:t>
                  </w:r>
                  <w:r>
                    <w:rPr>
                      <w:rFonts w:hint="eastAsia" w:cs="Times New Roman"/>
                      <w:color w:val="auto"/>
                      <w:kern w:val="0"/>
                      <w:sz w:val="21"/>
                      <w:szCs w:val="21"/>
                      <w:lang w:val="en-US" w:eastAsia="zh-CN" w:bidi="ar"/>
                    </w:rPr>
                    <w:t>混合</w:t>
                  </w:r>
                </w:p>
              </w:tc>
              <w:tc>
                <w:tcPr>
                  <w:tcW w:w="771" w:type="pct"/>
                  <w:vAlign w:val="center"/>
                </w:tcPr>
                <w:p w14:paraId="2DC213C5">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color w:val="auto"/>
                      <w:sz w:val="21"/>
                      <w:szCs w:val="21"/>
                      <w:lang w:val="en-US" w:eastAsia="zh-CN"/>
                    </w:rPr>
                    <w:t>新增3条出料系统</w:t>
                  </w:r>
                  <w:r>
                    <w:rPr>
                      <w:rFonts w:hint="eastAsia" w:cs="Times New Roman"/>
                      <w:color w:val="auto"/>
                      <w:kern w:val="0"/>
                      <w:sz w:val="21"/>
                      <w:szCs w:val="21"/>
                      <w:lang w:val="en-US" w:eastAsia="zh-CN" w:bidi="ar"/>
                    </w:rPr>
                    <w:t>和电石渣筛分设备</w:t>
                  </w:r>
                </w:p>
              </w:tc>
            </w:tr>
            <w:tr w14:paraId="3B2BF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restart"/>
                  <w:vAlign w:val="center"/>
                </w:tcPr>
                <w:p w14:paraId="1E93F0AD">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辅助</w:t>
                  </w:r>
                </w:p>
                <w:p w14:paraId="25E14B56">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工程</w:t>
                  </w:r>
                </w:p>
              </w:tc>
              <w:tc>
                <w:tcPr>
                  <w:tcW w:w="1635" w:type="pct"/>
                  <w:gridSpan w:val="2"/>
                  <w:vAlign w:val="center"/>
                </w:tcPr>
                <w:p w14:paraId="03A29D03">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color w:val="auto"/>
                      <w:sz w:val="21"/>
                      <w:szCs w:val="21"/>
                      <w:lang w:val="en-US" w:eastAsia="zh-CN"/>
                    </w:rPr>
                    <w:t>原料库</w:t>
                  </w:r>
                </w:p>
              </w:tc>
              <w:tc>
                <w:tcPr>
                  <w:tcW w:w="2184" w:type="pct"/>
                  <w:vAlign w:val="center"/>
                </w:tcPr>
                <w:p w14:paraId="4149B500">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color w:val="auto"/>
                      <w:sz w:val="21"/>
                      <w:szCs w:val="21"/>
                      <w:lang w:val="en-US" w:eastAsia="zh-CN"/>
                    </w:rPr>
                    <w:t>占地面积约1590m</w:t>
                  </w:r>
                  <w:r>
                    <w:rPr>
                      <w:rFonts w:hint="eastAsia"/>
                      <w:color w:val="auto"/>
                      <w:sz w:val="21"/>
                      <w:szCs w:val="21"/>
                      <w:vertAlign w:val="superscript"/>
                      <w:lang w:val="en-US" w:eastAsia="zh-CN"/>
                    </w:rPr>
                    <w:t>2</w:t>
                  </w:r>
                  <w:r>
                    <w:rPr>
                      <w:rFonts w:hint="eastAsia"/>
                      <w:color w:val="auto"/>
                      <w:sz w:val="21"/>
                      <w:szCs w:val="21"/>
                      <w:lang w:val="en-US" w:eastAsia="zh-CN"/>
                    </w:rPr>
                    <w:t>，位于项目东北侧，主要用于原料磷石膏临时堆放，并设置有磷石膏受料仓及计量系统</w:t>
                  </w:r>
                </w:p>
              </w:tc>
              <w:tc>
                <w:tcPr>
                  <w:tcW w:w="771" w:type="pct"/>
                  <w:vAlign w:val="center"/>
                </w:tcPr>
                <w:p w14:paraId="26935538">
                  <w:pPr>
                    <w:keepNext w:val="0"/>
                    <w:keepLines w:val="0"/>
                    <w:pageBreakBefore w:val="0"/>
                    <w:kinsoku/>
                    <w:wordWrap/>
                    <w:overflowPunct/>
                    <w:topLinePunct w:val="0"/>
                    <w:autoSpaceDE/>
                    <w:autoSpaceDN/>
                    <w:bidi w:val="0"/>
                    <w:adjustRightInd w:val="0"/>
                    <w:snapToGrid w:val="0"/>
                    <w:jc w:val="center"/>
                    <w:textAlignment w:val="auto"/>
                    <w:rPr>
                      <w:rFonts w:hint="default"/>
                      <w:color w:val="auto"/>
                      <w:sz w:val="21"/>
                      <w:szCs w:val="21"/>
                      <w:lang w:val="en-US"/>
                    </w:rPr>
                  </w:pPr>
                  <w:r>
                    <w:rPr>
                      <w:rFonts w:hint="eastAsia"/>
                      <w:color w:val="auto"/>
                      <w:sz w:val="21"/>
                      <w:szCs w:val="21"/>
                      <w:lang w:val="en-US" w:eastAsia="zh-CN"/>
                    </w:rPr>
                    <w:t>依托现有</w:t>
                  </w:r>
                </w:p>
              </w:tc>
            </w:tr>
            <w:tr w14:paraId="0F110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7E9481E9">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635" w:type="pct"/>
                  <w:gridSpan w:val="2"/>
                  <w:vAlign w:val="center"/>
                </w:tcPr>
                <w:p w14:paraId="3B949146">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电石渣堆存区</w:t>
                  </w:r>
                </w:p>
              </w:tc>
              <w:tc>
                <w:tcPr>
                  <w:tcW w:w="2184" w:type="pct"/>
                  <w:vAlign w:val="center"/>
                </w:tcPr>
                <w:p w14:paraId="0C8CE41F">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color w:val="auto"/>
                      <w:sz w:val="21"/>
                      <w:szCs w:val="21"/>
                    </w:rPr>
                    <w:t>占地面积约</w:t>
                  </w:r>
                  <w:r>
                    <w:rPr>
                      <w:rFonts w:hint="eastAsia"/>
                      <w:color w:val="auto"/>
                      <w:sz w:val="21"/>
                      <w:szCs w:val="21"/>
                      <w:highlight w:val="none"/>
                      <w:lang w:val="en-US" w:eastAsia="zh-CN"/>
                    </w:rPr>
                    <w:t>2</w:t>
                  </w:r>
                  <w:r>
                    <w:rPr>
                      <w:color w:val="auto"/>
                      <w:sz w:val="21"/>
                      <w:szCs w:val="21"/>
                      <w:highlight w:val="none"/>
                    </w:rPr>
                    <w:t>00m</w:t>
                  </w:r>
                  <w:r>
                    <w:rPr>
                      <w:color w:val="auto"/>
                      <w:sz w:val="21"/>
                      <w:szCs w:val="21"/>
                      <w:highlight w:val="none"/>
                      <w:vertAlign w:val="superscript"/>
                    </w:rPr>
                    <w:t>2</w:t>
                  </w:r>
                  <w:r>
                    <w:rPr>
                      <w:color w:val="auto"/>
                      <w:sz w:val="21"/>
                      <w:szCs w:val="21"/>
                      <w:highlight w:val="none"/>
                    </w:rPr>
                    <w:t>，</w:t>
                  </w:r>
                  <w:r>
                    <w:rPr>
                      <w:color w:val="auto"/>
                      <w:sz w:val="21"/>
                      <w:szCs w:val="21"/>
                    </w:rPr>
                    <w:t>位于</w:t>
                  </w:r>
                  <w:r>
                    <w:rPr>
                      <w:rFonts w:hint="eastAsia"/>
                      <w:color w:val="auto"/>
                      <w:sz w:val="21"/>
                      <w:szCs w:val="21"/>
                      <w:lang w:val="en-US" w:eastAsia="zh-CN"/>
                    </w:rPr>
                    <w:t>生产区南侧</w:t>
                  </w:r>
                  <w:r>
                    <w:rPr>
                      <w:color w:val="auto"/>
                      <w:sz w:val="21"/>
                      <w:szCs w:val="21"/>
                    </w:rPr>
                    <w:t>，</w:t>
                  </w:r>
                  <w:r>
                    <w:rPr>
                      <w:rFonts w:hint="eastAsia"/>
                      <w:color w:val="auto"/>
                      <w:sz w:val="21"/>
                      <w:szCs w:val="21"/>
                      <w:lang w:val="en-US" w:eastAsia="zh-CN"/>
                    </w:rPr>
                    <w:t>主要用于堆存辅料电石渣</w:t>
                  </w:r>
                </w:p>
              </w:tc>
              <w:tc>
                <w:tcPr>
                  <w:tcW w:w="771" w:type="pct"/>
                  <w:vAlign w:val="center"/>
                </w:tcPr>
                <w:p w14:paraId="54143060">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lang w:val="en-US" w:eastAsia="zh-CN"/>
                    </w:rPr>
                    <w:t>依托现有</w:t>
                  </w:r>
                </w:p>
              </w:tc>
            </w:tr>
            <w:tr w14:paraId="1560A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7F5BC7FF">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635" w:type="pct"/>
                  <w:gridSpan w:val="2"/>
                  <w:vAlign w:val="center"/>
                </w:tcPr>
                <w:p w14:paraId="2EC98FBC">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color w:val="auto"/>
                      <w:sz w:val="21"/>
                      <w:szCs w:val="21"/>
                      <w:lang w:val="en-US" w:eastAsia="zh-CN"/>
                    </w:rPr>
                    <w:t>生石灰筒仓</w:t>
                  </w:r>
                </w:p>
              </w:tc>
              <w:tc>
                <w:tcPr>
                  <w:tcW w:w="2184" w:type="pct"/>
                  <w:vAlign w:val="center"/>
                </w:tcPr>
                <w:p w14:paraId="3826B3B7">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1座</w:t>
                  </w:r>
                  <w:r>
                    <w:rPr>
                      <w:rFonts w:hint="eastAsia"/>
                      <w:color w:val="auto"/>
                      <w:sz w:val="21"/>
                      <w:szCs w:val="21"/>
                      <w:lang w:eastAsia="zh-CN"/>
                    </w:rPr>
                    <w:t>，</w:t>
                  </w:r>
                  <w:r>
                    <w:rPr>
                      <w:color w:val="auto"/>
                      <w:sz w:val="21"/>
                      <w:szCs w:val="21"/>
                    </w:rPr>
                    <w:t>容积</w:t>
                  </w:r>
                  <w:r>
                    <w:rPr>
                      <w:rFonts w:hint="eastAsia"/>
                      <w:color w:val="auto"/>
                      <w:sz w:val="21"/>
                      <w:szCs w:val="21"/>
                      <w:lang w:val="en-US" w:eastAsia="zh-CN"/>
                    </w:rPr>
                    <w:t>100m</w:t>
                  </w:r>
                  <w:r>
                    <w:rPr>
                      <w:rFonts w:hint="eastAsia"/>
                      <w:color w:val="auto"/>
                      <w:sz w:val="21"/>
                      <w:szCs w:val="21"/>
                      <w:vertAlign w:val="superscript"/>
                      <w:lang w:val="en-US" w:eastAsia="zh-CN"/>
                    </w:rPr>
                    <w:t>3</w:t>
                  </w:r>
                  <w:r>
                    <w:rPr>
                      <w:color w:val="auto"/>
                      <w:sz w:val="21"/>
                      <w:szCs w:val="21"/>
                    </w:rPr>
                    <w:t>，占地面积约为10m</w:t>
                  </w:r>
                  <w:r>
                    <w:rPr>
                      <w:color w:val="auto"/>
                      <w:sz w:val="21"/>
                      <w:szCs w:val="21"/>
                      <w:vertAlign w:val="superscript"/>
                    </w:rPr>
                    <w:t>2</w:t>
                  </w:r>
                  <w:r>
                    <w:rPr>
                      <w:color w:val="auto"/>
                      <w:sz w:val="21"/>
                      <w:szCs w:val="21"/>
                    </w:rPr>
                    <w:t>，位于</w:t>
                  </w:r>
                  <w:r>
                    <w:rPr>
                      <w:rFonts w:hint="eastAsia"/>
                      <w:color w:val="auto"/>
                      <w:sz w:val="21"/>
                      <w:szCs w:val="21"/>
                      <w:lang w:val="en-US" w:eastAsia="zh-CN"/>
                    </w:rPr>
                    <w:t>成球盘西侧</w:t>
                  </w:r>
                  <w:r>
                    <w:rPr>
                      <w:color w:val="auto"/>
                      <w:sz w:val="21"/>
                      <w:szCs w:val="21"/>
                    </w:rPr>
                    <w:t>，存放改性剂生石灰粉</w:t>
                  </w:r>
                </w:p>
              </w:tc>
              <w:tc>
                <w:tcPr>
                  <w:tcW w:w="771" w:type="pct"/>
                  <w:vAlign w:val="center"/>
                </w:tcPr>
                <w:p w14:paraId="2419B2E4">
                  <w:pPr>
                    <w:keepNext w:val="0"/>
                    <w:keepLines w:val="0"/>
                    <w:pageBreakBefore w:val="0"/>
                    <w:kinsoku/>
                    <w:wordWrap/>
                    <w:overflowPunct/>
                    <w:topLinePunct w:val="0"/>
                    <w:autoSpaceDE/>
                    <w:autoSpaceDN/>
                    <w:bidi w:val="0"/>
                    <w:adjustRightInd w:val="0"/>
                    <w:snapToGrid w:val="0"/>
                    <w:jc w:val="center"/>
                    <w:textAlignment w:val="auto"/>
                    <w:rPr>
                      <w:rFonts w:hint="default"/>
                      <w:color w:val="auto"/>
                      <w:sz w:val="21"/>
                      <w:szCs w:val="21"/>
                      <w:lang w:val="en-US" w:eastAsia="zh-CN"/>
                    </w:rPr>
                  </w:pPr>
                  <w:r>
                    <w:rPr>
                      <w:rFonts w:hint="eastAsia"/>
                      <w:color w:val="auto"/>
                      <w:sz w:val="21"/>
                      <w:szCs w:val="21"/>
                      <w:lang w:val="en-US" w:eastAsia="zh-CN"/>
                    </w:rPr>
                    <w:t>依托现有</w:t>
                  </w:r>
                </w:p>
              </w:tc>
            </w:tr>
            <w:tr w14:paraId="0CCAF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47D8CBFF">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635" w:type="pct"/>
                  <w:gridSpan w:val="2"/>
                  <w:vAlign w:val="center"/>
                </w:tcPr>
                <w:p w14:paraId="02465B64">
                  <w:pPr>
                    <w:keepNext w:val="0"/>
                    <w:keepLines w:val="0"/>
                    <w:pageBreakBefore w:val="0"/>
                    <w:kinsoku/>
                    <w:wordWrap/>
                    <w:overflowPunct/>
                    <w:topLinePunct w:val="0"/>
                    <w:autoSpaceDE/>
                    <w:autoSpaceDN/>
                    <w:bidi w:val="0"/>
                    <w:adjustRightInd w:val="0"/>
                    <w:snapToGrid w:val="0"/>
                    <w:jc w:val="center"/>
                    <w:textAlignment w:val="auto"/>
                    <w:rPr>
                      <w:rFonts w:hint="eastAsia"/>
                      <w:color w:val="auto"/>
                      <w:sz w:val="21"/>
                      <w:szCs w:val="21"/>
                      <w:lang w:val="en-US" w:eastAsia="zh-CN"/>
                    </w:rPr>
                  </w:pPr>
                  <w:r>
                    <w:rPr>
                      <w:rFonts w:hint="eastAsia"/>
                      <w:color w:val="auto"/>
                      <w:sz w:val="21"/>
                      <w:szCs w:val="21"/>
                      <w:lang w:val="en-US" w:eastAsia="zh-CN"/>
                    </w:rPr>
                    <w:t>路基材料</w:t>
                  </w:r>
                  <w:r>
                    <w:rPr>
                      <w:color w:val="auto"/>
                      <w:sz w:val="21"/>
                      <w:szCs w:val="21"/>
                    </w:rPr>
                    <w:t>熟化及成品堆场</w:t>
                  </w:r>
                </w:p>
              </w:tc>
              <w:tc>
                <w:tcPr>
                  <w:tcW w:w="2184" w:type="pct"/>
                  <w:vAlign w:val="center"/>
                </w:tcPr>
                <w:p w14:paraId="53AF5A44">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color w:val="auto"/>
                      <w:sz w:val="21"/>
                      <w:szCs w:val="21"/>
                      <w:lang w:val="en-US" w:eastAsia="zh-CN"/>
                    </w:rPr>
                    <w:t>占地面积约900m</w:t>
                  </w:r>
                  <w:r>
                    <w:rPr>
                      <w:rFonts w:hint="eastAsia"/>
                      <w:color w:val="auto"/>
                      <w:sz w:val="21"/>
                      <w:szCs w:val="21"/>
                      <w:vertAlign w:val="superscript"/>
                      <w:lang w:val="en-US" w:eastAsia="zh-CN"/>
                    </w:rPr>
                    <w:t>2</w:t>
                  </w:r>
                  <w:r>
                    <w:rPr>
                      <w:rFonts w:hint="eastAsia"/>
                      <w:color w:val="auto"/>
                      <w:sz w:val="21"/>
                      <w:szCs w:val="21"/>
                      <w:lang w:val="en-US" w:eastAsia="zh-CN"/>
                    </w:rPr>
                    <w:t>，堆存2.5m高，位于电石渣堆存区东侧，熟化及堆存路基材料</w:t>
                  </w:r>
                </w:p>
              </w:tc>
              <w:tc>
                <w:tcPr>
                  <w:tcW w:w="771" w:type="pct"/>
                  <w:vMerge w:val="restart"/>
                  <w:vAlign w:val="center"/>
                </w:tcPr>
                <w:p w14:paraId="39A44246">
                  <w:pPr>
                    <w:keepNext w:val="0"/>
                    <w:keepLines w:val="0"/>
                    <w:pageBreakBefore w:val="0"/>
                    <w:kinsoku/>
                    <w:wordWrap/>
                    <w:overflowPunct/>
                    <w:topLinePunct w:val="0"/>
                    <w:autoSpaceDE/>
                    <w:autoSpaceDN/>
                    <w:bidi w:val="0"/>
                    <w:adjustRightInd w:val="0"/>
                    <w:snapToGrid w:val="0"/>
                    <w:jc w:val="center"/>
                    <w:textAlignment w:val="auto"/>
                    <w:rPr>
                      <w:rFonts w:hint="default"/>
                      <w:color w:val="auto"/>
                      <w:sz w:val="21"/>
                      <w:szCs w:val="21"/>
                      <w:lang w:val="en-US" w:eastAsia="zh-CN"/>
                    </w:rPr>
                  </w:pPr>
                  <w:r>
                    <w:rPr>
                      <w:rFonts w:hint="eastAsia"/>
                      <w:color w:val="auto"/>
                      <w:sz w:val="21"/>
                      <w:szCs w:val="21"/>
                      <w:lang w:val="en-US" w:eastAsia="zh-CN"/>
                    </w:rPr>
                    <w:t>利用厂内闲置库房建设</w:t>
                  </w:r>
                </w:p>
              </w:tc>
            </w:tr>
            <w:tr w14:paraId="16D5F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36CBA1E2">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635" w:type="pct"/>
                  <w:gridSpan w:val="2"/>
                  <w:vAlign w:val="center"/>
                </w:tcPr>
                <w:p w14:paraId="37C09B43">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color w:val="auto"/>
                      <w:sz w:val="21"/>
                      <w:szCs w:val="21"/>
                      <w:lang w:val="en-US" w:eastAsia="zh-CN" w:bidi="ar-SA"/>
                    </w:rPr>
                  </w:pPr>
                  <w:r>
                    <w:rPr>
                      <w:color w:val="auto"/>
                      <w:sz w:val="21"/>
                      <w:szCs w:val="21"/>
                    </w:rPr>
                    <w:t>生态修复材料熟化及成品堆场</w:t>
                  </w:r>
                </w:p>
              </w:tc>
              <w:tc>
                <w:tcPr>
                  <w:tcW w:w="2184" w:type="pct"/>
                  <w:vAlign w:val="center"/>
                </w:tcPr>
                <w:p w14:paraId="768B1B3C">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color w:val="auto"/>
                      <w:sz w:val="21"/>
                      <w:szCs w:val="21"/>
                      <w:lang w:val="en-US" w:eastAsia="zh-CN" w:bidi="ar-SA"/>
                    </w:rPr>
                  </w:pPr>
                  <w:r>
                    <w:rPr>
                      <w:color w:val="auto"/>
                      <w:sz w:val="21"/>
                      <w:szCs w:val="21"/>
                    </w:rPr>
                    <w:t>占地面积约</w:t>
                  </w:r>
                  <w:r>
                    <w:rPr>
                      <w:rFonts w:hint="eastAsia"/>
                      <w:color w:val="auto"/>
                      <w:sz w:val="21"/>
                      <w:szCs w:val="21"/>
                      <w:highlight w:val="none"/>
                      <w:lang w:val="en-US" w:eastAsia="zh-CN"/>
                    </w:rPr>
                    <w:t>900</w:t>
                  </w:r>
                  <w:r>
                    <w:rPr>
                      <w:color w:val="auto"/>
                      <w:sz w:val="21"/>
                      <w:szCs w:val="21"/>
                      <w:highlight w:val="none"/>
                    </w:rPr>
                    <w:t>m</w:t>
                  </w:r>
                  <w:r>
                    <w:rPr>
                      <w:color w:val="auto"/>
                      <w:sz w:val="21"/>
                      <w:szCs w:val="21"/>
                      <w:highlight w:val="none"/>
                      <w:vertAlign w:val="superscript"/>
                    </w:rPr>
                    <w:t>2</w:t>
                  </w:r>
                  <w:r>
                    <w:rPr>
                      <w:color w:val="auto"/>
                      <w:sz w:val="21"/>
                      <w:szCs w:val="21"/>
                      <w:highlight w:val="none"/>
                    </w:rPr>
                    <w:t>，堆存</w:t>
                  </w:r>
                  <w:r>
                    <w:rPr>
                      <w:rFonts w:hint="eastAsia"/>
                      <w:color w:val="auto"/>
                      <w:sz w:val="21"/>
                      <w:szCs w:val="21"/>
                      <w:highlight w:val="none"/>
                    </w:rPr>
                    <w:t>2.5m高，</w:t>
                  </w:r>
                  <w:r>
                    <w:rPr>
                      <w:color w:val="auto"/>
                      <w:sz w:val="21"/>
                      <w:szCs w:val="21"/>
                      <w:highlight w:val="none"/>
                    </w:rPr>
                    <w:t>位于</w:t>
                  </w:r>
                  <w:r>
                    <w:rPr>
                      <w:rFonts w:hint="eastAsia"/>
                      <w:color w:val="auto"/>
                      <w:sz w:val="21"/>
                      <w:szCs w:val="21"/>
                      <w:highlight w:val="none"/>
                      <w:lang w:val="en-US" w:eastAsia="zh-CN"/>
                    </w:rPr>
                    <w:t>路基材料</w:t>
                  </w:r>
                  <w:r>
                    <w:rPr>
                      <w:color w:val="auto"/>
                      <w:sz w:val="21"/>
                      <w:szCs w:val="21"/>
                      <w:highlight w:val="none"/>
                    </w:rPr>
                    <w:t>熟化及成品堆场</w:t>
                  </w:r>
                  <w:r>
                    <w:rPr>
                      <w:rFonts w:hint="eastAsia"/>
                      <w:color w:val="auto"/>
                      <w:sz w:val="21"/>
                      <w:szCs w:val="21"/>
                      <w:highlight w:val="none"/>
                      <w:lang w:val="en-US" w:eastAsia="zh-CN"/>
                    </w:rPr>
                    <w:t>东</w:t>
                  </w:r>
                  <w:r>
                    <w:rPr>
                      <w:color w:val="auto"/>
                      <w:sz w:val="21"/>
                      <w:szCs w:val="21"/>
                      <w:highlight w:val="none"/>
                    </w:rPr>
                    <w:t>侧</w:t>
                  </w:r>
                  <w:r>
                    <w:rPr>
                      <w:color w:val="auto"/>
                      <w:sz w:val="21"/>
                      <w:szCs w:val="21"/>
                    </w:rPr>
                    <w:t>，熟化及堆存生态修复材料</w:t>
                  </w:r>
                </w:p>
              </w:tc>
              <w:tc>
                <w:tcPr>
                  <w:tcW w:w="771" w:type="pct"/>
                  <w:vMerge w:val="continue"/>
                  <w:vAlign w:val="center"/>
                </w:tcPr>
                <w:p w14:paraId="1E24367A">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r>
            <w:tr w14:paraId="24502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76969EDE">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635" w:type="pct"/>
                  <w:gridSpan w:val="2"/>
                  <w:vAlign w:val="center"/>
                </w:tcPr>
                <w:p w14:paraId="4221969E">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rFonts w:hint="eastAsia" w:ascii="Times New Roman" w:hAnsi="Times New Roman" w:cs="Times New Roman"/>
                      <w:color w:val="auto"/>
                      <w:kern w:val="0"/>
                      <w:sz w:val="21"/>
                      <w:szCs w:val="21"/>
                      <w:lang w:val="en-US" w:eastAsia="zh-CN" w:bidi="ar"/>
                    </w:rPr>
                    <w:t>土壤改良剂</w:t>
                  </w:r>
                  <w:r>
                    <w:rPr>
                      <w:color w:val="auto"/>
                      <w:sz w:val="21"/>
                      <w:szCs w:val="21"/>
                    </w:rPr>
                    <w:t>熟化及成品堆场</w:t>
                  </w:r>
                </w:p>
              </w:tc>
              <w:tc>
                <w:tcPr>
                  <w:tcW w:w="2184" w:type="pct"/>
                  <w:vAlign w:val="center"/>
                </w:tcPr>
                <w:p w14:paraId="59185A9F">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color w:val="auto"/>
                      <w:sz w:val="21"/>
                      <w:szCs w:val="21"/>
                      <w:lang w:val="en-US" w:eastAsia="zh-CN"/>
                    </w:rPr>
                    <w:t>占地面积约1200m</w:t>
                  </w:r>
                  <w:r>
                    <w:rPr>
                      <w:rFonts w:hint="eastAsia"/>
                      <w:color w:val="auto"/>
                      <w:sz w:val="21"/>
                      <w:szCs w:val="21"/>
                      <w:vertAlign w:val="superscript"/>
                      <w:lang w:val="en-US" w:eastAsia="zh-CN"/>
                    </w:rPr>
                    <w:t>2</w:t>
                  </w:r>
                  <w:r>
                    <w:rPr>
                      <w:rFonts w:hint="eastAsia"/>
                      <w:color w:val="auto"/>
                      <w:sz w:val="21"/>
                      <w:szCs w:val="21"/>
                      <w:lang w:val="en-US" w:eastAsia="zh-CN"/>
                    </w:rPr>
                    <w:t>，堆存2.5m高，位于生态修复材料</w:t>
                  </w:r>
                  <w:r>
                    <w:rPr>
                      <w:color w:val="auto"/>
                      <w:sz w:val="21"/>
                      <w:szCs w:val="21"/>
                      <w:highlight w:val="none"/>
                    </w:rPr>
                    <w:t>熟化及成品堆场</w:t>
                  </w:r>
                  <w:r>
                    <w:rPr>
                      <w:rFonts w:hint="eastAsia"/>
                      <w:color w:val="auto"/>
                      <w:sz w:val="21"/>
                      <w:szCs w:val="21"/>
                      <w:highlight w:val="none"/>
                      <w:lang w:val="en-US" w:eastAsia="zh-CN"/>
                    </w:rPr>
                    <w:t>东</w:t>
                  </w:r>
                  <w:r>
                    <w:rPr>
                      <w:color w:val="auto"/>
                      <w:sz w:val="21"/>
                      <w:szCs w:val="21"/>
                      <w:highlight w:val="none"/>
                    </w:rPr>
                    <w:t>侧</w:t>
                  </w:r>
                  <w:r>
                    <w:rPr>
                      <w:color w:val="auto"/>
                      <w:sz w:val="21"/>
                      <w:szCs w:val="21"/>
                    </w:rPr>
                    <w:t>，熟化及堆存</w:t>
                  </w:r>
                  <w:r>
                    <w:rPr>
                      <w:rFonts w:hint="eastAsia"/>
                      <w:color w:val="auto"/>
                      <w:sz w:val="21"/>
                      <w:szCs w:val="21"/>
                      <w:lang w:val="en-US" w:eastAsia="zh-CN"/>
                    </w:rPr>
                    <w:t>土壤改良剂</w:t>
                  </w:r>
                </w:p>
              </w:tc>
              <w:tc>
                <w:tcPr>
                  <w:tcW w:w="771" w:type="pct"/>
                  <w:vMerge w:val="continue"/>
                  <w:vAlign w:val="center"/>
                </w:tcPr>
                <w:p w14:paraId="19E3FAA7">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r>
            <w:tr w14:paraId="793FB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4577C728">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635" w:type="pct"/>
                  <w:gridSpan w:val="2"/>
                  <w:vAlign w:val="center"/>
                </w:tcPr>
                <w:p w14:paraId="16DE300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lang w:val="en-US" w:eastAsia="zh-CN" w:bidi="ar"/>
                    </w:rPr>
                  </w:pPr>
                  <w:r>
                    <w:rPr>
                      <w:rFonts w:hint="eastAsia" w:cs="Times New Roman"/>
                      <w:color w:val="auto"/>
                      <w:kern w:val="0"/>
                      <w:sz w:val="21"/>
                      <w:szCs w:val="21"/>
                      <w:lang w:val="en-US" w:eastAsia="zh-CN" w:bidi="ar"/>
                    </w:rPr>
                    <w:t>办公区及生活区</w:t>
                  </w:r>
                </w:p>
              </w:tc>
              <w:tc>
                <w:tcPr>
                  <w:tcW w:w="2184" w:type="pct"/>
                  <w:vAlign w:val="center"/>
                </w:tcPr>
                <w:p w14:paraId="7F7FB2F1">
                  <w:pPr>
                    <w:keepNext w:val="0"/>
                    <w:keepLines w:val="0"/>
                    <w:pageBreakBefore w:val="0"/>
                    <w:kinsoku/>
                    <w:wordWrap/>
                    <w:overflowPunct/>
                    <w:topLinePunct w:val="0"/>
                    <w:autoSpaceDE/>
                    <w:autoSpaceDN/>
                    <w:bidi w:val="0"/>
                    <w:adjustRightInd w:val="0"/>
                    <w:snapToGrid w:val="0"/>
                    <w:jc w:val="center"/>
                    <w:textAlignment w:val="auto"/>
                    <w:rPr>
                      <w:rFonts w:hint="default"/>
                      <w:color w:val="auto"/>
                      <w:sz w:val="21"/>
                      <w:szCs w:val="21"/>
                      <w:lang w:val="en-US" w:eastAsia="zh-CN"/>
                    </w:rPr>
                  </w:pPr>
                  <w:r>
                    <w:rPr>
                      <w:rFonts w:hint="eastAsia"/>
                      <w:color w:val="auto"/>
                      <w:sz w:val="21"/>
                      <w:szCs w:val="21"/>
                      <w:lang w:val="en-US" w:eastAsia="zh-CN"/>
                    </w:rPr>
                    <w:t>办公区位于本次改扩建工程西侧，建筑面积约2000m</w:t>
                  </w:r>
                  <w:r>
                    <w:rPr>
                      <w:rFonts w:hint="eastAsia"/>
                      <w:color w:val="auto"/>
                      <w:sz w:val="21"/>
                      <w:szCs w:val="21"/>
                      <w:vertAlign w:val="superscript"/>
                      <w:lang w:val="en-US" w:eastAsia="zh-CN"/>
                    </w:rPr>
                    <w:t>2</w:t>
                  </w:r>
                  <w:r>
                    <w:rPr>
                      <w:rFonts w:hint="eastAsia"/>
                      <w:color w:val="auto"/>
                      <w:sz w:val="21"/>
                      <w:szCs w:val="21"/>
                      <w:lang w:val="en-US" w:eastAsia="zh-CN"/>
                    </w:rPr>
                    <w:t>；生活区位于本次改扩建工程西南侧，设置职工住宿和食堂，建筑面积约2400m</w:t>
                  </w:r>
                  <w:r>
                    <w:rPr>
                      <w:rFonts w:hint="eastAsia"/>
                      <w:color w:val="auto"/>
                      <w:sz w:val="21"/>
                      <w:szCs w:val="21"/>
                      <w:vertAlign w:val="superscript"/>
                      <w:lang w:val="en-US" w:eastAsia="zh-CN"/>
                    </w:rPr>
                    <w:t>2</w:t>
                  </w:r>
                </w:p>
              </w:tc>
              <w:tc>
                <w:tcPr>
                  <w:tcW w:w="771" w:type="pct"/>
                  <w:vAlign w:val="center"/>
                </w:tcPr>
                <w:p w14:paraId="122E8513">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color w:val="auto"/>
                      <w:sz w:val="21"/>
                      <w:szCs w:val="21"/>
                      <w:lang w:val="en-US" w:eastAsia="zh-CN"/>
                    </w:rPr>
                    <w:t>依托现有</w:t>
                  </w:r>
                </w:p>
              </w:tc>
            </w:tr>
            <w:tr w14:paraId="4C4AD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restart"/>
                  <w:vAlign w:val="center"/>
                </w:tcPr>
                <w:p w14:paraId="34EE1464">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公用</w:t>
                  </w:r>
                </w:p>
                <w:p w14:paraId="5AE457F7">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工程</w:t>
                  </w:r>
                </w:p>
              </w:tc>
              <w:tc>
                <w:tcPr>
                  <w:tcW w:w="1635" w:type="pct"/>
                  <w:gridSpan w:val="2"/>
                  <w:vAlign w:val="center"/>
                </w:tcPr>
                <w:p w14:paraId="040DF1AB">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给水</w:t>
                  </w:r>
                </w:p>
              </w:tc>
              <w:tc>
                <w:tcPr>
                  <w:tcW w:w="2184" w:type="pct"/>
                  <w:vAlign w:val="center"/>
                </w:tcPr>
                <w:p w14:paraId="720F805F">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lang w:val="en-US" w:eastAsia="zh-CN"/>
                    </w:rPr>
                    <w:t>本次改扩建工程不新增劳动人员，从公司内部进行调配，没有新增生活用水；项目消防用水依托产区内现有。</w:t>
                  </w:r>
                </w:p>
              </w:tc>
              <w:tc>
                <w:tcPr>
                  <w:tcW w:w="771" w:type="pct"/>
                  <w:vAlign w:val="center"/>
                </w:tcPr>
                <w:p w14:paraId="2AE34F8E">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lang w:val="en-US" w:eastAsia="zh-CN"/>
                    </w:rPr>
                    <w:t>依托</w:t>
                  </w:r>
                </w:p>
              </w:tc>
            </w:tr>
            <w:tr w14:paraId="4FBDD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3513959A">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635" w:type="pct"/>
                  <w:gridSpan w:val="2"/>
                  <w:vAlign w:val="center"/>
                </w:tcPr>
                <w:p w14:paraId="53789E20">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排水</w:t>
                  </w:r>
                </w:p>
              </w:tc>
              <w:tc>
                <w:tcPr>
                  <w:tcW w:w="2184" w:type="pct"/>
                  <w:vAlign w:val="center"/>
                </w:tcPr>
                <w:p w14:paraId="78FE6774">
                  <w:pPr>
                    <w:keepNext w:val="0"/>
                    <w:keepLines w:val="0"/>
                    <w:pageBreakBefore w:val="0"/>
                    <w:kinsoku/>
                    <w:wordWrap/>
                    <w:overflowPunct/>
                    <w:topLinePunct w:val="0"/>
                    <w:autoSpaceDE/>
                    <w:autoSpaceDN/>
                    <w:bidi w:val="0"/>
                    <w:adjustRightInd w:val="0"/>
                    <w:snapToGrid w:val="0"/>
                    <w:jc w:val="center"/>
                    <w:textAlignment w:val="auto"/>
                    <w:rPr>
                      <w:rFonts w:hint="default"/>
                      <w:color w:val="auto"/>
                      <w:lang w:val="en-US"/>
                    </w:rPr>
                  </w:pPr>
                  <w:r>
                    <w:rPr>
                      <w:rFonts w:hint="eastAsia"/>
                      <w:color w:val="auto"/>
                      <w:sz w:val="21"/>
                      <w:szCs w:val="21"/>
                      <w:lang w:val="en-US" w:eastAsia="zh-CN"/>
                    </w:rPr>
                    <w:t>项目扩建工程无废水产生；雨水依托厂区内现有雨水排水系统：生产区内的初期雨水通过雨水收集沟排往雨水收集池，作为公司磷酸生产项目的生产工艺用水，初期雨水不外排。</w:t>
                  </w:r>
                </w:p>
              </w:tc>
              <w:tc>
                <w:tcPr>
                  <w:tcW w:w="771" w:type="pct"/>
                  <w:vAlign w:val="center"/>
                </w:tcPr>
                <w:p w14:paraId="1C452FAB">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lang w:val="en-US" w:eastAsia="zh-CN"/>
                    </w:rPr>
                    <w:t>依托</w:t>
                  </w:r>
                </w:p>
              </w:tc>
            </w:tr>
            <w:tr w14:paraId="0A898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617D8AF5">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635" w:type="pct"/>
                  <w:gridSpan w:val="2"/>
                  <w:vAlign w:val="center"/>
                </w:tcPr>
                <w:p w14:paraId="013AEA2A">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供电</w:t>
                  </w:r>
                </w:p>
              </w:tc>
              <w:tc>
                <w:tcPr>
                  <w:tcW w:w="2184" w:type="pct"/>
                  <w:vAlign w:val="center"/>
                </w:tcPr>
                <w:p w14:paraId="557E8BC8">
                  <w:pPr>
                    <w:keepNext w:val="0"/>
                    <w:keepLines w:val="0"/>
                    <w:pageBreakBefore w:val="0"/>
                    <w:widowControl/>
                    <w:suppressLineNumbers w:val="0"/>
                    <w:kinsoku/>
                    <w:wordWrap/>
                    <w:overflowPunct/>
                    <w:topLinePunct w:val="0"/>
                    <w:autoSpaceDE/>
                    <w:autoSpaceDN/>
                    <w:bidi w:val="0"/>
                    <w:adjustRightInd w:val="0"/>
                    <w:snapToGrid w:val="0"/>
                    <w:jc w:val="left"/>
                    <w:textAlignment w:val="auto"/>
                    <w:rPr>
                      <w:color w:val="auto"/>
                      <w:sz w:val="21"/>
                      <w:szCs w:val="21"/>
                    </w:rPr>
                  </w:pPr>
                  <w:r>
                    <w:rPr>
                      <w:color w:val="auto"/>
                      <w:sz w:val="21"/>
                      <w:szCs w:val="21"/>
                    </w:rPr>
                    <w:t>本项目供电可依托</w:t>
                  </w:r>
                  <w:r>
                    <w:rPr>
                      <w:rFonts w:hint="eastAsia" w:ascii="宋体" w:hAnsi="宋体" w:eastAsia="宋体" w:cs="宋体"/>
                      <w:color w:val="auto"/>
                      <w:kern w:val="0"/>
                      <w:sz w:val="21"/>
                      <w:szCs w:val="21"/>
                      <w:lang w:val="en-US" w:eastAsia="zh-CN" w:bidi="ar"/>
                    </w:rPr>
                    <w:t>依托现有生产车间变压器及配电室</w:t>
                  </w:r>
                </w:p>
              </w:tc>
              <w:tc>
                <w:tcPr>
                  <w:tcW w:w="771" w:type="pct"/>
                  <w:vAlign w:val="center"/>
                </w:tcPr>
                <w:p w14:paraId="4A418FCF">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依托</w:t>
                  </w:r>
                </w:p>
              </w:tc>
            </w:tr>
            <w:tr w14:paraId="6AD86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restart"/>
                  <w:vAlign w:val="center"/>
                </w:tcPr>
                <w:p w14:paraId="7829500E">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环保工程</w:t>
                  </w:r>
                </w:p>
              </w:tc>
              <w:tc>
                <w:tcPr>
                  <w:tcW w:w="395" w:type="pct"/>
                  <w:vMerge w:val="restart"/>
                  <w:vAlign w:val="center"/>
                </w:tcPr>
                <w:p w14:paraId="15D1DAB3">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废气处置措施</w:t>
                  </w:r>
                </w:p>
              </w:tc>
              <w:tc>
                <w:tcPr>
                  <w:tcW w:w="1240" w:type="pct"/>
                  <w:shd w:val="clear" w:color="auto" w:fill="auto"/>
                  <w:vAlign w:val="center"/>
                </w:tcPr>
                <w:p w14:paraId="6E8BBEF6">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yellow"/>
                      <w:lang w:val="en-US" w:eastAsia="zh-CN" w:bidi="ar-SA"/>
                    </w:rPr>
                  </w:pPr>
                  <w:r>
                    <w:rPr>
                      <w:rFonts w:hint="eastAsia"/>
                      <w:color w:val="auto"/>
                      <w:sz w:val="21"/>
                      <w:szCs w:val="21"/>
                      <w:highlight w:val="none"/>
                    </w:rPr>
                    <w:t>整套皮带运输、计量系统设备采取彩钢瓦全封闭状态</w:t>
                  </w:r>
                </w:p>
              </w:tc>
              <w:tc>
                <w:tcPr>
                  <w:tcW w:w="2184" w:type="pct"/>
                  <w:shd w:val="clear" w:color="auto" w:fill="auto"/>
                  <w:vAlign w:val="center"/>
                </w:tcPr>
                <w:p w14:paraId="53C7F946">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color w:val="auto"/>
                      <w:sz w:val="21"/>
                      <w:szCs w:val="21"/>
                    </w:rPr>
                    <w:t>皮带输送机及</w:t>
                  </w:r>
                  <w:r>
                    <w:rPr>
                      <w:rFonts w:hint="eastAsia"/>
                      <w:color w:val="auto"/>
                      <w:sz w:val="21"/>
                      <w:szCs w:val="21"/>
                    </w:rPr>
                    <w:t>计量</w:t>
                  </w:r>
                  <w:r>
                    <w:rPr>
                      <w:color w:val="auto"/>
                      <w:sz w:val="21"/>
                      <w:szCs w:val="21"/>
                    </w:rPr>
                    <w:t>系统均</w:t>
                  </w:r>
                  <w:r>
                    <w:rPr>
                      <w:rFonts w:hint="eastAsia"/>
                      <w:color w:val="auto"/>
                      <w:sz w:val="21"/>
                      <w:szCs w:val="21"/>
                    </w:rPr>
                    <w:t>属于彩钢瓦全封闭状态，在运输过程中产生的</w:t>
                  </w:r>
                  <w:r>
                    <w:rPr>
                      <w:rFonts w:hint="eastAsia"/>
                      <w:color w:val="auto"/>
                      <w:sz w:val="21"/>
                      <w:szCs w:val="21"/>
                      <w:lang w:val="en-US" w:eastAsia="zh-CN"/>
                    </w:rPr>
                    <w:t>90%</w:t>
                  </w:r>
                  <w:r>
                    <w:rPr>
                      <w:rFonts w:hint="eastAsia"/>
                      <w:color w:val="auto"/>
                      <w:sz w:val="21"/>
                      <w:szCs w:val="21"/>
                    </w:rPr>
                    <w:t>粉尘在皮带运输空间内部，</w:t>
                  </w:r>
                  <w:r>
                    <w:rPr>
                      <w:rFonts w:hint="eastAsia"/>
                      <w:color w:val="auto"/>
                      <w:sz w:val="21"/>
                      <w:szCs w:val="21"/>
                      <w:lang w:val="en-US" w:eastAsia="zh-CN"/>
                    </w:rPr>
                    <w:t>其余10%呈无组织排放</w:t>
                  </w:r>
                </w:p>
              </w:tc>
              <w:tc>
                <w:tcPr>
                  <w:tcW w:w="771" w:type="pct"/>
                  <w:shd w:val="clear" w:color="auto" w:fill="auto"/>
                  <w:vAlign w:val="center"/>
                </w:tcPr>
                <w:p w14:paraId="5527AEF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现有部分已有，并新增3条出料系统</w:t>
                  </w:r>
                </w:p>
              </w:tc>
            </w:tr>
            <w:tr w14:paraId="59B26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021980F0">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395" w:type="pct"/>
                  <w:vMerge w:val="continue"/>
                  <w:vAlign w:val="center"/>
                </w:tcPr>
                <w:p w14:paraId="065A13AB">
                  <w:pPr>
                    <w:keepNext w:val="0"/>
                    <w:keepLines w:val="0"/>
                    <w:pageBreakBefore w:val="0"/>
                    <w:kinsoku/>
                    <w:wordWrap/>
                    <w:overflowPunct/>
                    <w:topLinePunct w:val="0"/>
                    <w:autoSpaceDE/>
                    <w:autoSpaceDN/>
                    <w:bidi w:val="0"/>
                    <w:adjustRightInd w:val="0"/>
                    <w:snapToGrid w:val="0"/>
                    <w:jc w:val="center"/>
                    <w:textAlignment w:val="auto"/>
                    <w:rPr>
                      <w:rFonts w:hint="eastAsia"/>
                      <w:color w:val="auto"/>
                      <w:sz w:val="21"/>
                      <w:szCs w:val="21"/>
                      <w:lang w:val="en-US" w:eastAsia="zh-CN"/>
                    </w:rPr>
                  </w:pPr>
                </w:p>
              </w:tc>
              <w:tc>
                <w:tcPr>
                  <w:tcW w:w="1240" w:type="pct"/>
                  <w:shd w:val="clear" w:color="auto" w:fill="auto"/>
                  <w:vAlign w:val="center"/>
                </w:tcPr>
                <w:p w14:paraId="2C7E4D7A">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color w:val="auto"/>
                      <w:sz w:val="21"/>
                      <w:szCs w:val="21"/>
                      <w:highlight w:val="none"/>
                      <w:lang w:val="en-US" w:eastAsia="zh-CN"/>
                    </w:rPr>
                    <w:t>原料及成品库房三面封闭</w:t>
                  </w:r>
                </w:p>
              </w:tc>
              <w:tc>
                <w:tcPr>
                  <w:tcW w:w="2184" w:type="pct"/>
                  <w:shd w:val="clear" w:color="auto" w:fill="auto"/>
                  <w:vAlign w:val="center"/>
                </w:tcPr>
                <w:p w14:paraId="361ABF08">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原料库及成品库均三面封闭，仅留有一个出入口，</w:t>
                  </w:r>
                  <w:r>
                    <w:rPr>
                      <w:rFonts w:hint="eastAsia" w:ascii="Times New Roman" w:hAnsi="Times New Roman" w:cs="Times New Roman"/>
                      <w:color w:val="auto"/>
                      <w:sz w:val="21"/>
                      <w:szCs w:val="21"/>
                      <w:lang w:val="en-US" w:eastAsia="zh-CN"/>
                    </w:rPr>
                    <w:t>物料编织覆盖，</w:t>
                  </w:r>
                  <w:r>
                    <w:rPr>
                      <w:rFonts w:hint="eastAsia"/>
                      <w:bCs/>
                      <w:color w:val="auto"/>
                      <w:sz w:val="21"/>
                      <w:szCs w:val="21"/>
                    </w:rPr>
                    <w:t>能够保证产生的粉尘通过自然沉降的方式沉降到地面</w:t>
                  </w:r>
                </w:p>
              </w:tc>
              <w:tc>
                <w:tcPr>
                  <w:tcW w:w="771" w:type="pct"/>
                  <w:shd w:val="clear" w:color="auto" w:fill="auto"/>
                  <w:vAlign w:val="center"/>
                </w:tcPr>
                <w:p w14:paraId="0C8453E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利用厂内闲置库房</w:t>
                  </w:r>
                </w:p>
              </w:tc>
            </w:tr>
            <w:tr w14:paraId="7B2DB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1538CAE2">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395" w:type="pct"/>
                  <w:vMerge w:val="continue"/>
                  <w:vAlign w:val="center"/>
                </w:tcPr>
                <w:p w14:paraId="706CAA77">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240" w:type="pct"/>
                  <w:shd w:val="clear" w:color="auto" w:fill="auto"/>
                  <w:vAlign w:val="center"/>
                </w:tcPr>
                <w:p w14:paraId="687FF0D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rPr>
                    <w:t>整套双轴搅拌机设备机身为封闭式</w:t>
                  </w:r>
                </w:p>
              </w:tc>
              <w:tc>
                <w:tcPr>
                  <w:tcW w:w="2184" w:type="pct"/>
                  <w:shd w:val="clear" w:color="auto" w:fill="auto"/>
                  <w:vAlign w:val="center"/>
                </w:tcPr>
                <w:p w14:paraId="52FEE8E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混合工序</w:t>
                  </w:r>
                  <w:r>
                    <w:rPr>
                      <w:rFonts w:hint="eastAsia"/>
                      <w:color w:val="auto"/>
                      <w:sz w:val="21"/>
                      <w:szCs w:val="21"/>
                    </w:rPr>
                    <w:t>通过使整套双轴搅拌机设备机身为封闭式，下料口连接皮带输送系统</w:t>
                  </w:r>
                </w:p>
              </w:tc>
              <w:tc>
                <w:tcPr>
                  <w:tcW w:w="771" w:type="pct"/>
                  <w:shd w:val="clear" w:color="auto" w:fill="auto"/>
                  <w:vAlign w:val="center"/>
                </w:tcPr>
                <w:p w14:paraId="0CE77017">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yellow"/>
                      <w:lang w:val="en-US" w:eastAsia="zh-CN" w:bidi="ar-SA"/>
                    </w:rPr>
                  </w:pPr>
                  <w:r>
                    <w:rPr>
                      <w:rFonts w:hint="eastAsia" w:cs="Times New Roman"/>
                      <w:color w:val="auto"/>
                      <w:sz w:val="21"/>
                      <w:szCs w:val="21"/>
                      <w:highlight w:val="none"/>
                      <w:lang w:val="en-US" w:eastAsia="zh-CN" w:bidi="ar-SA"/>
                    </w:rPr>
                    <w:t>依托</w:t>
                  </w:r>
                </w:p>
              </w:tc>
            </w:tr>
            <w:tr w14:paraId="4EE4D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74DC4852">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395" w:type="pct"/>
                  <w:vMerge w:val="continue"/>
                  <w:vAlign w:val="center"/>
                </w:tcPr>
                <w:p w14:paraId="6DEB3A3C">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240" w:type="pct"/>
                  <w:shd w:val="clear" w:color="auto" w:fill="auto"/>
                  <w:vAlign w:val="center"/>
                </w:tcPr>
                <w:p w14:paraId="7C4FF31B">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lang w:val="en-US" w:eastAsia="zh-CN" w:bidi="ar-SA"/>
                    </w:rPr>
                  </w:pPr>
                  <w:r>
                    <w:rPr>
                      <w:rFonts w:hint="eastAsia" w:hAnsi="宋体"/>
                      <w:color w:val="auto"/>
                      <w:szCs w:val="21"/>
                      <w:highlight w:val="none"/>
                    </w:rPr>
                    <w:t>集气罩+布袋除尘器+15m排气筒（DA0</w:t>
                  </w:r>
                  <w:r>
                    <w:rPr>
                      <w:rFonts w:hint="eastAsia" w:hAnsi="宋体"/>
                      <w:color w:val="auto"/>
                      <w:szCs w:val="21"/>
                      <w:highlight w:val="none"/>
                      <w:lang w:val="en-US" w:eastAsia="zh-CN"/>
                    </w:rPr>
                    <w:t>08</w:t>
                  </w:r>
                  <w:r>
                    <w:rPr>
                      <w:rFonts w:hint="eastAsia" w:hAnsi="宋体"/>
                      <w:color w:val="auto"/>
                      <w:szCs w:val="21"/>
                      <w:highlight w:val="none"/>
                    </w:rPr>
                    <w:t>）</w:t>
                  </w:r>
                </w:p>
              </w:tc>
              <w:tc>
                <w:tcPr>
                  <w:tcW w:w="2184" w:type="pct"/>
                  <w:shd w:val="clear" w:color="auto" w:fill="auto"/>
                  <w:vAlign w:val="center"/>
                </w:tcPr>
                <w:p w14:paraId="04520AB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电石渣筛分工段</w:t>
                  </w:r>
                  <w:r>
                    <w:rPr>
                      <w:rFonts w:hint="eastAsia"/>
                      <w:color w:val="auto"/>
                      <w:sz w:val="21"/>
                      <w:szCs w:val="21"/>
                    </w:rPr>
                    <w:t>经集气罩收集后与</w:t>
                  </w:r>
                  <w:r>
                    <w:rPr>
                      <w:rFonts w:hint="eastAsia"/>
                      <w:color w:val="auto"/>
                      <w:sz w:val="21"/>
                      <w:szCs w:val="21"/>
                      <w:lang w:val="en-US" w:eastAsia="zh-CN"/>
                    </w:rPr>
                    <w:t>经</w:t>
                  </w:r>
                  <w:r>
                    <w:rPr>
                      <w:rFonts w:hint="eastAsia"/>
                      <w:color w:val="auto"/>
                      <w:sz w:val="21"/>
                      <w:szCs w:val="21"/>
                    </w:rPr>
                    <w:t>石灰筒仓</w:t>
                  </w:r>
                  <w:r>
                    <w:rPr>
                      <w:rFonts w:hint="eastAsia"/>
                      <w:color w:val="auto"/>
                      <w:sz w:val="21"/>
                      <w:szCs w:val="21"/>
                      <w:lang w:val="en-US" w:eastAsia="zh-CN"/>
                    </w:rPr>
                    <w:t>顶除尘器出口</w:t>
                  </w:r>
                  <w:r>
                    <w:rPr>
                      <w:rFonts w:hint="eastAsia"/>
                      <w:color w:val="auto"/>
                      <w:sz w:val="21"/>
                      <w:szCs w:val="21"/>
                    </w:rPr>
                    <w:t>的粉尘一起进入一套布袋除尘器处理后，经1个排气筒DA0</w:t>
                  </w:r>
                  <w:r>
                    <w:rPr>
                      <w:rFonts w:hint="eastAsia"/>
                      <w:color w:val="auto"/>
                      <w:sz w:val="21"/>
                      <w:szCs w:val="21"/>
                      <w:lang w:val="en-US" w:eastAsia="zh-CN"/>
                    </w:rPr>
                    <w:t>08</w:t>
                  </w:r>
                  <w:r>
                    <w:rPr>
                      <w:rFonts w:hint="eastAsia"/>
                      <w:bCs/>
                      <w:color w:val="auto"/>
                      <w:sz w:val="21"/>
                      <w:szCs w:val="21"/>
                    </w:rPr>
                    <w:t>（</w:t>
                  </w:r>
                  <w:r>
                    <w:rPr>
                      <w:rFonts w:hint="eastAsia"/>
                      <w:color w:val="auto"/>
                      <w:sz w:val="21"/>
                      <w:szCs w:val="21"/>
                    </w:rPr>
                    <w:t>φ0.5m×15m</w:t>
                  </w:r>
                  <w:r>
                    <w:rPr>
                      <w:rFonts w:hint="eastAsia"/>
                      <w:bCs/>
                      <w:color w:val="auto"/>
                      <w:sz w:val="21"/>
                      <w:szCs w:val="21"/>
                    </w:rPr>
                    <w:t>）</w:t>
                  </w:r>
                  <w:r>
                    <w:rPr>
                      <w:rFonts w:hint="eastAsia"/>
                      <w:color w:val="auto"/>
                      <w:sz w:val="21"/>
                      <w:szCs w:val="21"/>
                    </w:rPr>
                    <w:t>排放有组织</w:t>
                  </w:r>
                  <w:r>
                    <w:rPr>
                      <w:color w:val="auto"/>
                      <w:sz w:val="21"/>
                      <w:szCs w:val="21"/>
                    </w:rPr>
                    <w:t>排</w:t>
                  </w:r>
                  <w:r>
                    <w:rPr>
                      <w:rFonts w:hint="eastAsia"/>
                      <w:color w:val="auto"/>
                      <w:sz w:val="21"/>
                      <w:szCs w:val="21"/>
                    </w:rPr>
                    <w:t>放</w:t>
                  </w:r>
                  <w:r>
                    <w:rPr>
                      <w:color w:val="auto"/>
                      <w:sz w:val="21"/>
                      <w:szCs w:val="21"/>
                    </w:rPr>
                    <w:t>；</w:t>
                  </w:r>
                  <w:r>
                    <w:rPr>
                      <w:color w:val="auto"/>
                      <w:sz w:val="21"/>
                      <w:szCs w:val="21"/>
                      <w:highlight w:val="none"/>
                    </w:rPr>
                    <w:t>集气罩收集效率90%，布袋除尘器去除效率</w:t>
                  </w:r>
                  <w:r>
                    <w:rPr>
                      <w:rFonts w:hint="eastAsia"/>
                      <w:color w:val="auto"/>
                      <w:sz w:val="21"/>
                      <w:szCs w:val="21"/>
                      <w:highlight w:val="none"/>
                    </w:rPr>
                    <w:t>99</w:t>
                  </w:r>
                  <w:r>
                    <w:rPr>
                      <w:color w:val="auto"/>
                      <w:sz w:val="21"/>
                      <w:szCs w:val="21"/>
                      <w:highlight w:val="none"/>
                    </w:rPr>
                    <w:t>%，风机风量</w:t>
                  </w:r>
                  <w:r>
                    <w:rPr>
                      <w:rFonts w:hint="eastAsia"/>
                      <w:color w:val="auto"/>
                      <w:sz w:val="21"/>
                      <w:szCs w:val="21"/>
                      <w:highlight w:val="none"/>
                      <w:lang w:val="en-US" w:eastAsia="zh-CN"/>
                    </w:rPr>
                    <w:t>5</w:t>
                  </w:r>
                  <w:r>
                    <w:rPr>
                      <w:color w:val="auto"/>
                      <w:sz w:val="21"/>
                      <w:szCs w:val="21"/>
                      <w:highlight w:val="none"/>
                    </w:rPr>
                    <w:t>000m</w:t>
                  </w:r>
                  <w:r>
                    <w:rPr>
                      <w:color w:val="auto"/>
                      <w:sz w:val="21"/>
                      <w:szCs w:val="21"/>
                      <w:highlight w:val="none"/>
                      <w:vertAlign w:val="superscript"/>
                    </w:rPr>
                    <w:t>3</w:t>
                  </w:r>
                  <w:r>
                    <w:rPr>
                      <w:color w:val="auto"/>
                      <w:sz w:val="21"/>
                      <w:szCs w:val="21"/>
                      <w:highlight w:val="none"/>
                    </w:rPr>
                    <w:t>/h。</w:t>
                  </w:r>
                </w:p>
              </w:tc>
              <w:tc>
                <w:tcPr>
                  <w:tcW w:w="771" w:type="pct"/>
                  <w:shd w:val="clear" w:color="auto" w:fill="auto"/>
                  <w:vAlign w:val="center"/>
                </w:tcPr>
                <w:p w14:paraId="7D6B623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yellow"/>
                      <w:lang w:val="en-US" w:eastAsia="zh-CN" w:bidi="ar-SA"/>
                    </w:rPr>
                  </w:pPr>
                  <w:r>
                    <w:rPr>
                      <w:color w:val="auto"/>
                      <w:sz w:val="21"/>
                      <w:szCs w:val="21"/>
                    </w:rPr>
                    <w:t>新建</w:t>
                  </w:r>
                </w:p>
              </w:tc>
            </w:tr>
            <w:tr w14:paraId="6B92F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5555B856">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395" w:type="pct"/>
                  <w:vMerge w:val="continue"/>
                  <w:vAlign w:val="center"/>
                </w:tcPr>
                <w:p w14:paraId="2511855D">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240" w:type="pct"/>
                  <w:shd w:val="clear" w:color="auto" w:fill="auto"/>
                  <w:vAlign w:val="center"/>
                </w:tcPr>
                <w:p w14:paraId="0D4C5BE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color w:val="auto"/>
                      <w:sz w:val="21"/>
                      <w:szCs w:val="21"/>
                      <w:highlight w:val="none"/>
                    </w:rPr>
                    <w:t>道路硬化、覆盖运输、运输道路洒水降尘</w:t>
                  </w:r>
                </w:p>
              </w:tc>
              <w:tc>
                <w:tcPr>
                  <w:tcW w:w="2184" w:type="pct"/>
                  <w:shd w:val="clear" w:color="auto" w:fill="auto"/>
                  <w:vAlign w:val="center"/>
                </w:tcPr>
                <w:p w14:paraId="780D7CCA">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rPr>
                    <w:t>依托</w:t>
                  </w:r>
                  <w:r>
                    <w:rPr>
                      <w:rFonts w:hint="eastAsia"/>
                      <w:color w:val="auto"/>
                      <w:sz w:val="21"/>
                      <w:szCs w:val="21"/>
                      <w:lang w:eastAsia="zh-CN"/>
                    </w:rPr>
                    <w:t>云南常青树化工有限公司</w:t>
                  </w:r>
                  <w:r>
                    <w:rPr>
                      <w:rFonts w:hint="eastAsia"/>
                      <w:color w:val="auto"/>
                      <w:sz w:val="21"/>
                      <w:szCs w:val="21"/>
                    </w:rPr>
                    <w:t>厂区道路已硬化且</w:t>
                  </w:r>
                  <w:r>
                    <w:rPr>
                      <w:color w:val="auto"/>
                      <w:sz w:val="21"/>
                      <w:szCs w:val="21"/>
                    </w:rPr>
                    <w:t>道路采取洒水降尘措施，运输车辆加盖篷布</w:t>
                  </w:r>
                  <w:r>
                    <w:rPr>
                      <w:rFonts w:hint="eastAsia"/>
                      <w:color w:val="auto"/>
                      <w:sz w:val="21"/>
                      <w:szCs w:val="21"/>
                    </w:rPr>
                    <w:t>遮盖</w:t>
                  </w:r>
                  <w:r>
                    <w:rPr>
                      <w:color w:val="auto"/>
                      <w:sz w:val="21"/>
                      <w:szCs w:val="21"/>
                    </w:rPr>
                    <w:t>，洒水降尘对</w:t>
                  </w:r>
                  <w:r>
                    <w:rPr>
                      <w:rFonts w:hint="eastAsia"/>
                      <w:color w:val="auto"/>
                      <w:sz w:val="21"/>
                      <w:szCs w:val="21"/>
                    </w:rPr>
                    <w:t>颗粒物</w:t>
                  </w:r>
                  <w:r>
                    <w:rPr>
                      <w:color w:val="auto"/>
                      <w:sz w:val="21"/>
                      <w:szCs w:val="21"/>
                    </w:rPr>
                    <w:t>的控制效率为66%。</w:t>
                  </w:r>
                </w:p>
              </w:tc>
              <w:tc>
                <w:tcPr>
                  <w:tcW w:w="771" w:type="pct"/>
                  <w:shd w:val="clear" w:color="auto" w:fill="auto"/>
                  <w:vAlign w:val="center"/>
                </w:tcPr>
                <w:p w14:paraId="0070E388">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color w:val="auto"/>
                      <w:sz w:val="21"/>
                      <w:szCs w:val="21"/>
                    </w:rPr>
                    <w:t>依托</w:t>
                  </w:r>
                </w:p>
              </w:tc>
            </w:tr>
            <w:tr w14:paraId="6CACC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370B8409">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635" w:type="pct"/>
                  <w:gridSpan w:val="2"/>
                  <w:vAlign w:val="center"/>
                </w:tcPr>
                <w:p w14:paraId="1E14FB02">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噪声处置措施</w:t>
                  </w:r>
                </w:p>
              </w:tc>
              <w:tc>
                <w:tcPr>
                  <w:tcW w:w="2184" w:type="pct"/>
                  <w:vAlign w:val="center"/>
                </w:tcPr>
                <w:p w14:paraId="1A0B205D">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项目采用低噪声设备，设备安装于厂房内，</w:t>
                  </w:r>
                  <w:r>
                    <w:rPr>
                      <w:bCs/>
                      <w:color w:val="auto"/>
                      <w:sz w:val="21"/>
                      <w:szCs w:val="21"/>
                    </w:rPr>
                    <w:t>设备安装减振，采用柔性管道连接</w:t>
                  </w:r>
                </w:p>
              </w:tc>
              <w:tc>
                <w:tcPr>
                  <w:tcW w:w="771" w:type="pct"/>
                  <w:vAlign w:val="center"/>
                </w:tcPr>
                <w:p w14:paraId="29A73940">
                  <w:pPr>
                    <w:keepNext w:val="0"/>
                    <w:keepLines w:val="0"/>
                    <w:pageBreakBefore w:val="0"/>
                    <w:kinsoku/>
                    <w:wordWrap/>
                    <w:overflowPunct/>
                    <w:topLinePunct w:val="0"/>
                    <w:autoSpaceDE/>
                    <w:autoSpaceDN/>
                    <w:bidi w:val="0"/>
                    <w:adjustRightInd w:val="0"/>
                    <w:snapToGrid w:val="0"/>
                    <w:jc w:val="center"/>
                    <w:textAlignment w:val="auto"/>
                    <w:rPr>
                      <w:rFonts w:hint="default"/>
                      <w:color w:val="auto"/>
                      <w:sz w:val="21"/>
                      <w:szCs w:val="21"/>
                      <w:lang w:val="en-US"/>
                    </w:rPr>
                  </w:pPr>
                  <w:r>
                    <w:rPr>
                      <w:rFonts w:hint="eastAsia"/>
                      <w:color w:val="auto"/>
                      <w:sz w:val="21"/>
                      <w:szCs w:val="21"/>
                      <w:lang w:val="en-US" w:eastAsia="zh-CN"/>
                    </w:rPr>
                    <w:t>现有部分已有，并新增筛分、出料系统防治措施</w:t>
                  </w:r>
                </w:p>
              </w:tc>
            </w:tr>
            <w:tr w14:paraId="2CE23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4D5322E9">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395" w:type="pct"/>
                  <w:vMerge w:val="restart"/>
                  <w:vAlign w:val="center"/>
                </w:tcPr>
                <w:p w14:paraId="1FB4E240">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固废处置措施</w:t>
                  </w:r>
                </w:p>
              </w:tc>
              <w:tc>
                <w:tcPr>
                  <w:tcW w:w="1240" w:type="pct"/>
                  <w:vAlign w:val="center"/>
                </w:tcPr>
                <w:p w14:paraId="1992545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生活垃圾桶</w:t>
                  </w:r>
                </w:p>
              </w:tc>
              <w:tc>
                <w:tcPr>
                  <w:tcW w:w="2184" w:type="pct"/>
                  <w:vAlign w:val="center"/>
                </w:tcPr>
                <w:p w14:paraId="121FA53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依托厂区现有生活垃圾桶</w:t>
                  </w:r>
                </w:p>
              </w:tc>
              <w:tc>
                <w:tcPr>
                  <w:tcW w:w="771" w:type="pct"/>
                  <w:vAlign w:val="center"/>
                </w:tcPr>
                <w:p w14:paraId="4A6FBC2F">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依托</w:t>
                  </w:r>
                </w:p>
              </w:tc>
            </w:tr>
            <w:tr w14:paraId="0E3B6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66D5DEB5">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395" w:type="pct"/>
                  <w:vMerge w:val="continue"/>
                  <w:vAlign w:val="center"/>
                </w:tcPr>
                <w:p w14:paraId="376D0598">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240" w:type="pct"/>
                  <w:vAlign w:val="center"/>
                </w:tcPr>
                <w:p w14:paraId="49ABDC50">
                  <w:pPr>
                    <w:keepNext w:val="0"/>
                    <w:keepLines w:val="0"/>
                    <w:pageBreakBefore w:val="0"/>
                    <w:kinsoku/>
                    <w:wordWrap/>
                    <w:overflowPunct/>
                    <w:topLinePunct w:val="0"/>
                    <w:autoSpaceDE/>
                    <w:autoSpaceDN/>
                    <w:bidi w:val="0"/>
                    <w:adjustRightInd w:val="0"/>
                    <w:snapToGrid w:val="0"/>
                    <w:jc w:val="center"/>
                    <w:textAlignment w:val="auto"/>
                    <w:rPr>
                      <w:rFonts w:hint="eastAsia" w:eastAsia="宋体"/>
                      <w:color w:val="auto"/>
                      <w:sz w:val="21"/>
                      <w:szCs w:val="21"/>
                      <w:lang w:val="en-US" w:eastAsia="zh-CN"/>
                    </w:rPr>
                  </w:pPr>
                  <w:r>
                    <w:rPr>
                      <w:rFonts w:hint="eastAsia"/>
                      <w:color w:val="auto"/>
                      <w:sz w:val="21"/>
                      <w:szCs w:val="21"/>
                      <w:lang w:val="en-US" w:eastAsia="zh-CN"/>
                    </w:rPr>
                    <w:t>危废暂存间</w:t>
                  </w:r>
                </w:p>
              </w:tc>
              <w:tc>
                <w:tcPr>
                  <w:tcW w:w="2184" w:type="pct"/>
                  <w:vAlign w:val="center"/>
                </w:tcPr>
                <w:p w14:paraId="25246D4D">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color w:val="auto"/>
                      <w:sz w:val="21"/>
                      <w:szCs w:val="21"/>
                      <w:lang w:val="en-US" w:eastAsia="zh-CN"/>
                    </w:rPr>
                    <w:t>设备维修产生的废机油依托厂区内现有危废暂存间，建筑面积15m</w:t>
                  </w:r>
                  <w:r>
                    <w:rPr>
                      <w:rFonts w:hint="eastAsia"/>
                      <w:color w:val="auto"/>
                      <w:sz w:val="21"/>
                      <w:szCs w:val="21"/>
                      <w:vertAlign w:val="superscript"/>
                      <w:lang w:val="en-US" w:eastAsia="zh-CN"/>
                    </w:rPr>
                    <w:t>2</w:t>
                  </w:r>
                  <w:r>
                    <w:rPr>
                      <w:rFonts w:hint="eastAsia"/>
                      <w:color w:val="auto"/>
                      <w:sz w:val="21"/>
                      <w:szCs w:val="21"/>
                      <w:lang w:val="en-US" w:eastAsia="zh-CN"/>
                    </w:rPr>
                    <w:t>，采取了“混凝土硬化+土工膜+2mmHDPE防渗膜”进行防渗，内部设有1个0.5m</w:t>
                  </w:r>
                  <w:r>
                    <w:rPr>
                      <w:rFonts w:hint="eastAsia"/>
                      <w:color w:val="auto"/>
                      <w:sz w:val="21"/>
                      <w:szCs w:val="21"/>
                      <w:vertAlign w:val="superscript"/>
                      <w:lang w:val="en-US" w:eastAsia="zh-CN"/>
                    </w:rPr>
                    <w:t>3</w:t>
                  </w:r>
                  <w:r>
                    <w:rPr>
                      <w:rFonts w:hint="eastAsia"/>
                      <w:color w:val="auto"/>
                      <w:sz w:val="21"/>
                      <w:szCs w:val="21"/>
                      <w:lang w:val="en-US" w:eastAsia="zh-CN"/>
                    </w:rPr>
                    <w:t>的渗漏收集池，且与云南协快再生资源回收有限公司签订了处置协议。</w:t>
                  </w:r>
                  <w:r>
                    <w:rPr>
                      <w:rFonts w:hint="eastAsia"/>
                      <w:color w:val="auto"/>
                      <w:sz w:val="21"/>
                      <w:szCs w:val="21"/>
                    </w:rPr>
                    <w:t>满足防渗技术要求：等效黏土防渗层Mb≥6.0m，K≤1×10</w:t>
                  </w:r>
                  <w:r>
                    <w:rPr>
                      <w:rFonts w:hint="eastAsia"/>
                      <w:color w:val="auto"/>
                      <w:sz w:val="21"/>
                      <w:szCs w:val="21"/>
                      <w:vertAlign w:val="superscript"/>
                    </w:rPr>
                    <w:t>-7</w:t>
                  </w:r>
                  <w:r>
                    <w:rPr>
                      <w:rFonts w:hint="eastAsia"/>
                      <w:color w:val="auto"/>
                      <w:sz w:val="21"/>
                      <w:szCs w:val="21"/>
                    </w:rPr>
                    <w:t>cm/s，或参考GB18597执行。</w:t>
                  </w:r>
                </w:p>
              </w:tc>
              <w:tc>
                <w:tcPr>
                  <w:tcW w:w="771" w:type="pct"/>
                  <w:vAlign w:val="center"/>
                </w:tcPr>
                <w:p w14:paraId="0180E423">
                  <w:pPr>
                    <w:keepNext w:val="0"/>
                    <w:keepLines w:val="0"/>
                    <w:pageBreakBefore w:val="0"/>
                    <w:kinsoku/>
                    <w:wordWrap/>
                    <w:overflowPunct/>
                    <w:topLinePunct w:val="0"/>
                    <w:autoSpaceDE/>
                    <w:autoSpaceDN/>
                    <w:bidi w:val="0"/>
                    <w:adjustRightInd w:val="0"/>
                    <w:snapToGrid w:val="0"/>
                    <w:jc w:val="center"/>
                    <w:textAlignment w:val="auto"/>
                    <w:rPr>
                      <w:rFonts w:hint="eastAsia" w:eastAsia="宋体"/>
                      <w:color w:val="auto"/>
                      <w:sz w:val="21"/>
                      <w:szCs w:val="21"/>
                      <w:lang w:val="en-US" w:eastAsia="zh-CN"/>
                    </w:rPr>
                  </w:pPr>
                  <w:r>
                    <w:rPr>
                      <w:rFonts w:hint="eastAsia"/>
                      <w:color w:val="auto"/>
                      <w:sz w:val="21"/>
                      <w:szCs w:val="21"/>
                      <w:lang w:val="en-US" w:eastAsia="zh-CN"/>
                    </w:rPr>
                    <w:t>依托</w:t>
                  </w:r>
                </w:p>
              </w:tc>
            </w:tr>
            <w:tr w14:paraId="0E082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1C9C188F">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395" w:type="pct"/>
                  <w:vMerge w:val="restart"/>
                  <w:vAlign w:val="center"/>
                </w:tcPr>
                <w:p w14:paraId="05C2AC68">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highlight w:val="none"/>
                    </w:rPr>
                    <w:t>地下水防渗措施</w:t>
                  </w:r>
                </w:p>
              </w:tc>
              <w:tc>
                <w:tcPr>
                  <w:tcW w:w="1240" w:type="pct"/>
                  <w:vAlign w:val="center"/>
                </w:tcPr>
                <w:p w14:paraId="39E47910">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rPr>
                    <w:t>生态修复材料</w:t>
                  </w:r>
                  <w:r>
                    <w:rPr>
                      <w:color w:val="auto"/>
                      <w:sz w:val="21"/>
                      <w:szCs w:val="21"/>
                    </w:rPr>
                    <w:t>熟化及成品堆场</w:t>
                  </w:r>
                </w:p>
              </w:tc>
              <w:tc>
                <w:tcPr>
                  <w:tcW w:w="2184" w:type="pct"/>
                  <w:vMerge w:val="restart"/>
                  <w:vAlign w:val="center"/>
                </w:tcPr>
                <w:p w14:paraId="48B707BF">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现状闲置库房内场地</w:t>
                  </w:r>
                  <w:r>
                    <w:rPr>
                      <w:rFonts w:hint="eastAsia"/>
                      <w:color w:val="auto"/>
                      <w:sz w:val="21"/>
                      <w:szCs w:val="21"/>
                      <w:lang w:val="en-US" w:eastAsia="zh-CN"/>
                    </w:rPr>
                    <w:t>已采取了粘土铺地压实（</w:t>
                  </w:r>
                  <w:r>
                    <w:rPr>
                      <w:color w:val="auto"/>
                      <w:sz w:val="21"/>
                      <w:szCs w:val="21"/>
                    </w:rPr>
                    <w:t>厚度</w:t>
                  </w:r>
                  <w:r>
                    <w:rPr>
                      <w:rFonts w:hint="eastAsia"/>
                      <w:color w:val="auto"/>
                      <w:sz w:val="21"/>
                      <w:szCs w:val="21"/>
                    </w:rPr>
                    <w:t>0.75</w:t>
                  </w:r>
                  <w:r>
                    <w:rPr>
                      <w:color w:val="auto"/>
                      <w:sz w:val="21"/>
                      <w:szCs w:val="21"/>
                    </w:rPr>
                    <w:t>m，K≤1×10</w:t>
                  </w:r>
                  <w:r>
                    <w:rPr>
                      <w:color w:val="auto"/>
                      <w:sz w:val="21"/>
                      <w:szCs w:val="21"/>
                      <w:vertAlign w:val="superscript"/>
                    </w:rPr>
                    <w:t>-7</w:t>
                  </w:r>
                  <w:r>
                    <w:rPr>
                      <w:color w:val="auto"/>
                      <w:sz w:val="21"/>
                      <w:szCs w:val="21"/>
                    </w:rPr>
                    <w:t>cm/s</w:t>
                  </w:r>
                  <w:r>
                    <w:rPr>
                      <w:rFonts w:hint="eastAsia"/>
                      <w:color w:val="auto"/>
                      <w:sz w:val="21"/>
                      <w:szCs w:val="21"/>
                      <w:lang w:val="en-US" w:eastAsia="zh-CN"/>
                    </w:rPr>
                    <w:t>），再在上层铺设</w:t>
                  </w:r>
                  <w:r>
                    <w:rPr>
                      <w:rFonts w:hint="eastAsia"/>
                      <w:color w:val="auto"/>
                      <w:sz w:val="21"/>
                      <w:szCs w:val="21"/>
                    </w:rPr>
                    <w:t>C</w:t>
                  </w:r>
                  <w:r>
                    <w:rPr>
                      <w:rFonts w:hint="eastAsia"/>
                      <w:color w:val="auto"/>
                      <w:sz w:val="21"/>
                      <w:szCs w:val="21"/>
                      <w:lang w:val="en-US" w:eastAsia="zh-CN"/>
                    </w:rPr>
                    <w:t>3</w:t>
                  </w:r>
                  <w:r>
                    <w:rPr>
                      <w:rFonts w:hint="eastAsia"/>
                      <w:color w:val="auto"/>
                      <w:sz w:val="21"/>
                      <w:szCs w:val="21"/>
                    </w:rPr>
                    <w:t>0</w:t>
                  </w:r>
                  <w:r>
                    <w:rPr>
                      <w:color w:val="auto"/>
                      <w:sz w:val="21"/>
                      <w:szCs w:val="21"/>
                    </w:rPr>
                    <w:t>混凝土（厚度</w:t>
                  </w:r>
                  <w:r>
                    <w:rPr>
                      <w:rFonts w:hint="eastAsia"/>
                      <w:color w:val="auto"/>
                      <w:sz w:val="21"/>
                      <w:szCs w:val="21"/>
                      <w:lang w:val="en-US" w:eastAsia="zh-CN"/>
                    </w:rPr>
                    <w:t>300</w:t>
                  </w:r>
                  <w:r>
                    <w:rPr>
                      <w:rFonts w:hint="eastAsia"/>
                      <w:color w:val="auto"/>
                      <w:sz w:val="21"/>
                      <w:szCs w:val="21"/>
                    </w:rPr>
                    <w:t>mm</w:t>
                  </w:r>
                  <w:r>
                    <w:rPr>
                      <w:rFonts w:hint="eastAsia"/>
                      <w:color w:val="auto"/>
                      <w:sz w:val="21"/>
                      <w:szCs w:val="21"/>
                      <w:lang w:eastAsia="zh-CN"/>
                    </w:rPr>
                    <w:t>、</w:t>
                  </w:r>
                  <w:r>
                    <w:rPr>
                      <w:rFonts w:hint="eastAsia"/>
                      <w:color w:val="auto"/>
                      <w:sz w:val="21"/>
                      <w:szCs w:val="21"/>
                      <w:lang w:val="en-US" w:eastAsia="zh-CN"/>
                    </w:rPr>
                    <w:t>抗渗等级为P8</w:t>
                  </w:r>
                  <w:r>
                    <w:rPr>
                      <w:color w:val="auto"/>
                      <w:sz w:val="21"/>
                      <w:szCs w:val="21"/>
                    </w:rPr>
                    <w:t>）</w:t>
                  </w:r>
                  <w:r>
                    <w:rPr>
                      <w:rFonts w:hint="eastAsia"/>
                      <w:color w:val="auto"/>
                      <w:sz w:val="21"/>
                      <w:szCs w:val="21"/>
                      <w:lang w:eastAsia="zh-CN"/>
                    </w:rPr>
                    <w:t>，</w:t>
                  </w:r>
                  <w:r>
                    <w:rPr>
                      <w:color w:val="auto"/>
                      <w:sz w:val="21"/>
                      <w:szCs w:val="21"/>
                    </w:rPr>
                    <w:t>满足《一般工业固体废物贮存和填埋污染控制标准》中Ⅱ类场技术要求。</w:t>
                  </w:r>
                </w:p>
              </w:tc>
              <w:tc>
                <w:tcPr>
                  <w:tcW w:w="771" w:type="pct"/>
                  <w:vAlign w:val="center"/>
                </w:tcPr>
                <w:p w14:paraId="53B26C56">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lang w:val="en-US" w:eastAsia="zh-CN"/>
                    </w:rPr>
                    <w:t>已有</w:t>
                  </w:r>
                </w:p>
              </w:tc>
            </w:tr>
            <w:tr w14:paraId="51D7E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6187B7F7">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395" w:type="pct"/>
                  <w:vMerge w:val="continue"/>
                  <w:vAlign w:val="center"/>
                </w:tcPr>
                <w:p w14:paraId="6C93F8E1">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240" w:type="pct"/>
                  <w:vAlign w:val="center"/>
                </w:tcPr>
                <w:p w14:paraId="3BEC9376">
                  <w:pPr>
                    <w:keepNext w:val="0"/>
                    <w:keepLines w:val="0"/>
                    <w:pageBreakBefore w:val="0"/>
                    <w:kinsoku/>
                    <w:wordWrap/>
                    <w:overflowPunct/>
                    <w:topLinePunct w:val="0"/>
                    <w:autoSpaceDE/>
                    <w:autoSpaceDN/>
                    <w:bidi w:val="0"/>
                    <w:adjustRightInd w:val="0"/>
                    <w:snapToGrid w:val="0"/>
                    <w:jc w:val="center"/>
                    <w:textAlignment w:val="auto"/>
                    <w:rPr>
                      <w:rFonts w:hint="eastAsia" w:eastAsia="宋体"/>
                      <w:color w:val="auto"/>
                      <w:sz w:val="21"/>
                      <w:szCs w:val="21"/>
                      <w:lang w:eastAsia="zh-CN"/>
                    </w:rPr>
                  </w:pPr>
                  <w:r>
                    <w:rPr>
                      <w:rFonts w:hint="eastAsia"/>
                      <w:color w:val="auto"/>
                      <w:sz w:val="21"/>
                      <w:szCs w:val="21"/>
                      <w:lang w:val="en-US" w:eastAsia="zh-CN"/>
                    </w:rPr>
                    <w:t>路基</w:t>
                  </w:r>
                  <w:r>
                    <w:rPr>
                      <w:rFonts w:hint="eastAsia"/>
                      <w:color w:val="auto"/>
                      <w:sz w:val="21"/>
                      <w:szCs w:val="21"/>
                    </w:rPr>
                    <w:t>材料</w:t>
                  </w:r>
                  <w:r>
                    <w:rPr>
                      <w:color w:val="auto"/>
                      <w:sz w:val="21"/>
                      <w:szCs w:val="21"/>
                    </w:rPr>
                    <w:t>熟化及成品堆场</w:t>
                  </w:r>
                </w:p>
              </w:tc>
              <w:tc>
                <w:tcPr>
                  <w:tcW w:w="2184" w:type="pct"/>
                  <w:vMerge w:val="continue"/>
                  <w:vAlign w:val="center"/>
                </w:tcPr>
                <w:p w14:paraId="154FBB07">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771" w:type="pct"/>
                  <w:vAlign w:val="center"/>
                </w:tcPr>
                <w:p w14:paraId="10E2BE69">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lang w:val="en-US" w:eastAsia="zh-CN"/>
                    </w:rPr>
                    <w:t>已有</w:t>
                  </w:r>
                </w:p>
              </w:tc>
            </w:tr>
            <w:tr w14:paraId="48E4F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0439F325">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395" w:type="pct"/>
                  <w:vMerge w:val="continue"/>
                  <w:vAlign w:val="center"/>
                </w:tcPr>
                <w:p w14:paraId="17FDFE46">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240" w:type="pct"/>
                  <w:vAlign w:val="center"/>
                </w:tcPr>
                <w:p w14:paraId="5E889036">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rPr>
                    <w:t>土壤</w:t>
                  </w:r>
                  <w:r>
                    <w:rPr>
                      <w:rFonts w:hint="eastAsia"/>
                      <w:color w:val="auto"/>
                      <w:sz w:val="21"/>
                      <w:szCs w:val="21"/>
                      <w:lang w:val="en-US" w:eastAsia="zh-CN"/>
                    </w:rPr>
                    <w:t>改良</w:t>
                  </w:r>
                  <w:r>
                    <w:rPr>
                      <w:rFonts w:hint="eastAsia"/>
                      <w:color w:val="auto"/>
                      <w:sz w:val="21"/>
                      <w:szCs w:val="21"/>
                    </w:rPr>
                    <w:t>剂</w:t>
                  </w:r>
                  <w:r>
                    <w:rPr>
                      <w:color w:val="auto"/>
                      <w:sz w:val="21"/>
                      <w:szCs w:val="21"/>
                    </w:rPr>
                    <w:t>熟化及成品堆场</w:t>
                  </w:r>
                </w:p>
              </w:tc>
              <w:tc>
                <w:tcPr>
                  <w:tcW w:w="2184" w:type="pct"/>
                  <w:vMerge w:val="continue"/>
                  <w:vAlign w:val="center"/>
                </w:tcPr>
                <w:p w14:paraId="2C10329A">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771" w:type="pct"/>
                  <w:vAlign w:val="center"/>
                </w:tcPr>
                <w:p w14:paraId="7274FC5D">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lang w:val="en-US" w:eastAsia="zh-CN"/>
                    </w:rPr>
                    <w:t>已有</w:t>
                  </w:r>
                </w:p>
              </w:tc>
            </w:tr>
            <w:tr w14:paraId="65409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396DD9BC">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395" w:type="pct"/>
                  <w:vMerge w:val="continue"/>
                  <w:vAlign w:val="center"/>
                </w:tcPr>
                <w:p w14:paraId="3C286813">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240" w:type="pct"/>
                  <w:vAlign w:val="center"/>
                </w:tcPr>
                <w:p w14:paraId="2B119CD1">
                  <w:pPr>
                    <w:keepNext w:val="0"/>
                    <w:keepLines w:val="0"/>
                    <w:pageBreakBefore w:val="0"/>
                    <w:kinsoku/>
                    <w:wordWrap/>
                    <w:overflowPunct/>
                    <w:topLinePunct w:val="0"/>
                    <w:autoSpaceDE/>
                    <w:autoSpaceDN/>
                    <w:bidi w:val="0"/>
                    <w:adjustRightInd w:val="0"/>
                    <w:snapToGrid w:val="0"/>
                    <w:jc w:val="center"/>
                    <w:textAlignment w:val="auto"/>
                    <w:rPr>
                      <w:rFonts w:hint="eastAsia" w:eastAsia="宋体"/>
                      <w:color w:val="auto"/>
                      <w:sz w:val="21"/>
                      <w:szCs w:val="21"/>
                      <w:lang w:eastAsia="zh-CN"/>
                    </w:rPr>
                  </w:pPr>
                  <w:r>
                    <w:rPr>
                      <w:rFonts w:hint="eastAsia"/>
                      <w:color w:val="auto"/>
                      <w:sz w:val="21"/>
                      <w:szCs w:val="21"/>
                      <w:lang w:val="en-US" w:eastAsia="zh-CN"/>
                    </w:rPr>
                    <w:t>原料库</w:t>
                  </w:r>
                </w:p>
              </w:tc>
              <w:tc>
                <w:tcPr>
                  <w:tcW w:w="2184" w:type="pct"/>
                  <w:vMerge w:val="continue"/>
                  <w:vAlign w:val="center"/>
                </w:tcPr>
                <w:p w14:paraId="272CF26F">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771" w:type="pct"/>
                  <w:vAlign w:val="center"/>
                </w:tcPr>
                <w:p w14:paraId="39FEF37B">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lang w:val="en-US" w:eastAsia="zh-CN"/>
                    </w:rPr>
                    <w:t>已有</w:t>
                  </w:r>
                </w:p>
              </w:tc>
            </w:tr>
            <w:tr w14:paraId="4AC0C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5CF904DA">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395" w:type="pct"/>
                  <w:vMerge w:val="continue"/>
                  <w:vAlign w:val="center"/>
                </w:tcPr>
                <w:p w14:paraId="39357177">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240" w:type="pct"/>
                  <w:vAlign w:val="center"/>
                </w:tcPr>
                <w:p w14:paraId="050E3CF0">
                  <w:pPr>
                    <w:keepNext w:val="0"/>
                    <w:keepLines w:val="0"/>
                    <w:pageBreakBefore w:val="0"/>
                    <w:kinsoku/>
                    <w:wordWrap/>
                    <w:overflowPunct/>
                    <w:topLinePunct w:val="0"/>
                    <w:autoSpaceDE/>
                    <w:autoSpaceDN/>
                    <w:bidi w:val="0"/>
                    <w:adjustRightInd w:val="0"/>
                    <w:snapToGrid w:val="0"/>
                    <w:jc w:val="center"/>
                    <w:textAlignment w:val="auto"/>
                    <w:rPr>
                      <w:rFonts w:hint="eastAsia" w:eastAsia="宋体"/>
                      <w:color w:val="auto"/>
                      <w:sz w:val="21"/>
                      <w:szCs w:val="21"/>
                      <w:lang w:eastAsia="zh-CN"/>
                    </w:rPr>
                  </w:pPr>
                  <w:r>
                    <w:rPr>
                      <w:color w:val="auto"/>
                      <w:sz w:val="21"/>
                      <w:szCs w:val="21"/>
                    </w:rPr>
                    <w:t>电石渣</w:t>
                  </w:r>
                  <w:r>
                    <w:rPr>
                      <w:rFonts w:hint="eastAsia"/>
                      <w:color w:val="auto"/>
                      <w:sz w:val="21"/>
                      <w:szCs w:val="21"/>
                      <w:lang w:val="en-US" w:eastAsia="zh-CN"/>
                    </w:rPr>
                    <w:t>堆存区</w:t>
                  </w:r>
                </w:p>
              </w:tc>
              <w:tc>
                <w:tcPr>
                  <w:tcW w:w="2184" w:type="pct"/>
                  <w:vMerge w:val="continue"/>
                  <w:vAlign w:val="center"/>
                </w:tcPr>
                <w:p w14:paraId="775DE347">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771" w:type="pct"/>
                  <w:vAlign w:val="center"/>
                </w:tcPr>
                <w:p w14:paraId="1E3FB51C">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lang w:val="en-US" w:eastAsia="zh-CN"/>
                    </w:rPr>
                    <w:t>已有</w:t>
                  </w:r>
                </w:p>
              </w:tc>
            </w:tr>
            <w:tr w14:paraId="39844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636FFCB8">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395" w:type="pct"/>
                  <w:vMerge w:val="continue"/>
                  <w:vAlign w:val="center"/>
                </w:tcPr>
                <w:p w14:paraId="362E1614">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240" w:type="pct"/>
                  <w:vAlign w:val="center"/>
                </w:tcPr>
                <w:p w14:paraId="7FA5D0DF">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水泥缓凝剂成品</w:t>
                  </w:r>
                  <w:r>
                    <w:rPr>
                      <w:rFonts w:hint="eastAsia"/>
                      <w:color w:val="auto"/>
                      <w:sz w:val="21"/>
                      <w:szCs w:val="21"/>
                      <w:lang w:val="en-US" w:eastAsia="zh-CN"/>
                    </w:rPr>
                    <w:t>库房</w:t>
                  </w:r>
                </w:p>
              </w:tc>
              <w:tc>
                <w:tcPr>
                  <w:tcW w:w="2184" w:type="pct"/>
                  <w:vMerge w:val="continue"/>
                  <w:vAlign w:val="center"/>
                </w:tcPr>
                <w:p w14:paraId="06EB4E16">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771" w:type="pct"/>
                  <w:vAlign w:val="center"/>
                </w:tcPr>
                <w:p w14:paraId="69E7D5AC">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lang w:val="en-US" w:eastAsia="zh-CN"/>
                    </w:rPr>
                    <w:t>已有</w:t>
                  </w:r>
                </w:p>
              </w:tc>
            </w:tr>
            <w:tr w14:paraId="732A6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2AC8BDD6">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395" w:type="pct"/>
                  <w:vMerge w:val="continue"/>
                  <w:vAlign w:val="center"/>
                </w:tcPr>
                <w:p w14:paraId="1B4F2C53">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240" w:type="pct"/>
                  <w:vAlign w:val="center"/>
                </w:tcPr>
                <w:p w14:paraId="457A00FE">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其他区域</w:t>
                  </w:r>
                </w:p>
              </w:tc>
              <w:tc>
                <w:tcPr>
                  <w:tcW w:w="2184" w:type="pct"/>
                  <w:vAlign w:val="center"/>
                </w:tcPr>
                <w:p w14:paraId="39A1D1B7">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混泥土浇筑；水泥硬化。</w:t>
                  </w:r>
                </w:p>
              </w:tc>
              <w:tc>
                <w:tcPr>
                  <w:tcW w:w="771" w:type="pct"/>
                  <w:vAlign w:val="center"/>
                </w:tcPr>
                <w:p w14:paraId="4D7A8C5D">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color w:val="auto"/>
                      <w:sz w:val="21"/>
                      <w:szCs w:val="21"/>
                      <w:lang w:val="en-US" w:eastAsia="zh-CN"/>
                    </w:rPr>
                    <w:t>已有</w:t>
                  </w:r>
                </w:p>
              </w:tc>
            </w:tr>
            <w:tr w14:paraId="44148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restart"/>
                  <w:vAlign w:val="center"/>
                </w:tcPr>
                <w:p w14:paraId="5326F0D7">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储运工程</w:t>
                  </w:r>
                </w:p>
              </w:tc>
              <w:tc>
                <w:tcPr>
                  <w:tcW w:w="1635" w:type="pct"/>
                  <w:gridSpan w:val="2"/>
                  <w:vAlign w:val="center"/>
                </w:tcPr>
                <w:p w14:paraId="50D5D6C1">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厂内运输</w:t>
                  </w:r>
                </w:p>
              </w:tc>
              <w:tc>
                <w:tcPr>
                  <w:tcW w:w="2184" w:type="pct"/>
                  <w:vAlign w:val="center"/>
                </w:tcPr>
                <w:p w14:paraId="626DA98D">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依托</w:t>
                  </w:r>
                  <w:r>
                    <w:rPr>
                      <w:rFonts w:hint="eastAsia"/>
                      <w:color w:val="auto"/>
                      <w:sz w:val="21"/>
                      <w:szCs w:val="21"/>
                      <w:lang w:eastAsia="zh-CN"/>
                    </w:rPr>
                    <w:t>云南常青树化工有限公司</w:t>
                  </w:r>
                  <w:r>
                    <w:rPr>
                      <w:color w:val="auto"/>
                      <w:sz w:val="21"/>
                      <w:szCs w:val="21"/>
                    </w:rPr>
                    <w:t>厂区现有道路，</w:t>
                  </w:r>
                  <w:r>
                    <w:rPr>
                      <w:rFonts w:hint="eastAsia"/>
                      <w:color w:val="auto"/>
                      <w:sz w:val="21"/>
                      <w:szCs w:val="21"/>
                      <w:lang w:val="en-US" w:eastAsia="zh-CN"/>
                    </w:rPr>
                    <w:t>主要为磷石膏运输，采用</w:t>
                  </w:r>
                  <w:r>
                    <w:rPr>
                      <w:color w:val="auto"/>
                      <w:sz w:val="21"/>
                      <w:szCs w:val="21"/>
                    </w:rPr>
                    <w:t>厂内运输车、装载机</w:t>
                  </w:r>
                  <w:r>
                    <w:rPr>
                      <w:rFonts w:hint="eastAsia"/>
                      <w:color w:val="auto"/>
                      <w:sz w:val="21"/>
                      <w:szCs w:val="21"/>
                      <w:lang w:eastAsia="zh-CN"/>
                    </w:rPr>
                    <w:t>，</w:t>
                  </w:r>
                  <w:r>
                    <w:rPr>
                      <w:rFonts w:hint="eastAsia"/>
                      <w:color w:val="auto"/>
                      <w:sz w:val="21"/>
                      <w:szCs w:val="21"/>
                      <w:lang w:val="en-US" w:eastAsia="zh-CN"/>
                    </w:rPr>
                    <w:t>运输路径长度约为500m，道路已进行硬化</w:t>
                  </w:r>
                  <w:r>
                    <w:rPr>
                      <w:color w:val="auto"/>
                      <w:sz w:val="21"/>
                      <w:szCs w:val="21"/>
                    </w:rPr>
                    <w:t>；设备之间物料运输可以使用皮带运输机</w:t>
                  </w:r>
                </w:p>
              </w:tc>
              <w:tc>
                <w:tcPr>
                  <w:tcW w:w="771" w:type="pct"/>
                  <w:vAlign w:val="center"/>
                </w:tcPr>
                <w:p w14:paraId="267457D8">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依托</w:t>
                  </w:r>
                </w:p>
              </w:tc>
            </w:tr>
            <w:tr w14:paraId="693BC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3BF7EC59">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635" w:type="pct"/>
                  <w:gridSpan w:val="2"/>
                  <w:vAlign w:val="center"/>
                </w:tcPr>
                <w:p w14:paraId="0E1EBA24">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厂外运输</w:t>
                  </w:r>
                </w:p>
              </w:tc>
              <w:tc>
                <w:tcPr>
                  <w:tcW w:w="2184" w:type="pct"/>
                  <w:vAlign w:val="center"/>
                </w:tcPr>
                <w:p w14:paraId="42EA8309">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依托</w:t>
                  </w:r>
                  <w:r>
                    <w:rPr>
                      <w:rFonts w:hint="eastAsia"/>
                      <w:color w:val="auto"/>
                      <w:sz w:val="21"/>
                      <w:szCs w:val="21"/>
                      <w:lang w:eastAsia="zh-CN"/>
                    </w:rPr>
                    <w:t>云南常青树化工有限公司</w:t>
                  </w:r>
                  <w:r>
                    <w:rPr>
                      <w:color w:val="auto"/>
                      <w:sz w:val="21"/>
                      <w:szCs w:val="21"/>
                    </w:rPr>
                    <w:t>厂区现有道路，原料供应可由供货方组织汽车运输至厂内；产品的运输可由需方组织运输或者由</w:t>
                  </w:r>
                  <w:r>
                    <w:rPr>
                      <w:rFonts w:hint="eastAsia"/>
                      <w:color w:val="auto"/>
                      <w:sz w:val="21"/>
                      <w:szCs w:val="21"/>
                      <w:lang w:eastAsia="zh-CN"/>
                    </w:rPr>
                    <w:t>云南常青树化工有限公司</w:t>
                  </w:r>
                  <w:r>
                    <w:rPr>
                      <w:color w:val="auto"/>
                      <w:sz w:val="21"/>
                      <w:szCs w:val="21"/>
                    </w:rPr>
                    <w:t>组织社会运输力量运输</w:t>
                  </w:r>
                </w:p>
              </w:tc>
              <w:tc>
                <w:tcPr>
                  <w:tcW w:w="771" w:type="pct"/>
                  <w:vAlign w:val="center"/>
                </w:tcPr>
                <w:p w14:paraId="41A7AC98">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依托</w:t>
                  </w:r>
                </w:p>
              </w:tc>
            </w:tr>
          </w:tbl>
          <w:p w14:paraId="69EE898C">
            <w:pPr>
              <w:autoSpaceDE w:val="0"/>
              <w:autoSpaceDN w:val="0"/>
              <w:adjustRightInd w:val="0"/>
              <w:spacing w:line="360" w:lineRule="auto"/>
              <w:ind w:firstLine="723" w:firstLineChars="300"/>
              <w:rPr>
                <w:b/>
                <w:color w:val="auto"/>
                <w:sz w:val="24"/>
              </w:rPr>
            </w:pPr>
            <w:r>
              <w:rPr>
                <w:b/>
                <w:color w:val="auto"/>
                <w:sz w:val="24"/>
              </w:rPr>
              <w:t>2.1公用工程</w:t>
            </w:r>
          </w:p>
          <w:p w14:paraId="6E0E89F0">
            <w:pPr>
              <w:autoSpaceDE w:val="0"/>
              <w:autoSpaceDN w:val="0"/>
              <w:spacing w:line="360" w:lineRule="auto"/>
              <w:ind w:firstLine="480" w:firstLineChars="200"/>
              <w:rPr>
                <w:color w:val="auto"/>
                <w:sz w:val="24"/>
              </w:rPr>
            </w:pPr>
            <w:r>
              <w:rPr>
                <w:color w:val="auto"/>
                <w:sz w:val="24"/>
              </w:rPr>
              <w:t>（1）给排水系统</w:t>
            </w:r>
          </w:p>
          <w:p w14:paraId="3BE237A5">
            <w:pPr>
              <w:autoSpaceDE w:val="0"/>
              <w:autoSpaceDN w:val="0"/>
              <w:spacing w:line="360" w:lineRule="auto"/>
              <w:ind w:firstLine="480" w:firstLineChars="200"/>
              <w:rPr>
                <w:color w:val="auto"/>
                <w:sz w:val="24"/>
              </w:rPr>
            </w:pPr>
            <w:r>
              <w:rPr>
                <w:color w:val="auto"/>
                <w:sz w:val="24"/>
              </w:rPr>
              <w:t>给水：</w:t>
            </w:r>
            <w:r>
              <w:rPr>
                <w:rFonts w:hint="eastAsia"/>
                <w:color w:val="auto"/>
                <w:sz w:val="24"/>
                <w:szCs w:val="24"/>
                <w:lang w:val="en-US" w:eastAsia="zh-CN"/>
              </w:rPr>
              <w:t>本次改扩建工程不新增劳动人员，从公司内部进行调配，没有新增生活用水</w:t>
            </w:r>
            <w:r>
              <w:rPr>
                <w:color w:val="auto"/>
                <w:sz w:val="24"/>
                <w:szCs w:val="24"/>
              </w:rPr>
              <w:t>；</w:t>
            </w:r>
            <w:r>
              <w:rPr>
                <w:color w:val="auto"/>
                <w:sz w:val="24"/>
              </w:rPr>
              <w:t>消防用水可依托</w:t>
            </w:r>
            <w:r>
              <w:rPr>
                <w:rFonts w:hint="eastAsia"/>
                <w:color w:val="auto"/>
                <w:sz w:val="24"/>
                <w:lang w:eastAsia="zh-CN"/>
              </w:rPr>
              <w:t>云南常青树化工有限公司</w:t>
            </w:r>
            <w:r>
              <w:rPr>
                <w:color w:val="auto"/>
                <w:sz w:val="24"/>
              </w:rPr>
              <w:t>现有消防水池供给，供水压力不小于0.8Mpa，满足消防用水的需求。</w:t>
            </w:r>
          </w:p>
          <w:p w14:paraId="55B83BB2">
            <w:pPr>
              <w:autoSpaceDE w:val="0"/>
              <w:autoSpaceDN w:val="0"/>
              <w:spacing w:line="360" w:lineRule="auto"/>
              <w:ind w:firstLine="480" w:firstLineChars="200"/>
              <w:rPr>
                <w:color w:val="auto"/>
                <w:sz w:val="24"/>
                <w:szCs w:val="24"/>
                <w:highlight w:val="yellow"/>
              </w:rPr>
            </w:pPr>
            <w:r>
              <w:rPr>
                <w:color w:val="auto"/>
                <w:sz w:val="24"/>
              </w:rPr>
              <w:t>排水</w:t>
            </w:r>
            <w:r>
              <w:rPr>
                <w:color w:val="auto"/>
                <w:sz w:val="24"/>
                <w:szCs w:val="24"/>
              </w:rPr>
              <w:t>：</w:t>
            </w:r>
            <w:r>
              <w:rPr>
                <w:rFonts w:hint="eastAsia"/>
                <w:color w:val="auto"/>
                <w:sz w:val="24"/>
                <w:szCs w:val="24"/>
                <w:lang w:val="en-US" w:eastAsia="zh-CN"/>
              </w:rPr>
              <w:t>项目扩建工程无废水产生，雨水依托厂区内现有雨水排水系统：生产区内的初期雨水通过雨水收集沟排往雨水收集池，作为公司磷酸生产项目的生产工艺用水，初期雨水不外排。</w:t>
            </w:r>
          </w:p>
          <w:p w14:paraId="02AC4E43">
            <w:pPr>
              <w:spacing w:line="360" w:lineRule="auto"/>
              <w:ind w:firstLine="480" w:firstLineChars="200"/>
              <w:rPr>
                <w:color w:val="auto"/>
                <w:sz w:val="24"/>
              </w:rPr>
            </w:pPr>
            <w:r>
              <w:rPr>
                <w:color w:val="auto"/>
                <w:sz w:val="24"/>
              </w:rPr>
              <w:t>（2）供电系统</w:t>
            </w:r>
          </w:p>
          <w:p w14:paraId="69A5FCCD">
            <w:pPr>
              <w:spacing w:line="360" w:lineRule="auto"/>
              <w:ind w:firstLine="480" w:firstLineChars="200"/>
              <w:rPr>
                <w:color w:val="auto"/>
                <w:sz w:val="24"/>
              </w:rPr>
            </w:pPr>
            <w:r>
              <w:rPr>
                <w:rFonts w:hint="eastAsia"/>
                <w:color w:val="auto"/>
                <w:sz w:val="24"/>
                <w:lang w:val="en-US" w:eastAsia="zh-CN"/>
              </w:rPr>
              <w:t>由公司的电网引入，单独设置变压器及配电室</w:t>
            </w:r>
            <w:r>
              <w:rPr>
                <w:color w:val="auto"/>
                <w:sz w:val="24"/>
              </w:rPr>
              <w:t>，供电符合项目所需，供电有保障。</w:t>
            </w:r>
          </w:p>
          <w:p w14:paraId="7B1BDEFE">
            <w:pPr>
              <w:spacing w:line="360" w:lineRule="auto"/>
              <w:ind w:firstLine="482" w:firstLineChars="200"/>
              <w:rPr>
                <w:b/>
                <w:color w:val="auto"/>
                <w:sz w:val="24"/>
                <w:highlight w:val="yellow"/>
              </w:rPr>
            </w:pPr>
            <w:r>
              <w:rPr>
                <w:b/>
                <w:color w:val="auto"/>
                <w:sz w:val="24"/>
              </w:rPr>
              <w:t>2.2环保工程</w:t>
            </w:r>
          </w:p>
          <w:p w14:paraId="1B715288">
            <w:pPr>
              <w:spacing w:line="360" w:lineRule="auto"/>
              <w:ind w:firstLine="480" w:firstLineChars="200"/>
              <w:rPr>
                <w:color w:val="auto"/>
                <w:sz w:val="24"/>
                <w:highlight w:val="yellow"/>
              </w:rPr>
            </w:pPr>
            <w:r>
              <w:rPr>
                <w:color w:val="auto"/>
                <w:sz w:val="24"/>
              </w:rPr>
              <w:t>（</w:t>
            </w:r>
            <w:r>
              <w:rPr>
                <w:rFonts w:hint="eastAsia"/>
                <w:color w:val="auto"/>
                <w:sz w:val="24"/>
              </w:rPr>
              <w:t>1</w:t>
            </w:r>
            <w:r>
              <w:rPr>
                <w:color w:val="auto"/>
                <w:sz w:val="24"/>
              </w:rPr>
              <w:t>）废气防治措施</w:t>
            </w:r>
          </w:p>
          <w:p w14:paraId="058D589B">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①</w:t>
            </w:r>
            <w:r>
              <w:rPr>
                <w:color w:val="auto"/>
                <w:sz w:val="24"/>
                <w:szCs w:val="24"/>
              </w:rPr>
              <w:t>皮带输送机及</w:t>
            </w:r>
            <w:r>
              <w:rPr>
                <w:rFonts w:hint="eastAsia"/>
                <w:color w:val="auto"/>
                <w:sz w:val="24"/>
                <w:szCs w:val="24"/>
              </w:rPr>
              <w:t>计量</w:t>
            </w:r>
            <w:r>
              <w:rPr>
                <w:color w:val="auto"/>
                <w:sz w:val="24"/>
                <w:szCs w:val="24"/>
              </w:rPr>
              <w:t>系统均</w:t>
            </w:r>
            <w:r>
              <w:rPr>
                <w:rFonts w:hint="eastAsia"/>
                <w:color w:val="auto"/>
                <w:sz w:val="24"/>
                <w:szCs w:val="24"/>
              </w:rPr>
              <w:t>属于彩钢瓦全封闭状态，</w:t>
            </w:r>
            <w:r>
              <w:rPr>
                <w:rFonts w:hint="eastAsia"/>
                <w:color w:val="auto"/>
                <w:sz w:val="24"/>
              </w:rPr>
              <w:t>在运输过程中产生的</w:t>
            </w:r>
            <w:r>
              <w:rPr>
                <w:rFonts w:hint="eastAsia"/>
                <w:color w:val="auto"/>
                <w:sz w:val="24"/>
                <w:lang w:val="en-US" w:eastAsia="zh-CN"/>
              </w:rPr>
              <w:t>90%</w:t>
            </w:r>
            <w:r>
              <w:rPr>
                <w:rFonts w:hint="eastAsia"/>
                <w:color w:val="auto"/>
                <w:sz w:val="24"/>
              </w:rPr>
              <w:t>粉尘在皮带运输空间内部，</w:t>
            </w:r>
            <w:r>
              <w:rPr>
                <w:rFonts w:hint="eastAsia"/>
                <w:color w:val="auto"/>
                <w:sz w:val="24"/>
                <w:lang w:val="en-US" w:eastAsia="zh-CN"/>
              </w:rPr>
              <w:t>其余10%呈无组织排放</w:t>
            </w:r>
            <w:r>
              <w:rPr>
                <w:rFonts w:hint="eastAsia"/>
                <w:color w:val="auto"/>
                <w:sz w:val="24"/>
                <w:szCs w:val="24"/>
                <w:lang w:eastAsia="zh-CN"/>
              </w:rPr>
              <w:t>。</w:t>
            </w:r>
          </w:p>
          <w:p w14:paraId="39A4A061">
            <w:pPr>
              <w:spacing w:line="360" w:lineRule="auto"/>
              <w:ind w:firstLine="480" w:firstLineChars="200"/>
              <w:rPr>
                <w:rFonts w:hint="eastAsia" w:eastAsia="宋体"/>
                <w:color w:val="auto"/>
                <w:sz w:val="24"/>
                <w:szCs w:val="24"/>
                <w:lang w:eastAsia="zh-CN"/>
              </w:rPr>
            </w:pPr>
            <w:r>
              <w:rPr>
                <w:rFonts w:hint="eastAsia" w:ascii="宋体" w:hAnsi="宋体" w:eastAsia="宋体" w:cs="宋体"/>
                <w:color w:val="auto"/>
                <w:sz w:val="24"/>
                <w:szCs w:val="24"/>
              </w:rPr>
              <w:t>②</w:t>
            </w:r>
            <w:r>
              <w:rPr>
                <w:rFonts w:hint="eastAsia"/>
                <w:color w:val="auto"/>
                <w:sz w:val="24"/>
                <w:szCs w:val="24"/>
                <w:lang w:val="en-US" w:eastAsia="zh-CN"/>
              </w:rPr>
              <w:t>原料库及成品库均三面封闭，仅留有一个出入口，</w:t>
            </w:r>
            <w:r>
              <w:rPr>
                <w:rFonts w:hint="eastAsia" w:ascii="Times New Roman" w:hAnsi="Times New Roman" w:cs="Times New Roman"/>
                <w:color w:val="auto"/>
                <w:sz w:val="24"/>
                <w:szCs w:val="24"/>
                <w:lang w:val="en-US" w:eastAsia="zh-CN"/>
              </w:rPr>
              <w:t>物料编织覆盖，</w:t>
            </w:r>
            <w:r>
              <w:rPr>
                <w:rFonts w:hint="eastAsia"/>
                <w:bCs/>
                <w:color w:val="auto"/>
                <w:sz w:val="24"/>
                <w:szCs w:val="24"/>
              </w:rPr>
              <w:t>能够保证产生的粉尘通过自然沉降的方式沉降到地面</w:t>
            </w:r>
            <w:r>
              <w:rPr>
                <w:rFonts w:hint="eastAsia"/>
                <w:bCs/>
                <w:color w:val="auto"/>
                <w:sz w:val="24"/>
                <w:szCs w:val="24"/>
                <w:highlight w:val="none"/>
                <w:lang w:eastAsia="zh-CN"/>
              </w:rPr>
              <w:t>。</w:t>
            </w:r>
          </w:p>
          <w:p w14:paraId="4D03BD20">
            <w:pPr>
              <w:spacing w:line="360" w:lineRule="auto"/>
              <w:ind w:firstLine="480" w:firstLineChars="200"/>
              <w:rPr>
                <w:rFonts w:hint="eastAsia" w:eastAsia="宋体"/>
                <w:color w:val="auto"/>
                <w:sz w:val="24"/>
                <w:szCs w:val="24"/>
                <w:lang w:eastAsia="zh-CN"/>
              </w:rPr>
            </w:pPr>
            <w:r>
              <w:rPr>
                <w:rFonts w:hint="eastAsia" w:ascii="宋体" w:hAnsi="宋体" w:eastAsia="宋体" w:cs="宋体"/>
                <w:color w:val="auto"/>
                <w:sz w:val="24"/>
                <w:szCs w:val="24"/>
              </w:rPr>
              <w:t>③</w:t>
            </w:r>
            <w:r>
              <w:rPr>
                <w:color w:val="auto"/>
                <w:sz w:val="24"/>
                <w:szCs w:val="24"/>
              </w:rPr>
              <w:t>在混合工序工程中会产生粉尘，通过使整套双轴搅拌机设备机身为封闭式，</w:t>
            </w:r>
            <w:r>
              <w:rPr>
                <w:rFonts w:hint="eastAsia"/>
                <w:color w:val="auto"/>
                <w:sz w:val="24"/>
                <w:szCs w:val="24"/>
              </w:rPr>
              <w:t>下料口连接皮带输送系统，则在物料混合过程中产生的粉尘均在设备和皮带输送系统空间内部不外排</w:t>
            </w:r>
            <w:r>
              <w:rPr>
                <w:color w:val="auto"/>
                <w:sz w:val="24"/>
                <w:szCs w:val="24"/>
              </w:rPr>
              <w:t>，故该物料</w:t>
            </w:r>
            <w:r>
              <w:rPr>
                <w:rFonts w:hint="eastAsia"/>
                <w:color w:val="auto"/>
                <w:sz w:val="24"/>
                <w:szCs w:val="24"/>
              </w:rPr>
              <w:t>混合</w:t>
            </w:r>
            <w:r>
              <w:rPr>
                <w:color w:val="auto"/>
                <w:sz w:val="24"/>
                <w:szCs w:val="24"/>
              </w:rPr>
              <w:t>过程粉尘</w:t>
            </w:r>
            <w:r>
              <w:rPr>
                <w:rFonts w:hint="eastAsia"/>
                <w:color w:val="auto"/>
                <w:sz w:val="24"/>
                <w:szCs w:val="24"/>
              </w:rPr>
              <w:t>排放量较小</w:t>
            </w:r>
            <w:r>
              <w:rPr>
                <w:color w:val="auto"/>
                <w:sz w:val="24"/>
                <w:szCs w:val="24"/>
              </w:rPr>
              <w:t>。</w:t>
            </w:r>
          </w:p>
          <w:p w14:paraId="19A120A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④</w:t>
            </w:r>
            <w:r>
              <w:rPr>
                <w:rFonts w:hint="eastAsia"/>
                <w:color w:val="auto"/>
                <w:sz w:val="24"/>
                <w:szCs w:val="24"/>
                <w:lang w:val="en-US" w:eastAsia="zh-CN"/>
              </w:rPr>
              <w:t>电石渣筛分工段</w:t>
            </w:r>
            <w:r>
              <w:rPr>
                <w:rFonts w:hint="eastAsia"/>
                <w:color w:val="auto"/>
                <w:sz w:val="24"/>
                <w:szCs w:val="24"/>
              </w:rPr>
              <w:t>经集气罩收集后与</w:t>
            </w:r>
            <w:r>
              <w:rPr>
                <w:rFonts w:hint="eastAsia"/>
                <w:color w:val="auto"/>
                <w:sz w:val="24"/>
                <w:szCs w:val="24"/>
                <w:lang w:val="en-US" w:eastAsia="zh-CN"/>
              </w:rPr>
              <w:t>经</w:t>
            </w:r>
            <w:r>
              <w:rPr>
                <w:rFonts w:hint="eastAsia"/>
                <w:color w:val="auto"/>
                <w:sz w:val="24"/>
                <w:szCs w:val="24"/>
              </w:rPr>
              <w:t>石灰筒仓</w:t>
            </w:r>
            <w:r>
              <w:rPr>
                <w:rFonts w:hint="eastAsia"/>
                <w:color w:val="auto"/>
                <w:sz w:val="24"/>
                <w:szCs w:val="24"/>
                <w:lang w:val="en-US" w:eastAsia="zh-CN"/>
              </w:rPr>
              <w:t>顶除尘器出口</w:t>
            </w:r>
            <w:r>
              <w:rPr>
                <w:rFonts w:hint="eastAsia"/>
                <w:color w:val="auto"/>
                <w:sz w:val="24"/>
                <w:szCs w:val="24"/>
              </w:rPr>
              <w:t>的粉尘一起进入一套布袋除尘器处理后，经1个排气筒DA0</w:t>
            </w:r>
            <w:r>
              <w:rPr>
                <w:rFonts w:hint="eastAsia"/>
                <w:color w:val="auto"/>
                <w:sz w:val="24"/>
                <w:szCs w:val="24"/>
                <w:lang w:val="en-US" w:eastAsia="zh-CN"/>
              </w:rPr>
              <w:t>08</w:t>
            </w:r>
            <w:r>
              <w:rPr>
                <w:rFonts w:hint="eastAsia"/>
                <w:bCs/>
                <w:color w:val="auto"/>
                <w:sz w:val="24"/>
                <w:szCs w:val="24"/>
              </w:rPr>
              <w:t>（</w:t>
            </w:r>
            <w:r>
              <w:rPr>
                <w:rFonts w:hint="eastAsia"/>
                <w:color w:val="auto"/>
                <w:sz w:val="24"/>
                <w:szCs w:val="24"/>
              </w:rPr>
              <w:t>φ0.5m×15m</w:t>
            </w:r>
            <w:r>
              <w:rPr>
                <w:rFonts w:hint="eastAsia"/>
                <w:bCs/>
                <w:color w:val="auto"/>
                <w:sz w:val="24"/>
                <w:szCs w:val="24"/>
              </w:rPr>
              <w:t>）</w:t>
            </w:r>
            <w:r>
              <w:rPr>
                <w:rFonts w:hint="eastAsia"/>
                <w:color w:val="auto"/>
                <w:sz w:val="24"/>
                <w:szCs w:val="24"/>
              </w:rPr>
              <w:t>排放有组织</w:t>
            </w:r>
            <w:r>
              <w:rPr>
                <w:color w:val="auto"/>
                <w:sz w:val="24"/>
                <w:szCs w:val="24"/>
              </w:rPr>
              <w:t>排</w:t>
            </w:r>
            <w:r>
              <w:rPr>
                <w:rFonts w:hint="eastAsia"/>
                <w:color w:val="auto"/>
                <w:sz w:val="24"/>
                <w:szCs w:val="24"/>
              </w:rPr>
              <w:t>放</w:t>
            </w:r>
            <w:r>
              <w:rPr>
                <w:color w:val="auto"/>
                <w:sz w:val="24"/>
                <w:szCs w:val="24"/>
              </w:rPr>
              <w:t>；</w:t>
            </w:r>
            <w:r>
              <w:rPr>
                <w:color w:val="auto"/>
                <w:sz w:val="24"/>
                <w:szCs w:val="24"/>
                <w:highlight w:val="none"/>
              </w:rPr>
              <w:t>集气罩收集效率90%，布袋除尘器去除效率</w:t>
            </w:r>
            <w:r>
              <w:rPr>
                <w:rFonts w:hint="eastAsia"/>
                <w:color w:val="auto"/>
                <w:sz w:val="24"/>
                <w:szCs w:val="24"/>
                <w:highlight w:val="none"/>
              </w:rPr>
              <w:t>99</w:t>
            </w:r>
            <w:r>
              <w:rPr>
                <w:color w:val="auto"/>
                <w:sz w:val="24"/>
                <w:szCs w:val="24"/>
                <w:highlight w:val="none"/>
              </w:rPr>
              <w:t>%，风机风量</w:t>
            </w:r>
            <w:r>
              <w:rPr>
                <w:rFonts w:hint="eastAsia"/>
                <w:color w:val="auto"/>
                <w:sz w:val="24"/>
                <w:szCs w:val="24"/>
                <w:highlight w:val="none"/>
                <w:lang w:val="en-US" w:eastAsia="zh-CN"/>
              </w:rPr>
              <w:t>5</w:t>
            </w:r>
            <w:r>
              <w:rPr>
                <w:color w:val="auto"/>
                <w:sz w:val="24"/>
                <w:szCs w:val="24"/>
                <w:highlight w:val="none"/>
              </w:rPr>
              <w:t>000m</w:t>
            </w:r>
            <w:r>
              <w:rPr>
                <w:color w:val="auto"/>
                <w:sz w:val="24"/>
                <w:szCs w:val="24"/>
                <w:highlight w:val="none"/>
                <w:vertAlign w:val="superscript"/>
              </w:rPr>
              <w:t>3</w:t>
            </w:r>
            <w:r>
              <w:rPr>
                <w:color w:val="auto"/>
                <w:sz w:val="24"/>
                <w:szCs w:val="24"/>
                <w:highlight w:val="none"/>
              </w:rPr>
              <w:t>/h。</w:t>
            </w:r>
          </w:p>
          <w:p w14:paraId="1662CF8D">
            <w:pPr>
              <w:spacing w:line="360" w:lineRule="auto"/>
              <w:ind w:firstLine="480" w:firstLineChars="200"/>
              <w:rPr>
                <w:rFonts w:hint="eastAsia"/>
                <w:color w:val="auto"/>
                <w:sz w:val="24"/>
                <w:szCs w:val="24"/>
              </w:rPr>
            </w:pPr>
            <w:r>
              <w:rPr>
                <w:rFonts w:hint="eastAsia" w:ascii="宋体" w:hAnsi="宋体" w:eastAsia="宋体" w:cs="宋体"/>
                <w:color w:val="auto"/>
                <w:sz w:val="24"/>
                <w:szCs w:val="24"/>
              </w:rPr>
              <w:t>⑤</w:t>
            </w:r>
            <w:r>
              <w:rPr>
                <w:color w:val="auto"/>
                <w:sz w:val="24"/>
              </w:rPr>
              <w:t>物料运输到生产场地和成品运出场地时，重型车辆行驶将产生露路面的表层浮沉由于天气干燥及大风产生风力扬尘。依托</w:t>
            </w:r>
            <w:r>
              <w:rPr>
                <w:rFonts w:hint="eastAsia"/>
                <w:color w:val="auto"/>
                <w:sz w:val="24"/>
                <w:lang w:val="en-US" w:eastAsia="zh-CN"/>
              </w:rPr>
              <w:t>云南常青树化工</w:t>
            </w:r>
            <w:r>
              <w:rPr>
                <w:color w:val="auto"/>
                <w:sz w:val="24"/>
              </w:rPr>
              <w:t>厂区道路已硬化且道路采取洒水降尘措施，运输车辆加盖篷布遮盖，依据《扬尘源颗粒物排放清单编制技术指南》，对于铺装道路扬尘控制措施，洒水降尘对颗粒物的控制效率为66%。</w:t>
            </w:r>
          </w:p>
          <w:p w14:paraId="0A9A0756">
            <w:pPr>
              <w:spacing w:line="360" w:lineRule="auto"/>
              <w:ind w:firstLine="480" w:firstLineChars="200"/>
              <w:rPr>
                <w:color w:val="auto"/>
                <w:sz w:val="24"/>
                <w:szCs w:val="24"/>
              </w:rPr>
            </w:pPr>
            <w:r>
              <w:rPr>
                <w:color w:val="auto"/>
                <w:sz w:val="24"/>
                <w:szCs w:val="24"/>
              </w:rPr>
              <w:t>（</w:t>
            </w:r>
            <w:r>
              <w:rPr>
                <w:rFonts w:hint="eastAsia"/>
                <w:color w:val="auto"/>
                <w:sz w:val="24"/>
                <w:szCs w:val="24"/>
                <w:lang w:val="en-US" w:eastAsia="zh-CN"/>
              </w:rPr>
              <w:t>2</w:t>
            </w:r>
            <w:r>
              <w:rPr>
                <w:color w:val="auto"/>
                <w:sz w:val="24"/>
                <w:szCs w:val="24"/>
              </w:rPr>
              <w:t>）固废防治措施</w:t>
            </w:r>
          </w:p>
          <w:p w14:paraId="62674E40">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①</w:t>
            </w:r>
            <w:r>
              <w:rPr>
                <w:rFonts w:hint="eastAsia" w:cs="Times New Roman"/>
                <w:color w:val="auto"/>
                <w:sz w:val="24"/>
                <w:szCs w:val="24"/>
                <w:lang w:val="en-US" w:eastAsia="zh-CN" w:bidi="ar-SA"/>
              </w:rPr>
              <w:t>生活垃圾桶</w:t>
            </w:r>
          </w:p>
          <w:p w14:paraId="473795ED">
            <w:pPr>
              <w:spacing w:line="360" w:lineRule="auto"/>
              <w:ind w:firstLine="480" w:firstLineChars="200"/>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厂内员工产生的生活垃圾</w:t>
            </w:r>
            <w:r>
              <w:rPr>
                <w:rFonts w:hint="eastAsia" w:cs="Times New Roman"/>
                <w:color w:val="auto"/>
                <w:sz w:val="24"/>
                <w:szCs w:val="24"/>
                <w:lang w:val="en-US" w:eastAsia="zh-CN" w:bidi="ar-SA"/>
              </w:rPr>
              <w:t>依托厂区现有生活垃圾桶。</w:t>
            </w:r>
          </w:p>
          <w:p w14:paraId="24F35DED">
            <w:pPr>
              <w:spacing w:line="360" w:lineRule="auto"/>
              <w:ind w:firstLine="480" w:firstLineChars="200"/>
              <w:rPr>
                <w:rFonts w:hint="eastAsia"/>
                <w:color w:val="auto"/>
                <w:sz w:val="24"/>
                <w:szCs w:val="24"/>
                <w:lang w:val="en-US" w:eastAsia="zh-CN"/>
              </w:rPr>
            </w:pPr>
            <w:r>
              <w:rPr>
                <w:rFonts w:hint="eastAsia" w:ascii="宋体" w:hAnsi="宋体" w:eastAsia="宋体" w:cs="宋体"/>
                <w:color w:val="auto"/>
                <w:sz w:val="24"/>
                <w:szCs w:val="24"/>
              </w:rPr>
              <w:t>②</w:t>
            </w:r>
            <w:r>
              <w:rPr>
                <w:rFonts w:hint="eastAsia"/>
                <w:color w:val="auto"/>
                <w:sz w:val="24"/>
                <w:szCs w:val="24"/>
                <w:lang w:val="en-US" w:eastAsia="zh-CN"/>
              </w:rPr>
              <w:t>危废暂存间</w:t>
            </w:r>
          </w:p>
          <w:p w14:paraId="70E4408E">
            <w:pPr>
              <w:spacing w:line="360" w:lineRule="auto"/>
              <w:ind w:firstLine="480" w:firstLineChars="200"/>
              <w:rPr>
                <w:rFonts w:hint="default"/>
                <w:color w:val="auto"/>
                <w:sz w:val="24"/>
                <w:szCs w:val="24"/>
                <w:lang w:val="en-US" w:eastAsia="zh-CN"/>
              </w:rPr>
            </w:pPr>
            <w:r>
              <w:rPr>
                <w:rFonts w:hint="eastAsia"/>
                <w:color w:val="auto"/>
                <w:sz w:val="24"/>
                <w:szCs w:val="24"/>
                <w:lang w:val="en-US" w:eastAsia="zh-CN"/>
              </w:rPr>
              <w:t>项目设备维修产生的废机油依托厂区内现有危废暂存间，建筑面积15m</w:t>
            </w:r>
            <w:r>
              <w:rPr>
                <w:rFonts w:hint="eastAsia"/>
                <w:color w:val="auto"/>
                <w:sz w:val="24"/>
                <w:szCs w:val="24"/>
                <w:vertAlign w:val="superscript"/>
                <w:lang w:val="en-US" w:eastAsia="zh-CN"/>
              </w:rPr>
              <w:t>2</w:t>
            </w:r>
            <w:r>
              <w:rPr>
                <w:rFonts w:hint="eastAsia"/>
                <w:color w:val="auto"/>
                <w:sz w:val="24"/>
                <w:szCs w:val="24"/>
                <w:lang w:val="en-US" w:eastAsia="zh-CN"/>
              </w:rPr>
              <w:t>，采取了“混凝土硬化+土工膜+2mmHDPE防渗膜”进行防渗，内部设有1个0.5m</w:t>
            </w:r>
            <w:r>
              <w:rPr>
                <w:rFonts w:hint="eastAsia"/>
                <w:color w:val="auto"/>
                <w:sz w:val="24"/>
                <w:szCs w:val="24"/>
                <w:vertAlign w:val="superscript"/>
                <w:lang w:val="en-US" w:eastAsia="zh-CN"/>
              </w:rPr>
              <w:t>3</w:t>
            </w:r>
            <w:r>
              <w:rPr>
                <w:rFonts w:hint="eastAsia"/>
                <w:color w:val="auto"/>
                <w:sz w:val="24"/>
                <w:szCs w:val="24"/>
                <w:lang w:val="en-US" w:eastAsia="zh-CN"/>
              </w:rPr>
              <w:t>的渗漏收集池，且与云南协快再生资源回收有限公司签订了处置协议。</w:t>
            </w:r>
            <w:r>
              <w:rPr>
                <w:rFonts w:hint="eastAsia"/>
                <w:color w:val="auto"/>
                <w:sz w:val="24"/>
                <w:szCs w:val="24"/>
              </w:rPr>
              <w:t>满足防渗技术要求：等效黏土防渗层Mb≥6.0m，K≤1×10</w:t>
            </w:r>
            <w:r>
              <w:rPr>
                <w:rFonts w:hint="eastAsia"/>
                <w:color w:val="auto"/>
                <w:sz w:val="24"/>
                <w:szCs w:val="24"/>
                <w:vertAlign w:val="superscript"/>
              </w:rPr>
              <w:t>-7</w:t>
            </w:r>
            <w:r>
              <w:rPr>
                <w:rFonts w:hint="eastAsia"/>
                <w:color w:val="auto"/>
                <w:sz w:val="24"/>
                <w:szCs w:val="24"/>
              </w:rPr>
              <w:t>cm/s，或参考GB18597执行。</w:t>
            </w:r>
          </w:p>
          <w:p w14:paraId="2DA58CF7">
            <w:pPr>
              <w:spacing w:line="360" w:lineRule="auto"/>
              <w:ind w:firstLine="480" w:firstLineChars="200"/>
              <w:rPr>
                <w:color w:val="auto"/>
                <w:sz w:val="24"/>
              </w:rPr>
            </w:pPr>
            <w:r>
              <w:rPr>
                <w:color w:val="auto"/>
                <w:sz w:val="24"/>
              </w:rPr>
              <w:t>（</w:t>
            </w:r>
            <w:r>
              <w:rPr>
                <w:rFonts w:hint="eastAsia"/>
                <w:color w:val="auto"/>
                <w:sz w:val="24"/>
                <w:lang w:val="en-US" w:eastAsia="zh-CN"/>
              </w:rPr>
              <w:t>4</w:t>
            </w:r>
            <w:r>
              <w:rPr>
                <w:color w:val="auto"/>
                <w:sz w:val="24"/>
              </w:rPr>
              <w:t>）</w:t>
            </w:r>
            <w:r>
              <w:rPr>
                <w:rFonts w:hint="eastAsia"/>
                <w:color w:val="auto"/>
                <w:sz w:val="24"/>
              </w:rPr>
              <w:t>地下水</w:t>
            </w:r>
            <w:r>
              <w:rPr>
                <w:color w:val="auto"/>
                <w:sz w:val="24"/>
              </w:rPr>
              <w:t>防渗措施</w:t>
            </w:r>
          </w:p>
          <w:p w14:paraId="5767845A">
            <w:pPr>
              <w:spacing w:line="360" w:lineRule="auto"/>
              <w:ind w:firstLine="480" w:firstLineChars="200"/>
              <w:rPr>
                <w:rFonts w:hint="default" w:ascii="宋体" w:hAnsi="宋体" w:eastAsia="宋体" w:cs="宋体"/>
                <w:color w:val="auto"/>
                <w:sz w:val="24"/>
                <w:szCs w:val="24"/>
                <w:lang w:val="en-US" w:eastAsia="zh-CN"/>
              </w:rPr>
            </w:pPr>
            <w:r>
              <w:rPr>
                <w:rFonts w:hint="eastAsia" w:ascii="宋体" w:hAnsi="宋体" w:cs="宋体"/>
                <w:color w:val="auto"/>
                <w:sz w:val="24"/>
                <w:szCs w:val="24"/>
              </w:rPr>
              <w:t>①</w:t>
            </w:r>
            <w:r>
              <w:rPr>
                <w:rFonts w:hint="eastAsia"/>
                <w:color w:val="auto"/>
                <w:sz w:val="24"/>
                <w:szCs w:val="24"/>
              </w:rPr>
              <w:t>生态修复材料</w:t>
            </w:r>
            <w:r>
              <w:rPr>
                <w:color w:val="auto"/>
                <w:sz w:val="24"/>
                <w:szCs w:val="24"/>
              </w:rPr>
              <w:t>熟化及成品堆场</w:t>
            </w:r>
            <w:r>
              <w:rPr>
                <w:rFonts w:hint="eastAsia"/>
                <w:color w:val="auto"/>
                <w:sz w:val="24"/>
                <w:szCs w:val="24"/>
                <w:lang w:eastAsia="zh-CN"/>
              </w:rPr>
              <w:t>、</w:t>
            </w:r>
            <w:r>
              <w:rPr>
                <w:rFonts w:hint="eastAsia"/>
                <w:color w:val="auto"/>
                <w:sz w:val="24"/>
                <w:szCs w:val="24"/>
                <w:lang w:val="en-US" w:eastAsia="zh-CN"/>
              </w:rPr>
              <w:t>路基</w:t>
            </w:r>
            <w:r>
              <w:rPr>
                <w:rFonts w:hint="eastAsia"/>
                <w:color w:val="auto"/>
                <w:sz w:val="24"/>
                <w:szCs w:val="24"/>
              </w:rPr>
              <w:t>材料</w:t>
            </w:r>
            <w:r>
              <w:rPr>
                <w:color w:val="auto"/>
                <w:sz w:val="24"/>
                <w:szCs w:val="24"/>
              </w:rPr>
              <w:t>熟化及成品堆场</w:t>
            </w:r>
            <w:r>
              <w:rPr>
                <w:rFonts w:hint="eastAsia"/>
                <w:color w:val="auto"/>
                <w:sz w:val="24"/>
                <w:szCs w:val="24"/>
                <w:lang w:eastAsia="zh-CN"/>
              </w:rPr>
              <w:t>、</w:t>
            </w:r>
            <w:r>
              <w:rPr>
                <w:rFonts w:hint="eastAsia"/>
                <w:color w:val="auto"/>
                <w:sz w:val="24"/>
                <w:szCs w:val="24"/>
              </w:rPr>
              <w:t>土壤</w:t>
            </w:r>
            <w:r>
              <w:rPr>
                <w:rFonts w:hint="eastAsia"/>
                <w:color w:val="auto"/>
                <w:sz w:val="24"/>
                <w:szCs w:val="24"/>
                <w:lang w:val="en-US" w:eastAsia="zh-CN"/>
              </w:rPr>
              <w:t>改良</w:t>
            </w:r>
            <w:r>
              <w:rPr>
                <w:rFonts w:hint="eastAsia"/>
                <w:color w:val="auto"/>
                <w:sz w:val="24"/>
                <w:szCs w:val="24"/>
              </w:rPr>
              <w:t>剂</w:t>
            </w:r>
            <w:r>
              <w:rPr>
                <w:color w:val="auto"/>
                <w:sz w:val="24"/>
                <w:szCs w:val="24"/>
              </w:rPr>
              <w:t>熟化及成品堆场</w:t>
            </w:r>
            <w:r>
              <w:rPr>
                <w:rFonts w:hint="eastAsia"/>
                <w:color w:val="auto"/>
                <w:sz w:val="24"/>
                <w:szCs w:val="24"/>
                <w:lang w:eastAsia="zh-CN"/>
              </w:rPr>
              <w:t>、</w:t>
            </w:r>
            <w:r>
              <w:rPr>
                <w:rFonts w:hint="eastAsia"/>
                <w:color w:val="auto"/>
                <w:sz w:val="24"/>
                <w:szCs w:val="24"/>
                <w:lang w:val="en-US" w:eastAsia="zh-CN"/>
              </w:rPr>
              <w:t>原料库、</w:t>
            </w:r>
            <w:r>
              <w:rPr>
                <w:color w:val="auto"/>
                <w:sz w:val="24"/>
                <w:szCs w:val="24"/>
              </w:rPr>
              <w:t>电石渣堆场</w:t>
            </w:r>
            <w:r>
              <w:rPr>
                <w:rFonts w:hint="eastAsia"/>
                <w:color w:val="auto"/>
                <w:sz w:val="24"/>
                <w:szCs w:val="24"/>
                <w:lang w:eastAsia="zh-CN"/>
              </w:rPr>
              <w:t>、</w:t>
            </w:r>
            <w:r>
              <w:rPr>
                <w:color w:val="auto"/>
                <w:sz w:val="24"/>
                <w:szCs w:val="24"/>
              </w:rPr>
              <w:t>水泥缓凝剂成品</w:t>
            </w:r>
            <w:r>
              <w:rPr>
                <w:rFonts w:hint="eastAsia"/>
                <w:color w:val="auto"/>
                <w:sz w:val="24"/>
                <w:szCs w:val="24"/>
                <w:lang w:val="en-US" w:eastAsia="zh-CN"/>
              </w:rPr>
              <w:t>库房场地均已采取了粘土铺地压实（</w:t>
            </w:r>
            <w:r>
              <w:rPr>
                <w:color w:val="auto"/>
                <w:sz w:val="24"/>
                <w:szCs w:val="24"/>
              </w:rPr>
              <w:t>厚度</w:t>
            </w:r>
            <w:r>
              <w:rPr>
                <w:rFonts w:hint="eastAsia"/>
                <w:color w:val="auto"/>
                <w:sz w:val="24"/>
                <w:szCs w:val="24"/>
              </w:rPr>
              <w:t>0.75</w:t>
            </w:r>
            <w:r>
              <w:rPr>
                <w:color w:val="auto"/>
                <w:sz w:val="24"/>
                <w:szCs w:val="24"/>
              </w:rPr>
              <w:t>m，K≤1×10</w:t>
            </w:r>
            <w:r>
              <w:rPr>
                <w:color w:val="auto"/>
                <w:sz w:val="24"/>
                <w:szCs w:val="24"/>
                <w:vertAlign w:val="superscript"/>
              </w:rPr>
              <w:t>-7</w:t>
            </w:r>
            <w:r>
              <w:rPr>
                <w:color w:val="auto"/>
                <w:sz w:val="24"/>
                <w:szCs w:val="24"/>
              </w:rPr>
              <w:t>cm/s</w:t>
            </w:r>
            <w:r>
              <w:rPr>
                <w:rFonts w:hint="eastAsia"/>
                <w:color w:val="auto"/>
                <w:sz w:val="24"/>
                <w:szCs w:val="24"/>
                <w:lang w:val="en-US" w:eastAsia="zh-CN"/>
              </w:rPr>
              <w:t>），再在上层铺设</w:t>
            </w:r>
            <w:r>
              <w:rPr>
                <w:rFonts w:hint="eastAsia"/>
                <w:color w:val="auto"/>
                <w:sz w:val="24"/>
                <w:szCs w:val="24"/>
              </w:rPr>
              <w:t>C</w:t>
            </w:r>
            <w:r>
              <w:rPr>
                <w:rFonts w:hint="eastAsia"/>
                <w:color w:val="auto"/>
                <w:sz w:val="24"/>
                <w:szCs w:val="24"/>
                <w:lang w:val="en-US" w:eastAsia="zh-CN"/>
              </w:rPr>
              <w:t>3</w:t>
            </w:r>
            <w:r>
              <w:rPr>
                <w:rFonts w:hint="eastAsia"/>
                <w:color w:val="auto"/>
                <w:sz w:val="24"/>
                <w:szCs w:val="24"/>
              </w:rPr>
              <w:t>0</w:t>
            </w:r>
            <w:r>
              <w:rPr>
                <w:color w:val="auto"/>
                <w:sz w:val="24"/>
                <w:szCs w:val="24"/>
              </w:rPr>
              <w:t>混凝土（厚度</w:t>
            </w:r>
            <w:r>
              <w:rPr>
                <w:rFonts w:hint="eastAsia"/>
                <w:color w:val="auto"/>
                <w:sz w:val="24"/>
                <w:szCs w:val="24"/>
                <w:lang w:val="en-US" w:eastAsia="zh-CN"/>
              </w:rPr>
              <w:t>300</w:t>
            </w:r>
            <w:r>
              <w:rPr>
                <w:rFonts w:hint="eastAsia"/>
                <w:color w:val="auto"/>
                <w:sz w:val="24"/>
                <w:szCs w:val="24"/>
              </w:rPr>
              <w:t>mm</w:t>
            </w:r>
            <w:r>
              <w:rPr>
                <w:rFonts w:hint="eastAsia"/>
                <w:color w:val="auto"/>
                <w:sz w:val="24"/>
                <w:szCs w:val="24"/>
                <w:lang w:eastAsia="zh-CN"/>
              </w:rPr>
              <w:t>、</w:t>
            </w:r>
            <w:r>
              <w:rPr>
                <w:rFonts w:hint="eastAsia"/>
                <w:color w:val="auto"/>
                <w:sz w:val="24"/>
                <w:szCs w:val="24"/>
                <w:lang w:val="en-US" w:eastAsia="zh-CN"/>
              </w:rPr>
              <w:t>抗渗等级为P8</w:t>
            </w:r>
            <w:r>
              <w:rPr>
                <w:color w:val="auto"/>
                <w:sz w:val="24"/>
                <w:szCs w:val="24"/>
              </w:rPr>
              <w:t>）</w:t>
            </w:r>
            <w:r>
              <w:rPr>
                <w:rFonts w:hint="eastAsia"/>
                <w:color w:val="auto"/>
                <w:sz w:val="24"/>
                <w:szCs w:val="24"/>
                <w:lang w:eastAsia="zh-CN"/>
              </w:rPr>
              <w:t>，</w:t>
            </w:r>
            <w:r>
              <w:rPr>
                <w:color w:val="auto"/>
                <w:sz w:val="24"/>
                <w:szCs w:val="24"/>
              </w:rPr>
              <w:t>满足《一般工业固体废物贮存和填埋污染控制标准》中Ⅱ类场技术要求。</w:t>
            </w:r>
          </w:p>
          <w:p w14:paraId="4DEE55AE">
            <w:pPr>
              <w:spacing w:line="360" w:lineRule="auto"/>
              <w:ind w:firstLine="480" w:firstLineChars="200"/>
              <w:rPr>
                <w:color w:val="auto"/>
                <w:sz w:val="24"/>
                <w:szCs w:val="21"/>
              </w:rPr>
            </w:pPr>
            <w:r>
              <w:rPr>
                <w:rFonts w:hint="eastAsia" w:ascii="宋体" w:hAnsi="宋体" w:eastAsia="宋体" w:cs="宋体"/>
                <w:color w:val="auto"/>
                <w:sz w:val="24"/>
              </w:rPr>
              <w:t>②</w:t>
            </w:r>
            <w:r>
              <w:rPr>
                <w:rFonts w:hint="eastAsia"/>
                <w:color w:val="auto"/>
                <w:sz w:val="24"/>
              </w:rPr>
              <w:t>其他区域</w:t>
            </w:r>
            <w:r>
              <w:rPr>
                <w:rFonts w:hint="eastAsia"/>
                <w:color w:val="auto"/>
                <w:sz w:val="24"/>
                <w:lang w:val="en-US" w:eastAsia="zh-CN"/>
              </w:rPr>
              <w:t>均为</w:t>
            </w:r>
            <w:r>
              <w:rPr>
                <w:color w:val="auto"/>
                <w:sz w:val="24"/>
                <w:szCs w:val="21"/>
              </w:rPr>
              <w:t>混泥土浇筑；水泥硬化。</w:t>
            </w:r>
          </w:p>
          <w:p w14:paraId="18E21B8D">
            <w:pPr>
              <w:spacing w:line="360" w:lineRule="auto"/>
              <w:ind w:firstLine="562" w:firstLineChars="200"/>
              <w:rPr>
                <w:b/>
                <w:color w:val="auto"/>
                <w:sz w:val="28"/>
                <w:szCs w:val="28"/>
              </w:rPr>
            </w:pPr>
            <w:r>
              <w:rPr>
                <w:b/>
                <w:color w:val="auto"/>
                <w:sz w:val="28"/>
                <w:szCs w:val="28"/>
              </w:rPr>
              <w:t>3、主要生产设备</w:t>
            </w:r>
          </w:p>
          <w:p w14:paraId="263AA846">
            <w:pPr>
              <w:spacing w:line="360" w:lineRule="auto"/>
              <w:ind w:firstLine="480" w:firstLineChars="200"/>
              <w:rPr>
                <w:color w:val="auto"/>
                <w:sz w:val="24"/>
              </w:rPr>
            </w:pPr>
            <w:r>
              <w:rPr>
                <w:rFonts w:hint="eastAsia"/>
                <w:color w:val="auto"/>
                <w:sz w:val="24"/>
              </w:rPr>
              <w:t>主要生产设备如表2-</w:t>
            </w:r>
            <w:r>
              <w:rPr>
                <w:rFonts w:hint="eastAsia"/>
                <w:color w:val="auto"/>
                <w:sz w:val="24"/>
                <w:lang w:val="en-US" w:eastAsia="zh-CN"/>
              </w:rPr>
              <w:t>2</w:t>
            </w:r>
            <w:r>
              <w:rPr>
                <w:rFonts w:hint="eastAsia"/>
                <w:color w:val="auto"/>
                <w:sz w:val="24"/>
              </w:rPr>
              <w:t>所示。</w:t>
            </w:r>
          </w:p>
          <w:p w14:paraId="5E93442A">
            <w:pPr>
              <w:autoSpaceDE w:val="0"/>
              <w:autoSpaceDN w:val="0"/>
              <w:adjustRightInd w:val="0"/>
              <w:jc w:val="center"/>
              <w:rPr>
                <w:b/>
                <w:color w:val="auto"/>
                <w:sz w:val="24"/>
                <w:highlight w:val="yellow"/>
              </w:rPr>
            </w:pPr>
            <w:r>
              <w:rPr>
                <w:b/>
                <w:color w:val="auto"/>
                <w:sz w:val="24"/>
              </w:rPr>
              <w:t>表2-</w:t>
            </w:r>
            <w:r>
              <w:rPr>
                <w:rFonts w:hint="eastAsia"/>
                <w:b/>
                <w:color w:val="auto"/>
                <w:sz w:val="24"/>
                <w:lang w:val="en-US" w:eastAsia="zh-CN"/>
              </w:rPr>
              <w:t>2</w:t>
            </w:r>
            <w:r>
              <w:rPr>
                <w:b/>
                <w:color w:val="auto"/>
                <w:sz w:val="24"/>
              </w:rPr>
              <w:t xml:space="preserve">  </w:t>
            </w:r>
            <w:r>
              <w:rPr>
                <w:rFonts w:hint="eastAsia"/>
                <w:b/>
                <w:bCs/>
                <w:color w:val="auto"/>
                <w:sz w:val="24"/>
              </w:rPr>
              <w:t>主要生产设备一览表</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3689"/>
              <w:gridCol w:w="1520"/>
              <w:gridCol w:w="2137"/>
            </w:tblGrid>
            <w:tr w14:paraId="6221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2A4590A7">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序号</w:t>
                  </w:r>
                </w:p>
              </w:tc>
              <w:tc>
                <w:tcPr>
                  <w:tcW w:w="2201" w:type="pct"/>
                  <w:shd w:val="clear" w:color="auto" w:fill="auto"/>
                  <w:vAlign w:val="center"/>
                </w:tcPr>
                <w:p w14:paraId="52E3FC9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设备名称</w:t>
                  </w:r>
                </w:p>
              </w:tc>
              <w:tc>
                <w:tcPr>
                  <w:tcW w:w="907" w:type="pct"/>
                  <w:shd w:val="clear" w:color="auto" w:fill="auto"/>
                  <w:vAlign w:val="center"/>
                </w:tcPr>
                <w:p w14:paraId="0F14F3B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数量台/个</w:t>
                  </w:r>
                </w:p>
              </w:tc>
              <w:tc>
                <w:tcPr>
                  <w:tcW w:w="1275" w:type="pct"/>
                  <w:shd w:val="clear" w:color="auto" w:fill="auto"/>
                  <w:vAlign w:val="center"/>
                </w:tcPr>
                <w:p w14:paraId="649BB83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备注</w:t>
                  </w:r>
                </w:p>
              </w:tc>
            </w:tr>
            <w:tr w14:paraId="3732D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02C08BB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w:t>
                  </w:r>
                </w:p>
              </w:tc>
              <w:tc>
                <w:tcPr>
                  <w:tcW w:w="2201" w:type="pct"/>
                  <w:shd w:val="clear" w:color="auto" w:fill="auto"/>
                  <w:vAlign w:val="center"/>
                </w:tcPr>
                <w:p w14:paraId="37E02CC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磷石膏受料仓 V=15m</w:t>
                  </w:r>
                  <w:r>
                    <w:rPr>
                      <w:rFonts w:hint="default" w:ascii="Times New Roman" w:hAnsi="Times New Roman" w:eastAsia="宋体" w:cs="Times New Roman"/>
                      <w:color w:val="auto"/>
                      <w:sz w:val="21"/>
                      <w:szCs w:val="21"/>
                      <w:vertAlign w:val="superscript"/>
                      <w:lang w:val="en-US" w:eastAsia="zh-CN"/>
                    </w:rPr>
                    <w:t>3</w:t>
                  </w:r>
                </w:p>
              </w:tc>
              <w:tc>
                <w:tcPr>
                  <w:tcW w:w="907" w:type="pct"/>
                  <w:shd w:val="clear" w:color="auto" w:fill="auto"/>
                  <w:vAlign w:val="center"/>
                </w:tcPr>
                <w:p w14:paraId="05B385A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6</w:t>
                  </w:r>
                </w:p>
              </w:tc>
              <w:tc>
                <w:tcPr>
                  <w:tcW w:w="1275" w:type="pct"/>
                  <w:vMerge w:val="restart"/>
                  <w:shd w:val="clear" w:color="auto" w:fill="auto"/>
                  <w:vAlign w:val="center"/>
                </w:tcPr>
                <w:p w14:paraId="4C1445C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Cs w:val="21"/>
                    </w:rPr>
                    <w:t>原项目设备，扩建后利用</w:t>
                  </w:r>
                </w:p>
              </w:tc>
            </w:tr>
            <w:tr w14:paraId="3BF21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1BDEE41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w:t>
                  </w:r>
                </w:p>
              </w:tc>
              <w:tc>
                <w:tcPr>
                  <w:tcW w:w="2201" w:type="pct"/>
                  <w:shd w:val="clear" w:color="auto" w:fill="auto"/>
                  <w:vAlign w:val="center"/>
                </w:tcPr>
                <w:p w14:paraId="1D49D9B2">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改性剂受料仓 V=5m</w:t>
                  </w:r>
                  <w:r>
                    <w:rPr>
                      <w:rFonts w:hint="default" w:ascii="Times New Roman" w:hAnsi="Times New Roman" w:eastAsia="宋体" w:cs="Times New Roman"/>
                      <w:color w:val="auto"/>
                      <w:sz w:val="21"/>
                      <w:szCs w:val="21"/>
                      <w:vertAlign w:val="superscript"/>
                      <w:lang w:val="en-US" w:eastAsia="zh-CN"/>
                    </w:rPr>
                    <w:t>3</w:t>
                  </w:r>
                </w:p>
              </w:tc>
              <w:tc>
                <w:tcPr>
                  <w:tcW w:w="907" w:type="pct"/>
                  <w:shd w:val="clear" w:color="auto" w:fill="auto"/>
                  <w:vAlign w:val="center"/>
                </w:tcPr>
                <w:p w14:paraId="2BDC782D">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6</w:t>
                  </w:r>
                </w:p>
              </w:tc>
              <w:tc>
                <w:tcPr>
                  <w:tcW w:w="1275" w:type="pct"/>
                  <w:vMerge w:val="continue"/>
                  <w:shd w:val="clear" w:color="auto" w:fill="auto"/>
                  <w:vAlign w:val="center"/>
                </w:tcPr>
                <w:p w14:paraId="2AE061D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p>
              </w:tc>
            </w:tr>
            <w:tr w14:paraId="7312B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6895A75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3</w:t>
                  </w:r>
                </w:p>
              </w:tc>
              <w:tc>
                <w:tcPr>
                  <w:tcW w:w="2201" w:type="pct"/>
                  <w:shd w:val="clear" w:color="auto" w:fill="auto"/>
                  <w:vAlign w:val="center"/>
                </w:tcPr>
                <w:p w14:paraId="58FF8A6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破拱装置</w:t>
                  </w:r>
                </w:p>
              </w:tc>
              <w:tc>
                <w:tcPr>
                  <w:tcW w:w="907" w:type="pct"/>
                  <w:shd w:val="clear" w:color="auto" w:fill="auto"/>
                  <w:vAlign w:val="center"/>
                </w:tcPr>
                <w:p w14:paraId="42A09D77">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6</w:t>
                  </w:r>
                </w:p>
              </w:tc>
              <w:tc>
                <w:tcPr>
                  <w:tcW w:w="1275" w:type="pct"/>
                  <w:vMerge w:val="continue"/>
                  <w:shd w:val="clear" w:color="auto" w:fill="auto"/>
                  <w:vAlign w:val="center"/>
                </w:tcPr>
                <w:p w14:paraId="2E5AAA1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p>
              </w:tc>
            </w:tr>
            <w:tr w14:paraId="32648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3CB0334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4</w:t>
                  </w:r>
                </w:p>
              </w:tc>
              <w:tc>
                <w:tcPr>
                  <w:tcW w:w="2201" w:type="pct"/>
                  <w:shd w:val="clear" w:color="auto" w:fill="auto"/>
                  <w:vAlign w:val="center"/>
                </w:tcPr>
                <w:p w14:paraId="270AB22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棒形阀门</w:t>
                  </w:r>
                </w:p>
              </w:tc>
              <w:tc>
                <w:tcPr>
                  <w:tcW w:w="907" w:type="pct"/>
                  <w:shd w:val="clear" w:color="auto" w:fill="auto"/>
                  <w:vAlign w:val="center"/>
                </w:tcPr>
                <w:p w14:paraId="1DDFA20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6</w:t>
                  </w:r>
                </w:p>
              </w:tc>
              <w:tc>
                <w:tcPr>
                  <w:tcW w:w="1275" w:type="pct"/>
                  <w:vMerge w:val="continue"/>
                  <w:shd w:val="clear" w:color="auto" w:fill="auto"/>
                  <w:vAlign w:val="center"/>
                </w:tcPr>
                <w:p w14:paraId="553427DD">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p>
              </w:tc>
            </w:tr>
            <w:tr w14:paraId="4A3FD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462F05C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5</w:t>
                  </w:r>
                </w:p>
              </w:tc>
              <w:tc>
                <w:tcPr>
                  <w:tcW w:w="2201" w:type="pct"/>
                  <w:shd w:val="clear" w:color="auto" w:fill="auto"/>
                  <w:vAlign w:val="center"/>
                </w:tcPr>
                <w:p w14:paraId="55BF540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弧形阀门</w:t>
                  </w:r>
                </w:p>
              </w:tc>
              <w:tc>
                <w:tcPr>
                  <w:tcW w:w="907" w:type="pct"/>
                  <w:shd w:val="clear" w:color="auto" w:fill="auto"/>
                  <w:vAlign w:val="center"/>
                </w:tcPr>
                <w:p w14:paraId="43E52E7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6</w:t>
                  </w:r>
                </w:p>
              </w:tc>
              <w:tc>
                <w:tcPr>
                  <w:tcW w:w="1275" w:type="pct"/>
                  <w:vMerge w:val="continue"/>
                  <w:shd w:val="clear" w:color="auto" w:fill="auto"/>
                  <w:vAlign w:val="center"/>
                </w:tcPr>
                <w:p w14:paraId="0A96171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p>
              </w:tc>
            </w:tr>
            <w:tr w14:paraId="2ED1D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045B2CB9">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6</w:t>
                  </w:r>
                </w:p>
              </w:tc>
              <w:tc>
                <w:tcPr>
                  <w:tcW w:w="2201" w:type="pct"/>
                  <w:shd w:val="clear" w:color="auto" w:fill="auto"/>
                  <w:vAlign w:val="center"/>
                </w:tcPr>
                <w:p w14:paraId="6A6EFFD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调速皮带秤 B=800</w:t>
                  </w:r>
                </w:p>
              </w:tc>
              <w:tc>
                <w:tcPr>
                  <w:tcW w:w="907" w:type="pct"/>
                  <w:shd w:val="clear" w:color="auto" w:fill="auto"/>
                  <w:vAlign w:val="center"/>
                </w:tcPr>
                <w:p w14:paraId="5E36CC4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6</w:t>
                  </w:r>
                </w:p>
              </w:tc>
              <w:tc>
                <w:tcPr>
                  <w:tcW w:w="1275" w:type="pct"/>
                  <w:vMerge w:val="continue"/>
                  <w:shd w:val="clear" w:color="auto" w:fill="auto"/>
                  <w:vAlign w:val="center"/>
                </w:tcPr>
                <w:p w14:paraId="565C28B9">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p>
              </w:tc>
            </w:tr>
            <w:tr w14:paraId="144FC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724AAED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2201" w:type="pct"/>
                  <w:shd w:val="clear" w:color="auto" w:fill="auto"/>
                  <w:vAlign w:val="center"/>
                </w:tcPr>
                <w:p w14:paraId="6CA1AE3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调速皮带秤 B=650</w:t>
                  </w:r>
                </w:p>
              </w:tc>
              <w:tc>
                <w:tcPr>
                  <w:tcW w:w="907" w:type="pct"/>
                  <w:shd w:val="clear" w:color="auto" w:fill="auto"/>
                  <w:vAlign w:val="center"/>
                </w:tcPr>
                <w:p w14:paraId="3621B50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6</w:t>
                  </w:r>
                </w:p>
              </w:tc>
              <w:tc>
                <w:tcPr>
                  <w:tcW w:w="1275" w:type="pct"/>
                  <w:vMerge w:val="continue"/>
                  <w:shd w:val="clear" w:color="auto" w:fill="auto"/>
                  <w:vAlign w:val="center"/>
                </w:tcPr>
                <w:p w14:paraId="0122A8D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p>
              </w:tc>
            </w:tr>
            <w:tr w14:paraId="2C24C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254FD69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2201" w:type="pct"/>
                  <w:shd w:val="clear" w:color="auto" w:fill="auto"/>
                  <w:vAlign w:val="center"/>
                </w:tcPr>
                <w:p w14:paraId="5607FFA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皮带输送机 B=800×15</w:t>
                  </w:r>
                </w:p>
              </w:tc>
              <w:tc>
                <w:tcPr>
                  <w:tcW w:w="907" w:type="pct"/>
                  <w:shd w:val="clear" w:color="auto" w:fill="auto"/>
                  <w:vAlign w:val="center"/>
                </w:tcPr>
                <w:p w14:paraId="7841629B">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3</w:t>
                  </w:r>
                </w:p>
              </w:tc>
              <w:tc>
                <w:tcPr>
                  <w:tcW w:w="1275" w:type="pct"/>
                  <w:vMerge w:val="continue"/>
                  <w:shd w:val="clear" w:color="auto" w:fill="auto"/>
                  <w:vAlign w:val="center"/>
                </w:tcPr>
                <w:p w14:paraId="0B7B772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p>
              </w:tc>
            </w:tr>
            <w:tr w14:paraId="0B93A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5855F4D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2201" w:type="pct"/>
                  <w:shd w:val="clear" w:color="auto" w:fill="auto"/>
                  <w:vAlign w:val="center"/>
                </w:tcPr>
                <w:p w14:paraId="2CE4AF7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装载机 5T</w:t>
                  </w:r>
                </w:p>
              </w:tc>
              <w:tc>
                <w:tcPr>
                  <w:tcW w:w="907" w:type="pct"/>
                  <w:shd w:val="clear" w:color="auto" w:fill="auto"/>
                  <w:vAlign w:val="center"/>
                </w:tcPr>
                <w:p w14:paraId="0EDDCAE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1275" w:type="pct"/>
                  <w:vMerge w:val="continue"/>
                  <w:shd w:val="clear" w:color="auto" w:fill="auto"/>
                  <w:vAlign w:val="center"/>
                </w:tcPr>
                <w:p w14:paraId="504CD4A2">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p>
              </w:tc>
            </w:tr>
            <w:tr w14:paraId="26994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110CE01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10</w:t>
                  </w:r>
                </w:p>
              </w:tc>
              <w:tc>
                <w:tcPr>
                  <w:tcW w:w="2201" w:type="pct"/>
                  <w:shd w:val="clear" w:color="auto" w:fill="auto"/>
                  <w:vAlign w:val="center"/>
                </w:tcPr>
                <w:p w14:paraId="648B9DB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双轴混料机</w:t>
                  </w:r>
                </w:p>
              </w:tc>
              <w:tc>
                <w:tcPr>
                  <w:tcW w:w="907" w:type="pct"/>
                  <w:shd w:val="clear" w:color="auto" w:fill="auto"/>
                  <w:vAlign w:val="center"/>
                </w:tcPr>
                <w:p w14:paraId="7F5BB80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1275" w:type="pct"/>
                  <w:vMerge w:val="continue"/>
                  <w:shd w:val="clear" w:color="auto" w:fill="auto"/>
                  <w:vAlign w:val="center"/>
                </w:tcPr>
                <w:p w14:paraId="2D7E872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color w:val="auto"/>
                      <w:sz w:val="21"/>
                      <w:szCs w:val="21"/>
                      <w:lang w:val="en-US" w:eastAsia="zh-CN"/>
                    </w:rPr>
                  </w:pPr>
                </w:p>
              </w:tc>
            </w:tr>
            <w:tr w14:paraId="03070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71FAFE6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11</w:t>
                  </w:r>
                </w:p>
              </w:tc>
              <w:tc>
                <w:tcPr>
                  <w:tcW w:w="2201" w:type="pct"/>
                  <w:shd w:val="clear" w:color="auto" w:fill="auto"/>
                  <w:vAlign w:val="center"/>
                </w:tcPr>
                <w:p w14:paraId="56F8D3F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计量、配料自动控制系统</w:t>
                  </w:r>
                </w:p>
              </w:tc>
              <w:tc>
                <w:tcPr>
                  <w:tcW w:w="907" w:type="pct"/>
                  <w:shd w:val="clear" w:color="auto" w:fill="auto"/>
                  <w:vAlign w:val="center"/>
                </w:tcPr>
                <w:p w14:paraId="4CC6351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1套</w:t>
                  </w:r>
                </w:p>
              </w:tc>
              <w:tc>
                <w:tcPr>
                  <w:tcW w:w="1275" w:type="pct"/>
                  <w:vMerge w:val="continue"/>
                  <w:shd w:val="clear" w:color="auto" w:fill="auto"/>
                  <w:vAlign w:val="center"/>
                </w:tcPr>
                <w:p w14:paraId="28DB141D">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p>
              </w:tc>
            </w:tr>
            <w:tr w14:paraId="672C7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55CA8E89">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12</w:t>
                  </w:r>
                </w:p>
              </w:tc>
              <w:tc>
                <w:tcPr>
                  <w:tcW w:w="2201" w:type="pct"/>
                  <w:shd w:val="clear" w:color="auto" w:fill="auto"/>
                  <w:vAlign w:val="center"/>
                </w:tcPr>
                <w:p w14:paraId="2E1975B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牵引机控制系统 </w:t>
                  </w:r>
                </w:p>
              </w:tc>
              <w:tc>
                <w:tcPr>
                  <w:tcW w:w="907" w:type="pct"/>
                  <w:shd w:val="clear" w:color="auto" w:fill="auto"/>
                  <w:vAlign w:val="center"/>
                </w:tcPr>
                <w:p w14:paraId="351275B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1套</w:t>
                  </w:r>
                </w:p>
              </w:tc>
              <w:tc>
                <w:tcPr>
                  <w:tcW w:w="1275" w:type="pct"/>
                  <w:vMerge w:val="continue"/>
                  <w:shd w:val="clear" w:color="auto" w:fill="auto"/>
                  <w:vAlign w:val="center"/>
                </w:tcPr>
                <w:p w14:paraId="6E42F75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p>
              </w:tc>
            </w:tr>
            <w:tr w14:paraId="2EA76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0038D7B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13</w:t>
                  </w:r>
                </w:p>
              </w:tc>
              <w:tc>
                <w:tcPr>
                  <w:tcW w:w="2201" w:type="pct"/>
                  <w:shd w:val="clear" w:color="auto" w:fill="auto"/>
                  <w:vAlign w:val="center"/>
                </w:tcPr>
                <w:p w14:paraId="155AF9E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蒸压控制系统 </w:t>
                  </w:r>
                </w:p>
              </w:tc>
              <w:tc>
                <w:tcPr>
                  <w:tcW w:w="907" w:type="pct"/>
                  <w:shd w:val="clear" w:color="auto" w:fill="auto"/>
                  <w:vAlign w:val="center"/>
                </w:tcPr>
                <w:p w14:paraId="022B2DA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1套</w:t>
                  </w:r>
                </w:p>
              </w:tc>
              <w:tc>
                <w:tcPr>
                  <w:tcW w:w="1275" w:type="pct"/>
                  <w:vMerge w:val="continue"/>
                  <w:shd w:val="clear" w:color="auto" w:fill="auto"/>
                  <w:vAlign w:val="center"/>
                </w:tcPr>
                <w:p w14:paraId="4C2B792B">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p>
              </w:tc>
            </w:tr>
            <w:tr w14:paraId="67FCA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4F818A8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14</w:t>
                  </w:r>
                </w:p>
              </w:tc>
              <w:tc>
                <w:tcPr>
                  <w:tcW w:w="2201" w:type="pct"/>
                  <w:shd w:val="clear" w:color="auto" w:fill="auto"/>
                  <w:vAlign w:val="center"/>
                </w:tcPr>
                <w:p w14:paraId="07C83482">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皮带输送机</w:t>
                  </w:r>
                </w:p>
              </w:tc>
              <w:tc>
                <w:tcPr>
                  <w:tcW w:w="907" w:type="pct"/>
                  <w:shd w:val="clear" w:color="auto" w:fill="auto"/>
                  <w:vAlign w:val="center"/>
                </w:tcPr>
                <w:p w14:paraId="3B4F0B4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r>
                    <w:rPr>
                      <w:rFonts w:hint="eastAsia" w:cs="Times New Roman"/>
                      <w:color w:val="auto"/>
                      <w:sz w:val="21"/>
                      <w:szCs w:val="21"/>
                      <w:lang w:val="en-US" w:eastAsia="zh-CN"/>
                    </w:rPr>
                    <w:t>条</w:t>
                  </w:r>
                </w:p>
              </w:tc>
              <w:tc>
                <w:tcPr>
                  <w:tcW w:w="1275" w:type="pct"/>
                  <w:shd w:val="clear" w:color="auto" w:fill="auto"/>
                  <w:vAlign w:val="center"/>
                </w:tcPr>
                <w:p w14:paraId="73A9A53B">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新增</w:t>
                  </w:r>
                </w:p>
              </w:tc>
            </w:tr>
            <w:tr w14:paraId="29751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30741FF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15</w:t>
                  </w:r>
                </w:p>
              </w:tc>
              <w:tc>
                <w:tcPr>
                  <w:tcW w:w="2201" w:type="pct"/>
                  <w:shd w:val="clear" w:color="auto" w:fill="auto"/>
                  <w:vAlign w:val="center"/>
                </w:tcPr>
                <w:p w14:paraId="2EE3AD6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1个集气罩+1台布袋除尘器</w:t>
                  </w:r>
                </w:p>
              </w:tc>
              <w:tc>
                <w:tcPr>
                  <w:tcW w:w="907" w:type="pct"/>
                  <w:shd w:val="clear" w:color="auto" w:fill="auto"/>
                  <w:vAlign w:val="center"/>
                </w:tcPr>
                <w:p w14:paraId="198F5EBD">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1套</w:t>
                  </w:r>
                </w:p>
              </w:tc>
              <w:tc>
                <w:tcPr>
                  <w:tcW w:w="1275" w:type="pct"/>
                  <w:shd w:val="clear" w:color="auto" w:fill="auto"/>
                  <w:vAlign w:val="center"/>
                </w:tcPr>
                <w:p w14:paraId="22333EE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新增</w:t>
                  </w:r>
                </w:p>
              </w:tc>
            </w:tr>
            <w:tr w14:paraId="51450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4812322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16</w:t>
                  </w:r>
                </w:p>
              </w:tc>
              <w:tc>
                <w:tcPr>
                  <w:tcW w:w="2201" w:type="pct"/>
                  <w:shd w:val="clear" w:color="auto" w:fill="auto"/>
                  <w:vAlign w:val="center"/>
                </w:tcPr>
                <w:p w14:paraId="3B95269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筛分机</w:t>
                  </w:r>
                </w:p>
              </w:tc>
              <w:tc>
                <w:tcPr>
                  <w:tcW w:w="907" w:type="pct"/>
                  <w:shd w:val="clear" w:color="auto" w:fill="auto"/>
                  <w:vAlign w:val="center"/>
                </w:tcPr>
                <w:p w14:paraId="1709EC1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台</w:t>
                  </w:r>
                </w:p>
              </w:tc>
              <w:tc>
                <w:tcPr>
                  <w:tcW w:w="1275" w:type="pct"/>
                  <w:shd w:val="clear" w:color="auto" w:fill="auto"/>
                  <w:vAlign w:val="center"/>
                </w:tcPr>
                <w:p w14:paraId="27F3A9B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新增</w:t>
                  </w:r>
                </w:p>
              </w:tc>
            </w:tr>
          </w:tbl>
          <w:p w14:paraId="0D2435EE">
            <w:pPr>
              <w:autoSpaceDE w:val="0"/>
              <w:autoSpaceDN w:val="0"/>
              <w:spacing w:line="360" w:lineRule="auto"/>
              <w:ind w:firstLine="562" w:firstLineChars="200"/>
              <w:rPr>
                <w:b/>
                <w:color w:val="auto"/>
                <w:sz w:val="28"/>
                <w:szCs w:val="28"/>
              </w:rPr>
            </w:pPr>
            <w:r>
              <w:rPr>
                <w:b/>
                <w:color w:val="auto"/>
                <w:sz w:val="28"/>
                <w:szCs w:val="28"/>
              </w:rPr>
              <w:t>4、产品方案</w:t>
            </w:r>
          </w:p>
          <w:p w14:paraId="77F47905">
            <w:pPr>
              <w:spacing w:line="360" w:lineRule="auto"/>
              <w:ind w:firstLine="480" w:firstLineChars="200"/>
              <w:rPr>
                <w:color w:val="auto"/>
                <w:sz w:val="24"/>
                <w:highlight w:val="yellow"/>
              </w:rPr>
            </w:pPr>
            <w:r>
              <w:rPr>
                <w:color w:val="auto"/>
                <w:sz w:val="24"/>
              </w:rPr>
              <w:t>（1）产品方案</w:t>
            </w:r>
          </w:p>
          <w:p w14:paraId="4ECA2F09">
            <w:pPr>
              <w:spacing w:line="360" w:lineRule="auto"/>
              <w:ind w:firstLine="482"/>
              <w:jc w:val="left"/>
              <w:rPr>
                <w:b/>
                <w:bCs/>
                <w:color w:val="auto"/>
              </w:rPr>
            </w:pPr>
            <w:r>
              <w:rPr>
                <w:color w:val="auto"/>
                <w:sz w:val="24"/>
              </w:rPr>
              <w:t>本项目</w:t>
            </w:r>
            <w:r>
              <w:rPr>
                <w:rFonts w:hint="eastAsia"/>
                <w:color w:val="auto"/>
                <w:sz w:val="24"/>
                <w:szCs w:val="24"/>
              </w:rPr>
              <w:t>主要对属于工业固体废物的磷石膏、电石渣进行综合利用</w:t>
            </w:r>
            <w:r>
              <w:rPr>
                <w:color w:val="auto"/>
                <w:sz w:val="24"/>
                <w:szCs w:val="24"/>
              </w:rPr>
              <w:t>，</w:t>
            </w:r>
            <w:r>
              <w:rPr>
                <w:color w:val="auto"/>
                <w:sz w:val="24"/>
              </w:rPr>
              <w:t>因用途不同，</w:t>
            </w:r>
            <w:r>
              <w:rPr>
                <w:rFonts w:hint="eastAsia"/>
                <w:color w:val="auto"/>
                <w:sz w:val="24"/>
              </w:rPr>
              <w:t>将其</w:t>
            </w:r>
            <w:r>
              <w:rPr>
                <w:color w:val="auto"/>
                <w:sz w:val="24"/>
              </w:rPr>
              <w:t>分为</w:t>
            </w:r>
            <w:r>
              <w:rPr>
                <w:color w:val="auto"/>
                <w:sz w:val="24"/>
                <w:szCs w:val="24"/>
              </w:rPr>
              <w:t>土壤</w:t>
            </w:r>
            <w:r>
              <w:rPr>
                <w:rFonts w:hint="eastAsia"/>
                <w:color w:val="auto"/>
                <w:sz w:val="24"/>
                <w:szCs w:val="24"/>
                <w:lang w:val="en-US" w:eastAsia="zh-CN"/>
              </w:rPr>
              <w:t>改良</w:t>
            </w:r>
            <w:r>
              <w:rPr>
                <w:color w:val="auto"/>
                <w:sz w:val="24"/>
                <w:szCs w:val="24"/>
              </w:rPr>
              <w:t>剂、路基材料、生态修复材料。</w:t>
            </w:r>
            <w:r>
              <w:rPr>
                <w:color w:val="auto"/>
                <w:sz w:val="24"/>
              </w:rPr>
              <w:t>为了方便运输与使用，本项目所有产品均采用散装。具体产品方案见表2-</w:t>
            </w:r>
            <w:r>
              <w:rPr>
                <w:rFonts w:hint="eastAsia"/>
                <w:color w:val="auto"/>
                <w:sz w:val="24"/>
                <w:lang w:val="en-US" w:eastAsia="zh-CN"/>
              </w:rPr>
              <w:t>3</w:t>
            </w:r>
            <w:r>
              <w:rPr>
                <w:color w:val="auto"/>
                <w:sz w:val="24"/>
              </w:rPr>
              <w:t>。</w:t>
            </w:r>
          </w:p>
          <w:p w14:paraId="3E44DB28">
            <w:pPr>
              <w:autoSpaceDE w:val="0"/>
              <w:autoSpaceDN w:val="0"/>
              <w:jc w:val="center"/>
              <w:rPr>
                <w:b/>
                <w:color w:val="auto"/>
                <w:sz w:val="24"/>
              </w:rPr>
            </w:pPr>
            <w:r>
              <w:rPr>
                <w:b/>
                <w:color w:val="auto"/>
                <w:sz w:val="24"/>
              </w:rPr>
              <w:t>表2-</w:t>
            </w:r>
            <w:r>
              <w:rPr>
                <w:rFonts w:hint="eastAsia"/>
                <w:b/>
                <w:color w:val="auto"/>
                <w:sz w:val="24"/>
                <w:lang w:val="en-US" w:eastAsia="zh-CN"/>
              </w:rPr>
              <w:t>3</w:t>
            </w:r>
            <w:r>
              <w:rPr>
                <w:b/>
                <w:color w:val="auto"/>
                <w:sz w:val="24"/>
              </w:rPr>
              <w:t xml:space="preserve">  </w:t>
            </w:r>
            <w:r>
              <w:rPr>
                <w:rFonts w:hint="eastAsia"/>
                <w:b/>
                <w:color w:val="auto"/>
                <w:sz w:val="24"/>
              </w:rPr>
              <w:t>本</w:t>
            </w:r>
            <w:r>
              <w:rPr>
                <w:b/>
                <w:color w:val="auto"/>
                <w:sz w:val="24"/>
              </w:rPr>
              <w:t>项目产品方案一览表</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1434"/>
              <w:gridCol w:w="1547"/>
              <w:gridCol w:w="4614"/>
            </w:tblGrid>
            <w:tr w14:paraId="2C4EC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8" w:type="dxa"/>
                  <w:tcBorders>
                    <w:top w:val="single" w:color="auto" w:sz="4" w:space="0"/>
                    <w:left w:val="single" w:color="auto" w:sz="4" w:space="0"/>
                    <w:bottom w:val="single" w:color="auto" w:sz="4" w:space="0"/>
                    <w:right w:val="single" w:color="auto" w:sz="4" w:space="0"/>
                  </w:tcBorders>
                  <w:vAlign w:val="center"/>
                </w:tcPr>
                <w:p w14:paraId="39E458BB">
                  <w:pPr>
                    <w:jc w:val="center"/>
                    <w:rPr>
                      <w:color w:val="auto"/>
                      <w:sz w:val="21"/>
                      <w:szCs w:val="21"/>
                    </w:rPr>
                  </w:pPr>
                  <w:r>
                    <w:rPr>
                      <w:color w:val="auto"/>
                      <w:sz w:val="21"/>
                      <w:szCs w:val="21"/>
                    </w:rPr>
                    <w:t>序号</w:t>
                  </w:r>
                </w:p>
              </w:tc>
              <w:tc>
                <w:tcPr>
                  <w:tcW w:w="1077" w:type="dxa"/>
                  <w:tcBorders>
                    <w:top w:val="single" w:color="auto" w:sz="4" w:space="0"/>
                    <w:left w:val="single" w:color="auto" w:sz="4" w:space="0"/>
                    <w:bottom w:val="single" w:color="auto" w:sz="4" w:space="0"/>
                    <w:right w:val="single" w:color="auto" w:sz="4" w:space="0"/>
                  </w:tcBorders>
                  <w:vAlign w:val="center"/>
                </w:tcPr>
                <w:p w14:paraId="3FF56137">
                  <w:pPr>
                    <w:jc w:val="center"/>
                    <w:rPr>
                      <w:color w:val="auto"/>
                      <w:sz w:val="21"/>
                      <w:szCs w:val="21"/>
                    </w:rPr>
                  </w:pPr>
                  <w:r>
                    <w:rPr>
                      <w:color w:val="auto"/>
                      <w:sz w:val="21"/>
                      <w:szCs w:val="21"/>
                    </w:rPr>
                    <w:t>产品名称</w:t>
                  </w:r>
                </w:p>
              </w:tc>
              <w:tc>
                <w:tcPr>
                  <w:tcW w:w="1162" w:type="dxa"/>
                  <w:tcBorders>
                    <w:top w:val="single" w:color="auto" w:sz="4" w:space="0"/>
                    <w:left w:val="single" w:color="auto" w:sz="4" w:space="0"/>
                    <w:bottom w:val="single" w:color="auto" w:sz="4" w:space="0"/>
                    <w:right w:val="single" w:color="auto" w:sz="4" w:space="0"/>
                  </w:tcBorders>
                  <w:vAlign w:val="center"/>
                </w:tcPr>
                <w:p w14:paraId="5B5B6E6B">
                  <w:pPr>
                    <w:jc w:val="center"/>
                    <w:rPr>
                      <w:rFonts w:hint="default" w:eastAsia="宋体"/>
                      <w:color w:val="auto"/>
                      <w:sz w:val="21"/>
                      <w:szCs w:val="21"/>
                      <w:lang w:val="en-US" w:eastAsia="zh-CN"/>
                    </w:rPr>
                  </w:pPr>
                  <w:r>
                    <w:rPr>
                      <w:rFonts w:hint="eastAsia"/>
                      <w:color w:val="auto"/>
                      <w:sz w:val="21"/>
                      <w:szCs w:val="21"/>
                      <w:lang w:val="en-US" w:eastAsia="zh-CN"/>
                    </w:rPr>
                    <w:t>扩建项目年产量</w:t>
                  </w:r>
                </w:p>
              </w:tc>
              <w:tc>
                <w:tcPr>
                  <w:tcW w:w="3464" w:type="dxa"/>
                  <w:tcBorders>
                    <w:top w:val="single" w:color="auto" w:sz="4" w:space="0"/>
                    <w:left w:val="single" w:color="auto" w:sz="4" w:space="0"/>
                    <w:bottom w:val="single" w:color="auto" w:sz="4" w:space="0"/>
                    <w:right w:val="single" w:color="auto" w:sz="4" w:space="0"/>
                  </w:tcBorders>
                  <w:vAlign w:val="center"/>
                </w:tcPr>
                <w:p w14:paraId="39CBEF98">
                  <w:pPr>
                    <w:jc w:val="center"/>
                    <w:rPr>
                      <w:color w:val="auto"/>
                      <w:sz w:val="21"/>
                      <w:szCs w:val="21"/>
                    </w:rPr>
                  </w:pPr>
                  <w:r>
                    <w:rPr>
                      <w:color w:val="auto"/>
                      <w:sz w:val="21"/>
                      <w:szCs w:val="21"/>
                    </w:rPr>
                    <w:t>备注</w:t>
                  </w:r>
                </w:p>
              </w:tc>
            </w:tr>
            <w:tr w14:paraId="7FB46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8" w:type="dxa"/>
                  <w:tcBorders>
                    <w:top w:val="single" w:color="auto" w:sz="4" w:space="0"/>
                    <w:left w:val="single" w:color="auto" w:sz="4" w:space="0"/>
                    <w:bottom w:val="single" w:color="auto" w:sz="4" w:space="0"/>
                    <w:right w:val="single" w:color="auto" w:sz="4" w:space="0"/>
                  </w:tcBorders>
                  <w:vAlign w:val="center"/>
                </w:tcPr>
                <w:p w14:paraId="29CB9637">
                  <w:pPr>
                    <w:jc w:val="center"/>
                    <w:rPr>
                      <w:rFonts w:hint="eastAsia" w:eastAsia="宋体"/>
                      <w:color w:val="auto"/>
                      <w:sz w:val="21"/>
                      <w:szCs w:val="21"/>
                      <w:lang w:eastAsia="zh-CN"/>
                    </w:rPr>
                  </w:pPr>
                  <w:r>
                    <w:rPr>
                      <w:rFonts w:hint="eastAsia"/>
                      <w:color w:val="auto"/>
                      <w:sz w:val="21"/>
                      <w:szCs w:val="21"/>
                      <w:lang w:val="en-US" w:eastAsia="zh-CN"/>
                    </w:rPr>
                    <w:t>1</w:t>
                  </w:r>
                </w:p>
              </w:tc>
              <w:tc>
                <w:tcPr>
                  <w:tcW w:w="1077" w:type="dxa"/>
                  <w:tcBorders>
                    <w:top w:val="single" w:color="auto" w:sz="4" w:space="0"/>
                    <w:left w:val="single" w:color="auto" w:sz="4" w:space="0"/>
                    <w:bottom w:val="single" w:color="auto" w:sz="4" w:space="0"/>
                    <w:right w:val="single" w:color="auto" w:sz="4" w:space="0"/>
                  </w:tcBorders>
                  <w:vAlign w:val="center"/>
                </w:tcPr>
                <w:p w14:paraId="05A5E72A">
                  <w:pPr>
                    <w:jc w:val="center"/>
                    <w:rPr>
                      <w:color w:val="auto"/>
                      <w:sz w:val="21"/>
                      <w:szCs w:val="21"/>
                    </w:rPr>
                  </w:pPr>
                  <w:r>
                    <w:rPr>
                      <w:color w:val="auto"/>
                      <w:sz w:val="21"/>
                      <w:szCs w:val="21"/>
                    </w:rPr>
                    <w:t>土壤</w:t>
                  </w:r>
                  <w:r>
                    <w:rPr>
                      <w:rFonts w:hint="eastAsia"/>
                      <w:color w:val="auto"/>
                      <w:sz w:val="21"/>
                      <w:szCs w:val="21"/>
                      <w:lang w:val="en-US" w:eastAsia="zh-CN"/>
                    </w:rPr>
                    <w:t>改良</w:t>
                  </w:r>
                  <w:r>
                    <w:rPr>
                      <w:color w:val="auto"/>
                      <w:sz w:val="21"/>
                      <w:szCs w:val="21"/>
                    </w:rPr>
                    <w:t>剂</w:t>
                  </w:r>
                </w:p>
              </w:tc>
              <w:tc>
                <w:tcPr>
                  <w:tcW w:w="1162" w:type="dxa"/>
                  <w:tcBorders>
                    <w:top w:val="single" w:color="auto" w:sz="4" w:space="0"/>
                    <w:left w:val="single" w:color="auto" w:sz="4" w:space="0"/>
                    <w:bottom w:val="single" w:color="auto" w:sz="4" w:space="0"/>
                    <w:right w:val="single" w:color="auto" w:sz="4" w:space="0"/>
                  </w:tcBorders>
                  <w:vAlign w:val="center"/>
                </w:tcPr>
                <w:p w14:paraId="5625C162">
                  <w:pPr>
                    <w:jc w:val="center"/>
                    <w:rPr>
                      <w:color w:val="auto"/>
                      <w:sz w:val="21"/>
                      <w:szCs w:val="21"/>
                    </w:rPr>
                  </w:pPr>
                  <w:r>
                    <w:rPr>
                      <w:color w:val="auto"/>
                      <w:sz w:val="21"/>
                      <w:szCs w:val="21"/>
                    </w:rPr>
                    <w:t>20万吨/a</w:t>
                  </w:r>
                </w:p>
              </w:tc>
              <w:tc>
                <w:tcPr>
                  <w:tcW w:w="3464" w:type="dxa"/>
                  <w:tcBorders>
                    <w:top w:val="single" w:color="auto" w:sz="4" w:space="0"/>
                    <w:left w:val="single" w:color="auto" w:sz="4" w:space="0"/>
                    <w:bottom w:val="single" w:color="auto" w:sz="4" w:space="0"/>
                    <w:right w:val="single" w:color="auto" w:sz="4" w:space="0"/>
                  </w:tcBorders>
                  <w:vAlign w:val="center"/>
                </w:tcPr>
                <w:p w14:paraId="226AF598">
                  <w:pPr>
                    <w:jc w:val="center"/>
                    <w:rPr>
                      <w:color w:val="auto"/>
                      <w:sz w:val="21"/>
                      <w:szCs w:val="21"/>
                    </w:rPr>
                  </w:pPr>
                  <w:r>
                    <w:rPr>
                      <w:rFonts w:hint="eastAsia"/>
                      <w:color w:val="auto"/>
                      <w:sz w:val="21"/>
                      <w:szCs w:val="21"/>
                    </w:rPr>
                    <w:t>外售给营养土、基质土生产厂家：曲靖和洪农业有限公司等</w:t>
                  </w:r>
                </w:p>
              </w:tc>
            </w:tr>
            <w:tr w14:paraId="025A7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8" w:type="dxa"/>
                  <w:tcBorders>
                    <w:top w:val="single" w:color="auto" w:sz="4" w:space="0"/>
                    <w:left w:val="single" w:color="auto" w:sz="4" w:space="0"/>
                    <w:bottom w:val="single" w:color="auto" w:sz="4" w:space="0"/>
                    <w:right w:val="single" w:color="auto" w:sz="4" w:space="0"/>
                  </w:tcBorders>
                  <w:vAlign w:val="center"/>
                </w:tcPr>
                <w:p w14:paraId="31F3B783">
                  <w:pPr>
                    <w:jc w:val="center"/>
                    <w:rPr>
                      <w:rFonts w:hint="eastAsia" w:eastAsia="宋体"/>
                      <w:color w:val="auto"/>
                      <w:sz w:val="21"/>
                      <w:szCs w:val="21"/>
                      <w:lang w:eastAsia="zh-CN"/>
                    </w:rPr>
                  </w:pPr>
                  <w:r>
                    <w:rPr>
                      <w:rFonts w:hint="eastAsia"/>
                      <w:color w:val="auto"/>
                      <w:sz w:val="21"/>
                      <w:szCs w:val="21"/>
                      <w:lang w:val="en-US" w:eastAsia="zh-CN"/>
                    </w:rPr>
                    <w:t>2</w:t>
                  </w:r>
                </w:p>
              </w:tc>
              <w:tc>
                <w:tcPr>
                  <w:tcW w:w="1077" w:type="dxa"/>
                  <w:tcBorders>
                    <w:top w:val="single" w:color="auto" w:sz="4" w:space="0"/>
                    <w:left w:val="single" w:color="auto" w:sz="4" w:space="0"/>
                    <w:bottom w:val="single" w:color="auto" w:sz="4" w:space="0"/>
                    <w:right w:val="single" w:color="auto" w:sz="4" w:space="0"/>
                  </w:tcBorders>
                  <w:vAlign w:val="center"/>
                </w:tcPr>
                <w:p w14:paraId="115269AD">
                  <w:pPr>
                    <w:jc w:val="center"/>
                    <w:rPr>
                      <w:color w:val="auto"/>
                      <w:sz w:val="21"/>
                      <w:szCs w:val="21"/>
                    </w:rPr>
                  </w:pPr>
                  <w:r>
                    <w:rPr>
                      <w:color w:val="auto"/>
                      <w:sz w:val="21"/>
                      <w:szCs w:val="21"/>
                    </w:rPr>
                    <w:t>路基材料</w:t>
                  </w:r>
                </w:p>
              </w:tc>
              <w:tc>
                <w:tcPr>
                  <w:tcW w:w="1162" w:type="dxa"/>
                  <w:tcBorders>
                    <w:top w:val="single" w:color="auto" w:sz="4" w:space="0"/>
                    <w:left w:val="single" w:color="auto" w:sz="4" w:space="0"/>
                    <w:bottom w:val="single" w:color="auto" w:sz="4" w:space="0"/>
                    <w:right w:val="single" w:color="auto" w:sz="4" w:space="0"/>
                  </w:tcBorders>
                  <w:vAlign w:val="center"/>
                </w:tcPr>
                <w:p w14:paraId="25C18739">
                  <w:pPr>
                    <w:jc w:val="center"/>
                    <w:rPr>
                      <w:rFonts w:hint="default" w:eastAsia="宋体"/>
                      <w:color w:val="auto"/>
                      <w:sz w:val="21"/>
                      <w:szCs w:val="21"/>
                      <w:lang w:val="en-US" w:eastAsia="zh-CN"/>
                    </w:rPr>
                  </w:pPr>
                  <w:r>
                    <w:rPr>
                      <w:rFonts w:hint="eastAsia"/>
                      <w:color w:val="auto"/>
                      <w:sz w:val="21"/>
                      <w:szCs w:val="21"/>
                      <w:lang w:val="en-US" w:eastAsia="zh-CN"/>
                    </w:rPr>
                    <w:t>15</w:t>
                  </w:r>
                  <w:r>
                    <w:rPr>
                      <w:color w:val="auto"/>
                      <w:sz w:val="21"/>
                      <w:szCs w:val="21"/>
                    </w:rPr>
                    <w:t>万吨/a</w:t>
                  </w:r>
                </w:p>
              </w:tc>
              <w:tc>
                <w:tcPr>
                  <w:tcW w:w="3464" w:type="dxa"/>
                  <w:tcBorders>
                    <w:top w:val="single" w:color="auto" w:sz="4" w:space="0"/>
                    <w:left w:val="single" w:color="auto" w:sz="4" w:space="0"/>
                    <w:bottom w:val="single" w:color="auto" w:sz="4" w:space="0"/>
                    <w:right w:val="single" w:color="auto" w:sz="4" w:space="0"/>
                  </w:tcBorders>
                  <w:vAlign w:val="center"/>
                </w:tcPr>
                <w:p w14:paraId="29C92894">
                  <w:pPr>
                    <w:jc w:val="center"/>
                    <w:rPr>
                      <w:color w:val="auto"/>
                      <w:sz w:val="21"/>
                      <w:szCs w:val="21"/>
                    </w:rPr>
                  </w:pPr>
                  <w:r>
                    <w:rPr>
                      <w:color w:val="auto"/>
                      <w:sz w:val="21"/>
                      <w:szCs w:val="21"/>
                    </w:rPr>
                    <w:t>外售给</w:t>
                  </w:r>
                  <w:r>
                    <w:rPr>
                      <w:rFonts w:hint="eastAsia"/>
                      <w:color w:val="auto"/>
                      <w:sz w:val="21"/>
                      <w:szCs w:val="21"/>
                    </w:rPr>
                    <w:t>砂石料厂、路基水稳层等生产厂家：昆明福嵩、昆明妙跃等</w:t>
                  </w:r>
                </w:p>
              </w:tc>
            </w:tr>
            <w:tr w14:paraId="7B072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8" w:type="dxa"/>
                  <w:tcBorders>
                    <w:top w:val="single" w:color="auto" w:sz="4" w:space="0"/>
                    <w:left w:val="single" w:color="auto" w:sz="4" w:space="0"/>
                    <w:bottom w:val="single" w:color="auto" w:sz="4" w:space="0"/>
                    <w:right w:val="single" w:color="auto" w:sz="4" w:space="0"/>
                  </w:tcBorders>
                  <w:vAlign w:val="center"/>
                </w:tcPr>
                <w:p w14:paraId="4D85BE93">
                  <w:pPr>
                    <w:jc w:val="center"/>
                    <w:rPr>
                      <w:rFonts w:hint="eastAsia" w:eastAsia="宋体"/>
                      <w:color w:val="auto"/>
                      <w:sz w:val="21"/>
                      <w:szCs w:val="21"/>
                      <w:lang w:eastAsia="zh-CN"/>
                    </w:rPr>
                  </w:pPr>
                  <w:r>
                    <w:rPr>
                      <w:rFonts w:hint="eastAsia"/>
                      <w:color w:val="auto"/>
                      <w:sz w:val="21"/>
                      <w:szCs w:val="21"/>
                      <w:lang w:val="en-US" w:eastAsia="zh-CN"/>
                    </w:rPr>
                    <w:t>3</w:t>
                  </w:r>
                </w:p>
              </w:tc>
              <w:tc>
                <w:tcPr>
                  <w:tcW w:w="1077" w:type="dxa"/>
                  <w:tcBorders>
                    <w:top w:val="single" w:color="auto" w:sz="4" w:space="0"/>
                    <w:left w:val="single" w:color="auto" w:sz="4" w:space="0"/>
                    <w:bottom w:val="single" w:color="auto" w:sz="4" w:space="0"/>
                    <w:right w:val="single" w:color="auto" w:sz="4" w:space="0"/>
                  </w:tcBorders>
                  <w:vAlign w:val="center"/>
                </w:tcPr>
                <w:p w14:paraId="06FBEE69">
                  <w:pPr>
                    <w:jc w:val="center"/>
                    <w:rPr>
                      <w:color w:val="auto"/>
                      <w:sz w:val="21"/>
                      <w:szCs w:val="21"/>
                    </w:rPr>
                  </w:pPr>
                  <w:r>
                    <w:rPr>
                      <w:color w:val="auto"/>
                      <w:sz w:val="21"/>
                      <w:szCs w:val="21"/>
                    </w:rPr>
                    <w:t>生态修复材料</w:t>
                  </w:r>
                </w:p>
              </w:tc>
              <w:tc>
                <w:tcPr>
                  <w:tcW w:w="1162" w:type="dxa"/>
                  <w:tcBorders>
                    <w:top w:val="single" w:color="auto" w:sz="4" w:space="0"/>
                    <w:left w:val="single" w:color="auto" w:sz="4" w:space="0"/>
                    <w:bottom w:val="single" w:color="auto" w:sz="4" w:space="0"/>
                    <w:right w:val="single" w:color="auto" w:sz="4" w:space="0"/>
                  </w:tcBorders>
                  <w:vAlign w:val="center"/>
                </w:tcPr>
                <w:p w14:paraId="3DFC64DD">
                  <w:pPr>
                    <w:jc w:val="center"/>
                    <w:rPr>
                      <w:rFonts w:hint="default" w:eastAsia="宋体"/>
                      <w:color w:val="auto"/>
                      <w:sz w:val="21"/>
                      <w:szCs w:val="21"/>
                      <w:lang w:val="en-US" w:eastAsia="zh-CN"/>
                    </w:rPr>
                  </w:pPr>
                  <w:r>
                    <w:rPr>
                      <w:rFonts w:hint="eastAsia"/>
                      <w:color w:val="auto"/>
                      <w:sz w:val="21"/>
                      <w:szCs w:val="21"/>
                      <w:lang w:val="en-US" w:eastAsia="zh-CN"/>
                    </w:rPr>
                    <w:t>15</w:t>
                  </w:r>
                  <w:r>
                    <w:rPr>
                      <w:color w:val="auto"/>
                      <w:sz w:val="21"/>
                      <w:szCs w:val="21"/>
                    </w:rPr>
                    <w:t>万吨/a</w:t>
                  </w:r>
                </w:p>
              </w:tc>
              <w:tc>
                <w:tcPr>
                  <w:tcW w:w="3464" w:type="dxa"/>
                  <w:tcBorders>
                    <w:top w:val="single" w:color="auto" w:sz="4" w:space="0"/>
                    <w:left w:val="single" w:color="auto" w:sz="4" w:space="0"/>
                    <w:bottom w:val="single" w:color="auto" w:sz="4" w:space="0"/>
                    <w:right w:val="single" w:color="auto" w:sz="4" w:space="0"/>
                  </w:tcBorders>
                  <w:vAlign w:val="center"/>
                </w:tcPr>
                <w:p w14:paraId="0A7784D0">
                  <w:pPr>
                    <w:jc w:val="center"/>
                    <w:rPr>
                      <w:color w:val="auto"/>
                      <w:sz w:val="21"/>
                      <w:szCs w:val="21"/>
                    </w:rPr>
                  </w:pPr>
                  <w:r>
                    <w:rPr>
                      <w:color w:val="auto"/>
                      <w:sz w:val="21"/>
                      <w:szCs w:val="21"/>
                    </w:rPr>
                    <w:t>外售</w:t>
                  </w:r>
                  <w:r>
                    <w:rPr>
                      <w:rFonts w:hint="eastAsia"/>
                      <w:color w:val="auto"/>
                      <w:lang w:val="en-US" w:eastAsia="zh-CN"/>
                    </w:rPr>
                    <w:t>给矿山修复治理厂家</w:t>
                  </w:r>
                  <w:r>
                    <w:rPr>
                      <w:rFonts w:hint="eastAsia"/>
                      <w:color w:val="auto"/>
                      <w:sz w:val="21"/>
                      <w:szCs w:val="21"/>
                    </w:rPr>
                    <w:t>。</w:t>
                  </w:r>
                </w:p>
              </w:tc>
            </w:tr>
          </w:tbl>
          <w:p w14:paraId="15C77326">
            <w:pPr>
              <w:spacing w:before="120" w:beforeLines="50" w:line="360" w:lineRule="auto"/>
              <w:ind w:firstLine="480" w:firstLineChars="200"/>
              <w:jc w:val="left"/>
              <w:rPr>
                <w:color w:val="auto"/>
                <w:sz w:val="24"/>
              </w:rPr>
            </w:pPr>
            <w:r>
              <w:rPr>
                <w:color w:val="auto"/>
                <w:sz w:val="24"/>
              </w:rPr>
              <w:t>产品主料原料为</w:t>
            </w:r>
            <w:r>
              <w:rPr>
                <w:rFonts w:hint="eastAsia"/>
                <w:color w:val="auto"/>
                <w:sz w:val="24"/>
                <w:lang w:eastAsia="zh-CN"/>
              </w:rPr>
              <w:t>云南常青树化工有限公司</w:t>
            </w:r>
            <w:r>
              <w:rPr>
                <w:color w:val="auto"/>
                <w:sz w:val="24"/>
              </w:rPr>
              <w:t>自产磷石膏，辅料</w:t>
            </w:r>
            <w:r>
              <w:rPr>
                <w:rFonts w:hint="eastAsia"/>
                <w:color w:val="auto"/>
                <w:sz w:val="24"/>
                <w:lang w:val="en-US" w:eastAsia="zh-CN"/>
              </w:rPr>
              <w:t>为</w:t>
            </w:r>
            <w:r>
              <w:rPr>
                <w:color w:val="auto"/>
                <w:sz w:val="24"/>
              </w:rPr>
              <w:t>：电石渣</w:t>
            </w:r>
            <w:r>
              <w:rPr>
                <w:rFonts w:hint="eastAsia"/>
                <w:color w:val="auto"/>
                <w:sz w:val="24"/>
                <w:lang w:val="en-US" w:eastAsia="zh-CN"/>
              </w:rPr>
              <w:t>和生石灰作为</w:t>
            </w:r>
            <w:r>
              <w:rPr>
                <w:color w:val="auto"/>
                <w:sz w:val="24"/>
              </w:rPr>
              <w:t>改性剂。</w:t>
            </w:r>
          </w:p>
          <w:p w14:paraId="5063009C">
            <w:pPr>
              <w:spacing w:line="360" w:lineRule="auto"/>
              <w:ind w:firstLine="480" w:firstLineChars="200"/>
              <w:rPr>
                <w:color w:val="auto"/>
                <w:sz w:val="24"/>
              </w:rPr>
            </w:pPr>
            <w:r>
              <w:rPr>
                <w:color w:val="auto"/>
                <w:sz w:val="24"/>
              </w:rPr>
              <w:t>（</w:t>
            </w:r>
            <w:r>
              <w:rPr>
                <w:rFonts w:hint="eastAsia"/>
                <w:color w:val="auto"/>
                <w:sz w:val="24"/>
              </w:rPr>
              <w:t>2</w:t>
            </w:r>
            <w:r>
              <w:rPr>
                <w:color w:val="auto"/>
                <w:sz w:val="24"/>
              </w:rPr>
              <w:t>）产品</w:t>
            </w:r>
            <w:r>
              <w:rPr>
                <w:rFonts w:hint="eastAsia"/>
                <w:color w:val="auto"/>
                <w:sz w:val="24"/>
              </w:rPr>
              <w:t>用途</w:t>
            </w:r>
          </w:p>
          <w:p w14:paraId="23786D3D">
            <w:pPr>
              <w:spacing w:line="360" w:lineRule="auto"/>
              <w:ind w:firstLine="482" w:firstLineChars="200"/>
              <w:rPr>
                <w:color w:val="auto"/>
                <w:sz w:val="24"/>
              </w:rPr>
            </w:pPr>
            <w:r>
              <w:rPr>
                <w:b/>
                <w:color w:val="auto"/>
                <w:sz w:val="24"/>
              </w:rPr>
              <w:t>土壤</w:t>
            </w:r>
            <w:r>
              <w:rPr>
                <w:rFonts w:hint="eastAsia"/>
                <w:b/>
                <w:color w:val="auto"/>
                <w:sz w:val="24"/>
                <w:lang w:val="en-US" w:eastAsia="zh-CN"/>
              </w:rPr>
              <w:t>改良</w:t>
            </w:r>
            <w:r>
              <w:rPr>
                <w:b/>
                <w:color w:val="auto"/>
                <w:sz w:val="24"/>
              </w:rPr>
              <w:t>剂：</w:t>
            </w:r>
            <w:r>
              <w:rPr>
                <w:color w:val="auto"/>
                <w:sz w:val="24"/>
              </w:rPr>
              <w:t>能够疏松土壤，提高耕地质量。土壤改良主要是指通过物理、化学或微生物的手段对土壤进行改良的行动。本项目生产的土</w:t>
            </w:r>
            <w:r>
              <w:rPr>
                <w:color w:val="auto"/>
                <w:sz w:val="24"/>
                <w:szCs w:val="24"/>
              </w:rPr>
              <w:t>壤</w:t>
            </w:r>
            <w:r>
              <w:rPr>
                <w:rFonts w:hint="eastAsia" w:ascii="Times New Roman" w:hAnsi="Times New Roman"/>
                <w:color w:val="auto"/>
                <w:kern w:val="2"/>
                <w:sz w:val="24"/>
                <w:szCs w:val="24"/>
                <w:lang w:val="en-US" w:eastAsia="zh-CN"/>
              </w:rPr>
              <w:t>改良</w:t>
            </w:r>
            <w:r>
              <w:rPr>
                <w:color w:val="auto"/>
                <w:sz w:val="24"/>
                <w:szCs w:val="24"/>
              </w:rPr>
              <w:t>剂</w:t>
            </w:r>
            <w:r>
              <w:rPr>
                <w:color w:val="auto"/>
                <w:sz w:val="24"/>
              </w:rPr>
              <w:t>为碱性土壤</w:t>
            </w:r>
            <w:r>
              <w:rPr>
                <w:rFonts w:hint="eastAsia" w:ascii="Times New Roman" w:hAnsi="Times New Roman"/>
                <w:color w:val="auto"/>
                <w:kern w:val="2"/>
                <w:sz w:val="24"/>
                <w:szCs w:val="24"/>
                <w:lang w:val="en-US" w:eastAsia="zh-CN"/>
              </w:rPr>
              <w:t>改良</w:t>
            </w:r>
            <w:r>
              <w:rPr>
                <w:color w:val="auto"/>
                <w:sz w:val="24"/>
              </w:rPr>
              <w:t>剂。磷石膏中的Ca</w:t>
            </w:r>
            <w:r>
              <w:rPr>
                <w:color w:val="auto"/>
                <w:sz w:val="24"/>
                <w:vertAlign w:val="superscript"/>
              </w:rPr>
              <w:t>2+</w:t>
            </w:r>
            <w:r>
              <w:rPr>
                <w:color w:val="auto"/>
                <w:sz w:val="24"/>
              </w:rPr>
              <w:t>能与土壤胶体中的Na</w:t>
            </w:r>
            <w:r>
              <w:rPr>
                <w:color w:val="auto"/>
                <w:sz w:val="24"/>
                <w:vertAlign w:val="superscript"/>
              </w:rPr>
              <w:t>+</w:t>
            </w:r>
            <w:r>
              <w:rPr>
                <w:color w:val="auto"/>
                <w:sz w:val="24"/>
              </w:rPr>
              <w:t>进行交换，降低土壤交换性Na</w:t>
            </w:r>
            <w:r>
              <w:rPr>
                <w:color w:val="auto"/>
                <w:sz w:val="24"/>
                <w:vertAlign w:val="superscript"/>
              </w:rPr>
              <w:t>+</w:t>
            </w:r>
            <w:r>
              <w:rPr>
                <w:color w:val="auto"/>
                <w:sz w:val="24"/>
              </w:rPr>
              <w:t>的含量，磷石膏的主要成分CaSO</w:t>
            </w:r>
            <w:r>
              <w:rPr>
                <w:color w:val="auto"/>
                <w:sz w:val="24"/>
                <w:vertAlign w:val="subscript"/>
              </w:rPr>
              <w:t>4</w:t>
            </w:r>
            <w:r>
              <w:rPr>
                <w:color w:val="auto"/>
                <w:sz w:val="24"/>
              </w:rPr>
              <w:t>能与土壤中Na</w:t>
            </w:r>
            <w:r>
              <w:rPr>
                <w:color w:val="auto"/>
                <w:sz w:val="24"/>
                <w:vertAlign w:val="subscript"/>
              </w:rPr>
              <w:t>2</w:t>
            </w:r>
            <w:r>
              <w:rPr>
                <w:color w:val="auto"/>
                <w:sz w:val="24"/>
              </w:rPr>
              <w:t>CO</w:t>
            </w:r>
            <w:r>
              <w:rPr>
                <w:color w:val="auto"/>
                <w:sz w:val="24"/>
                <w:vertAlign w:val="subscript"/>
              </w:rPr>
              <w:t>3</w:t>
            </w:r>
            <w:r>
              <w:rPr>
                <w:color w:val="auto"/>
                <w:sz w:val="24"/>
              </w:rPr>
              <w:t>和NaHCO</w:t>
            </w:r>
            <w:r>
              <w:rPr>
                <w:color w:val="auto"/>
                <w:sz w:val="24"/>
                <w:vertAlign w:val="subscript"/>
              </w:rPr>
              <w:t>3</w:t>
            </w:r>
            <w:r>
              <w:rPr>
                <w:color w:val="auto"/>
                <w:sz w:val="24"/>
              </w:rPr>
              <w:t>发生反应，生成Na</w:t>
            </w:r>
            <w:r>
              <w:rPr>
                <w:color w:val="auto"/>
                <w:sz w:val="24"/>
                <w:vertAlign w:val="subscript"/>
              </w:rPr>
              <w:t>2</w:t>
            </w:r>
            <w:r>
              <w:rPr>
                <w:color w:val="auto"/>
                <w:sz w:val="24"/>
              </w:rPr>
              <w:t>SO</w:t>
            </w:r>
            <w:r>
              <w:rPr>
                <w:color w:val="auto"/>
                <w:sz w:val="24"/>
                <w:vertAlign w:val="subscript"/>
              </w:rPr>
              <w:t>4</w:t>
            </w:r>
            <w:r>
              <w:rPr>
                <w:color w:val="auto"/>
                <w:sz w:val="24"/>
              </w:rPr>
              <w:t>、Ca(HCO</w:t>
            </w:r>
            <w:r>
              <w:rPr>
                <w:color w:val="auto"/>
                <w:sz w:val="24"/>
                <w:vertAlign w:val="subscript"/>
              </w:rPr>
              <w:t>3</w:t>
            </w:r>
            <w:r>
              <w:rPr>
                <w:color w:val="auto"/>
                <w:sz w:val="24"/>
              </w:rPr>
              <w:t>)</w:t>
            </w:r>
            <w:r>
              <w:rPr>
                <w:color w:val="auto"/>
                <w:sz w:val="24"/>
                <w:vertAlign w:val="subscript"/>
              </w:rPr>
              <w:t>2</w:t>
            </w:r>
            <w:r>
              <w:rPr>
                <w:color w:val="auto"/>
                <w:sz w:val="24"/>
              </w:rPr>
              <w:t>和难溶的CaCO</w:t>
            </w:r>
            <w:r>
              <w:rPr>
                <w:color w:val="auto"/>
                <w:sz w:val="24"/>
                <w:vertAlign w:val="subscript"/>
              </w:rPr>
              <w:t>3</w:t>
            </w:r>
            <w:r>
              <w:rPr>
                <w:color w:val="auto"/>
                <w:sz w:val="24"/>
              </w:rPr>
              <w:t>，降低了土壤的碱性，有效调节土壤的酸碱度，减低土壤中碳酸盐对农作物的毒害作用。土壤胶体中的主要离子由Na</w:t>
            </w:r>
            <w:r>
              <w:rPr>
                <w:color w:val="auto"/>
                <w:sz w:val="24"/>
                <w:vertAlign w:val="superscript"/>
              </w:rPr>
              <w:t>+</w:t>
            </w:r>
            <w:r>
              <w:rPr>
                <w:color w:val="auto"/>
                <w:sz w:val="24"/>
              </w:rPr>
              <w:t>变成Ca</w:t>
            </w:r>
            <w:r>
              <w:rPr>
                <w:color w:val="auto"/>
                <w:sz w:val="24"/>
                <w:vertAlign w:val="superscript"/>
              </w:rPr>
              <w:t>2+</w:t>
            </w:r>
            <w:r>
              <w:rPr>
                <w:color w:val="auto"/>
                <w:sz w:val="24"/>
              </w:rPr>
              <w:t>后，可提高土壤表层的电解质含量，促使土壤颗粒间絮凝，提高土壤通透性，增强土壤团聚力形成团粒结构，降低土壤容重，促进盐分的流失，对盐碱地起到改良作用；同时，磷石膏中所含的钙、镁、硫、硅等元素是极好的植物营养元素。</w:t>
            </w:r>
          </w:p>
          <w:p w14:paraId="2D6C71CE">
            <w:pPr>
              <w:spacing w:line="360" w:lineRule="auto"/>
              <w:ind w:firstLine="482" w:firstLineChars="200"/>
              <w:rPr>
                <w:color w:val="auto"/>
                <w:sz w:val="24"/>
              </w:rPr>
            </w:pPr>
            <w:r>
              <w:rPr>
                <w:b/>
                <w:color w:val="auto"/>
                <w:sz w:val="24"/>
              </w:rPr>
              <w:t>路基材料：</w:t>
            </w:r>
            <w:r>
              <w:rPr>
                <w:color w:val="auto"/>
                <w:sz w:val="24"/>
              </w:rPr>
              <w:t>路基是轨道或者路面的基础，是经过开挖或填筑而形成的土工构筑物。路基的主要作用是为轨道或者路面铺设及列车或行车运营提供必要条件，并承受轨道及机车车辆或者路面及交通荷载的静荷载和动荷载，同时将荷载向地基深处传递与扩散。在纵断面上，路基必须保证线路需要的高程；在平面上，路基与桥梁、隧道连接组成完整贯通的线路。</w:t>
            </w:r>
          </w:p>
          <w:p w14:paraId="15B00C57">
            <w:pPr>
              <w:spacing w:line="360" w:lineRule="auto"/>
              <w:ind w:firstLine="482" w:firstLineChars="200"/>
              <w:rPr>
                <w:color w:val="auto"/>
                <w:sz w:val="24"/>
                <w:highlight w:val="yellow"/>
              </w:rPr>
            </w:pPr>
            <w:r>
              <w:rPr>
                <w:b/>
                <w:color w:val="auto"/>
                <w:sz w:val="24"/>
              </w:rPr>
              <w:t>生态修复材料：</w:t>
            </w:r>
            <w:r>
              <w:rPr>
                <w:color w:val="auto"/>
                <w:sz w:val="24"/>
              </w:rPr>
              <w:t>是指依靠生态系统的自我调节能力使其向有序的方向进行演化，辅以人工措施，使遭到破坏的生态系统逐步恢复。生态修复致力于那些在自然突变和人类活动影响下受到破坏的生态系统恢复生态系统原本的面貌，使生态系统得到更好的改善。磷石膏生态修复材料是将磷石膏通过改性后作为矿坑修复的回填材料，用磷石膏基生态修复材料为回填材料，对矿坑的环境污染小，同时可以解决磷化工区域磷石膏处理的问题。</w:t>
            </w:r>
          </w:p>
          <w:p w14:paraId="3A4E9D42">
            <w:pPr>
              <w:spacing w:line="360" w:lineRule="auto"/>
              <w:ind w:firstLine="480" w:firstLineChars="200"/>
              <w:rPr>
                <w:color w:val="auto"/>
                <w:sz w:val="24"/>
                <w:highlight w:val="yellow"/>
              </w:rPr>
            </w:pPr>
            <w:r>
              <w:rPr>
                <w:color w:val="auto"/>
                <w:sz w:val="24"/>
              </w:rPr>
              <w:t>（</w:t>
            </w:r>
            <w:r>
              <w:rPr>
                <w:rFonts w:hint="eastAsia"/>
                <w:color w:val="auto"/>
                <w:sz w:val="24"/>
              </w:rPr>
              <w:t>3</w:t>
            </w:r>
            <w:r>
              <w:rPr>
                <w:color w:val="auto"/>
                <w:sz w:val="24"/>
              </w:rPr>
              <w:t>）产品质量要求</w:t>
            </w:r>
          </w:p>
          <w:p w14:paraId="212FCF82">
            <w:pPr>
              <w:keepNext w:val="0"/>
              <w:keepLines w:val="0"/>
              <w:pageBreakBefore w:val="0"/>
              <w:widowControl w:val="0"/>
              <w:kinsoku/>
              <w:wordWrap/>
              <w:overflowPunct/>
              <w:topLinePunct w:val="0"/>
              <w:autoSpaceDE w:val="0"/>
              <w:autoSpaceDN w:val="0"/>
              <w:bidi w:val="0"/>
              <w:adjustRightInd/>
              <w:snapToGrid/>
              <w:spacing w:before="157" w:beforeLines="50" w:line="360" w:lineRule="auto"/>
              <w:ind w:firstLine="480" w:firstLineChars="200"/>
              <w:jc w:val="left"/>
              <w:textAlignment w:val="auto"/>
              <w:rPr>
                <w:rFonts w:ascii="宋体" w:hAnsi="宋体" w:cs="宋体"/>
                <w:bCs/>
                <w:color w:val="auto"/>
                <w:sz w:val="24"/>
              </w:rPr>
            </w:pPr>
            <w:r>
              <w:rPr>
                <w:rFonts w:hint="eastAsia" w:ascii="宋体" w:hAnsi="宋体" w:cs="宋体"/>
                <w:bCs/>
                <w:color w:val="auto"/>
                <w:sz w:val="24"/>
              </w:rPr>
              <w:t>①土壤</w:t>
            </w:r>
            <w:r>
              <w:rPr>
                <w:rFonts w:hint="eastAsia" w:ascii="Times New Roman" w:hAnsi="Times New Roman"/>
                <w:color w:val="auto"/>
                <w:kern w:val="2"/>
                <w:sz w:val="24"/>
                <w:szCs w:val="24"/>
                <w:lang w:val="en-US" w:eastAsia="zh-CN"/>
              </w:rPr>
              <w:t>改良</w:t>
            </w:r>
            <w:r>
              <w:rPr>
                <w:rFonts w:hint="eastAsia" w:ascii="宋体" w:hAnsi="宋体" w:cs="宋体"/>
                <w:bCs/>
                <w:color w:val="auto"/>
                <w:sz w:val="24"/>
              </w:rPr>
              <w:t>剂</w:t>
            </w:r>
          </w:p>
          <w:p w14:paraId="6F4C26D6">
            <w:pPr>
              <w:autoSpaceDE w:val="0"/>
              <w:autoSpaceDN w:val="0"/>
              <w:spacing w:line="360" w:lineRule="auto"/>
              <w:ind w:firstLine="480" w:firstLineChars="200"/>
              <w:jc w:val="left"/>
              <w:rPr>
                <w:bCs/>
                <w:color w:val="auto"/>
                <w:sz w:val="24"/>
              </w:rPr>
            </w:pPr>
            <w:r>
              <w:rPr>
                <w:bCs/>
                <w:color w:val="auto"/>
                <w:sz w:val="24"/>
              </w:rPr>
              <w:t>土壤</w:t>
            </w:r>
            <w:r>
              <w:rPr>
                <w:rFonts w:hint="eastAsia" w:ascii="Times New Roman" w:hAnsi="Times New Roman"/>
                <w:color w:val="auto"/>
                <w:kern w:val="2"/>
                <w:sz w:val="24"/>
                <w:szCs w:val="24"/>
                <w:lang w:val="en-US" w:eastAsia="zh-CN"/>
              </w:rPr>
              <w:t>改良</w:t>
            </w:r>
            <w:r>
              <w:rPr>
                <w:bCs/>
                <w:color w:val="auto"/>
                <w:sz w:val="24"/>
              </w:rPr>
              <w:t>剂</w:t>
            </w:r>
            <w:r>
              <w:rPr>
                <w:rFonts w:hint="eastAsia"/>
                <w:bCs/>
                <w:color w:val="auto"/>
                <w:sz w:val="24"/>
              </w:rPr>
              <w:t>应满足</w:t>
            </w:r>
            <w:r>
              <w:rPr>
                <w:bCs/>
                <w:color w:val="auto"/>
                <w:sz w:val="24"/>
              </w:rPr>
              <w:t>《磷石膏土壤调理剂》（HG/T 4219-2011）相关要求，详细质量指标见表2-</w:t>
            </w:r>
            <w:r>
              <w:rPr>
                <w:rFonts w:hint="eastAsia"/>
                <w:bCs/>
                <w:color w:val="auto"/>
                <w:sz w:val="24"/>
                <w:lang w:val="en-US" w:eastAsia="zh-CN"/>
              </w:rPr>
              <w:t>6</w:t>
            </w:r>
            <w:r>
              <w:rPr>
                <w:bCs/>
                <w:color w:val="auto"/>
                <w:sz w:val="24"/>
              </w:rPr>
              <w:t>所示。</w:t>
            </w:r>
            <w:r>
              <w:rPr>
                <w:rFonts w:hint="eastAsia"/>
                <w:bCs/>
                <w:color w:val="auto"/>
                <w:sz w:val="24"/>
              </w:rPr>
              <w:t>①外观：粉状疏松物，无机械杂质。②砷、镉、铅、铬、汞含量应符合《肥料中砷、镉、铬、铅、汞含量的测定》（GB/T 23349）的要求，并符合《肥料中有毒有害物质的限量要求》（GB 38400-2019）中其他肥料的含量限值要求。</w:t>
            </w:r>
          </w:p>
          <w:p w14:paraId="7F037025">
            <w:pPr>
              <w:autoSpaceDE w:val="0"/>
              <w:autoSpaceDN w:val="0"/>
              <w:jc w:val="center"/>
              <w:rPr>
                <w:b/>
                <w:color w:val="auto"/>
                <w:sz w:val="24"/>
              </w:rPr>
            </w:pPr>
            <w:r>
              <w:rPr>
                <w:b/>
                <w:color w:val="auto"/>
                <w:sz w:val="24"/>
              </w:rPr>
              <w:t>表2-</w:t>
            </w:r>
            <w:r>
              <w:rPr>
                <w:rFonts w:hint="eastAsia"/>
                <w:b/>
                <w:color w:val="auto"/>
                <w:sz w:val="24"/>
                <w:lang w:val="en-US" w:eastAsia="zh-CN"/>
              </w:rPr>
              <w:t>4</w:t>
            </w:r>
            <w:r>
              <w:rPr>
                <w:b/>
                <w:color w:val="auto"/>
                <w:sz w:val="24"/>
              </w:rPr>
              <w:t xml:space="preserve">  土壤调理剂产品质量指标（HG/T 4219-2011）</w:t>
            </w:r>
          </w:p>
          <w:tbl>
            <w:tblPr>
              <w:tblStyle w:val="45"/>
              <w:tblW w:w="78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02"/>
              <w:gridCol w:w="1083"/>
              <w:gridCol w:w="2819"/>
            </w:tblGrid>
            <w:tr w14:paraId="203D0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85" w:type="dxa"/>
                  <w:gridSpan w:val="2"/>
                  <w:tcBorders>
                    <w:top w:val="single" w:color="auto" w:sz="4" w:space="0"/>
                    <w:left w:val="single" w:color="auto" w:sz="4" w:space="0"/>
                    <w:bottom w:val="single" w:color="auto" w:sz="4" w:space="0"/>
                    <w:right w:val="single" w:color="auto" w:sz="4" w:space="0"/>
                  </w:tcBorders>
                  <w:vAlign w:val="center"/>
                </w:tcPr>
                <w:p w14:paraId="2ACF0225">
                  <w:pPr>
                    <w:jc w:val="center"/>
                    <w:rPr>
                      <w:color w:val="auto"/>
                      <w:sz w:val="21"/>
                      <w:szCs w:val="21"/>
                    </w:rPr>
                  </w:pPr>
                  <w:r>
                    <w:rPr>
                      <w:color w:val="auto"/>
                      <w:sz w:val="21"/>
                      <w:szCs w:val="21"/>
                    </w:rPr>
                    <w:t>项目</w:t>
                  </w:r>
                </w:p>
              </w:tc>
              <w:tc>
                <w:tcPr>
                  <w:tcW w:w="2819" w:type="dxa"/>
                  <w:tcBorders>
                    <w:top w:val="single" w:color="auto" w:sz="4" w:space="0"/>
                    <w:left w:val="single" w:color="auto" w:sz="4" w:space="0"/>
                    <w:bottom w:val="single" w:color="auto" w:sz="4" w:space="0"/>
                    <w:right w:val="single" w:color="auto" w:sz="4" w:space="0"/>
                  </w:tcBorders>
                  <w:vAlign w:val="center"/>
                </w:tcPr>
                <w:p w14:paraId="50E7457E">
                  <w:pPr>
                    <w:jc w:val="center"/>
                    <w:rPr>
                      <w:color w:val="auto"/>
                      <w:sz w:val="21"/>
                      <w:szCs w:val="21"/>
                    </w:rPr>
                  </w:pPr>
                  <w:r>
                    <w:rPr>
                      <w:color w:val="auto"/>
                      <w:sz w:val="21"/>
                      <w:szCs w:val="21"/>
                    </w:rPr>
                    <w:t>指标</w:t>
                  </w:r>
                </w:p>
              </w:tc>
            </w:tr>
            <w:tr w14:paraId="0938F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85" w:type="dxa"/>
                  <w:gridSpan w:val="2"/>
                  <w:tcBorders>
                    <w:top w:val="single" w:color="auto" w:sz="4" w:space="0"/>
                    <w:left w:val="single" w:color="auto" w:sz="4" w:space="0"/>
                    <w:bottom w:val="single" w:color="auto" w:sz="4" w:space="0"/>
                    <w:right w:val="single" w:color="auto" w:sz="4" w:space="0"/>
                  </w:tcBorders>
                  <w:vAlign w:val="center"/>
                </w:tcPr>
                <w:p w14:paraId="2A63A4AB">
                  <w:pPr>
                    <w:jc w:val="center"/>
                    <w:rPr>
                      <w:color w:val="auto"/>
                      <w:sz w:val="21"/>
                      <w:szCs w:val="21"/>
                    </w:rPr>
                  </w:pPr>
                  <w:r>
                    <w:rPr>
                      <w:color w:val="auto"/>
                      <w:sz w:val="21"/>
                      <w:szCs w:val="21"/>
                    </w:rPr>
                    <w:t>钙的质量分数（以Ca计，干基）/%≥</w:t>
                  </w:r>
                </w:p>
              </w:tc>
              <w:tc>
                <w:tcPr>
                  <w:tcW w:w="2819" w:type="dxa"/>
                  <w:tcBorders>
                    <w:top w:val="single" w:color="auto" w:sz="4" w:space="0"/>
                    <w:left w:val="single" w:color="auto" w:sz="4" w:space="0"/>
                    <w:bottom w:val="single" w:color="auto" w:sz="4" w:space="0"/>
                    <w:right w:val="single" w:color="auto" w:sz="4" w:space="0"/>
                  </w:tcBorders>
                  <w:vAlign w:val="center"/>
                </w:tcPr>
                <w:p w14:paraId="263BE07C">
                  <w:pPr>
                    <w:jc w:val="center"/>
                    <w:rPr>
                      <w:color w:val="auto"/>
                      <w:sz w:val="21"/>
                      <w:szCs w:val="21"/>
                    </w:rPr>
                  </w:pPr>
                  <w:r>
                    <w:rPr>
                      <w:color w:val="auto"/>
                      <w:sz w:val="21"/>
                      <w:szCs w:val="21"/>
                    </w:rPr>
                    <w:t>17.0</w:t>
                  </w:r>
                </w:p>
              </w:tc>
            </w:tr>
            <w:tr w14:paraId="1CF13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85" w:type="dxa"/>
                  <w:gridSpan w:val="2"/>
                  <w:tcBorders>
                    <w:top w:val="single" w:color="auto" w:sz="4" w:space="0"/>
                    <w:left w:val="single" w:color="auto" w:sz="4" w:space="0"/>
                    <w:bottom w:val="single" w:color="auto" w:sz="4" w:space="0"/>
                    <w:right w:val="single" w:color="auto" w:sz="4" w:space="0"/>
                  </w:tcBorders>
                  <w:vAlign w:val="center"/>
                </w:tcPr>
                <w:p w14:paraId="0F57DAAE">
                  <w:pPr>
                    <w:jc w:val="center"/>
                    <w:rPr>
                      <w:color w:val="auto"/>
                      <w:sz w:val="21"/>
                      <w:szCs w:val="21"/>
                    </w:rPr>
                  </w:pPr>
                  <w:r>
                    <w:rPr>
                      <w:color w:val="auto"/>
                      <w:sz w:val="21"/>
                      <w:szCs w:val="21"/>
                    </w:rPr>
                    <w:t>硫的质量分数（以S计，干基）/%≥</w:t>
                  </w:r>
                </w:p>
              </w:tc>
              <w:tc>
                <w:tcPr>
                  <w:tcW w:w="2819" w:type="dxa"/>
                  <w:tcBorders>
                    <w:top w:val="single" w:color="auto" w:sz="4" w:space="0"/>
                    <w:left w:val="single" w:color="auto" w:sz="4" w:space="0"/>
                    <w:bottom w:val="single" w:color="auto" w:sz="4" w:space="0"/>
                    <w:right w:val="single" w:color="auto" w:sz="4" w:space="0"/>
                  </w:tcBorders>
                  <w:vAlign w:val="center"/>
                </w:tcPr>
                <w:p w14:paraId="52777824">
                  <w:pPr>
                    <w:jc w:val="center"/>
                    <w:rPr>
                      <w:color w:val="auto"/>
                      <w:sz w:val="21"/>
                      <w:szCs w:val="21"/>
                    </w:rPr>
                  </w:pPr>
                  <w:r>
                    <w:rPr>
                      <w:color w:val="auto"/>
                      <w:sz w:val="21"/>
                      <w:szCs w:val="21"/>
                    </w:rPr>
                    <w:t>14.0</w:t>
                  </w:r>
                </w:p>
              </w:tc>
            </w:tr>
            <w:tr w14:paraId="791DB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85" w:type="dxa"/>
                  <w:gridSpan w:val="2"/>
                  <w:tcBorders>
                    <w:top w:val="single" w:color="auto" w:sz="4" w:space="0"/>
                    <w:left w:val="single" w:color="auto" w:sz="4" w:space="0"/>
                    <w:bottom w:val="single" w:color="auto" w:sz="4" w:space="0"/>
                    <w:right w:val="single" w:color="auto" w:sz="4" w:space="0"/>
                  </w:tcBorders>
                  <w:vAlign w:val="center"/>
                </w:tcPr>
                <w:p w14:paraId="670AE354">
                  <w:pPr>
                    <w:jc w:val="center"/>
                    <w:rPr>
                      <w:color w:val="auto"/>
                      <w:sz w:val="21"/>
                      <w:szCs w:val="21"/>
                    </w:rPr>
                  </w:pPr>
                  <w:r>
                    <w:rPr>
                      <w:color w:val="auto"/>
                      <w:sz w:val="21"/>
                      <w:szCs w:val="21"/>
                    </w:rPr>
                    <w:t>pH值</w:t>
                  </w:r>
                </w:p>
              </w:tc>
              <w:tc>
                <w:tcPr>
                  <w:tcW w:w="2819" w:type="dxa"/>
                  <w:tcBorders>
                    <w:top w:val="single" w:color="auto" w:sz="4" w:space="0"/>
                    <w:left w:val="single" w:color="auto" w:sz="4" w:space="0"/>
                    <w:bottom w:val="single" w:color="auto" w:sz="4" w:space="0"/>
                    <w:right w:val="single" w:color="auto" w:sz="4" w:space="0"/>
                  </w:tcBorders>
                  <w:vAlign w:val="center"/>
                </w:tcPr>
                <w:p w14:paraId="45145D97">
                  <w:pPr>
                    <w:jc w:val="center"/>
                    <w:rPr>
                      <w:color w:val="auto"/>
                      <w:sz w:val="21"/>
                      <w:szCs w:val="21"/>
                    </w:rPr>
                  </w:pPr>
                  <w:r>
                    <w:rPr>
                      <w:color w:val="auto"/>
                      <w:sz w:val="21"/>
                      <w:szCs w:val="21"/>
                    </w:rPr>
                    <w:t>3.0-6.5</w:t>
                  </w:r>
                </w:p>
              </w:tc>
            </w:tr>
            <w:tr w14:paraId="3D7DF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85" w:type="dxa"/>
                  <w:gridSpan w:val="2"/>
                  <w:tcBorders>
                    <w:top w:val="single" w:color="auto" w:sz="4" w:space="0"/>
                    <w:left w:val="single" w:color="auto" w:sz="4" w:space="0"/>
                    <w:bottom w:val="single" w:color="auto" w:sz="4" w:space="0"/>
                    <w:right w:val="single" w:color="auto" w:sz="4" w:space="0"/>
                  </w:tcBorders>
                  <w:vAlign w:val="center"/>
                </w:tcPr>
                <w:p w14:paraId="7AAE1511">
                  <w:pPr>
                    <w:jc w:val="center"/>
                    <w:rPr>
                      <w:color w:val="auto"/>
                      <w:sz w:val="21"/>
                      <w:szCs w:val="21"/>
                    </w:rPr>
                  </w:pPr>
                  <w:r>
                    <w:rPr>
                      <w:color w:val="auto"/>
                      <w:sz w:val="21"/>
                      <w:szCs w:val="21"/>
                    </w:rPr>
                    <w:t>游离水的质量分数（H</w:t>
                  </w:r>
                  <w:r>
                    <w:rPr>
                      <w:color w:val="auto"/>
                      <w:sz w:val="21"/>
                      <w:szCs w:val="21"/>
                      <w:vertAlign w:val="subscript"/>
                    </w:rPr>
                    <w:t>2</w:t>
                  </w:r>
                  <w:r>
                    <w:rPr>
                      <w:color w:val="auto"/>
                      <w:sz w:val="21"/>
                      <w:szCs w:val="21"/>
                    </w:rPr>
                    <w:t>O）</w:t>
                  </w:r>
                  <w:r>
                    <w:rPr>
                      <w:color w:val="auto"/>
                      <w:sz w:val="21"/>
                      <w:szCs w:val="21"/>
                      <w:vertAlign w:val="superscript"/>
                    </w:rPr>
                    <w:t>a</w:t>
                  </w:r>
                  <w:r>
                    <w:rPr>
                      <w:color w:val="auto"/>
                      <w:sz w:val="21"/>
                      <w:szCs w:val="21"/>
                    </w:rPr>
                    <w:t>/%≤</w:t>
                  </w:r>
                </w:p>
              </w:tc>
              <w:tc>
                <w:tcPr>
                  <w:tcW w:w="2819" w:type="dxa"/>
                  <w:tcBorders>
                    <w:top w:val="single" w:color="auto" w:sz="4" w:space="0"/>
                    <w:left w:val="single" w:color="auto" w:sz="4" w:space="0"/>
                    <w:bottom w:val="single" w:color="auto" w:sz="4" w:space="0"/>
                    <w:right w:val="single" w:color="auto" w:sz="4" w:space="0"/>
                  </w:tcBorders>
                  <w:vAlign w:val="center"/>
                </w:tcPr>
                <w:p w14:paraId="31FC3473">
                  <w:pPr>
                    <w:jc w:val="center"/>
                    <w:rPr>
                      <w:color w:val="auto"/>
                      <w:sz w:val="21"/>
                      <w:szCs w:val="21"/>
                    </w:rPr>
                  </w:pPr>
                  <w:r>
                    <w:rPr>
                      <w:color w:val="auto"/>
                      <w:sz w:val="21"/>
                      <w:szCs w:val="21"/>
                    </w:rPr>
                    <w:t>25</w:t>
                  </w:r>
                </w:p>
              </w:tc>
            </w:tr>
            <w:tr w14:paraId="55331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85" w:type="dxa"/>
                  <w:gridSpan w:val="2"/>
                  <w:tcBorders>
                    <w:top w:val="single" w:color="auto" w:sz="4" w:space="0"/>
                    <w:left w:val="single" w:color="auto" w:sz="4" w:space="0"/>
                    <w:bottom w:val="single" w:color="auto" w:sz="4" w:space="0"/>
                    <w:right w:val="single" w:color="auto" w:sz="4" w:space="0"/>
                  </w:tcBorders>
                  <w:vAlign w:val="center"/>
                </w:tcPr>
                <w:p w14:paraId="73D93B10">
                  <w:pPr>
                    <w:jc w:val="center"/>
                    <w:rPr>
                      <w:color w:val="auto"/>
                      <w:sz w:val="21"/>
                      <w:szCs w:val="21"/>
                    </w:rPr>
                  </w:pPr>
                  <w:r>
                    <w:rPr>
                      <w:color w:val="auto"/>
                      <w:sz w:val="21"/>
                      <w:szCs w:val="21"/>
                    </w:rPr>
                    <w:t>水溶性氟的质量分数（以F计，干基）/%≤</w:t>
                  </w:r>
                </w:p>
              </w:tc>
              <w:tc>
                <w:tcPr>
                  <w:tcW w:w="2819" w:type="dxa"/>
                  <w:tcBorders>
                    <w:top w:val="single" w:color="auto" w:sz="4" w:space="0"/>
                    <w:left w:val="single" w:color="auto" w:sz="4" w:space="0"/>
                    <w:bottom w:val="single" w:color="auto" w:sz="4" w:space="0"/>
                    <w:right w:val="single" w:color="auto" w:sz="4" w:space="0"/>
                  </w:tcBorders>
                  <w:vAlign w:val="center"/>
                </w:tcPr>
                <w:p w14:paraId="2E14855B">
                  <w:pPr>
                    <w:jc w:val="center"/>
                    <w:rPr>
                      <w:color w:val="auto"/>
                      <w:sz w:val="21"/>
                      <w:szCs w:val="21"/>
                    </w:rPr>
                  </w:pPr>
                  <w:r>
                    <w:rPr>
                      <w:color w:val="auto"/>
                      <w:sz w:val="21"/>
                      <w:szCs w:val="21"/>
                    </w:rPr>
                    <w:t>0.3</w:t>
                  </w:r>
                </w:p>
              </w:tc>
            </w:tr>
            <w:tr w14:paraId="50FC2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04" w:type="dxa"/>
                  <w:gridSpan w:val="3"/>
                  <w:tcBorders>
                    <w:top w:val="single" w:color="auto" w:sz="4" w:space="0"/>
                    <w:left w:val="single" w:color="auto" w:sz="4" w:space="0"/>
                    <w:bottom w:val="single" w:color="auto" w:sz="4" w:space="0"/>
                    <w:right w:val="single" w:color="auto" w:sz="4" w:space="0"/>
                  </w:tcBorders>
                </w:tcPr>
                <w:p w14:paraId="47E9EA8D">
                  <w:pPr>
                    <w:rPr>
                      <w:color w:val="auto"/>
                      <w:sz w:val="21"/>
                      <w:szCs w:val="21"/>
                    </w:rPr>
                  </w:pPr>
                  <w:r>
                    <w:rPr>
                      <w:color w:val="auto"/>
                      <w:sz w:val="21"/>
                      <w:szCs w:val="21"/>
                      <w:vertAlign w:val="superscript"/>
                    </w:rPr>
                    <w:t>a</w:t>
                  </w:r>
                  <w:r>
                    <w:rPr>
                      <w:color w:val="auto"/>
                      <w:sz w:val="21"/>
                      <w:szCs w:val="21"/>
                    </w:rPr>
                    <w:t>游离水的质量分数指标可由供需双方协议确定。</w:t>
                  </w:r>
                </w:p>
              </w:tc>
            </w:tr>
            <w:tr w14:paraId="0175E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04" w:type="dxa"/>
                  <w:gridSpan w:val="3"/>
                  <w:tcBorders>
                    <w:top w:val="single" w:color="auto" w:sz="4" w:space="0"/>
                    <w:left w:val="single" w:color="auto" w:sz="4" w:space="0"/>
                    <w:bottom w:val="single" w:color="auto" w:sz="4" w:space="0"/>
                    <w:right w:val="single" w:color="auto" w:sz="4" w:space="0"/>
                  </w:tcBorders>
                  <w:vAlign w:val="center"/>
                </w:tcPr>
                <w:p w14:paraId="689928DC">
                  <w:pPr>
                    <w:jc w:val="center"/>
                    <w:rPr>
                      <w:color w:val="auto"/>
                      <w:sz w:val="21"/>
                      <w:szCs w:val="21"/>
                    </w:rPr>
                  </w:pPr>
                  <w:r>
                    <w:rPr>
                      <w:rFonts w:hint="eastAsia"/>
                      <w:bCs/>
                      <w:color w:val="auto"/>
                      <w:sz w:val="21"/>
                      <w:szCs w:val="21"/>
                    </w:rPr>
                    <w:t>《肥料中有毒有害物质的限量要求》（GB 38400-2019）中其他肥料的含量限值要求</w:t>
                  </w:r>
                </w:p>
              </w:tc>
            </w:tr>
            <w:tr w14:paraId="33460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02" w:type="dxa"/>
                  <w:tcBorders>
                    <w:top w:val="single" w:color="auto" w:sz="4" w:space="0"/>
                    <w:left w:val="single" w:color="auto" w:sz="4" w:space="0"/>
                    <w:bottom w:val="single" w:color="auto" w:sz="4" w:space="0"/>
                    <w:right w:val="single" w:color="auto" w:sz="4" w:space="0"/>
                  </w:tcBorders>
                  <w:vAlign w:val="center"/>
                </w:tcPr>
                <w:p w14:paraId="7C4519FF">
                  <w:pPr>
                    <w:jc w:val="center"/>
                    <w:rPr>
                      <w:color w:val="auto"/>
                      <w:sz w:val="21"/>
                      <w:szCs w:val="21"/>
                      <w:vertAlign w:val="superscript"/>
                    </w:rPr>
                  </w:pPr>
                  <w:r>
                    <w:rPr>
                      <w:rFonts w:hint="eastAsia"/>
                      <w:color w:val="auto"/>
                      <w:sz w:val="21"/>
                      <w:szCs w:val="21"/>
                    </w:rPr>
                    <w:t>砷</w:t>
                  </w:r>
                </w:p>
              </w:tc>
              <w:tc>
                <w:tcPr>
                  <w:tcW w:w="3902" w:type="dxa"/>
                  <w:gridSpan w:val="2"/>
                  <w:tcBorders>
                    <w:top w:val="single" w:color="auto" w:sz="4" w:space="0"/>
                    <w:left w:val="single" w:color="auto" w:sz="4" w:space="0"/>
                    <w:bottom w:val="single" w:color="auto" w:sz="4" w:space="0"/>
                    <w:right w:val="single" w:color="auto" w:sz="4" w:space="0"/>
                  </w:tcBorders>
                  <w:vAlign w:val="center"/>
                </w:tcPr>
                <w:p w14:paraId="2EB03628">
                  <w:pPr>
                    <w:jc w:val="center"/>
                    <w:rPr>
                      <w:color w:val="auto"/>
                      <w:sz w:val="21"/>
                      <w:szCs w:val="21"/>
                      <w:vertAlign w:val="superscript"/>
                    </w:rPr>
                  </w:pPr>
                  <w:r>
                    <w:rPr>
                      <w:color w:val="auto"/>
                      <w:sz w:val="21"/>
                      <w:szCs w:val="21"/>
                    </w:rPr>
                    <w:t>≤</w:t>
                  </w:r>
                  <w:r>
                    <w:rPr>
                      <w:rFonts w:hint="eastAsia"/>
                      <w:color w:val="auto"/>
                      <w:sz w:val="21"/>
                      <w:szCs w:val="21"/>
                    </w:rPr>
                    <w:t>15</w:t>
                  </w:r>
                </w:p>
              </w:tc>
            </w:tr>
            <w:tr w14:paraId="378B7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02" w:type="dxa"/>
                  <w:tcBorders>
                    <w:top w:val="single" w:color="auto" w:sz="4" w:space="0"/>
                    <w:left w:val="single" w:color="auto" w:sz="4" w:space="0"/>
                    <w:bottom w:val="single" w:color="auto" w:sz="4" w:space="0"/>
                    <w:right w:val="single" w:color="auto" w:sz="4" w:space="0"/>
                  </w:tcBorders>
                  <w:vAlign w:val="center"/>
                </w:tcPr>
                <w:p w14:paraId="14F49B38">
                  <w:pPr>
                    <w:jc w:val="center"/>
                    <w:rPr>
                      <w:color w:val="auto"/>
                      <w:sz w:val="21"/>
                      <w:szCs w:val="21"/>
                      <w:vertAlign w:val="superscript"/>
                    </w:rPr>
                  </w:pPr>
                  <w:r>
                    <w:rPr>
                      <w:color w:val="auto"/>
                      <w:sz w:val="21"/>
                      <w:szCs w:val="21"/>
                    </w:rPr>
                    <w:t>镉</w:t>
                  </w:r>
                </w:p>
              </w:tc>
              <w:tc>
                <w:tcPr>
                  <w:tcW w:w="3902" w:type="dxa"/>
                  <w:gridSpan w:val="2"/>
                  <w:tcBorders>
                    <w:top w:val="single" w:color="auto" w:sz="4" w:space="0"/>
                    <w:left w:val="single" w:color="auto" w:sz="4" w:space="0"/>
                    <w:bottom w:val="single" w:color="auto" w:sz="4" w:space="0"/>
                    <w:right w:val="single" w:color="auto" w:sz="4" w:space="0"/>
                  </w:tcBorders>
                  <w:vAlign w:val="center"/>
                </w:tcPr>
                <w:p w14:paraId="329D9F00">
                  <w:pPr>
                    <w:jc w:val="center"/>
                    <w:rPr>
                      <w:color w:val="auto"/>
                      <w:sz w:val="21"/>
                      <w:szCs w:val="21"/>
                      <w:vertAlign w:val="superscript"/>
                    </w:rPr>
                  </w:pPr>
                  <w:r>
                    <w:rPr>
                      <w:color w:val="auto"/>
                      <w:sz w:val="21"/>
                      <w:szCs w:val="21"/>
                    </w:rPr>
                    <w:t>≤</w:t>
                  </w:r>
                  <w:r>
                    <w:rPr>
                      <w:rFonts w:hint="eastAsia"/>
                      <w:color w:val="auto"/>
                      <w:sz w:val="21"/>
                      <w:szCs w:val="21"/>
                    </w:rPr>
                    <w:t>3</w:t>
                  </w:r>
                </w:p>
              </w:tc>
            </w:tr>
            <w:tr w14:paraId="094B2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02" w:type="dxa"/>
                  <w:tcBorders>
                    <w:top w:val="single" w:color="auto" w:sz="4" w:space="0"/>
                    <w:left w:val="single" w:color="auto" w:sz="4" w:space="0"/>
                    <w:bottom w:val="single" w:color="auto" w:sz="4" w:space="0"/>
                    <w:right w:val="single" w:color="auto" w:sz="4" w:space="0"/>
                  </w:tcBorders>
                  <w:vAlign w:val="center"/>
                </w:tcPr>
                <w:p w14:paraId="7D01D455">
                  <w:pPr>
                    <w:jc w:val="center"/>
                    <w:rPr>
                      <w:color w:val="auto"/>
                      <w:sz w:val="21"/>
                      <w:szCs w:val="21"/>
                      <w:vertAlign w:val="superscript"/>
                    </w:rPr>
                  </w:pPr>
                  <w:r>
                    <w:rPr>
                      <w:color w:val="auto"/>
                      <w:sz w:val="21"/>
                      <w:szCs w:val="21"/>
                    </w:rPr>
                    <w:t>铅</w:t>
                  </w:r>
                </w:p>
              </w:tc>
              <w:tc>
                <w:tcPr>
                  <w:tcW w:w="3902" w:type="dxa"/>
                  <w:gridSpan w:val="2"/>
                  <w:tcBorders>
                    <w:top w:val="single" w:color="auto" w:sz="4" w:space="0"/>
                    <w:left w:val="single" w:color="auto" w:sz="4" w:space="0"/>
                    <w:bottom w:val="single" w:color="auto" w:sz="4" w:space="0"/>
                    <w:right w:val="single" w:color="auto" w:sz="4" w:space="0"/>
                  </w:tcBorders>
                  <w:vAlign w:val="center"/>
                </w:tcPr>
                <w:p w14:paraId="3A9BA10A">
                  <w:pPr>
                    <w:jc w:val="center"/>
                    <w:rPr>
                      <w:color w:val="auto"/>
                      <w:sz w:val="21"/>
                      <w:szCs w:val="21"/>
                      <w:vertAlign w:val="superscript"/>
                    </w:rPr>
                  </w:pPr>
                  <w:r>
                    <w:rPr>
                      <w:color w:val="auto"/>
                      <w:sz w:val="21"/>
                      <w:szCs w:val="21"/>
                    </w:rPr>
                    <w:t>≤</w:t>
                  </w:r>
                  <w:r>
                    <w:rPr>
                      <w:rFonts w:hint="eastAsia"/>
                      <w:color w:val="auto"/>
                      <w:sz w:val="21"/>
                      <w:szCs w:val="21"/>
                    </w:rPr>
                    <w:t>50</w:t>
                  </w:r>
                </w:p>
              </w:tc>
            </w:tr>
            <w:tr w14:paraId="4E18D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02" w:type="dxa"/>
                  <w:tcBorders>
                    <w:top w:val="single" w:color="auto" w:sz="4" w:space="0"/>
                    <w:left w:val="single" w:color="auto" w:sz="4" w:space="0"/>
                    <w:bottom w:val="single" w:color="auto" w:sz="4" w:space="0"/>
                    <w:right w:val="single" w:color="auto" w:sz="4" w:space="0"/>
                  </w:tcBorders>
                  <w:vAlign w:val="center"/>
                </w:tcPr>
                <w:p w14:paraId="2C9F67DA">
                  <w:pPr>
                    <w:jc w:val="center"/>
                    <w:rPr>
                      <w:color w:val="auto"/>
                      <w:sz w:val="21"/>
                      <w:szCs w:val="21"/>
                      <w:vertAlign w:val="superscript"/>
                    </w:rPr>
                  </w:pPr>
                  <w:r>
                    <w:rPr>
                      <w:color w:val="auto"/>
                      <w:sz w:val="21"/>
                      <w:szCs w:val="21"/>
                    </w:rPr>
                    <w:t>总铬</w:t>
                  </w:r>
                </w:p>
              </w:tc>
              <w:tc>
                <w:tcPr>
                  <w:tcW w:w="3902" w:type="dxa"/>
                  <w:gridSpan w:val="2"/>
                  <w:tcBorders>
                    <w:top w:val="single" w:color="auto" w:sz="4" w:space="0"/>
                    <w:left w:val="single" w:color="auto" w:sz="4" w:space="0"/>
                    <w:bottom w:val="single" w:color="auto" w:sz="4" w:space="0"/>
                    <w:right w:val="single" w:color="auto" w:sz="4" w:space="0"/>
                  </w:tcBorders>
                  <w:vAlign w:val="center"/>
                </w:tcPr>
                <w:p w14:paraId="2BD226EE">
                  <w:pPr>
                    <w:jc w:val="center"/>
                    <w:rPr>
                      <w:color w:val="auto"/>
                      <w:sz w:val="21"/>
                      <w:szCs w:val="21"/>
                      <w:vertAlign w:val="superscript"/>
                    </w:rPr>
                  </w:pPr>
                  <w:r>
                    <w:rPr>
                      <w:color w:val="auto"/>
                      <w:sz w:val="21"/>
                      <w:szCs w:val="21"/>
                    </w:rPr>
                    <w:t>≤</w:t>
                  </w:r>
                  <w:r>
                    <w:rPr>
                      <w:rFonts w:hint="eastAsia"/>
                      <w:color w:val="auto"/>
                      <w:sz w:val="21"/>
                      <w:szCs w:val="21"/>
                    </w:rPr>
                    <w:t>150</w:t>
                  </w:r>
                </w:p>
              </w:tc>
            </w:tr>
            <w:tr w14:paraId="5C653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02" w:type="dxa"/>
                  <w:tcBorders>
                    <w:top w:val="single" w:color="auto" w:sz="4" w:space="0"/>
                    <w:left w:val="single" w:color="auto" w:sz="4" w:space="0"/>
                    <w:bottom w:val="single" w:color="auto" w:sz="4" w:space="0"/>
                    <w:right w:val="single" w:color="auto" w:sz="4" w:space="0"/>
                  </w:tcBorders>
                  <w:vAlign w:val="center"/>
                </w:tcPr>
                <w:p w14:paraId="0349A082">
                  <w:pPr>
                    <w:jc w:val="center"/>
                    <w:rPr>
                      <w:color w:val="auto"/>
                      <w:sz w:val="21"/>
                      <w:szCs w:val="21"/>
                    </w:rPr>
                  </w:pPr>
                  <w:r>
                    <w:rPr>
                      <w:rFonts w:hint="eastAsia"/>
                      <w:color w:val="auto"/>
                      <w:sz w:val="21"/>
                      <w:szCs w:val="21"/>
                    </w:rPr>
                    <w:t>汞</w:t>
                  </w:r>
                </w:p>
              </w:tc>
              <w:tc>
                <w:tcPr>
                  <w:tcW w:w="3902" w:type="dxa"/>
                  <w:gridSpan w:val="2"/>
                  <w:tcBorders>
                    <w:top w:val="single" w:color="auto" w:sz="4" w:space="0"/>
                    <w:left w:val="single" w:color="auto" w:sz="4" w:space="0"/>
                    <w:bottom w:val="single" w:color="auto" w:sz="4" w:space="0"/>
                    <w:right w:val="single" w:color="auto" w:sz="4" w:space="0"/>
                  </w:tcBorders>
                  <w:vAlign w:val="center"/>
                </w:tcPr>
                <w:p w14:paraId="2AC3A6B2">
                  <w:pPr>
                    <w:jc w:val="center"/>
                    <w:rPr>
                      <w:color w:val="auto"/>
                      <w:sz w:val="21"/>
                      <w:szCs w:val="21"/>
                      <w:vertAlign w:val="superscript"/>
                    </w:rPr>
                  </w:pPr>
                  <w:r>
                    <w:rPr>
                      <w:color w:val="auto"/>
                      <w:sz w:val="21"/>
                      <w:szCs w:val="21"/>
                    </w:rPr>
                    <w:t>≤</w:t>
                  </w:r>
                  <w:r>
                    <w:rPr>
                      <w:rFonts w:hint="eastAsia"/>
                      <w:color w:val="auto"/>
                      <w:sz w:val="21"/>
                      <w:szCs w:val="21"/>
                    </w:rPr>
                    <w:t>2</w:t>
                  </w:r>
                </w:p>
              </w:tc>
            </w:tr>
          </w:tbl>
          <w:p w14:paraId="264D5DA9">
            <w:pPr>
              <w:spacing w:line="360" w:lineRule="auto"/>
              <w:ind w:firstLine="480" w:firstLineChars="200"/>
              <w:jc w:val="left"/>
              <w:rPr>
                <w:color w:val="auto"/>
                <w:sz w:val="24"/>
              </w:rPr>
            </w:pPr>
            <w:r>
              <w:rPr>
                <w:rFonts w:hint="eastAsia"/>
                <w:color w:val="auto"/>
                <w:sz w:val="24"/>
                <w:lang w:eastAsia="zh-CN"/>
              </w:rPr>
              <w:t>云南常青树化工有限公司</w:t>
            </w:r>
            <w:r>
              <w:rPr>
                <w:color w:val="auto"/>
                <w:sz w:val="24"/>
              </w:rPr>
              <w:t>于</w:t>
            </w:r>
            <w:r>
              <w:rPr>
                <w:color w:val="auto"/>
                <w:sz w:val="24"/>
                <w:highlight w:val="none"/>
              </w:rPr>
              <w:t>202</w:t>
            </w:r>
            <w:r>
              <w:rPr>
                <w:rFonts w:hint="eastAsia"/>
                <w:color w:val="auto"/>
                <w:sz w:val="24"/>
                <w:highlight w:val="none"/>
                <w:lang w:val="en-US" w:eastAsia="zh-CN"/>
              </w:rPr>
              <w:t>4</w:t>
            </w:r>
            <w:r>
              <w:rPr>
                <w:color w:val="auto"/>
                <w:sz w:val="24"/>
                <w:highlight w:val="none"/>
              </w:rPr>
              <w:t>年</w:t>
            </w:r>
            <w:r>
              <w:rPr>
                <w:rFonts w:hint="eastAsia"/>
                <w:color w:val="auto"/>
                <w:sz w:val="24"/>
                <w:highlight w:val="none"/>
              </w:rPr>
              <w:t>3</w:t>
            </w:r>
            <w:r>
              <w:rPr>
                <w:color w:val="auto"/>
                <w:sz w:val="24"/>
                <w:highlight w:val="none"/>
              </w:rPr>
              <w:t>月</w:t>
            </w:r>
            <w:r>
              <w:rPr>
                <w:rFonts w:hint="eastAsia"/>
                <w:color w:val="auto"/>
                <w:sz w:val="24"/>
                <w:highlight w:val="none"/>
                <w:lang w:val="en-US" w:eastAsia="zh-CN"/>
              </w:rPr>
              <w:t>22</w:t>
            </w:r>
            <w:r>
              <w:rPr>
                <w:color w:val="auto"/>
                <w:sz w:val="24"/>
                <w:highlight w:val="none"/>
              </w:rPr>
              <w:t>日委托</w:t>
            </w:r>
            <w:r>
              <w:rPr>
                <w:rFonts w:hint="eastAsia"/>
                <w:color w:val="auto"/>
                <w:sz w:val="24"/>
                <w:highlight w:val="none"/>
                <w:lang w:val="en-US" w:eastAsia="zh-CN"/>
              </w:rPr>
              <w:t>云南华都生态环境监测有限公司</w:t>
            </w:r>
            <w:r>
              <w:rPr>
                <w:color w:val="auto"/>
                <w:sz w:val="24"/>
                <w:highlight w:val="none"/>
              </w:rPr>
              <w:t>和202</w:t>
            </w:r>
            <w:r>
              <w:rPr>
                <w:rFonts w:hint="eastAsia"/>
                <w:color w:val="auto"/>
                <w:sz w:val="24"/>
                <w:highlight w:val="none"/>
                <w:lang w:val="en-US" w:eastAsia="zh-CN"/>
              </w:rPr>
              <w:t>4</w:t>
            </w:r>
            <w:r>
              <w:rPr>
                <w:color w:val="auto"/>
                <w:sz w:val="24"/>
                <w:highlight w:val="none"/>
              </w:rPr>
              <w:t>年</w:t>
            </w:r>
            <w:r>
              <w:rPr>
                <w:rFonts w:hint="eastAsia"/>
                <w:color w:val="auto"/>
                <w:sz w:val="24"/>
                <w:highlight w:val="none"/>
                <w:lang w:val="en-US" w:eastAsia="zh-CN"/>
              </w:rPr>
              <w:t>3</w:t>
            </w:r>
            <w:r>
              <w:rPr>
                <w:color w:val="auto"/>
                <w:sz w:val="24"/>
                <w:highlight w:val="none"/>
              </w:rPr>
              <w:t>月</w:t>
            </w:r>
            <w:r>
              <w:rPr>
                <w:rFonts w:hint="eastAsia"/>
                <w:color w:val="auto"/>
                <w:sz w:val="24"/>
                <w:highlight w:val="none"/>
                <w:lang w:val="en-US" w:eastAsia="zh-CN"/>
              </w:rPr>
              <w:t>29</w:t>
            </w:r>
            <w:r>
              <w:rPr>
                <w:color w:val="auto"/>
                <w:sz w:val="24"/>
                <w:highlight w:val="none"/>
              </w:rPr>
              <w:t>日委托</w:t>
            </w:r>
            <w:r>
              <w:rPr>
                <w:rFonts w:hint="eastAsia"/>
                <w:color w:val="auto"/>
                <w:sz w:val="24"/>
                <w:highlight w:val="none"/>
                <w:lang w:val="en-US" w:eastAsia="zh-CN"/>
              </w:rPr>
              <w:t>云南省产品质量监督检验研究院</w:t>
            </w:r>
            <w:r>
              <w:rPr>
                <w:color w:val="auto"/>
                <w:sz w:val="24"/>
                <w:highlight w:val="none"/>
              </w:rPr>
              <w:t>将</w:t>
            </w:r>
            <w:r>
              <w:rPr>
                <w:rFonts w:hint="eastAsia"/>
                <w:color w:val="auto"/>
                <w:sz w:val="24"/>
                <w:highlight w:val="none"/>
              </w:rPr>
              <w:t>土壤</w:t>
            </w:r>
            <w:r>
              <w:rPr>
                <w:rFonts w:hint="eastAsia"/>
                <w:color w:val="auto"/>
                <w:sz w:val="24"/>
                <w:highlight w:val="none"/>
                <w:lang w:val="en-US" w:eastAsia="zh-CN"/>
              </w:rPr>
              <w:t>改良</w:t>
            </w:r>
            <w:r>
              <w:rPr>
                <w:rFonts w:hint="eastAsia"/>
                <w:color w:val="auto"/>
                <w:sz w:val="24"/>
                <w:highlight w:val="none"/>
              </w:rPr>
              <w:t>剂样品</w:t>
            </w:r>
            <w:r>
              <w:rPr>
                <w:color w:val="auto"/>
                <w:sz w:val="24"/>
                <w:highlight w:val="none"/>
              </w:rPr>
              <w:t>进行检测</w:t>
            </w:r>
            <w:r>
              <w:rPr>
                <w:color w:val="auto"/>
                <w:sz w:val="24"/>
              </w:rPr>
              <w:t>。具体检测结果见</w:t>
            </w:r>
            <w:r>
              <w:rPr>
                <w:rFonts w:hint="eastAsia"/>
                <w:color w:val="auto"/>
                <w:sz w:val="24"/>
                <w:lang w:val="en-US" w:eastAsia="zh-CN"/>
              </w:rPr>
              <w:t>下</w:t>
            </w:r>
            <w:r>
              <w:rPr>
                <w:color w:val="auto"/>
                <w:sz w:val="24"/>
              </w:rPr>
              <w:t>表。</w:t>
            </w:r>
          </w:p>
          <w:p w14:paraId="160B9DED">
            <w:pPr>
              <w:autoSpaceDE w:val="0"/>
              <w:autoSpaceDN w:val="0"/>
              <w:jc w:val="center"/>
              <w:rPr>
                <w:b/>
                <w:color w:val="auto"/>
                <w:sz w:val="24"/>
                <w:highlight w:val="none"/>
              </w:rPr>
            </w:pPr>
            <w:r>
              <w:rPr>
                <w:b/>
                <w:color w:val="auto"/>
                <w:sz w:val="24"/>
                <w:highlight w:val="none"/>
              </w:rPr>
              <w:t>表2-</w:t>
            </w:r>
            <w:r>
              <w:rPr>
                <w:rFonts w:hint="eastAsia"/>
                <w:b/>
                <w:color w:val="auto"/>
                <w:sz w:val="24"/>
                <w:highlight w:val="none"/>
                <w:lang w:val="en-US" w:eastAsia="zh-CN"/>
              </w:rPr>
              <w:t>5</w:t>
            </w:r>
            <w:r>
              <w:rPr>
                <w:b/>
                <w:color w:val="auto"/>
                <w:sz w:val="24"/>
                <w:highlight w:val="none"/>
              </w:rPr>
              <w:t xml:space="preserve">  土壤</w:t>
            </w:r>
            <w:r>
              <w:rPr>
                <w:rFonts w:hint="eastAsia"/>
                <w:b/>
                <w:color w:val="auto"/>
                <w:sz w:val="24"/>
                <w:highlight w:val="none"/>
                <w:lang w:val="en-US" w:eastAsia="zh-CN"/>
              </w:rPr>
              <w:t>改良</w:t>
            </w:r>
            <w:r>
              <w:rPr>
                <w:b/>
                <w:color w:val="auto"/>
                <w:sz w:val="24"/>
                <w:highlight w:val="none"/>
              </w:rPr>
              <w:t>剂产品质量</w:t>
            </w:r>
            <w:r>
              <w:rPr>
                <w:rFonts w:hint="eastAsia"/>
                <w:b/>
                <w:color w:val="auto"/>
                <w:sz w:val="24"/>
                <w:highlight w:val="none"/>
              </w:rPr>
              <w:t>检测结果</w:t>
            </w:r>
          </w:p>
          <w:tbl>
            <w:tblPr>
              <w:tblStyle w:val="45"/>
              <w:tblW w:w="83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7"/>
              <w:gridCol w:w="1888"/>
              <w:gridCol w:w="2268"/>
              <w:gridCol w:w="1184"/>
            </w:tblGrid>
            <w:tr w14:paraId="2E3F5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47" w:type="dxa"/>
                  <w:tcBorders>
                    <w:top w:val="single" w:color="auto" w:sz="4" w:space="0"/>
                    <w:left w:val="single" w:color="auto" w:sz="4" w:space="0"/>
                    <w:bottom w:val="single" w:color="auto" w:sz="4" w:space="0"/>
                    <w:right w:val="single" w:color="auto" w:sz="4" w:space="0"/>
                  </w:tcBorders>
                  <w:vAlign w:val="center"/>
                </w:tcPr>
                <w:p w14:paraId="44AFD909">
                  <w:pPr>
                    <w:jc w:val="center"/>
                    <w:rPr>
                      <w:color w:val="auto"/>
                      <w:sz w:val="21"/>
                      <w:szCs w:val="21"/>
                    </w:rPr>
                  </w:pPr>
                  <w:r>
                    <w:rPr>
                      <w:color w:val="auto"/>
                      <w:sz w:val="21"/>
                      <w:szCs w:val="21"/>
                    </w:rPr>
                    <w:t>检测项目</w:t>
                  </w:r>
                </w:p>
              </w:tc>
              <w:tc>
                <w:tcPr>
                  <w:tcW w:w="1888" w:type="dxa"/>
                  <w:tcBorders>
                    <w:top w:val="single" w:color="auto" w:sz="4" w:space="0"/>
                    <w:left w:val="single" w:color="auto" w:sz="4" w:space="0"/>
                    <w:bottom w:val="single" w:color="auto" w:sz="4" w:space="0"/>
                    <w:right w:val="single" w:color="auto" w:sz="4" w:space="0"/>
                  </w:tcBorders>
                  <w:vAlign w:val="center"/>
                </w:tcPr>
                <w:p w14:paraId="490E6B54">
                  <w:pPr>
                    <w:jc w:val="center"/>
                    <w:rPr>
                      <w:rFonts w:hint="default" w:eastAsia="宋体"/>
                      <w:color w:val="auto"/>
                      <w:sz w:val="21"/>
                      <w:szCs w:val="21"/>
                      <w:lang w:val="en-US" w:eastAsia="zh-CN"/>
                    </w:rPr>
                  </w:pPr>
                  <w:r>
                    <w:rPr>
                      <w:rFonts w:hint="eastAsia"/>
                      <w:color w:val="auto"/>
                      <w:sz w:val="21"/>
                      <w:szCs w:val="21"/>
                      <w:lang w:val="en-US" w:eastAsia="zh-CN"/>
                    </w:rPr>
                    <w:t>检测结果</w:t>
                  </w:r>
                </w:p>
              </w:tc>
              <w:tc>
                <w:tcPr>
                  <w:tcW w:w="2268" w:type="dxa"/>
                  <w:tcBorders>
                    <w:top w:val="single" w:color="auto" w:sz="4" w:space="0"/>
                    <w:left w:val="single" w:color="auto" w:sz="4" w:space="0"/>
                    <w:bottom w:val="single" w:color="auto" w:sz="4" w:space="0"/>
                    <w:right w:val="single" w:color="auto" w:sz="4" w:space="0"/>
                  </w:tcBorders>
                  <w:vAlign w:val="center"/>
                </w:tcPr>
                <w:p w14:paraId="706FCCB6">
                  <w:pPr>
                    <w:jc w:val="center"/>
                    <w:rPr>
                      <w:color w:val="auto"/>
                      <w:sz w:val="21"/>
                      <w:szCs w:val="21"/>
                    </w:rPr>
                  </w:pPr>
                  <w:r>
                    <w:rPr>
                      <w:bCs/>
                      <w:color w:val="auto"/>
                      <w:sz w:val="21"/>
                      <w:szCs w:val="21"/>
                    </w:rPr>
                    <w:t>《磷石膏土壤调理剂》（HG/T 4219-2011）</w:t>
                  </w:r>
                </w:p>
              </w:tc>
              <w:tc>
                <w:tcPr>
                  <w:tcW w:w="1184" w:type="dxa"/>
                  <w:tcBorders>
                    <w:top w:val="single" w:color="auto" w:sz="4" w:space="0"/>
                    <w:left w:val="single" w:color="auto" w:sz="4" w:space="0"/>
                    <w:bottom w:val="single" w:color="auto" w:sz="4" w:space="0"/>
                    <w:right w:val="single" w:color="auto" w:sz="4" w:space="0"/>
                  </w:tcBorders>
                  <w:vAlign w:val="center"/>
                </w:tcPr>
                <w:p w14:paraId="2B5A8354">
                  <w:pPr>
                    <w:jc w:val="center"/>
                    <w:rPr>
                      <w:bCs/>
                      <w:color w:val="auto"/>
                      <w:sz w:val="21"/>
                      <w:szCs w:val="21"/>
                    </w:rPr>
                  </w:pPr>
                  <w:r>
                    <w:rPr>
                      <w:bCs/>
                      <w:color w:val="auto"/>
                      <w:sz w:val="21"/>
                      <w:szCs w:val="21"/>
                    </w:rPr>
                    <w:t>合格情况</w:t>
                  </w:r>
                </w:p>
              </w:tc>
            </w:tr>
            <w:tr w14:paraId="4DB36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47" w:type="dxa"/>
                  <w:tcBorders>
                    <w:top w:val="single" w:color="auto" w:sz="4" w:space="0"/>
                    <w:left w:val="single" w:color="auto" w:sz="4" w:space="0"/>
                    <w:bottom w:val="single" w:color="auto" w:sz="4" w:space="0"/>
                    <w:right w:val="single" w:color="auto" w:sz="4" w:space="0"/>
                  </w:tcBorders>
                  <w:vAlign w:val="center"/>
                </w:tcPr>
                <w:p w14:paraId="56A05400">
                  <w:pPr>
                    <w:jc w:val="center"/>
                    <w:rPr>
                      <w:color w:val="auto"/>
                      <w:sz w:val="21"/>
                      <w:szCs w:val="21"/>
                    </w:rPr>
                  </w:pPr>
                  <w:r>
                    <w:rPr>
                      <w:color w:val="auto"/>
                      <w:sz w:val="21"/>
                      <w:szCs w:val="21"/>
                    </w:rPr>
                    <w:t>外观</w:t>
                  </w:r>
                </w:p>
              </w:tc>
              <w:tc>
                <w:tcPr>
                  <w:tcW w:w="1888" w:type="dxa"/>
                  <w:tcBorders>
                    <w:top w:val="single" w:color="auto" w:sz="4" w:space="0"/>
                    <w:left w:val="single" w:color="auto" w:sz="4" w:space="0"/>
                    <w:bottom w:val="single" w:color="auto" w:sz="4" w:space="0"/>
                    <w:right w:val="single" w:color="auto" w:sz="4" w:space="0"/>
                  </w:tcBorders>
                  <w:vAlign w:val="center"/>
                </w:tcPr>
                <w:p w14:paraId="377EC260">
                  <w:pPr>
                    <w:jc w:val="center"/>
                    <w:rPr>
                      <w:color w:val="auto"/>
                      <w:sz w:val="21"/>
                      <w:szCs w:val="21"/>
                    </w:rPr>
                  </w:pPr>
                  <w:r>
                    <w:rPr>
                      <w:color w:val="auto"/>
                      <w:sz w:val="21"/>
                      <w:szCs w:val="21"/>
                    </w:rPr>
                    <w:t>灰白色粉状疏松物，无机械杂质</w:t>
                  </w:r>
                </w:p>
              </w:tc>
              <w:tc>
                <w:tcPr>
                  <w:tcW w:w="2268" w:type="dxa"/>
                  <w:tcBorders>
                    <w:top w:val="single" w:color="auto" w:sz="4" w:space="0"/>
                    <w:left w:val="single" w:color="auto" w:sz="4" w:space="0"/>
                    <w:bottom w:val="single" w:color="auto" w:sz="4" w:space="0"/>
                    <w:right w:val="single" w:color="auto" w:sz="4" w:space="0"/>
                  </w:tcBorders>
                  <w:vAlign w:val="center"/>
                </w:tcPr>
                <w:p w14:paraId="5495AA25">
                  <w:pPr>
                    <w:jc w:val="center"/>
                    <w:rPr>
                      <w:color w:val="auto"/>
                      <w:sz w:val="21"/>
                      <w:szCs w:val="21"/>
                    </w:rPr>
                  </w:pPr>
                  <w:r>
                    <w:rPr>
                      <w:rFonts w:hint="eastAsia"/>
                      <w:bCs/>
                      <w:color w:val="auto"/>
                      <w:sz w:val="21"/>
                      <w:szCs w:val="21"/>
                    </w:rPr>
                    <w:t>粉状疏松物，无机械杂质</w:t>
                  </w:r>
                </w:p>
              </w:tc>
              <w:tc>
                <w:tcPr>
                  <w:tcW w:w="1184" w:type="dxa"/>
                  <w:tcBorders>
                    <w:top w:val="single" w:color="auto" w:sz="4" w:space="0"/>
                    <w:left w:val="single" w:color="auto" w:sz="4" w:space="0"/>
                    <w:bottom w:val="single" w:color="auto" w:sz="4" w:space="0"/>
                    <w:right w:val="single" w:color="auto" w:sz="4" w:space="0"/>
                  </w:tcBorders>
                  <w:vAlign w:val="center"/>
                </w:tcPr>
                <w:p w14:paraId="0D37CA0A">
                  <w:pPr>
                    <w:jc w:val="center"/>
                    <w:rPr>
                      <w:bCs/>
                      <w:color w:val="auto"/>
                      <w:sz w:val="21"/>
                      <w:szCs w:val="21"/>
                    </w:rPr>
                  </w:pPr>
                  <w:r>
                    <w:rPr>
                      <w:rFonts w:hint="eastAsia"/>
                      <w:bCs/>
                      <w:color w:val="auto"/>
                      <w:sz w:val="21"/>
                      <w:szCs w:val="21"/>
                    </w:rPr>
                    <w:t>合格</w:t>
                  </w:r>
                </w:p>
              </w:tc>
            </w:tr>
            <w:tr w14:paraId="2F353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47" w:type="dxa"/>
                  <w:tcBorders>
                    <w:top w:val="single" w:color="auto" w:sz="4" w:space="0"/>
                    <w:left w:val="single" w:color="auto" w:sz="4" w:space="0"/>
                    <w:bottom w:val="single" w:color="auto" w:sz="4" w:space="0"/>
                    <w:right w:val="single" w:color="auto" w:sz="4" w:space="0"/>
                  </w:tcBorders>
                  <w:vAlign w:val="center"/>
                </w:tcPr>
                <w:p w14:paraId="23DBB9CE">
                  <w:pPr>
                    <w:jc w:val="center"/>
                    <w:rPr>
                      <w:color w:val="auto"/>
                      <w:sz w:val="21"/>
                      <w:szCs w:val="21"/>
                    </w:rPr>
                  </w:pPr>
                  <w:r>
                    <w:rPr>
                      <w:color w:val="auto"/>
                      <w:sz w:val="21"/>
                      <w:szCs w:val="21"/>
                    </w:rPr>
                    <w:t>钙的质量分数（以Ca计，干基）/%</w:t>
                  </w:r>
                </w:p>
              </w:tc>
              <w:tc>
                <w:tcPr>
                  <w:tcW w:w="1888" w:type="dxa"/>
                  <w:tcBorders>
                    <w:top w:val="single" w:color="auto" w:sz="4" w:space="0"/>
                    <w:left w:val="single" w:color="auto" w:sz="4" w:space="0"/>
                    <w:bottom w:val="single" w:color="auto" w:sz="4" w:space="0"/>
                    <w:right w:val="single" w:color="auto" w:sz="4" w:space="0"/>
                  </w:tcBorders>
                  <w:vAlign w:val="center"/>
                </w:tcPr>
                <w:p w14:paraId="1DCB8335">
                  <w:pPr>
                    <w:jc w:val="center"/>
                    <w:rPr>
                      <w:rFonts w:hint="default" w:eastAsia="宋体"/>
                      <w:color w:val="auto"/>
                      <w:sz w:val="21"/>
                      <w:szCs w:val="21"/>
                      <w:lang w:val="en-US" w:eastAsia="zh-CN"/>
                    </w:rPr>
                  </w:pPr>
                  <w:r>
                    <w:rPr>
                      <w:rFonts w:hint="eastAsia"/>
                      <w:color w:val="auto"/>
                      <w:sz w:val="21"/>
                      <w:szCs w:val="21"/>
                      <w:lang w:val="en-US" w:eastAsia="zh-CN"/>
                    </w:rPr>
                    <w:t>21.4</w:t>
                  </w:r>
                </w:p>
              </w:tc>
              <w:tc>
                <w:tcPr>
                  <w:tcW w:w="2268" w:type="dxa"/>
                  <w:tcBorders>
                    <w:top w:val="single" w:color="auto" w:sz="4" w:space="0"/>
                    <w:left w:val="single" w:color="auto" w:sz="4" w:space="0"/>
                    <w:bottom w:val="single" w:color="auto" w:sz="4" w:space="0"/>
                    <w:right w:val="single" w:color="auto" w:sz="4" w:space="0"/>
                  </w:tcBorders>
                  <w:vAlign w:val="center"/>
                </w:tcPr>
                <w:p w14:paraId="01EC9AF5">
                  <w:pPr>
                    <w:jc w:val="center"/>
                    <w:rPr>
                      <w:color w:val="auto"/>
                      <w:sz w:val="21"/>
                      <w:szCs w:val="21"/>
                    </w:rPr>
                  </w:pPr>
                  <w:r>
                    <w:rPr>
                      <w:color w:val="auto"/>
                      <w:sz w:val="21"/>
                      <w:szCs w:val="21"/>
                    </w:rPr>
                    <w:t>≥17.0</w:t>
                  </w:r>
                </w:p>
              </w:tc>
              <w:tc>
                <w:tcPr>
                  <w:tcW w:w="1184" w:type="dxa"/>
                  <w:tcBorders>
                    <w:top w:val="single" w:color="auto" w:sz="4" w:space="0"/>
                    <w:left w:val="single" w:color="auto" w:sz="4" w:space="0"/>
                    <w:bottom w:val="single" w:color="auto" w:sz="4" w:space="0"/>
                    <w:right w:val="single" w:color="auto" w:sz="4" w:space="0"/>
                  </w:tcBorders>
                  <w:vAlign w:val="center"/>
                </w:tcPr>
                <w:p w14:paraId="0081F8DE">
                  <w:pPr>
                    <w:jc w:val="center"/>
                    <w:rPr>
                      <w:color w:val="auto"/>
                      <w:sz w:val="21"/>
                      <w:szCs w:val="21"/>
                    </w:rPr>
                  </w:pPr>
                  <w:r>
                    <w:rPr>
                      <w:color w:val="auto"/>
                      <w:sz w:val="21"/>
                      <w:szCs w:val="21"/>
                    </w:rPr>
                    <w:t>合格</w:t>
                  </w:r>
                </w:p>
              </w:tc>
            </w:tr>
            <w:tr w14:paraId="0AB12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47" w:type="dxa"/>
                  <w:tcBorders>
                    <w:top w:val="single" w:color="auto" w:sz="4" w:space="0"/>
                    <w:left w:val="single" w:color="auto" w:sz="4" w:space="0"/>
                    <w:bottom w:val="single" w:color="auto" w:sz="4" w:space="0"/>
                    <w:right w:val="single" w:color="auto" w:sz="4" w:space="0"/>
                  </w:tcBorders>
                  <w:vAlign w:val="center"/>
                </w:tcPr>
                <w:p w14:paraId="66BB88BB">
                  <w:pPr>
                    <w:jc w:val="center"/>
                    <w:rPr>
                      <w:color w:val="auto"/>
                      <w:sz w:val="21"/>
                      <w:szCs w:val="21"/>
                    </w:rPr>
                  </w:pPr>
                  <w:r>
                    <w:rPr>
                      <w:color w:val="auto"/>
                      <w:sz w:val="21"/>
                      <w:szCs w:val="21"/>
                    </w:rPr>
                    <w:t>硫的质量分数（以S计，干基）/%</w:t>
                  </w:r>
                </w:p>
              </w:tc>
              <w:tc>
                <w:tcPr>
                  <w:tcW w:w="1888" w:type="dxa"/>
                  <w:tcBorders>
                    <w:top w:val="single" w:color="auto" w:sz="4" w:space="0"/>
                    <w:left w:val="single" w:color="auto" w:sz="4" w:space="0"/>
                    <w:bottom w:val="single" w:color="auto" w:sz="4" w:space="0"/>
                    <w:right w:val="single" w:color="auto" w:sz="4" w:space="0"/>
                  </w:tcBorders>
                  <w:vAlign w:val="center"/>
                </w:tcPr>
                <w:p w14:paraId="14D7503E">
                  <w:pPr>
                    <w:jc w:val="center"/>
                    <w:rPr>
                      <w:rFonts w:hint="default" w:eastAsia="宋体"/>
                      <w:color w:val="auto"/>
                      <w:sz w:val="21"/>
                      <w:szCs w:val="21"/>
                      <w:lang w:val="en-US" w:eastAsia="zh-CN"/>
                    </w:rPr>
                  </w:pPr>
                  <w:r>
                    <w:rPr>
                      <w:rFonts w:hint="eastAsia"/>
                      <w:color w:val="auto"/>
                      <w:sz w:val="21"/>
                      <w:szCs w:val="21"/>
                      <w:lang w:val="en-US" w:eastAsia="zh-CN"/>
                    </w:rPr>
                    <w:t>15.9</w:t>
                  </w:r>
                </w:p>
              </w:tc>
              <w:tc>
                <w:tcPr>
                  <w:tcW w:w="2268" w:type="dxa"/>
                  <w:tcBorders>
                    <w:top w:val="single" w:color="auto" w:sz="4" w:space="0"/>
                    <w:left w:val="single" w:color="auto" w:sz="4" w:space="0"/>
                    <w:bottom w:val="single" w:color="auto" w:sz="4" w:space="0"/>
                    <w:right w:val="single" w:color="auto" w:sz="4" w:space="0"/>
                  </w:tcBorders>
                  <w:vAlign w:val="center"/>
                </w:tcPr>
                <w:p w14:paraId="49F359FD">
                  <w:pPr>
                    <w:jc w:val="center"/>
                    <w:rPr>
                      <w:color w:val="auto"/>
                      <w:sz w:val="21"/>
                      <w:szCs w:val="21"/>
                    </w:rPr>
                  </w:pPr>
                  <w:r>
                    <w:rPr>
                      <w:color w:val="auto"/>
                      <w:sz w:val="21"/>
                      <w:szCs w:val="21"/>
                    </w:rPr>
                    <w:t>≥14.0</w:t>
                  </w:r>
                </w:p>
              </w:tc>
              <w:tc>
                <w:tcPr>
                  <w:tcW w:w="1184" w:type="dxa"/>
                  <w:tcBorders>
                    <w:top w:val="single" w:color="auto" w:sz="4" w:space="0"/>
                    <w:left w:val="single" w:color="auto" w:sz="4" w:space="0"/>
                    <w:bottom w:val="single" w:color="auto" w:sz="4" w:space="0"/>
                    <w:right w:val="single" w:color="auto" w:sz="4" w:space="0"/>
                  </w:tcBorders>
                  <w:vAlign w:val="center"/>
                </w:tcPr>
                <w:p w14:paraId="4C2866A1">
                  <w:pPr>
                    <w:jc w:val="center"/>
                    <w:rPr>
                      <w:color w:val="auto"/>
                      <w:sz w:val="21"/>
                      <w:szCs w:val="21"/>
                    </w:rPr>
                  </w:pPr>
                  <w:r>
                    <w:rPr>
                      <w:color w:val="auto"/>
                      <w:sz w:val="21"/>
                      <w:szCs w:val="21"/>
                    </w:rPr>
                    <w:t>合格</w:t>
                  </w:r>
                </w:p>
              </w:tc>
            </w:tr>
            <w:tr w14:paraId="25EF4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47" w:type="dxa"/>
                  <w:tcBorders>
                    <w:top w:val="single" w:color="auto" w:sz="4" w:space="0"/>
                    <w:left w:val="single" w:color="auto" w:sz="4" w:space="0"/>
                    <w:bottom w:val="single" w:color="auto" w:sz="4" w:space="0"/>
                    <w:right w:val="single" w:color="auto" w:sz="4" w:space="0"/>
                  </w:tcBorders>
                  <w:vAlign w:val="center"/>
                </w:tcPr>
                <w:p w14:paraId="6DDE18DC">
                  <w:pPr>
                    <w:jc w:val="center"/>
                    <w:rPr>
                      <w:color w:val="auto"/>
                      <w:sz w:val="21"/>
                      <w:szCs w:val="21"/>
                    </w:rPr>
                  </w:pPr>
                  <w:r>
                    <w:rPr>
                      <w:color w:val="auto"/>
                      <w:sz w:val="21"/>
                      <w:szCs w:val="21"/>
                    </w:rPr>
                    <w:t>游离水的质量分数（H</w:t>
                  </w:r>
                  <w:r>
                    <w:rPr>
                      <w:color w:val="auto"/>
                      <w:sz w:val="21"/>
                      <w:szCs w:val="21"/>
                      <w:vertAlign w:val="subscript"/>
                    </w:rPr>
                    <w:t>2</w:t>
                  </w:r>
                  <w:r>
                    <w:rPr>
                      <w:color w:val="auto"/>
                      <w:sz w:val="21"/>
                      <w:szCs w:val="21"/>
                    </w:rPr>
                    <w:t>O）</w:t>
                  </w:r>
                  <w:r>
                    <w:rPr>
                      <w:color w:val="auto"/>
                      <w:sz w:val="21"/>
                      <w:szCs w:val="21"/>
                      <w:vertAlign w:val="superscript"/>
                    </w:rPr>
                    <w:t>a</w:t>
                  </w:r>
                  <w:r>
                    <w:rPr>
                      <w:color w:val="auto"/>
                      <w:sz w:val="21"/>
                      <w:szCs w:val="21"/>
                    </w:rPr>
                    <w:t>/%</w:t>
                  </w:r>
                </w:p>
              </w:tc>
              <w:tc>
                <w:tcPr>
                  <w:tcW w:w="1888" w:type="dxa"/>
                  <w:tcBorders>
                    <w:top w:val="single" w:color="auto" w:sz="4" w:space="0"/>
                    <w:left w:val="single" w:color="auto" w:sz="4" w:space="0"/>
                    <w:bottom w:val="single" w:color="auto" w:sz="4" w:space="0"/>
                    <w:right w:val="single" w:color="auto" w:sz="4" w:space="0"/>
                  </w:tcBorders>
                  <w:vAlign w:val="center"/>
                </w:tcPr>
                <w:p w14:paraId="1BC478AA">
                  <w:pPr>
                    <w:jc w:val="center"/>
                    <w:rPr>
                      <w:rFonts w:hint="default" w:eastAsia="宋体"/>
                      <w:color w:val="auto"/>
                      <w:sz w:val="21"/>
                      <w:szCs w:val="21"/>
                      <w:lang w:val="en-US" w:eastAsia="zh-CN"/>
                    </w:rPr>
                  </w:pPr>
                  <w:r>
                    <w:rPr>
                      <w:rFonts w:hint="eastAsia"/>
                      <w:color w:val="auto"/>
                      <w:sz w:val="21"/>
                      <w:szCs w:val="21"/>
                      <w:lang w:val="en-US" w:eastAsia="zh-CN"/>
                    </w:rPr>
                    <w:t>3.8</w:t>
                  </w:r>
                </w:p>
              </w:tc>
              <w:tc>
                <w:tcPr>
                  <w:tcW w:w="2268" w:type="dxa"/>
                  <w:tcBorders>
                    <w:top w:val="single" w:color="auto" w:sz="4" w:space="0"/>
                    <w:left w:val="single" w:color="auto" w:sz="4" w:space="0"/>
                    <w:bottom w:val="single" w:color="auto" w:sz="4" w:space="0"/>
                    <w:right w:val="single" w:color="auto" w:sz="4" w:space="0"/>
                  </w:tcBorders>
                  <w:vAlign w:val="center"/>
                </w:tcPr>
                <w:p w14:paraId="6F848E4C">
                  <w:pPr>
                    <w:jc w:val="center"/>
                    <w:rPr>
                      <w:color w:val="auto"/>
                      <w:sz w:val="21"/>
                      <w:szCs w:val="21"/>
                    </w:rPr>
                  </w:pPr>
                  <w:r>
                    <w:rPr>
                      <w:color w:val="auto"/>
                      <w:sz w:val="21"/>
                      <w:szCs w:val="21"/>
                    </w:rPr>
                    <w:t>≤25</w:t>
                  </w:r>
                </w:p>
              </w:tc>
              <w:tc>
                <w:tcPr>
                  <w:tcW w:w="1184" w:type="dxa"/>
                  <w:tcBorders>
                    <w:top w:val="single" w:color="auto" w:sz="4" w:space="0"/>
                    <w:left w:val="single" w:color="auto" w:sz="4" w:space="0"/>
                    <w:bottom w:val="single" w:color="auto" w:sz="4" w:space="0"/>
                    <w:right w:val="single" w:color="auto" w:sz="4" w:space="0"/>
                  </w:tcBorders>
                  <w:vAlign w:val="center"/>
                </w:tcPr>
                <w:p w14:paraId="71BF5252">
                  <w:pPr>
                    <w:jc w:val="center"/>
                    <w:rPr>
                      <w:color w:val="auto"/>
                      <w:sz w:val="21"/>
                      <w:szCs w:val="21"/>
                    </w:rPr>
                  </w:pPr>
                  <w:r>
                    <w:rPr>
                      <w:color w:val="auto"/>
                      <w:sz w:val="21"/>
                      <w:szCs w:val="21"/>
                    </w:rPr>
                    <w:t>合格</w:t>
                  </w:r>
                </w:p>
              </w:tc>
            </w:tr>
            <w:tr w14:paraId="0EED2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47" w:type="dxa"/>
                  <w:tcBorders>
                    <w:top w:val="single" w:color="auto" w:sz="4" w:space="0"/>
                    <w:left w:val="single" w:color="auto" w:sz="4" w:space="0"/>
                    <w:bottom w:val="single" w:color="auto" w:sz="4" w:space="0"/>
                    <w:right w:val="single" w:color="auto" w:sz="4" w:space="0"/>
                  </w:tcBorders>
                  <w:vAlign w:val="center"/>
                </w:tcPr>
                <w:p w14:paraId="0B7A55DE">
                  <w:pPr>
                    <w:jc w:val="center"/>
                    <w:rPr>
                      <w:color w:val="auto"/>
                      <w:sz w:val="21"/>
                      <w:szCs w:val="21"/>
                    </w:rPr>
                  </w:pPr>
                  <w:r>
                    <w:rPr>
                      <w:color w:val="auto"/>
                      <w:sz w:val="21"/>
                      <w:szCs w:val="21"/>
                    </w:rPr>
                    <w:t>水溶性氟的质量分数（以F计，干基）/%</w:t>
                  </w:r>
                </w:p>
              </w:tc>
              <w:tc>
                <w:tcPr>
                  <w:tcW w:w="1888" w:type="dxa"/>
                  <w:tcBorders>
                    <w:top w:val="single" w:color="auto" w:sz="4" w:space="0"/>
                    <w:left w:val="single" w:color="auto" w:sz="4" w:space="0"/>
                    <w:bottom w:val="single" w:color="auto" w:sz="4" w:space="0"/>
                    <w:right w:val="single" w:color="auto" w:sz="4" w:space="0"/>
                  </w:tcBorders>
                  <w:vAlign w:val="center"/>
                </w:tcPr>
                <w:p w14:paraId="2970B909">
                  <w:pPr>
                    <w:jc w:val="center"/>
                    <w:rPr>
                      <w:rFonts w:hint="default" w:eastAsia="宋体"/>
                      <w:color w:val="auto"/>
                      <w:sz w:val="21"/>
                      <w:szCs w:val="21"/>
                      <w:lang w:val="en-US" w:eastAsia="zh-CN"/>
                    </w:rPr>
                  </w:pPr>
                  <w:r>
                    <w:rPr>
                      <w:rFonts w:hint="eastAsia"/>
                      <w:color w:val="auto"/>
                      <w:sz w:val="21"/>
                      <w:szCs w:val="21"/>
                      <w:lang w:val="en-US" w:eastAsia="zh-CN"/>
                    </w:rPr>
                    <w:t>0.02</w:t>
                  </w:r>
                </w:p>
              </w:tc>
              <w:tc>
                <w:tcPr>
                  <w:tcW w:w="2268" w:type="dxa"/>
                  <w:tcBorders>
                    <w:top w:val="single" w:color="auto" w:sz="4" w:space="0"/>
                    <w:left w:val="single" w:color="auto" w:sz="4" w:space="0"/>
                    <w:bottom w:val="single" w:color="auto" w:sz="4" w:space="0"/>
                    <w:right w:val="single" w:color="auto" w:sz="4" w:space="0"/>
                  </w:tcBorders>
                  <w:vAlign w:val="center"/>
                </w:tcPr>
                <w:p w14:paraId="3688AF8B">
                  <w:pPr>
                    <w:jc w:val="center"/>
                    <w:rPr>
                      <w:color w:val="auto"/>
                      <w:sz w:val="21"/>
                      <w:szCs w:val="21"/>
                    </w:rPr>
                  </w:pPr>
                  <w:r>
                    <w:rPr>
                      <w:color w:val="auto"/>
                      <w:sz w:val="21"/>
                      <w:szCs w:val="21"/>
                    </w:rPr>
                    <w:t>≤0.3</w:t>
                  </w:r>
                </w:p>
              </w:tc>
              <w:tc>
                <w:tcPr>
                  <w:tcW w:w="1184" w:type="dxa"/>
                  <w:tcBorders>
                    <w:top w:val="single" w:color="auto" w:sz="4" w:space="0"/>
                    <w:left w:val="single" w:color="auto" w:sz="4" w:space="0"/>
                    <w:bottom w:val="single" w:color="auto" w:sz="4" w:space="0"/>
                    <w:right w:val="single" w:color="auto" w:sz="4" w:space="0"/>
                  </w:tcBorders>
                  <w:vAlign w:val="center"/>
                </w:tcPr>
                <w:p w14:paraId="76AC0891">
                  <w:pPr>
                    <w:jc w:val="center"/>
                    <w:rPr>
                      <w:color w:val="auto"/>
                      <w:sz w:val="21"/>
                      <w:szCs w:val="21"/>
                    </w:rPr>
                  </w:pPr>
                  <w:r>
                    <w:rPr>
                      <w:color w:val="auto"/>
                      <w:sz w:val="21"/>
                      <w:szCs w:val="21"/>
                    </w:rPr>
                    <w:t>合格</w:t>
                  </w:r>
                </w:p>
              </w:tc>
            </w:tr>
          </w:tbl>
          <w:p w14:paraId="54A2E97B">
            <w:pPr>
              <w:ind w:firstLine="361" w:firstLineChars="150"/>
              <w:jc w:val="center"/>
              <w:rPr>
                <w:b/>
                <w:color w:val="auto"/>
                <w:sz w:val="24"/>
                <w:highlight w:val="yellow"/>
              </w:rPr>
            </w:pPr>
            <w:r>
              <w:rPr>
                <w:b/>
                <w:color w:val="auto"/>
                <w:sz w:val="24"/>
              </w:rPr>
              <w:t>表2-</w:t>
            </w:r>
            <w:r>
              <w:rPr>
                <w:rFonts w:hint="eastAsia"/>
                <w:b/>
                <w:color w:val="auto"/>
                <w:sz w:val="24"/>
                <w:lang w:val="en-US" w:eastAsia="zh-CN"/>
              </w:rPr>
              <w:t>6</w:t>
            </w:r>
            <w:r>
              <w:rPr>
                <w:b/>
                <w:color w:val="auto"/>
                <w:sz w:val="24"/>
              </w:rPr>
              <w:t xml:space="preserve">  </w:t>
            </w:r>
            <w:r>
              <w:rPr>
                <w:rFonts w:hint="eastAsia"/>
                <w:b/>
                <w:color w:val="auto"/>
                <w:sz w:val="24"/>
              </w:rPr>
              <w:t>土壤</w:t>
            </w:r>
            <w:r>
              <w:rPr>
                <w:rFonts w:hint="eastAsia"/>
                <w:b/>
                <w:color w:val="auto"/>
                <w:sz w:val="24"/>
                <w:lang w:val="en-US" w:eastAsia="zh-CN"/>
              </w:rPr>
              <w:t>改良</w:t>
            </w:r>
            <w:r>
              <w:rPr>
                <w:rFonts w:hint="eastAsia"/>
                <w:b/>
                <w:color w:val="auto"/>
                <w:sz w:val="24"/>
              </w:rPr>
              <w:t>剂</w:t>
            </w:r>
            <w:r>
              <w:rPr>
                <w:b/>
                <w:color w:val="auto"/>
                <w:sz w:val="24"/>
              </w:rPr>
              <w:t>检测结果  单位：mg/</w:t>
            </w:r>
            <w:r>
              <w:rPr>
                <w:rFonts w:hint="eastAsia"/>
                <w:b/>
                <w:color w:val="auto"/>
                <w:sz w:val="24"/>
              </w:rPr>
              <w:t>kg</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2"/>
              <w:gridCol w:w="1983"/>
              <w:gridCol w:w="2434"/>
              <w:gridCol w:w="1889"/>
            </w:tblGrid>
            <w:tr w14:paraId="010D8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66" w:type="dxa"/>
                  <w:tcBorders>
                    <w:top w:val="single" w:color="auto" w:sz="4" w:space="0"/>
                    <w:left w:val="single" w:color="auto" w:sz="4" w:space="0"/>
                    <w:right w:val="single" w:color="auto" w:sz="4" w:space="0"/>
                  </w:tcBorders>
                  <w:vAlign w:val="center"/>
                </w:tcPr>
                <w:p w14:paraId="673239DF">
                  <w:pPr>
                    <w:jc w:val="center"/>
                    <w:rPr>
                      <w:color w:val="auto"/>
                      <w:sz w:val="21"/>
                      <w:szCs w:val="21"/>
                    </w:rPr>
                  </w:pPr>
                  <w:r>
                    <w:rPr>
                      <w:rFonts w:hint="eastAsia"/>
                      <w:color w:val="auto"/>
                      <w:sz w:val="21"/>
                      <w:szCs w:val="21"/>
                    </w:rPr>
                    <w:t>检测</w:t>
                  </w:r>
                  <w:r>
                    <w:rPr>
                      <w:color w:val="auto"/>
                      <w:sz w:val="21"/>
                      <w:szCs w:val="21"/>
                    </w:rPr>
                    <w:t>项目</w:t>
                  </w:r>
                </w:p>
              </w:tc>
              <w:tc>
                <w:tcPr>
                  <w:tcW w:w="1690" w:type="dxa"/>
                  <w:tcBorders>
                    <w:top w:val="single" w:color="auto" w:sz="4" w:space="0"/>
                    <w:left w:val="single" w:color="auto" w:sz="4" w:space="0"/>
                    <w:bottom w:val="single" w:color="auto" w:sz="4" w:space="0"/>
                    <w:right w:val="single" w:color="auto" w:sz="4" w:space="0"/>
                  </w:tcBorders>
                  <w:vAlign w:val="center"/>
                </w:tcPr>
                <w:p w14:paraId="7C0AFD81">
                  <w:pPr>
                    <w:jc w:val="center"/>
                    <w:rPr>
                      <w:rFonts w:hint="eastAsia" w:eastAsia="宋体"/>
                      <w:color w:val="auto"/>
                      <w:sz w:val="21"/>
                      <w:szCs w:val="21"/>
                      <w:lang w:eastAsia="zh-CN"/>
                    </w:rPr>
                  </w:pPr>
                  <w:r>
                    <w:rPr>
                      <w:rFonts w:hint="eastAsia"/>
                      <w:color w:val="auto"/>
                      <w:sz w:val="21"/>
                      <w:szCs w:val="21"/>
                      <w:lang w:val="en-US" w:eastAsia="zh-CN"/>
                    </w:rPr>
                    <w:t>检测结果</w:t>
                  </w:r>
                </w:p>
              </w:tc>
              <w:tc>
                <w:tcPr>
                  <w:tcW w:w="2075" w:type="dxa"/>
                  <w:tcBorders>
                    <w:top w:val="single" w:color="auto" w:sz="4" w:space="0"/>
                    <w:left w:val="single" w:color="auto" w:sz="4" w:space="0"/>
                    <w:right w:val="single" w:color="auto" w:sz="4" w:space="0"/>
                  </w:tcBorders>
                  <w:vAlign w:val="center"/>
                </w:tcPr>
                <w:p w14:paraId="298B158A">
                  <w:pPr>
                    <w:jc w:val="center"/>
                    <w:rPr>
                      <w:color w:val="auto"/>
                      <w:sz w:val="21"/>
                      <w:szCs w:val="21"/>
                    </w:rPr>
                  </w:pPr>
                  <w:r>
                    <w:rPr>
                      <w:rFonts w:hint="eastAsia"/>
                      <w:bCs/>
                      <w:color w:val="auto"/>
                      <w:sz w:val="21"/>
                      <w:szCs w:val="21"/>
                    </w:rPr>
                    <w:t>《肥料中有毒有害物质的限量要求》（GB 38400-2019）</w:t>
                  </w:r>
                </w:p>
              </w:tc>
              <w:tc>
                <w:tcPr>
                  <w:tcW w:w="1610" w:type="dxa"/>
                  <w:tcBorders>
                    <w:top w:val="single" w:color="auto" w:sz="4" w:space="0"/>
                    <w:left w:val="single" w:color="auto" w:sz="4" w:space="0"/>
                    <w:right w:val="single" w:color="auto" w:sz="4" w:space="0"/>
                  </w:tcBorders>
                  <w:vAlign w:val="center"/>
                </w:tcPr>
                <w:p w14:paraId="4F21409A">
                  <w:pPr>
                    <w:jc w:val="center"/>
                    <w:rPr>
                      <w:color w:val="auto"/>
                      <w:sz w:val="21"/>
                      <w:szCs w:val="21"/>
                    </w:rPr>
                  </w:pPr>
                  <w:r>
                    <w:rPr>
                      <w:color w:val="auto"/>
                      <w:sz w:val="21"/>
                      <w:szCs w:val="21"/>
                    </w:rPr>
                    <w:t>达标情况</w:t>
                  </w:r>
                </w:p>
              </w:tc>
            </w:tr>
            <w:tr w14:paraId="06CF2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66" w:type="dxa"/>
                  <w:tcBorders>
                    <w:top w:val="single" w:color="auto" w:sz="4" w:space="0"/>
                    <w:left w:val="single" w:color="auto" w:sz="4" w:space="0"/>
                    <w:bottom w:val="single" w:color="auto" w:sz="4" w:space="0"/>
                    <w:right w:val="single" w:color="auto" w:sz="4" w:space="0"/>
                  </w:tcBorders>
                  <w:vAlign w:val="center"/>
                </w:tcPr>
                <w:p w14:paraId="4CC9128E">
                  <w:pPr>
                    <w:jc w:val="center"/>
                    <w:rPr>
                      <w:color w:val="auto"/>
                      <w:sz w:val="21"/>
                      <w:szCs w:val="21"/>
                    </w:rPr>
                  </w:pPr>
                  <w:r>
                    <w:rPr>
                      <w:rFonts w:hint="eastAsia"/>
                      <w:color w:val="auto"/>
                      <w:sz w:val="21"/>
                      <w:szCs w:val="21"/>
                    </w:rPr>
                    <w:t>砷</w:t>
                  </w:r>
                </w:p>
              </w:tc>
              <w:tc>
                <w:tcPr>
                  <w:tcW w:w="1690" w:type="dxa"/>
                  <w:tcBorders>
                    <w:top w:val="single" w:color="auto" w:sz="4" w:space="0"/>
                    <w:left w:val="single" w:color="auto" w:sz="4" w:space="0"/>
                    <w:bottom w:val="single" w:color="auto" w:sz="4" w:space="0"/>
                    <w:right w:val="single" w:color="auto" w:sz="4" w:space="0"/>
                  </w:tcBorders>
                  <w:vAlign w:val="center"/>
                </w:tcPr>
                <w:p w14:paraId="3601B494">
                  <w:pPr>
                    <w:jc w:val="center"/>
                    <w:rPr>
                      <w:rFonts w:hint="default" w:eastAsia="宋体"/>
                      <w:color w:val="auto"/>
                      <w:sz w:val="21"/>
                      <w:szCs w:val="21"/>
                      <w:lang w:val="en-US" w:eastAsia="zh-CN"/>
                    </w:rPr>
                  </w:pPr>
                  <w:r>
                    <w:rPr>
                      <w:rFonts w:hint="eastAsia"/>
                      <w:color w:val="auto"/>
                      <w:sz w:val="21"/>
                      <w:szCs w:val="21"/>
                      <w:lang w:val="en-US" w:eastAsia="zh-CN"/>
                    </w:rPr>
                    <w:t>9.0</w:t>
                  </w:r>
                </w:p>
              </w:tc>
              <w:tc>
                <w:tcPr>
                  <w:tcW w:w="2075" w:type="dxa"/>
                  <w:tcBorders>
                    <w:top w:val="single" w:color="auto" w:sz="4" w:space="0"/>
                    <w:left w:val="single" w:color="auto" w:sz="4" w:space="0"/>
                    <w:bottom w:val="single" w:color="auto" w:sz="4" w:space="0"/>
                    <w:right w:val="single" w:color="auto" w:sz="4" w:space="0"/>
                  </w:tcBorders>
                  <w:vAlign w:val="center"/>
                </w:tcPr>
                <w:p w14:paraId="12D59243">
                  <w:pPr>
                    <w:jc w:val="center"/>
                    <w:rPr>
                      <w:color w:val="auto"/>
                      <w:sz w:val="21"/>
                      <w:szCs w:val="21"/>
                    </w:rPr>
                  </w:pPr>
                  <w:r>
                    <w:rPr>
                      <w:color w:val="auto"/>
                      <w:sz w:val="21"/>
                      <w:szCs w:val="21"/>
                    </w:rPr>
                    <w:t>≤</w:t>
                  </w:r>
                  <w:r>
                    <w:rPr>
                      <w:rFonts w:hint="eastAsia"/>
                      <w:color w:val="auto"/>
                      <w:sz w:val="21"/>
                      <w:szCs w:val="21"/>
                    </w:rPr>
                    <w:t>15</w:t>
                  </w:r>
                </w:p>
              </w:tc>
              <w:tc>
                <w:tcPr>
                  <w:tcW w:w="1610" w:type="dxa"/>
                  <w:tcBorders>
                    <w:top w:val="single" w:color="auto" w:sz="4" w:space="0"/>
                    <w:left w:val="single" w:color="auto" w:sz="4" w:space="0"/>
                    <w:bottom w:val="single" w:color="auto" w:sz="4" w:space="0"/>
                    <w:right w:val="single" w:color="auto" w:sz="4" w:space="0"/>
                  </w:tcBorders>
                  <w:vAlign w:val="center"/>
                </w:tcPr>
                <w:p w14:paraId="124C9BD4">
                  <w:pPr>
                    <w:jc w:val="center"/>
                    <w:rPr>
                      <w:color w:val="auto"/>
                      <w:sz w:val="21"/>
                      <w:szCs w:val="21"/>
                    </w:rPr>
                  </w:pPr>
                  <w:r>
                    <w:rPr>
                      <w:color w:val="auto"/>
                      <w:sz w:val="21"/>
                      <w:szCs w:val="21"/>
                    </w:rPr>
                    <w:t>达标</w:t>
                  </w:r>
                </w:p>
              </w:tc>
            </w:tr>
            <w:tr w14:paraId="15D9D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66" w:type="dxa"/>
                  <w:tcBorders>
                    <w:top w:val="single" w:color="auto" w:sz="4" w:space="0"/>
                    <w:left w:val="single" w:color="auto" w:sz="4" w:space="0"/>
                    <w:bottom w:val="single" w:color="auto" w:sz="4" w:space="0"/>
                    <w:right w:val="single" w:color="auto" w:sz="4" w:space="0"/>
                  </w:tcBorders>
                  <w:vAlign w:val="center"/>
                </w:tcPr>
                <w:p w14:paraId="751A50F9">
                  <w:pPr>
                    <w:jc w:val="center"/>
                    <w:rPr>
                      <w:color w:val="auto"/>
                      <w:sz w:val="21"/>
                      <w:szCs w:val="21"/>
                    </w:rPr>
                  </w:pPr>
                  <w:r>
                    <w:rPr>
                      <w:color w:val="auto"/>
                      <w:sz w:val="21"/>
                      <w:szCs w:val="21"/>
                    </w:rPr>
                    <w:t>镉</w:t>
                  </w:r>
                </w:p>
              </w:tc>
              <w:tc>
                <w:tcPr>
                  <w:tcW w:w="1690" w:type="dxa"/>
                  <w:tcBorders>
                    <w:top w:val="single" w:color="auto" w:sz="4" w:space="0"/>
                    <w:left w:val="single" w:color="auto" w:sz="4" w:space="0"/>
                    <w:bottom w:val="single" w:color="auto" w:sz="4" w:space="0"/>
                    <w:right w:val="single" w:color="auto" w:sz="4" w:space="0"/>
                  </w:tcBorders>
                  <w:vAlign w:val="center"/>
                </w:tcPr>
                <w:p w14:paraId="46B86626">
                  <w:pPr>
                    <w:jc w:val="center"/>
                    <w:rPr>
                      <w:rFonts w:hint="default" w:eastAsia="宋体"/>
                      <w:color w:val="auto"/>
                      <w:sz w:val="21"/>
                      <w:szCs w:val="21"/>
                      <w:lang w:val="en-US" w:eastAsia="zh-CN"/>
                    </w:rPr>
                  </w:pPr>
                  <w:r>
                    <w:rPr>
                      <w:rFonts w:hint="eastAsia"/>
                      <w:color w:val="auto"/>
                      <w:sz w:val="21"/>
                      <w:szCs w:val="21"/>
                      <w:highlight w:val="none"/>
                      <w:lang w:val="en-US" w:eastAsia="zh-CN"/>
                    </w:rPr>
                    <w:t>2.4</w:t>
                  </w:r>
                </w:p>
              </w:tc>
              <w:tc>
                <w:tcPr>
                  <w:tcW w:w="2075" w:type="dxa"/>
                  <w:tcBorders>
                    <w:top w:val="single" w:color="auto" w:sz="4" w:space="0"/>
                    <w:left w:val="single" w:color="auto" w:sz="4" w:space="0"/>
                    <w:bottom w:val="single" w:color="auto" w:sz="4" w:space="0"/>
                    <w:right w:val="single" w:color="auto" w:sz="4" w:space="0"/>
                  </w:tcBorders>
                  <w:vAlign w:val="center"/>
                </w:tcPr>
                <w:p w14:paraId="5A0D7405">
                  <w:pPr>
                    <w:jc w:val="center"/>
                    <w:rPr>
                      <w:color w:val="auto"/>
                      <w:sz w:val="21"/>
                      <w:szCs w:val="21"/>
                    </w:rPr>
                  </w:pPr>
                  <w:r>
                    <w:rPr>
                      <w:color w:val="auto"/>
                      <w:sz w:val="21"/>
                      <w:szCs w:val="21"/>
                    </w:rPr>
                    <w:t>≤</w:t>
                  </w:r>
                  <w:r>
                    <w:rPr>
                      <w:rFonts w:hint="eastAsia"/>
                      <w:color w:val="auto"/>
                      <w:sz w:val="21"/>
                      <w:szCs w:val="21"/>
                    </w:rPr>
                    <w:t>3</w:t>
                  </w:r>
                </w:p>
              </w:tc>
              <w:tc>
                <w:tcPr>
                  <w:tcW w:w="1610" w:type="dxa"/>
                  <w:tcBorders>
                    <w:top w:val="single" w:color="auto" w:sz="4" w:space="0"/>
                    <w:left w:val="single" w:color="auto" w:sz="4" w:space="0"/>
                    <w:bottom w:val="single" w:color="auto" w:sz="4" w:space="0"/>
                    <w:right w:val="single" w:color="auto" w:sz="4" w:space="0"/>
                  </w:tcBorders>
                  <w:vAlign w:val="center"/>
                </w:tcPr>
                <w:p w14:paraId="0AC10849">
                  <w:pPr>
                    <w:jc w:val="center"/>
                    <w:rPr>
                      <w:color w:val="auto"/>
                      <w:sz w:val="21"/>
                      <w:szCs w:val="21"/>
                    </w:rPr>
                  </w:pPr>
                  <w:r>
                    <w:rPr>
                      <w:color w:val="auto"/>
                      <w:sz w:val="21"/>
                      <w:szCs w:val="21"/>
                    </w:rPr>
                    <w:t>达标</w:t>
                  </w:r>
                </w:p>
              </w:tc>
            </w:tr>
            <w:tr w14:paraId="0CEB5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66" w:type="dxa"/>
                  <w:tcBorders>
                    <w:top w:val="single" w:color="auto" w:sz="4" w:space="0"/>
                    <w:left w:val="single" w:color="auto" w:sz="4" w:space="0"/>
                    <w:bottom w:val="single" w:color="auto" w:sz="4" w:space="0"/>
                    <w:right w:val="single" w:color="auto" w:sz="4" w:space="0"/>
                  </w:tcBorders>
                  <w:vAlign w:val="center"/>
                </w:tcPr>
                <w:p w14:paraId="0065CF2F">
                  <w:pPr>
                    <w:jc w:val="center"/>
                    <w:rPr>
                      <w:color w:val="auto"/>
                      <w:sz w:val="21"/>
                      <w:szCs w:val="21"/>
                    </w:rPr>
                  </w:pPr>
                  <w:r>
                    <w:rPr>
                      <w:color w:val="auto"/>
                      <w:sz w:val="21"/>
                      <w:szCs w:val="21"/>
                    </w:rPr>
                    <w:t>铅</w:t>
                  </w:r>
                </w:p>
              </w:tc>
              <w:tc>
                <w:tcPr>
                  <w:tcW w:w="1690" w:type="dxa"/>
                  <w:tcBorders>
                    <w:top w:val="single" w:color="auto" w:sz="4" w:space="0"/>
                    <w:left w:val="single" w:color="auto" w:sz="4" w:space="0"/>
                    <w:bottom w:val="single" w:color="auto" w:sz="4" w:space="0"/>
                    <w:right w:val="single" w:color="auto" w:sz="4" w:space="0"/>
                  </w:tcBorders>
                  <w:vAlign w:val="center"/>
                </w:tcPr>
                <w:p w14:paraId="26FE6776">
                  <w:pPr>
                    <w:jc w:val="center"/>
                    <w:rPr>
                      <w:rFonts w:hint="default" w:eastAsia="宋体"/>
                      <w:color w:val="auto"/>
                      <w:sz w:val="21"/>
                      <w:szCs w:val="21"/>
                      <w:lang w:val="en-US" w:eastAsia="zh-CN"/>
                    </w:rPr>
                  </w:pPr>
                  <w:r>
                    <w:rPr>
                      <w:rFonts w:hint="eastAsia"/>
                      <w:color w:val="auto"/>
                      <w:sz w:val="21"/>
                      <w:szCs w:val="21"/>
                      <w:highlight w:val="none"/>
                      <w:lang w:val="en-US" w:eastAsia="zh-CN"/>
                    </w:rPr>
                    <w:t>28</w:t>
                  </w:r>
                </w:p>
              </w:tc>
              <w:tc>
                <w:tcPr>
                  <w:tcW w:w="2075" w:type="dxa"/>
                  <w:tcBorders>
                    <w:top w:val="single" w:color="auto" w:sz="4" w:space="0"/>
                    <w:left w:val="single" w:color="auto" w:sz="4" w:space="0"/>
                    <w:bottom w:val="single" w:color="auto" w:sz="4" w:space="0"/>
                    <w:right w:val="single" w:color="auto" w:sz="4" w:space="0"/>
                  </w:tcBorders>
                  <w:vAlign w:val="center"/>
                </w:tcPr>
                <w:p w14:paraId="4E063C7E">
                  <w:pPr>
                    <w:jc w:val="center"/>
                    <w:rPr>
                      <w:color w:val="auto"/>
                      <w:sz w:val="21"/>
                      <w:szCs w:val="21"/>
                    </w:rPr>
                  </w:pPr>
                  <w:r>
                    <w:rPr>
                      <w:color w:val="auto"/>
                      <w:sz w:val="21"/>
                      <w:szCs w:val="21"/>
                    </w:rPr>
                    <w:t>≤</w:t>
                  </w:r>
                  <w:r>
                    <w:rPr>
                      <w:rFonts w:hint="eastAsia"/>
                      <w:color w:val="auto"/>
                      <w:sz w:val="21"/>
                      <w:szCs w:val="21"/>
                    </w:rPr>
                    <w:t>50</w:t>
                  </w:r>
                </w:p>
              </w:tc>
              <w:tc>
                <w:tcPr>
                  <w:tcW w:w="1610" w:type="dxa"/>
                  <w:tcBorders>
                    <w:top w:val="single" w:color="auto" w:sz="4" w:space="0"/>
                    <w:left w:val="single" w:color="auto" w:sz="4" w:space="0"/>
                    <w:bottom w:val="single" w:color="auto" w:sz="4" w:space="0"/>
                    <w:right w:val="single" w:color="auto" w:sz="4" w:space="0"/>
                  </w:tcBorders>
                  <w:vAlign w:val="center"/>
                </w:tcPr>
                <w:p w14:paraId="0666D815">
                  <w:pPr>
                    <w:jc w:val="center"/>
                    <w:rPr>
                      <w:color w:val="auto"/>
                      <w:sz w:val="21"/>
                      <w:szCs w:val="21"/>
                    </w:rPr>
                  </w:pPr>
                  <w:r>
                    <w:rPr>
                      <w:color w:val="auto"/>
                      <w:sz w:val="21"/>
                      <w:szCs w:val="21"/>
                    </w:rPr>
                    <w:t>达标</w:t>
                  </w:r>
                </w:p>
              </w:tc>
            </w:tr>
            <w:tr w14:paraId="03DBC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66" w:type="dxa"/>
                  <w:tcBorders>
                    <w:top w:val="single" w:color="auto" w:sz="4" w:space="0"/>
                    <w:left w:val="single" w:color="auto" w:sz="4" w:space="0"/>
                    <w:bottom w:val="single" w:color="auto" w:sz="4" w:space="0"/>
                    <w:right w:val="single" w:color="auto" w:sz="4" w:space="0"/>
                  </w:tcBorders>
                  <w:vAlign w:val="center"/>
                </w:tcPr>
                <w:p w14:paraId="174A0C62">
                  <w:pPr>
                    <w:jc w:val="center"/>
                    <w:rPr>
                      <w:color w:val="auto"/>
                      <w:sz w:val="21"/>
                      <w:szCs w:val="21"/>
                    </w:rPr>
                  </w:pPr>
                  <w:r>
                    <w:rPr>
                      <w:color w:val="auto"/>
                      <w:sz w:val="21"/>
                      <w:szCs w:val="21"/>
                    </w:rPr>
                    <w:t>总铬</w:t>
                  </w:r>
                </w:p>
              </w:tc>
              <w:tc>
                <w:tcPr>
                  <w:tcW w:w="1690" w:type="dxa"/>
                  <w:tcBorders>
                    <w:top w:val="single" w:color="auto" w:sz="4" w:space="0"/>
                    <w:left w:val="single" w:color="auto" w:sz="4" w:space="0"/>
                    <w:bottom w:val="single" w:color="auto" w:sz="4" w:space="0"/>
                    <w:right w:val="single" w:color="auto" w:sz="4" w:space="0"/>
                  </w:tcBorders>
                  <w:vAlign w:val="center"/>
                </w:tcPr>
                <w:p w14:paraId="084BB43A">
                  <w:pPr>
                    <w:jc w:val="center"/>
                    <w:rPr>
                      <w:rFonts w:hint="default" w:eastAsia="宋体"/>
                      <w:color w:val="auto"/>
                      <w:sz w:val="21"/>
                      <w:szCs w:val="21"/>
                      <w:lang w:val="en-US" w:eastAsia="zh-CN"/>
                    </w:rPr>
                  </w:pPr>
                  <w:r>
                    <w:rPr>
                      <w:rFonts w:hint="eastAsia"/>
                      <w:color w:val="auto"/>
                      <w:sz w:val="21"/>
                      <w:szCs w:val="21"/>
                      <w:lang w:val="en-US" w:eastAsia="zh-CN"/>
                    </w:rPr>
                    <w:t>9.0</w:t>
                  </w:r>
                </w:p>
              </w:tc>
              <w:tc>
                <w:tcPr>
                  <w:tcW w:w="2075" w:type="dxa"/>
                  <w:tcBorders>
                    <w:top w:val="single" w:color="auto" w:sz="4" w:space="0"/>
                    <w:left w:val="single" w:color="auto" w:sz="4" w:space="0"/>
                    <w:bottom w:val="single" w:color="auto" w:sz="4" w:space="0"/>
                    <w:right w:val="single" w:color="auto" w:sz="4" w:space="0"/>
                  </w:tcBorders>
                  <w:vAlign w:val="center"/>
                </w:tcPr>
                <w:p w14:paraId="6A3D5855">
                  <w:pPr>
                    <w:jc w:val="center"/>
                    <w:rPr>
                      <w:color w:val="auto"/>
                      <w:sz w:val="21"/>
                      <w:szCs w:val="21"/>
                    </w:rPr>
                  </w:pPr>
                  <w:r>
                    <w:rPr>
                      <w:color w:val="auto"/>
                      <w:sz w:val="21"/>
                      <w:szCs w:val="21"/>
                    </w:rPr>
                    <w:t>≤</w:t>
                  </w:r>
                  <w:r>
                    <w:rPr>
                      <w:rFonts w:hint="eastAsia"/>
                      <w:color w:val="auto"/>
                      <w:sz w:val="21"/>
                      <w:szCs w:val="21"/>
                    </w:rPr>
                    <w:t>150</w:t>
                  </w:r>
                </w:p>
              </w:tc>
              <w:tc>
                <w:tcPr>
                  <w:tcW w:w="1610" w:type="dxa"/>
                  <w:tcBorders>
                    <w:top w:val="single" w:color="auto" w:sz="4" w:space="0"/>
                    <w:left w:val="single" w:color="auto" w:sz="4" w:space="0"/>
                    <w:bottom w:val="single" w:color="auto" w:sz="4" w:space="0"/>
                    <w:right w:val="single" w:color="auto" w:sz="4" w:space="0"/>
                  </w:tcBorders>
                  <w:vAlign w:val="center"/>
                </w:tcPr>
                <w:p w14:paraId="161E9711">
                  <w:pPr>
                    <w:jc w:val="center"/>
                    <w:rPr>
                      <w:color w:val="auto"/>
                      <w:sz w:val="21"/>
                      <w:szCs w:val="21"/>
                    </w:rPr>
                  </w:pPr>
                  <w:r>
                    <w:rPr>
                      <w:color w:val="auto"/>
                      <w:sz w:val="21"/>
                      <w:szCs w:val="21"/>
                    </w:rPr>
                    <w:t>达标</w:t>
                  </w:r>
                </w:p>
              </w:tc>
            </w:tr>
            <w:tr w14:paraId="57F04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66" w:type="dxa"/>
                  <w:tcBorders>
                    <w:top w:val="single" w:color="auto" w:sz="4" w:space="0"/>
                    <w:left w:val="single" w:color="auto" w:sz="4" w:space="0"/>
                    <w:bottom w:val="single" w:color="auto" w:sz="4" w:space="0"/>
                    <w:right w:val="single" w:color="auto" w:sz="4" w:space="0"/>
                  </w:tcBorders>
                  <w:vAlign w:val="center"/>
                </w:tcPr>
                <w:p w14:paraId="1085AF37">
                  <w:pPr>
                    <w:jc w:val="center"/>
                    <w:rPr>
                      <w:color w:val="auto"/>
                      <w:sz w:val="21"/>
                      <w:szCs w:val="21"/>
                    </w:rPr>
                  </w:pPr>
                  <w:r>
                    <w:rPr>
                      <w:rFonts w:hint="eastAsia"/>
                      <w:color w:val="auto"/>
                      <w:sz w:val="21"/>
                      <w:szCs w:val="21"/>
                    </w:rPr>
                    <w:t>汞</w:t>
                  </w:r>
                </w:p>
              </w:tc>
              <w:tc>
                <w:tcPr>
                  <w:tcW w:w="1690" w:type="dxa"/>
                  <w:tcBorders>
                    <w:top w:val="single" w:color="auto" w:sz="4" w:space="0"/>
                    <w:left w:val="single" w:color="auto" w:sz="4" w:space="0"/>
                    <w:bottom w:val="single" w:color="auto" w:sz="4" w:space="0"/>
                    <w:right w:val="single" w:color="auto" w:sz="4" w:space="0"/>
                  </w:tcBorders>
                  <w:vAlign w:val="center"/>
                </w:tcPr>
                <w:p w14:paraId="07502F99">
                  <w:pPr>
                    <w:jc w:val="center"/>
                    <w:rPr>
                      <w:rFonts w:hint="default" w:eastAsia="宋体"/>
                      <w:color w:val="auto"/>
                      <w:sz w:val="21"/>
                      <w:szCs w:val="21"/>
                      <w:lang w:val="en-US" w:eastAsia="zh-CN"/>
                    </w:rPr>
                  </w:pPr>
                  <w:r>
                    <w:rPr>
                      <w:rFonts w:hint="eastAsia"/>
                      <w:color w:val="auto"/>
                      <w:sz w:val="21"/>
                      <w:szCs w:val="21"/>
                      <w:lang w:val="en-US" w:eastAsia="zh-CN"/>
                    </w:rPr>
                    <w:t>0.6</w:t>
                  </w:r>
                </w:p>
              </w:tc>
              <w:tc>
                <w:tcPr>
                  <w:tcW w:w="2075" w:type="dxa"/>
                  <w:tcBorders>
                    <w:top w:val="single" w:color="auto" w:sz="4" w:space="0"/>
                    <w:left w:val="single" w:color="auto" w:sz="4" w:space="0"/>
                    <w:bottom w:val="single" w:color="auto" w:sz="4" w:space="0"/>
                    <w:right w:val="single" w:color="auto" w:sz="4" w:space="0"/>
                  </w:tcBorders>
                  <w:vAlign w:val="center"/>
                </w:tcPr>
                <w:p w14:paraId="32A43F83">
                  <w:pPr>
                    <w:jc w:val="center"/>
                    <w:rPr>
                      <w:color w:val="auto"/>
                      <w:sz w:val="21"/>
                      <w:szCs w:val="21"/>
                    </w:rPr>
                  </w:pPr>
                  <w:r>
                    <w:rPr>
                      <w:color w:val="auto"/>
                      <w:sz w:val="21"/>
                      <w:szCs w:val="21"/>
                    </w:rPr>
                    <w:t>≤</w:t>
                  </w:r>
                  <w:r>
                    <w:rPr>
                      <w:rFonts w:hint="eastAsia"/>
                      <w:color w:val="auto"/>
                      <w:sz w:val="21"/>
                      <w:szCs w:val="21"/>
                    </w:rPr>
                    <w:t>2</w:t>
                  </w:r>
                </w:p>
              </w:tc>
              <w:tc>
                <w:tcPr>
                  <w:tcW w:w="1610" w:type="dxa"/>
                  <w:tcBorders>
                    <w:top w:val="single" w:color="auto" w:sz="4" w:space="0"/>
                    <w:left w:val="single" w:color="auto" w:sz="4" w:space="0"/>
                    <w:bottom w:val="single" w:color="auto" w:sz="4" w:space="0"/>
                    <w:right w:val="single" w:color="auto" w:sz="4" w:space="0"/>
                  </w:tcBorders>
                  <w:vAlign w:val="center"/>
                </w:tcPr>
                <w:p w14:paraId="16FEE034">
                  <w:pPr>
                    <w:jc w:val="center"/>
                    <w:rPr>
                      <w:color w:val="auto"/>
                      <w:sz w:val="21"/>
                      <w:szCs w:val="21"/>
                    </w:rPr>
                  </w:pPr>
                  <w:r>
                    <w:rPr>
                      <w:color w:val="auto"/>
                      <w:sz w:val="21"/>
                      <w:szCs w:val="21"/>
                    </w:rPr>
                    <w:t>达标</w:t>
                  </w:r>
                </w:p>
              </w:tc>
            </w:tr>
          </w:tbl>
          <w:p w14:paraId="6BFB6C6C">
            <w:pPr>
              <w:spacing w:line="360" w:lineRule="auto"/>
              <w:ind w:firstLine="360" w:firstLineChars="150"/>
              <w:rPr>
                <w:rFonts w:ascii="宋体" w:hAnsi="宋体" w:cs="宋体"/>
                <w:bCs/>
                <w:color w:val="auto"/>
                <w:sz w:val="24"/>
              </w:rPr>
            </w:pPr>
            <w:r>
              <w:rPr>
                <w:rFonts w:hint="eastAsia"/>
                <w:bCs/>
                <w:color w:val="auto"/>
                <w:sz w:val="24"/>
              </w:rPr>
              <w:t>根据上列检测结果，</w:t>
            </w:r>
            <w:r>
              <w:rPr>
                <w:rFonts w:hint="eastAsia"/>
                <w:bCs/>
                <w:color w:val="auto"/>
                <w:sz w:val="24"/>
                <w:lang w:eastAsia="zh-CN"/>
              </w:rPr>
              <w:t>云南常青树化工有限公司</w:t>
            </w:r>
            <w:r>
              <w:rPr>
                <w:rFonts w:hint="eastAsia"/>
                <w:bCs/>
                <w:color w:val="auto"/>
                <w:sz w:val="24"/>
              </w:rPr>
              <w:t>土壤</w:t>
            </w:r>
            <w:r>
              <w:rPr>
                <w:rFonts w:hint="eastAsia"/>
                <w:bCs/>
                <w:color w:val="auto"/>
                <w:sz w:val="24"/>
                <w:lang w:val="en-US" w:eastAsia="zh-CN"/>
              </w:rPr>
              <w:t>改良</w:t>
            </w:r>
            <w:r>
              <w:rPr>
                <w:rFonts w:hint="eastAsia"/>
                <w:bCs/>
                <w:color w:val="auto"/>
                <w:sz w:val="24"/>
              </w:rPr>
              <w:t>剂满足</w:t>
            </w:r>
            <w:r>
              <w:rPr>
                <w:bCs/>
                <w:color w:val="auto"/>
                <w:sz w:val="24"/>
              </w:rPr>
              <w:t>《磷石膏土壤调理剂》（HG/T 4219-2011）相关要求，</w:t>
            </w:r>
            <w:r>
              <w:rPr>
                <w:rFonts w:hint="eastAsia"/>
                <w:bCs/>
                <w:color w:val="auto"/>
                <w:sz w:val="24"/>
              </w:rPr>
              <w:t>砷、镉、铅、铬、汞含量符合《肥料中有毒有害物质的限量要求》（GB 38400-2019）中其他肥料的含量限值要求。</w:t>
            </w:r>
            <w:r>
              <w:rPr>
                <w:bCs/>
                <w:color w:val="auto"/>
                <w:sz w:val="24"/>
              </w:rPr>
              <w:t>本环评提出，产品土壤</w:t>
            </w:r>
            <w:r>
              <w:rPr>
                <w:rFonts w:hint="eastAsia" w:ascii="Times New Roman" w:hAnsi="Times New Roman"/>
                <w:color w:val="auto"/>
                <w:kern w:val="2"/>
                <w:sz w:val="24"/>
                <w:szCs w:val="24"/>
                <w:lang w:val="en-US" w:eastAsia="zh-CN"/>
              </w:rPr>
              <w:t>改良</w:t>
            </w:r>
            <w:r>
              <w:rPr>
                <w:bCs/>
                <w:color w:val="auto"/>
                <w:sz w:val="24"/>
              </w:rPr>
              <w:t>剂出厂前</w:t>
            </w:r>
            <w:r>
              <w:rPr>
                <w:rFonts w:hint="eastAsia"/>
                <w:bCs/>
                <w:color w:val="auto"/>
                <w:sz w:val="24"/>
                <w:lang w:eastAsia="zh-CN"/>
              </w:rPr>
              <w:t>云南常青树化工有限公司</w:t>
            </w:r>
            <w:r>
              <w:rPr>
                <w:rFonts w:hint="eastAsia"/>
                <w:bCs/>
                <w:color w:val="auto"/>
                <w:sz w:val="24"/>
              </w:rPr>
              <w:t>按</w:t>
            </w:r>
            <w:r>
              <w:rPr>
                <w:bCs/>
                <w:color w:val="auto"/>
                <w:sz w:val="24"/>
              </w:rPr>
              <w:t>《磷石膏土壤调理剂》（HG/T 4219-2011）相关要求检测，并</w:t>
            </w:r>
            <w:r>
              <w:rPr>
                <w:rFonts w:hint="eastAsia" w:ascii="宋体" w:hAnsi="宋体" w:cs="宋体"/>
                <w:bCs/>
                <w:color w:val="auto"/>
                <w:sz w:val="24"/>
              </w:rPr>
              <w:t>且符合上述土壤</w:t>
            </w:r>
            <w:r>
              <w:rPr>
                <w:rFonts w:hint="eastAsia" w:ascii="宋体" w:hAnsi="宋体" w:cs="宋体"/>
                <w:bCs/>
                <w:color w:val="auto"/>
                <w:sz w:val="24"/>
                <w:lang w:val="en-US" w:eastAsia="zh-CN"/>
              </w:rPr>
              <w:t>改良</w:t>
            </w:r>
            <w:r>
              <w:rPr>
                <w:rFonts w:hint="eastAsia" w:ascii="宋体" w:hAnsi="宋体" w:cs="宋体"/>
                <w:bCs/>
                <w:color w:val="auto"/>
                <w:sz w:val="24"/>
              </w:rPr>
              <w:t>剂产品质量指标后，方能外售。</w:t>
            </w:r>
          </w:p>
          <w:p w14:paraId="722149C9">
            <w:pPr>
              <w:autoSpaceDE w:val="0"/>
              <w:autoSpaceDN w:val="0"/>
              <w:spacing w:line="360" w:lineRule="auto"/>
              <w:ind w:firstLine="480" w:firstLineChars="200"/>
              <w:jc w:val="left"/>
              <w:rPr>
                <w:rFonts w:ascii="宋体" w:hAnsi="宋体" w:cs="宋体"/>
                <w:bCs/>
                <w:color w:val="auto"/>
                <w:sz w:val="24"/>
              </w:rPr>
            </w:pPr>
            <w:r>
              <w:rPr>
                <w:rFonts w:hint="eastAsia" w:ascii="宋体" w:hAnsi="宋体" w:cs="宋体"/>
                <w:bCs/>
                <w:color w:val="auto"/>
                <w:sz w:val="24"/>
              </w:rPr>
              <w:t>②路基材料</w:t>
            </w:r>
          </w:p>
          <w:p w14:paraId="7BF9E829">
            <w:pPr>
              <w:autoSpaceDE w:val="0"/>
              <w:autoSpaceDN w:val="0"/>
              <w:spacing w:line="360" w:lineRule="auto"/>
              <w:ind w:firstLine="480" w:firstLineChars="200"/>
              <w:jc w:val="left"/>
              <w:rPr>
                <w:bCs/>
                <w:color w:val="auto"/>
                <w:sz w:val="24"/>
              </w:rPr>
            </w:pPr>
            <w:r>
              <w:rPr>
                <w:bCs/>
                <w:color w:val="auto"/>
                <w:sz w:val="24"/>
              </w:rPr>
              <w:t>路基材料执行</w:t>
            </w:r>
            <w:r>
              <w:rPr>
                <w:rFonts w:hint="eastAsia"/>
                <w:bCs/>
                <w:color w:val="auto"/>
                <w:sz w:val="24"/>
              </w:rPr>
              <w:t>《公路路面基层用磷石膏矿渣水泥稳定材料应用技术规程》T/CCPA 26—2021（T/CBMF 149）</w:t>
            </w:r>
            <w:r>
              <w:rPr>
                <w:bCs/>
                <w:color w:val="auto"/>
                <w:sz w:val="24"/>
              </w:rPr>
              <w:t>，详细质量指标见表2-</w:t>
            </w:r>
            <w:r>
              <w:rPr>
                <w:rFonts w:hint="eastAsia"/>
                <w:bCs/>
                <w:color w:val="auto"/>
                <w:sz w:val="24"/>
                <w:lang w:val="en-US" w:eastAsia="zh-CN"/>
              </w:rPr>
              <w:t>7</w:t>
            </w:r>
            <w:r>
              <w:rPr>
                <w:bCs/>
                <w:color w:val="auto"/>
                <w:sz w:val="24"/>
              </w:rPr>
              <w:t>所示。</w:t>
            </w:r>
          </w:p>
          <w:p w14:paraId="590E31BD">
            <w:pPr>
              <w:autoSpaceDE w:val="0"/>
              <w:autoSpaceDN w:val="0"/>
              <w:jc w:val="center"/>
              <w:rPr>
                <w:b/>
                <w:color w:val="auto"/>
                <w:sz w:val="24"/>
              </w:rPr>
            </w:pPr>
            <w:r>
              <w:rPr>
                <w:b/>
                <w:color w:val="auto"/>
                <w:sz w:val="24"/>
              </w:rPr>
              <w:t>表2-</w:t>
            </w:r>
            <w:r>
              <w:rPr>
                <w:rFonts w:hint="eastAsia"/>
                <w:b/>
                <w:color w:val="auto"/>
                <w:sz w:val="24"/>
                <w:lang w:val="en-US" w:eastAsia="zh-CN"/>
              </w:rPr>
              <w:t>7</w:t>
            </w:r>
            <w:r>
              <w:rPr>
                <w:b/>
                <w:color w:val="auto"/>
                <w:sz w:val="24"/>
              </w:rPr>
              <w:t xml:space="preserve">  路基材料产品质量指标</w:t>
            </w:r>
          </w:p>
          <w:tbl>
            <w:tblPr>
              <w:tblStyle w:val="45"/>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71"/>
              <w:gridCol w:w="2031"/>
              <w:gridCol w:w="2318"/>
            </w:tblGrid>
            <w:tr w14:paraId="62D7D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71" w:type="dxa"/>
                  <w:tcBorders>
                    <w:top w:val="single" w:color="auto" w:sz="4" w:space="0"/>
                    <w:left w:val="single" w:color="auto" w:sz="4" w:space="0"/>
                    <w:bottom w:val="single" w:color="auto" w:sz="4" w:space="0"/>
                    <w:right w:val="single" w:color="auto" w:sz="4" w:space="0"/>
                  </w:tcBorders>
                  <w:vAlign w:val="center"/>
                </w:tcPr>
                <w:p w14:paraId="3BDD92D8">
                  <w:pPr>
                    <w:jc w:val="center"/>
                    <w:rPr>
                      <w:color w:val="auto"/>
                      <w:sz w:val="21"/>
                      <w:szCs w:val="21"/>
                    </w:rPr>
                  </w:pPr>
                  <w:r>
                    <w:rPr>
                      <w:color w:val="auto"/>
                      <w:sz w:val="21"/>
                      <w:szCs w:val="21"/>
                    </w:rPr>
                    <w:t>项目</w:t>
                  </w:r>
                </w:p>
              </w:tc>
              <w:tc>
                <w:tcPr>
                  <w:tcW w:w="2031" w:type="dxa"/>
                  <w:tcBorders>
                    <w:top w:val="single" w:color="auto" w:sz="4" w:space="0"/>
                    <w:left w:val="single" w:color="auto" w:sz="4" w:space="0"/>
                    <w:bottom w:val="single" w:color="auto" w:sz="4" w:space="0"/>
                    <w:right w:val="single" w:color="auto" w:sz="4" w:space="0"/>
                  </w:tcBorders>
                  <w:vAlign w:val="center"/>
                </w:tcPr>
                <w:p w14:paraId="5E10B31E">
                  <w:pPr>
                    <w:jc w:val="center"/>
                    <w:rPr>
                      <w:color w:val="auto"/>
                      <w:sz w:val="21"/>
                      <w:szCs w:val="21"/>
                    </w:rPr>
                  </w:pPr>
                  <w:r>
                    <w:rPr>
                      <w:color w:val="auto"/>
                      <w:sz w:val="21"/>
                      <w:szCs w:val="21"/>
                    </w:rPr>
                    <w:t>指标</w:t>
                  </w:r>
                </w:p>
              </w:tc>
              <w:tc>
                <w:tcPr>
                  <w:tcW w:w="2318" w:type="dxa"/>
                  <w:tcBorders>
                    <w:top w:val="single" w:color="auto" w:sz="4" w:space="0"/>
                    <w:left w:val="single" w:color="auto" w:sz="4" w:space="0"/>
                    <w:bottom w:val="single" w:color="auto" w:sz="4" w:space="0"/>
                    <w:right w:val="single" w:color="auto" w:sz="4" w:space="0"/>
                  </w:tcBorders>
                  <w:vAlign w:val="center"/>
                </w:tcPr>
                <w:p w14:paraId="76581750">
                  <w:pPr>
                    <w:jc w:val="center"/>
                    <w:rPr>
                      <w:color w:val="auto"/>
                      <w:sz w:val="21"/>
                      <w:szCs w:val="21"/>
                    </w:rPr>
                  </w:pPr>
                  <w:r>
                    <w:rPr>
                      <w:color w:val="auto"/>
                      <w:sz w:val="21"/>
                      <w:szCs w:val="21"/>
                    </w:rPr>
                    <w:t>检测方法</w:t>
                  </w:r>
                </w:p>
              </w:tc>
            </w:tr>
            <w:tr w14:paraId="4ED37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71" w:type="dxa"/>
                  <w:tcBorders>
                    <w:top w:val="single" w:color="auto" w:sz="4" w:space="0"/>
                    <w:left w:val="single" w:color="auto" w:sz="4" w:space="0"/>
                    <w:bottom w:val="single" w:color="auto" w:sz="4" w:space="0"/>
                    <w:right w:val="single" w:color="auto" w:sz="4" w:space="0"/>
                  </w:tcBorders>
                  <w:vAlign w:val="center"/>
                </w:tcPr>
                <w:p w14:paraId="60CC0BE7">
                  <w:pPr>
                    <w:jc w:val="center"/>
                    <w:rPr>
                      <w:color w:val="auto"/>
                      <w:sz w:val="21"/>
                      <w:szCs w:val="21"/>
                    </w:rPr>
                  </w:pPr>
                  <w:r>
                    <w:rPr>
                      <w:color w:val="auto"/>
                      <w:sz w:val="21"/>
                      <w:szCs w:val="21"/>
                    </w:rPr>
                    <w:t>附着水分（H</w:t>
                  </w:r>
                  <w:r>
                    <w:rPr>
                      <w:color w:val="auto"/>
                      <w:sz w:val="21"/>
                      <w:szCs w:val="21"/>
                      <w:vertAlign w:val="subscript"/>
                    </w:rPr>
                    <w:t>2</w:t>
                  </w:r>
                  <w:r>
                    <w:rPr>
                      <w:color w:val="auto"/>
                      <w:sz w:val="21"/>
                      <w:szCs w:val="21"/>
                    </w:rPr>
                    <w:t>O）（湿基）（%）</w:t>
                  </w:r>
                </w:p>
              </w:tc>
              <w:tc>
                <w:tcPr>
                  <w:tcW w:w="2031" w:type="dxa"/>
                  <w:tcBorders>
                    <w:top w:val="single" w:color="auto" w:sz="4" w:space="0"/>
                    <w:left w:val="single" w:color="auto" w:sz="4" w:space="0"/>
                    <w:bottom w:val="single" w:color="auto" w:sz="4" w:space="0"/>
                    <w:right w:val="single" w:color="auto" w:sz="4" w:space="0"/>
                  </w:tcBorders>
                  <w:vAlign w:val="center"/>
                </w:tcPr>
                <w:p w14:paraId="33E0AB59">
                  <w:pPr>
                    <w:jc w:val="center"/>
                    <w:rPr>
                      <w:color w:val="auto"/>
                      <w:sz w:val="21"/>
                      <w:szCs w:val="21"/>
                    </w:rPr>
                  </w:pPr>
                  <w:r>
                    <w:rPr>
                      <w:color w:val="auto"/>
                      <w:sz w:val="21"/>
                      <w:szCs w:val="21"/>
                    </w:rPr>
                    <w:t>≤15.0</w:t>
                  </w:r>
                </w:p>
              </w:tc>
              <w:tc>
                <w:tcPr>
                  <w:tcW w:w="2318" w:type="dxa"/>
                  <w:tcBorders>
                    <w:top w:val="single" w:color="auto" w:sz="4" w:space="0"/>
                    <w:left w:val="single" w:color="auto" w:sz="4" w:space="0"/>
                    <w:bottom w:val="single" w:color="auto" w:sz="4" w:space="0"/>
                    <w:right w:val="single" w:color="auto" w:sz="4" w:space="0"/>
                  </w:tcBorders>
                  <w:vAlign w:val="center"/>
                </w:tcPr>
                <w:p w14:paraId="3C3BE2F3">
                  <w:pPr>
                    <w:jc w:val="center"/>
                    <w:rPr>
                      <w:color w:val="auto"/>
                      <w:sz w:val="21"/>
                      <w:szCs w:val="21"/>
                    </w:rPr>
                  </w:pPr>
                  <w:r>
                    <w:rPr>
                      <w:color w:val="auto"/>
                      <w:sz w:val="21"/>
                      <w:szCs w:val="21"/>
                    </w:rPr>
                    <w:t>《石膏化学分析方法》（GB/T 5484）</w:t>
                  </w:r>
                </w:p>
              </w:tc>
            </w:tr>
            <w:tr w14:paraId="3FCC8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71" w:type="dxa"/>
                  <w:tcBorders>
                    <w:top w:val="single" w:color="auto" w:sz="4" w:space="0"/>
                    <w:left w:val="single" w:color="auto" w:sz="4" w:space="0"/>
                    <w:bottom w:val="single" w:color="auto" w:sz="4" w:space="0"/>
                    <w:right w:val="single" w:color="auto" w:sz="4" w:space="0"/>
                  </w:tcBorders>
                  <w:vAlign w:val="center"/>
                </w:tcPr>
                <w:p w14:paraId="0F378219">
                  <w:pPr>
                    <w:jc w:val="center"/>
                    <w:rPr>
                      <w:color w:val="auto"/>
                      <w:sz w:val="21"/>
                      <w:szCs w:val="21"/>
                    </w:rPr>
                  </w:pPr>
                  <w:r>
                    <w:rPr>
                      <w:color w:val="auto"/>
                      <w:sz w:val="21"/>
                      <w:szCs w:val="21"/>
                    </w:rPr>
                    <w:t>二水硫酸钙（CaSO</w:t>
                  </w:r>
                  <w:r>
                    <w:rPr>
                      <w:color w:val="auto"/>
                      <w:sz w:val="21"/>
                      <w:szCs w:val="21"/>
                      <w:vertAlign w:val="subscript"/>
                    </w:rPr>
                    <w:t>4</w:t>
                  </w:r>
                  <w:r>
                    <w:rPr>
                      <w:color w:val="auto"/>
                      <w:sz w:val="21"/>
                      <w:szCs w:val="21"/>
                    </w:rPr>
                    <w:t>·2H</w:t>
                  </w:r>
                  <w:r>
                    <w:rPr>
                      <w:color w:val="auto"/>
                      <w:sz w:val="21"/>
                      <w:szCs w:val="21"/>
                      <w:vertAlign w:val="subscript"/>
                    </w:rPr>
                    <w:t>2</w:t>
                  </w:r>
                  <w:r>
                    <w:rPr>
                      <w:color w:val="auto"/>
                      <w:sz w:val="21"/>
                      <w:szCs w:val="21"/>
                    </w:rPr>
                    <w:t>O）（干基）（%）</w:t>
                  </w:r>
                </w:p>
              </w:tc>
              <w:tc>
                <w:tcPr>
                  <w:tcW w:w="2031" w:type="dxa"/>
                  <w:tcBorders>
                    <w:top w:val="single" w:color="auto" w:sz="4" w:space="0"/>
                    <w:left w:val="single" w:color="auto" w:sz="4" w:space="0"/>
                    <w:bottom w:val="single" w:color="auto" w:sz="4" w:space="0"/>
                    <w:right w:val="single" w:color="auto" w:sz="4" w:space="0"/>
                  </w:tcBorders>
                  <w:vAlign w:val="center"/>
                </w:tcPr>
                <w:p w14:paraId="6EDBB148">
                  <w:pPr>
                    <w:jc w:val="center"/>
                    <w:rPr>
                      <w:color w:val="auto"/>
                      <w:sz w:val="21"/>
                      <w:szCs w:val="21"/>
                    </w:rPr>
                  </w:pPr>
                  <w:r>
                    <w:rPr>
                      <w:color w:val="auto"/>
                      <w:sz w:val="21"/>
                      <w:szCs w:val="21"/>
                    </w:rPr>
                    <w:t>≥85</w:t>
                  </w:r>
                </w:p>
              </w:tc>
              <w:tc>
                <w:tcPr>
                  <w:tcW w:w="2318" w:type="dxa"/>
                  <w:tcBorders>
                    <w:top w:val="single" w:color="auto" w:sz="4" w:space="0"/>
                    <w:left w:val="single" w:color="auto" w:sz="4" w:space="0"/>
                    <w:bottom w:val="single" w:color="auto" w:sz="4" w:space="0"/>
                    <w:right w:val="single" w:color="auto" w:sz="4" w:space="0"/>
                  </w:tcBorders>
                  <w:vAlign w:val="center"/>
                </w:tcPr>
                <w:p w14:paraId="6681F253">
                  <w:pPr>
                    <w:jc w:val="center"/>
                    <w:rPr>
                      <w:color w:val="auto"/>
                      <w:sz w:val="21"/>
                      <w:szCs w:val="21"/>
                    </w:rPr>
                  </w:pPr>
                  <w:r>
                    <w:rPr>
                      <w:color w:val="auto"/>
                      <w:sz w:val="21"/>
                      <w:szCs w:val="21"/>
                    </w:rPr>
                    <w:t>磷石膏（GB/T 23456）</w:t>
                  </w:r>
                </w:p>
              </w:tc>
            </w:tr>
            <w:tr w14:paraId="2E403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71" w:type="dxa"/>
                  <w:tcBorders>
                    <w:top w:val="single" w:color="auto" w:sz="4" w:space="0"/>
                    <w:left w:val="single" w:color="auto" w:sz="4" w:space="0"/>
                    <w:bottom w:val="single" w:color="auto" w:sz="4" w:space="0"/>
                    <w:right w:val="single" w:color="auto" w:sz="4" w:space="0"/>
                  </w:tcBorders>
                  <w:vAlign w:val="center"/>
                </w:tcPr>
                <w:p w14:paraId="47D0A2AA">
                  <w:pPr>
                    <w:jc w:val="center"/>
                    <w:rPr>
                      <w:color w:val="auto"/>
                      <w:sz w:val="21"/>
                      <w:szCs w:val="21"/>
                    </w:rPr>
                  </w:pPr>
                  <w:r>
                    <w:rPr>
                      <w:color w:val="auto"/>
                      <w:sz w:val="21"/>
                      <w:szCs w:val="21"/>
                    </w:rPr>
                    <w:t>水溶性五氧化二磷（P</w:t>
                  </w:r>
                  <w:r>
                    <w:rPr>
                      <w:color w:val="auto"/>
                      <w:sz w:val="21"/>
                      <w:szCs w:val="21"/>
                      <w:vertAlign w:val="subscript"/>
                    </w:rPr>
                    <w:t>2</w:t>
                  </w:r>
                  <w:r>
                    <w:rPr>
                      <w:color w:val="auto"/>
                      <w:sz w:val="21"/>
                      <w:szCs w:val="21"/>
                    </w:rPr>
                    <w:t>O</w:t>
                  </w:r>
                  <w:r>
                    <w:rPr>
                      <w:color w:val="auto"/>
                      <w:sz w:val="21"/>
                      <w:szCs w:val="21"/>
                      <w:vertAlign w:val="subscript"/>
                    </w:rPr>
                    <w:t>5</w:t>
                  </w:r>
                  <w:r>
                    <w:rPr>
                      <w:color w:val="auto"/>
                      <w:sz w:val="21"/>
                      <w:szCs w:val="21"/>
                    </w:rPr>
                    <w:t>）（干基）（%）</w:t>
                  </w:r>
                </w:p>
              </w:tc>
              <w:tc>
                <w:tcPr>
                  <w:tcW w:w="2031" w:type="dxa"/>
                  <w:tcBorders>
                    <w:top w:val="single" w:color="auto" w:sz="4" w:space="0"/>
                    <w:left w:val="single" w:color="auto" w:sz="4" w:space="0"/>
                    <w:bottom w:val="single" w:color="auto" w:sz="4" w:space="0"/>
                    <w:right w:val="single" w:color="auto" w:sz="4" w:space="0"/>
                  </w:tcBorders>
                  <w:vAlign w:val="center"/>
                </w:tcPr>
                <w:p w14:paraId="2AB288DC">
                  <w:pPr>
                    <w:jc w:val="center"/>
                    <w:rPr>
                      <w:color w:val="auto"/>
                      <w:sz w:val="21"/>
                      <w:szCs w:val="21"/>
                    </w:rPr>
                  </w:pPr>
                  <w:r>
                    <w:rPr>
                      <w:color w:val="auto"/>
                      <w:sz w:val="21"/>
                      <w:szCs w:val="21"/>
                    </w:rPr>
                    <w:t>≤0.2</w:t>
                  </w:r>
                </w:p>
              </w:tc>
              <w:tc>
                <w:tcPr>
                  <w:tcW w:w="2318" w:type="dxa"/>
                  <w:vMerge w:val="restart"/>
                  <w:tcBorders>
                    <w:top w:val="single" w:color="auto" w:sz="4" w:space="0"/>
                    <w:left w:val="single" w:color="auto" w:sz="4" w:space="0"/>
                    <w:right w:val="single" w:color="auto" w:sz="4" w:space="0"/>
                  </w:tcBorders>
                  <w:vAlign w:val="center"/>
                </w:tcPr>
                <w:p w14:paraId="56CDB029">
                  <w:pPr>
                    <w:jc w:val="center"/>
                    <w:rPr>
                      <w:color w:val="auto"/>
                      <w:sz w:val="21"/>
                      <w:szCs w:val="21"/>
                    </w:rPr>
                  </w:pPr>
                  <w:r>
                    <w:rPr>
                      <w:color w:val="auto"/>
                      <w:sz w:val="21"/>
                      <w:szCs w:val="21"/>
                    </w:rPr>
                    <w:t>《石膏化学分析方法》（GB/T 5484）</w:t>
                  </w:r>
                </w:p>
              </w:tc>
            </w:tr>
            <w:tr w14:paraId="22852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71" w:type="dxa"/>
                  <w:tcBorders>
                    <w:top w:val="single" w:color="auto" w:sz="4" w:space="0"/>
                    <w:left w:val="single" w:color="auto" w:sz="4" w:space="0"/>
                    <w:bottom w:val="single" w:color="auto" w:sz="4" w:space="0"/>
                    <w:right w:val="single" w:color="auto" w:sz="4" w:space="0"/>
                  </w:tcBorders>
                  <w:vAlign w:val="center"/>
                </w:tcPr>
                <w:p w14:paraId="3958F422">
                  <w:pPr>
                    <w:jc w:val="center"/>
                    <w:rPr>
                      <w:color w:val="auto"/>
                      <w:sz w:val="21"/>
                      <w:szCs w:val="21"/>
                    </w:rPr>
                  </w:pPr>
                  <w:r>
                    <w:rPr>
                      <w:color w:val="auto"/>
                      <w:sz w:val="21"/>
                      <w:szCs w:val="21"/>
                    </w:rPr>
                    <w:t>水溶性氟的质量分数（以F</w:t>
                  </w:r>
                  <w:r>
                    <w:rPr>
                      <w:color w:val="auto"/>
                      <w:sz w:val="21"/>
                      <w:szCs w:val="21"/>
                      <w:vertAlign w:val="superscript"/>
                    </w:rPr>
                    <w:t>-</w:t>
                  </w:r>
                  <w:r>
                    <w:rPr>
                      <w:color w:val="auto"/>
                      <w:sz w:val="21"/>
                      <w:szCs w:val="21"/>
                    </w:rPr>
                    <w:t>计，干基）/%≤</w:t>
                  </w:r>
                </w:p>
              </w:tc>
              <w:tc>
                <w:tcPr>
                  <w:tcW w:w="2031" w:type="dxa"/>
                  <w:tcBorders>
                    <w:top w:val="single" w:color="auto" w:sz="4" w:space="0"/>
                    <w:left w:val="single" w:color="auto" w:sz="4" w:space="0"/>
                    <w:bottom w:val="single" w:color="auto" w:sz="4" w:space="0"/>
                    <w:right w:val="single" w:color="auto" w:sz="4" w:space="0"/>
                  </w:tcBorders>
                  <w:vAlign w:val="center"/>
                </w:tcPr>
                <w:p w14:paraId="7F3E1528">
                  <w:pPr>
                    <w:jc w:val="center"/>
                    <w:rPr>
                      <w:color w:val="auto"/>
                      <w:sz w:val="21"/>
                      <w:szCs w:val="21"/>
                    </w:rPr>
                  </w:pPr>
                  <w:r>
                    <w:rPr>
                      <w:color w:val="auto"/>
                      <w:sz w:val="21"/>
                      <w:szCs w:val="21"/>
                    </w:rPr>
                    <w:t>≤0.1</w:t>
                  </w:r>
                </w:p>
              </w:tc>
              <w:tc>
                <w:tcPr>
                  <w:tcW w:w="2318" w:type="dxa"/>
                  <w:vMerge w:val="continue"/>
                  <w:tcBorders>
                    <w:left w:val="single" w:color="auto" w:sz="4" w:space="0"/>
                    <w:right w:val="single" w:color="auto" w:sz="4" w:space="0"/>
                  </w:tcBorders>
                  <w:vAlign w:val="center"/>
                </w:tcPr>
                <w:p w14:paraId="5D87244C">
                  <w:pPr>
                    <w:jc w:val="center"/>
                    <w:rPr>
                      <w:color w:val="auto"/>
                      <w:sz w:val="21"/>
                      <w:szCs w:val="21"/>
                    </w:rPr>
                  </w:pPr>
                </w:p>
              </w:tc>
            </w:tr>
            <w:tr w14:paraId="4ECF2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71" w:type="dxa"/>
                  <w:tcBorders>
                    <w:top w:val="single" w:color="auto" w:sz="4" w:space="0"/>
                    <w:left w:val="single" w:color="auto" w:sz="4" w:space="0"/>
                    <w:bottom w:val="single" w:color="auto" w:sz="4" w:space="0"/>
                    <w:right w:val="single" w:color="auto" w:sz="4" w:space="0"/>
                  </w:tcBorders>
                  <w:vAlign w:val="center"/>
                </w:tcPr>
                <w:p w14:paraId="0F98C412">
                  <w:pPr>
                    <w:jc w:val="center"/>
                    <w:rPr>
                      <w:color w:val="auto"/>
                      <w:sz w:val="21"/>
                      <w:szCs w:val="21"/>
                    </w:rPr>
                  </w:pPr>
                  <w:r>
                    <w:rPr>
                      <w:color w:val="auto"/>
                      <w:sz w:val="21"/>
                      <w:szCs w:val="21"/>
                    </w:rPr>
                    <w:t>pH</w:t>
                  </w:r>
                </w:p>
              </w:tc>
              <w:tc>
                <w:tcPr>
                  <w:tcW w:w="2031" w:type="dxa"/>
                  <w:tcBorders>
                    <w:top w:val="single" w:color="auto" w:sz="4" w:space="0"/>
                    <w:left w:val="single" w:color="auto" w:sz="4" w:space="0"/>
                    <w:bottom w:val="single" w:color="auto" w:sz="4" w:space="0"/>
                    <w:right w:val="single" w:color="auto" w:sz="4" w:space="0"/>
                  </w:tcBorders>
                  <w:vAlign w:val="center"/>
                </w:tcPr>
                <w:p w14:paraId="6B2C79FA">
                  <w:pPr>
                    <w:jc w:val="center"/>
                    <w:rPr>
                      <w:color w:val="auto"/>
                      <w:sz w:val="21"/>
                      <w:szCs w:val="21"/>
                    </w:rPr>
                  </w:pPr>
                  <w:r>
                    <w:rPr>
                      <w:color w:val="auto"/>
                      <w:sz w:val="21"/>
                      <w:szCs w:val="21"/>
                    </w:rPr>
                    <w:t>≥6</w:t>
                  </w:r>
                </w:p>
              </w:tc>
              <w:tc>
                <w:tcPr>
                  <w:tcW w:w="2318" w:type="dxa"/>
                  <w:vMerge w:val="continue"/>
                  <w:tcBorders>
                    <w:left w:val="single" w:color="auto" w:sz="4" w:space="0"/>
                    <w:bottom w:val="single" w:color="auto" w:sz="4" w:space="0"/>
                    <w:right w:val="single" w:color="auto" w:sz="4" w:space="0"/>
                  </w:tcBorders>
                  <w:vAlign w:val="center"/>
                </w:tcPr>
                <w:p w14:paraId="7B90B1DD">
                  <w:pPr>
                    <w:jc w:val="center"/>
                    <w:rPr>
                      <w:color w:val="auto"/>
                      <w:sz w:val="21"/>
                      <w:szCs w:val="21"/>
                    </w:rPr>
                  </w:pPr>
                </w:p>
              </w:tc>
            </w:tr>
          </w:tbl>
          <w:p w14:paraId="78D03F02">
            <w:pPr>
              <w:spacing w:line="360" w:lineRule="auto"/>
              <w:ind w:firstLine="480" w:firstLineChars="200"/>
              <w:jc w:val="left"/>
              <w:rPr>
                <w:color w:val="auto"/>
                <w:sz w:val="24"/>
              </w:rPr>
            </w:pPr>
            <w:r>
              <w:rPr>
                <w:rFonts w:hint="eastAsia"/>
                <w:color w:val="auto"/>
                <w:sz w:val="24"/>
                <w:lang w:eastAsia="zh-CN"/>
              </w:rPr>
              <w:t>云南常青树化工有限公司</w:t>
            </w:r>
            <w:r>
              <w:rPr>
                <w:color w:val="auto"/>
                <w:sz w:val="24"/>
              </w:rPr>
              <w:t>于</w:t>
            </w:r>
            <w:r>
              <w:rPr>
                <w:color w:val="auto"/>
                <w:sz w:val="24"/>
                <w:highlight w:val="none"/>
              </w:rPr>
              <w:t>202</w:t>
            </w:r>
            <w:r>
              <w:rPr>
                <w:rFonts w:hint="eastAsia"/>
                <w:color w:val="auto"/>
                <w:sz w:val="24"/>
                <w:highlight w:val="none"/>
                <w:lang w:val="en-US" w:eastAsia="zh-CN"/>
              </w:rPr>
              <w:t>4</w:t>
            </w:r>
            <w:r>
              <w:rPr>
                <w:color w:val="auto"/>
                <w:sz w:val="24"/>
                <w:highlight w:val="none"/>
              </w:rPr>
              <w:t>年</w:t>
            </w:r>
            <w:r>
              <w:rPr>
                <w:rFonts w:hint="eastAsia"/>
                <w:color w:val="auto"/>
                <w:sz w:val="24"/>
                <w:highlight w:val="none"/>
                <w:lang w:val="en-US" w:eastAsia="zh-CN"/>
              </w:rPr>
              <w:t>9</w:t>
            </w:r>
            <w:r>
              <w:rPr>
                <w:color w:val="auto"/>
                <w:sz w:val="24"/>
                <w:highlight w:val="none"/>
              </w:rPr>
              <w:t>月</w:t>
            </w:r>
            <w:r>
              <w:rPr>
                <w:rFonts w:hint="eastAsia"/>
                <w:color w:val="auto"/>
                <w:sz w:val="24"/>
                <w:highlight w:val="none"/>
                <w:lang w:val="en-US" w:eastAsia="zh-CN"/>
              </w:rPr>
              <w:t>23</w:t>
            </w:r>
            <w:r>
              <w:rPr>
                <w:color w:val="auto"/>
                <w:sz w:val="24"/>
                <w:highlight w:val="none"/>
              </w:rPr>
              <w:t>日委托</w:t>
            </w:r>
            <w:r>
              <w:rPr>
                <w:rFonts w:hint="eastAsia"/>
                <w:color w:val="auto"/>
                <w:sz w:val="24"/>
                <w:highlight w:val="none"/>
              </w:rPr>
              <w:t>云南省建筑材料产品质量检验研究院</w:t>
            </w:r>
            <w:r>
              <w:rPr>
                <w:color w:val="auto"/>
                <w:sz w:val="24"/>
                <w:highlight w:val="none"/>
              </w:rPr>
              <w:t>将</w:t>
            </w:r>
            <w:r>
              <w:rPr>
                <w:rFonts w:hint="eastAsia"/>
                <w:color w:val="auto"/>
                <w:sz w:val="24"/>
                <w:highlight w:val="none"/>
              </w:rPr>
              <w:t>路基材料样品</w:t>
            </w:r>
            <w:r>
              <w:rPr>
                <w:color w:val="auto"/>
                <w:sz w:val="24"/>
                <w:highlight w:val="none"/>
              </w:rPr>
              <w:t>进行检</w:t>
            </w:r>
            <w:r>
              <w:rPr>
                <w:color w:val="auto"/>
                <w:sz w:val="24"/>
              </w:rPr>
              <w:t>测。具体检测结果（</w:t>
            </w:r>
            <w:r>
              <w:rPr>
                <w:color w:val="auto"/>
                <w:sz w:val="24"/>
                <w:highlight w:val="none"/>
              </w:rPr>
              <w:t>附件</w:t>
            </w:r>
            <w:r>
              <w:rPr>
                <w:rFonts w:hint="eastAsia"/>
                <w:color w:val="auto"/>
                <w:sz w:val="24"/>
                <w:highlight w:val="none"/>
                <w:lang w:val="en-US" w:eastAsia="zh-CN"/>
              </w:rPr>
              <w:t>12</w:t>
            </w:r>
            <w:r>
              <w:rPr>
                <w:color w:val="auto"/>
                <w:sz w:val="24"/>
              </w:rPr>
              <w:t>）见表2-</w:t>
            </w:r>
            <w:r>
              <w:rPr>
                <w:rFonts w:hint="eastAsia"/>
                <w:color w:val="auto"/>
                <w:sz w:val="24"/>
                <w:lang w:val="en-US" w:eastAsia="zh-CN"/>
              </w:rPr>
              <w:t>8</w:t>
            </w:r>
            <w:r>
              <w:rPr>
                <w:color w:val="auto"/>
                <w:sz w:val="24"/>
              </w:rPr>
              <w:t>。</w:t>
            </w:r>
          </w:p>
          <w:p w14:paraId="2BF59427">
            <w:pPr>
              <w:autoSpaceDE w:val="0"/>
              <w:autoSpaceDN w:val="0"/>
              <w:jc w:val="center"/>
              <w:rPr>
                <w:b/>
                <w:color w:val="auto"/>
                <w:sz w:val="24"/>
              </w:rPr>
            </w:pPr>
            <w:r>
              <w:rPr>
                <w:b/>
                <w:color w:val="auto"/>
                <w:sz w:val="24"/>
              </w:rPr>
              <w:t>表2-</w:t>
            </w:r>
            <w:r>
              <w:rPr>
                <w:rFonts w:hint="eastAsia"/>
                <w:b/>
                <w:color w:val="auto"/>
                <w:sz w:val="24"/>
                <w:lang w:val="en-US" w:eastAsia="zh-CN"/>
              </w:rPr>
              <w:t>8</w:t>
            </w:r>
            <w:r>
              <w:rPr>
                <w:b/>
                <w:color w:val="auto"/>
                <w:sz w:val="24"/>
              </w:rPr>
              <w:t xml:space="preserve">  路基材料产品质量</w:t>
            </w:r>
            <w:r>
              <w:rPr>
                <w:rFonts w:hint="eastAsia"/>
                <w:b/>
                <w:color w:val="auto"/>
                <w:sz w:val="24"/>
              </w:rPr>
              <w:t>检测结果</w:t>
            </w:r>
          </w:p>
          <w:tbl>
            <w:tblPr>
              <w:tblStyle w:val="45"/>
              <w:tblW w:w="83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57"/>
              <w:gridCol w:w="1436"/>
              <w:gridCol w:w="2410"/>
              <w:gridCol w:w="1184"/>
            </w:tblGrid>
            <w:tr w14:paraId="66008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57" w:type="dxa"/>
                  <w:tcBorders>
                    <w:top w:val="single" w:color="auto" w:sz="4" w:space="0"/>
                    <w:left w:val="single" w:color="auto" w:sz="4" w:space="0"/>
                    <w:bottom w:val="single" w:color="auto" w:sz="4" w:space="0"/>
                    <w:right w:val="single" w:color="auto" w:sz="4" w:space="0"/>
                  </w:tcBorders>
                  <w:vAlign w:val="center"/>
                </w:tcPr>
                <w:p w14:paraId="4C84EB91">
                  <w:pPr>
                    <w:jc w:val="center"/>
                    <w:rPr>
                      <w:color w:val="auto"/>
                      <w:sz w:val="21"/>
                      <w:szCs w:val="21"/>
                    </w:rPr>
                  </w:pPr>
                  <w:r>
                    <w:rPr>
                      <w:color w:val="auto"/>
                      <w:sz w:val="21"/>
                      <w:szCs w:val="21"/>
                    </w:rPr>
                    <w:t>检测项目</w:t>
                  </w:r>
                </w:p>
              </w:tc>
              <w:tc>
                <w:tcPr>
                  <w:tcW w:w="1436" w:type="dxa"/>
                  <w:tcBorders>
                    <w:top w:val="single" w:color="auto" w:sz="4" w:space="0"/>
                    <w:left w:val="single" w:color="auto" w:sz="4" w:space="0"/>
                    <w:bottom w:val="single" w:color="auto" w:sz="4" w:space="0"/>
                    <w:right w:val="single" w:color="auto" w:sz="4" w:space="0"/>
                  </w:tcBorders>
                  <w:vAlign w:val="center"/>
                </w:tcPr>
                <w:p w14:paraId="004B0CC2">
                  <w:pPr>
                    <w:jc w:val="center"/>
                    <w:rPr>
                      <w:rFonts w:hint="eastAsia" w:eastAsia="宋体"/>
                      <w:color w:val="auto"/>
                      <w:sz w:val="21"/>
                      <w:szCs w:val="21"/>
                      <w:lang w:eastAsia="zh-CN"/>
                    </w:rPr>
                  </w:pPr>
                  <w:r>
                    <w:rPr>
                      <w:rFonts w:hint="eastAsia"/>
                      <w:color w:val="auto"/>
                      <w:sz w:val="21"/>
                      <w:szCs w:val="21"/>
                      <w:lang w:val="en-US" w:eastAsia="zh-CN"/>
                    </w:rPr>
                    <w:t>检测结果</w:t>
                  </w:r>
                </w:p>
              </w:tc>
              <w:tc>
                <w:tcPr>
                  <w:tcW w:w="2410" w:type="dxa"/>
                  <w:tcBorders>
                    <w:top w:val="single" w:color="auto" w:sz="4" w:space="0"/>
                    <w:left w:val="single" w:color="auto" w:sz="4" w:space="0"/>
                    <w:bottom w:val="single" w:color="auto" w:sz="4" w:space="0"/>
                    <w:right w:val="single" w:color="auto" w:sz="4" w:space="0"/>
                  </w:tcBorders>
                  <w:vAlign w:val="center"/>
                </w:tcPr>
                <w:p w14:paraId="0A7EA37E">
                  <w:pPr>
                    <w:jc w:val="center"/>
                    <w:rPr>
                      <w:color w:val="auto"/>
                      <w:sz w:val="21"/>
                      <w:szCs w:val="21"/>
                    </w:rPr>
                  </w:pPr>
                  <w:r>
                    <w:rPr>
                      <w:rFonts w:hint="eastAsia"/>
                      <w:bCs/>
                      <w:color w:val="auto"/>
                      <w:sz w:val="21"/>
                      <w:szCs w:val="21"/>
                    </w:rPr>
                    <w:t>《公路路面基层用磷石膏矿渣水泥稳定材料应用技术规程》T/CCPA 26—2021（T/CBMF 149）</w:t>
                  </w:r>
                </w:p>
              </w:tc>
              <w:tc>
                <w:tcPr>
                  <w:tcW w:w="1184" w:type="dxa"/>
                  <w:tcBorders>
                    <w:top w:val="single" w:color="auto" w:sz="4" w:space="0"/>
                    <w:left w:val="single" w:color="auto" w:sz="4" w:space="0"/>
                    <w:bottom w:val="single" w:color="auto" w:sz="4" w:space="0"/>
                    <w:right w:val="single" w:color="auto" w:sz="4" w:space="0"/>
                  </w:tcBorders>
                  <w:vAlign w:val="center"/>
                </w:tcPr>
                <w:p w14:paraId="455169A0">
                  <w:pPr>
                    <w:jc w:val="center"/>
                    <w:rPr>
                      <w:color w:val="auto"/>
                      <w:sz w:val="21"/>
                      <w:szCs w:val="21"/>
                    </w:rPr>
                  </w:pPr>
                  <w:r>
                    <w:rPr>
                      <w:color w:val="auto"/>
                      <w:sz w:val="21"/>
                      <w:szCs w:val="21"/>
                    </w:rPr>
                    <w:t>合格情况</w:t>
                  </w:r>
                </w:p>
              </w:tc>
            </w:tr>
            <w:tr w14:paraId="690D3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57" w:type="dxa"/>
                  <w:tcBorders>
                    <w:top w:val="single" w:color="auto" w:sz="4" w:space="0"/>
                    <w:left w:val="single" w:color="auto" w:sz="4" w:space="0"/>
                    <w:bottom w:val="single" w:color="auto" w:sz="4" w:space="0"/>
                    <w:right w:val="single" w:color="auto" w:sz="4" w:space="0"/>
                  </w:tcBorders>
                  <w:vAlign w:val="center"/>
                </w:tcPr>
                <w:p w14:paraId="627FCD15">
                  <w:pPr>
                    <w:jc w:val="center"/>
                    <w:rPr>
                      <w:color w:val="auto"/>
                      <w:sz w:val="21"/>
                      <w:szCs w:val="21"/>
                    </w:rPr>
                  </w:pPr>
                  <w:r>
                    <w:rPr>
                      <w:color w:val="auto"/>
                      <w:sz w:val="21"/>
                      <w:szCs w:val="21"/>
                    </w:rPr>
                    <w:t>附着水分（H</w:t>
                  </w:r>
                  <w:r>
                    <w:rPr>
                      <w:color w:val="auto"/>
                      <w:sz w:val="21"/>
                      <w:szCs w:val="21"/>
                      <w:vertAlign w:val="subscript"/>
                    </w:rPr>
                    <w:t>2</w:t>
                  </w:r>
                  <w:r>
                    <w:rPr>
                      <w:color w:val="auto"/>
                      <w:sz w:val="21"/>
                      <w:szCs w:val="21"/>
                    </w:rPr>
                    <w:t>O）（湿基）（%）</w:t>
                  </w:r>
                </w:p>
              </w:tc>
              <w:tc>
                <w:tcPr>
                  <w:tcW w:w="1436" w:type="dxa"/>
                  <w:tcBorders>
                    <w:top w:val="single" w:color="auto" w:sz="4" w:space="0"/>
                    <w:left w:val="single" w:color="auto" w:sz="4" w:space="0"/>
                    <w:bottom w:val="single" w:color="auto" w:sz="4" w:space="0"/>
                    <w:right w:val="single" w:color="auto" w:sz="4" w:space="0"/>
                  </w:tcBorders>
                  <w:vAlign w:val="center"/>
                </w:tcPr>
                <w:p w14:paraId="47321DD2">
                  <w:pPr>
                    <w:jc w:val="center"/>
                    <w:rPr>
                      <w:rFonts w:hint="default" w:eastAsia="宋体"/>
                      <w:color w:val="auto"/>
                      <w:sz w:val="21"/>
                      <w:szCs w:val="21"/>
                      <w:lang w:val="en-US" w:eastAsia="zh-CN"/>
                    </w:rPr>
                  </w:pPr>
                  <w:r>
                    <w:rPr>
                      <w:rFonts w:hint="eastAsia"/>
                      <w:color w:val="auto"/>
                      <w:sz w:val="21"/>
                      <w:szCs w:val="21"/>
                      <w:lang w:val="en-US" w:eastAsia="zh-CN"/>
                    </w:rPr>
                    <w:t>7.14</w:t>
                  </w:r>
                </w:p>
              </w:tc>
              <w:tc>
                <w:tcPr>
                  <w:tcW w:w="2410" w:type="dxa"/>
                  <w:tcBorders>
                    <w:top w:val="single" w:color="auto" w:sz="4" w:space="0"/>
                    <w:left w:val="single" w:color="auto" w:sz="4" w:space="0"/>
                    <w:bottom w:val="single" w:color="auto" w:sz="4" w:space="0"/>
                    <w:right w:val="single" w:color="auto" w:sz="4" w:space="0"/>
                  </w:tcBorders>
                  <w:vAlign w:val="center"/>
                </w:tcPr>
                <w:p w14:paraId="4643EE5D">
                  <w:pPr>
                    <w:jc w:val="center"/>
                    <w:rPr>
                      <w:color w:val="auto"/>
                      <w:sz w:val="21"/>
                      <w:szCs w:val="21"/>
                    </w:rPr>
                  </w:pPr>
                  <w:r>
                    <w:rPr>
                      <w:color w:val="auto"/>
                      <w:sz w:val="21"/>
                      <w:szCs w:val="21"/>
                    </w:rPr>
                    <w:t>≤15.0</w:t>
                  </w:r>
                </w:p>
              </w:tc>
              <w:tc>
                <w:tcPr>
                  <w:tcW w:w="1184" w:type="dxa"/>
                  <w:tcBorders>
                    <w:top w:val="single" w:color="auto" w:sz="4" w:space="0"/>
                    <w:left w:val="single" w:color="auto" w:sz="4" w:space="0"/>
                    <w:bottom w:val="single" w:color="auto" w:sz="4" w:space="0"/>
                    <w:right w:val="single" w:color="auto" w:sz="4" w:space="0"/>
                  </w:tcBorders>
                  <w:vAlign w:val="center"/>
                </w:tcPr>
                <w:p w14:paraId="12C3EC31">
                  <w:pPr>
                    <w:jc w:val="center"/>
                    <w:rPr>
                      <w:color w:val="auto"/>
                      <w:sz w:val="21"/>
                      <w:szCs w:val="21"/>
                    </w:rPr>
                  </w:pPr>
                  <w:r>
                    <w:rPr>
                      <w:color w:val="auto"/>
                      <w:sz w:val="21"/>
                      <w:szCs w:val="21"/>
                    </w:rPr>
                    <w:t>合格</w:t>
                  </w:r>
                </w:p>
              </w:tc>
            </w:tr>
            <w:tr w14:paraId="52B6E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57" w:type="dxa"/>
                  <w:tcBorders>
                    <w:top w:val="single" w:color="auto" w:sz="4" w:space="0"/>
                    <w:left w:val="single" w:color="auto" w:sz="4" w:space="0"/>
                    <w:bottom w:val="single" w:color="auto" w:sz="4" w:space="0"/>
                    <w:right w:val="single" w:color="auto" w:sz="4" w:space="0"/>
                  </w:tcBorders>
                  <w:vAlign w:val="center"/>
                </w:tcPr>
                <w:p w14:paraId="5F015969">
                  <w:pPr>
                    <w:jc w:val="center"/>
                    <w:rPr>
                      <w:color w:val="auto"/>
                      <w:sz w:val="21"/>
                      <w:szCs w:val="21"/>
                    </w:rPr>
                  </w:pPr>
                  <w:r>
                    <w:rPr>
                      <w:color w:val="auto"/>
                      <w:sz w:val="21"/>
                      <w:szCs w:val="21"/>
                    </w:rPr>
                    <w:t>水溶性五氧化二磷（P</w:t>
                  </w:r>
                  <w:r>
                    <w:rPr>
                      <w:color w:val="auto"/>
                      <w:sz w:val="21"/>
                      <w:szCs w:val="21"/>
                      <w:vertAlign w:val="subscript"/>
                    </w:rPr>
                    <w:t>2</w:t>
                  </w:r>
                  <w:r>
                    <w:rPr>
                      <w:color w:val="auto"/>
                      <w:sz w:val="21"/>
                      <w:szCs w:val="21"/>
                    </w:rPr>
                    <w:t>O</w:t>
                  </w:r>
                  <w:r>
                    <w:rPr>
                      <w:color w:val="auto"/>
                      <w:sz w:val="21"/>
                      <w:szCs w:val="21"/>
                      <w:vertAlign w:val="subscript"/>
                    </w:rPr>
                    <w:t>5</w:t>
                  </w:r>
                  <w:r>
                    <w:rPr>
                      <w:color w:val="auto"/>
                      <w:sz w:val="21"/>
                      <w:szCs w:val="21"/>
                    </w:rPr>
                    <w:t>）（干基）（%）</w:t>
                  </w:r>
                </w:p>
              </w:tc>
              <w:tc>
                <w:tcPr>
                  <w:tcW w:w="1436" w:type="dxa"/>
                  <w:tcBorders>
                    <w:top w:val="single" w:color="auto" w:sz="4" w:space="0"/>
                    <w:left w:val="single" w:color="auto" w:sz="4" w:space="0"/>
                    <w:bottom w:val="single" w:color="auto" w:sz="4" w:space="0"/>
                    <w:right w:val="single" w:color="auto" w:sz="4" w:space="0"/>
                  </w:tcBorders>
                  <w:vAlign w:val="center"/>
                </w:tcPr>
                <w:p w14:paraId="1288B6D7">
                  <w:pPr>
                    <w:jc w:val="center"/>
                    <w:rPr>
                      <w:rFonts w:hint="default" w:eastAsia="宋体"/>
                      <w:color w:val="auto"/>
                      <w:sz w:val="21"/>
                      <w:szCs w:val="21"/>
                      <w:lang w:val="en-US" w:eastAsia="zh-CN"/>
                    </w:rPr>
                  </w:pPr>
                  <w:r>
                    <w:rPr>
                      <w:rFonts w:hint="eastAsia"/>
                      <w:color w:val="auto"/>
                      <w:sz w:val="21"/>
                      <w:szCs w:val="21"/>
                      <w:lang w:val="en-US" w:eastAsia="zh-CN"/>
                    </w:rPr>
                    <w:t>0.0001</w:t>
                  </w:r>
                </w:p>
              </w:tc>
              <w:tc>
                <w:tcPr>
                  <w:tcW w:w="2410" w:type="dxa"/>
                  <w:tcBorders>
                    <w:top w:val="single" w:color="auto" w:sz="4" w:space="0"/>
                    <w:left w:val="single" w:color="auto" w:sz="4" w:space="0"/>
                    <w:bottom w:val="single" w:color="auto" w:sz="4" w:space="0"/>
                    <w:right w:val="single" w:color="auto" w:sz="4" w:space="0"/>
                  </w:tcBorders>
                  <w:vAlign w:val="center"/>
                </w:tcPr>
                <w:p w14:paraId="62122513">
                  <w:pPr>
                    <w:jc w:val="center"/>
                    <w:rPr>
                      <w:color w:val="auto"/>
                      <w:sz w:val="21"/>
                      <w:szCs w:val="21"/>
                    </w:rPr>
                  </w:pPr>
                  <w:r>
                    <w:rPr>
                      <w:color w:val="auto"/>
                      <w:sz w:val="21"/>
                      <w:szCs w:val="21"/>
                    </w:rPr>
                    <w:t>≤0.2</w:t>
                  </w:r>
                </w:p>
              </w:tc>
              <w:tc>
                <w:tcPr>
                  <w:tcW w:w="1184" w:type="dxa"/>
                  <w:tcBorders>
                    <w:top w:val="single" w:color="auto" w:sz="4" w:space="0"/>
                    <w:left w:val="single" w:color="auto" w:sz="4" w:space="0"/>
                    <w:bottom w:val="single" w:color="auto" w:sz="4" w:space="0"/>
                    <w:right w:val="single" w:color="auto" w:sz="4" w:space="0"/>
                  </w:tcBorders>
                  <w:vAlign w:val="center"/>
                </w:tcPr>
                <w:p w14:paraId="03EA0DB4">
                  <w:pPr>
                    <w:jc w:val="center"/>
                    <w:rPr>
                      <w:color w:val="auto"/>
                      <w:sz w:val="21"/>
                      <w:szCs w:val="21"/>
                    </w:rPr>
                  </w:pPr>
                  <w:r>
                    <w:rPr>
                      <w:color w:val="auto"/>
                      <w:sz w:val="21"/>
                      <w:szCs w:val="21"/>
                    </w:rPr>
                    <w:t>合格</w:t>
                  </w:r>
                </w:p>
              </w:tc>
            </w:tr>
            <w:tr w14:paraId="752B5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57" w:type="dxa"/>
                  <w:tcBorders>
                    <w:top w:val="single" w:color="auto" w:sz="4" w:space="0"/>
                    <w:left w:val="single" w:color="auto" w:sz="4" w:space="0"/>
                    <w:bottom w:val="single" w:color="auto" w:sz="4" w:space="0"/>
                    <w:right w:val="single" w:color="auto" w:sz="4" w:space="0"/>
                  </w:tcBorders>
                  <w:vAlign w:val="center"/>
                </w:tcPr>
                <w:p w14:paraId="47739C08">
                  <w:pPr>
                    <w:jc w:val="center"/>
                    <w:rPr>
                      <w:color w:val="auto"/>
                      <w:sz w:val="21"/>
                      <w:szCs w:val="21"/>
                    </w:rPr>
                  </w:pPr>
                  <w:r>
                    <w:rPr>
                      <w:color w:val="auto"/>
                      <w:sz w:val="21"/>
                      <w:szCs w:val="21"/>
                    </w:rPr>
                    <w:t>水溶性氟的质量分数（以F</w:t>
                  </w:r>
                  <w:r>
                    <w:rPr>
                      <w:color w:val="auto"/>
                      <w:sz w:val="21"/>
                      <w:szCs w:val="21"/>
                      <w:vertAlign w:val="superscript"/>
                    </w:rPr>
                    <w:t>-</w:t>
                  </w:r>
                  <w:r>
                    <w:rPr>
                      <w:color w:val="auto"/>
                      <w:sz w:val="21"/>
                      <w:szCs w:val="21"/>
                    </w:rPr>
                    <w:t>计，干基）/%≤</w:t>
                  </w:r>
                </w:p>
              </w:tc>
              <w:tc>
                <w:tcPr>
                  <w:tcW w:w="1436" w:type="dxa"/>
                  <w:tcBorders>
                    <w:top w:val="single" w:color="auto" w:sz="4" w:space="0"/>
                    <w:left w:val="single" w:color="auto" w:sz="4" w:space="0"/>
                    <w:bottom w:val="single" w:color="auto" w:sz="4" w:space="0"/>
                    <w:right w:val="single" w:color="auto" w:sz="4" w:space="0"/>
                  </w:tcBorders>
                  <w:vAlign w:val="center"/>
                </w:tcPr>
                <w:p w14:paraId="46188DF7">
                  <w:pPr>
                    <w:jc w:val="center"/>
                    <w:rPr>
                      <w:rFonts w:hint="default" w:eastAsia="宋体"/>
                      <w:color w:val="auto"/>
                      <w:sz w:val="21"/>
                      <w:szCs w:val="21"/>
                      <w:lang w:val="en-US" w:eastAsia="zh-CN"/>
                    </w:rPr>
                  </w:pPr>
                  <w:r>
                    <w:rPr>
                      <w:rFonts w:hint="eastAsia"/>
                      <w:color w:val="auto"/>
                      <w:sz w:val="21"/>
                      <w:szCs w:val="21"/>
                      <w:lang w:val="en-US" w:eastAsia="zh-CN"/>
                    </w:rPr>
                    <w:t>0.004</w:t>
                  </w:r>
                </w:p>
              </w:tc>
              <w:tc>
                <w:tcPr>
                  <w:tcW w:w="2410" w:type="dxa"/>
                  <w:tcBorders>
                    <w:top w:val="single" w:color="auto" w:sz="4" w:space="0"/>
                    <w:left w:val="single" w:color="auto" w:sz="4" w:space="0"/>
                    <w:bottom w:val="single" w:color="auto" w:sz="4" w:space="0"/>
                    <w:right w:val="single" w:color="auto" w:sz="4" w:space="0"/>
                  </w:tcBorders>
                  <w:vAlign w:val="center"/>
                </w:tcPr>
                <w:p w14:paraId="00E94CB0">
                  <w:pPr>
                    <w:jc w:val="center"/>
                    <w:rPr>
                      <w:color w:val="auto"/>
                      <w:sz w:val="21"/>
                      <w:szCs w:val="21"/>
                    </w:rPr>
                  </w:pPr>
                  <w:r>
                    <w:rPr>
                      <w:color w:val="auto"/>
                      <w:sz w:val="21"/>
                      <w:szCs w:val="21"/>
                    </w:rPr>
                    <w:t>≤0.1</w:t>
                  </w:r>
                </w:p>
              </w:tc>
              <w:tc>
                <w:tcPr>
                  <w:tcW w:w="1184" w:type="dxa"/>
                  <w:tcBorders>
                    <w:top w:val="single" w:color="auto" w:sz="4" w:space="0"/>
                    <w:left w:val="single" w:color="auto" w:sz="4" w:space="0"/>
                    <w:bottom w:val="single" w:color="auto" w:sz="4" w:space="0"/>
                    <w:right w:val="single" w:color="auto" w:sz="4" w:space="0"/>
                  </w:tcBorders>
                  <w:vAlign w:val="center"/>
                </w:tcPr>
                <w:p w14:paraId="54E14875">
                  <w:pPr>
                    <w:jc w:val="center"/>
                    <w:rPr>
                      <w:color w:val="auto"/>
                      <w:sz w:val="21"/>
                      <w:szCs w:val="21"/>
                    </w:rPr>
                  </w:pPr>
                  <w:r>
                    <w:rPr>
                      <w:color w:val="auto"/>
                      <w:sz w:val="21"/>
                      <w:szCs w:val="21"/>
                    </w:rPr>
                    <w:t>合格</w:t>
                  </w:r>
                </w:p>
              </w:tc>
            </w:tr>
            <w:tr w14:paraId="31244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57" w:type="dxa"/>
                  <w:tcBorders>
                    <w:top w:val="single" w:color="auto" w:sz="4" w:space="0"/>
                    <w:left w:val="single" w:color="auto" w:sz="4" w:space="0"/>
                    <w:bottom w:val="single" w:color="auto" w:sz="4" w:space="0"/>
                    <w:right w:val="single" w:color="auto" w:sz="4" w:space="0"/>
                  </w:tcBorders>
                  <w:vAlign w:val="center"/>
                </w:tcPr>
                <w:p w14:paraId="0C64C17E">
                  <w:pPr>
                    <w:jc w:val="center"/>
                    <w:rPr>
                      <w:color w:val="auto"/>
                      <w:sz w:val="21"/>
                      <w:szCs w:val="21"/>
                    </w:rPr>
                  </w:pPr>
                  <w:r>
                    <w:rPr>
                      <w:color w:val="auto"/>
                      <w:sz w:val="21"/>
                      <w:szCs w:val="21"/>
                    </w:rPr>
                    <w:t>pH</w:t>
                  </w:r>
                </w:p>
              </w:tc>
              <w:tc>
                <w:tcPr>
                  <w:tcW w:w="1436" w:type="dxa"/>
                  <w:tcBorders>
                    <w:top w:val="single" w:color="auto" w:sz="4" w:space="0"/>
                    <w:left w:val="single" w:color="auto" w:sz="4" w:space="0"/>
                    <w:bottom w:val="single" w:color="auto" w:sz="4" w:space="0"/>
                    <w:right w:val="single" w:color="auto" w:sz="4" w:space="0"/>
                  </w:tcBorders>
                  <w:vAlign w:val="center"/>
                </w:tcPr>
                <w:p w14:paraId="2F0AC50C">
                  <w:pPr>
                    <w:jc w:val="center"/>
                    <w:rPr>
                      <w:rFonts w:hint="default" w:eastAsia="宋体"/>
                      <w:color w:val="auto"/>
                      <w:sz w:val="21"/>
                      <w:szCs w:val="21"/>
                      <w:lang w:val="en-US" w:eastAsia="zh-CN"/>
                    </w:rPr>
                  </w:pPr>
                  <w:r>
                    <w:rPr>
                      <w:rFonts w:hint="eastAsia"/>
                      <w:color w:val="auto"/>
                      <w:sz w:val="21"/>
                      <w:szCs w:val="21"/>
                      <w:lang w:val="en-US" w:eastAsia="zh-CN"/>
                    </w:rPr>
                    <w:t>12.29</w:t>
                  </w:r>
                </w:p>
              </w:tc>
              <w:tc>
                <w:tcPr>
                  <w:tcW w:w="2410" w:type="dxa"/>
                  <w:tcBorders>
                    <w:top w:val="single" w:color="auto" w:sz="4" w:space="0"/>
                    <w:left w:val="single" w:color="auto" w:sz="4" w:space="0"/>
                    <w:bottom w:val="single" w:color="auto" w:sz="4" w:space="0"/>
                    <w:right w:val="single" w:color="auto" w:sz="4" w:space="0"/>
                  </w:tcBorders>
                  <w:vAlign w:val="center"/>
                </w:tcPr>
                <w:p w14:paraId="51EC2981">
                  <w:pPr>
                    <w:jc w:val="center"/>
                    <w:rPr>
                      <w:color w:val="auto"/>
                      <w:sz w:val="21"/>
                      <w:szCs w:val="21"/>
                    </w:rPr>
                  </w:pPr>
                  <w:r>
                    <w:rPr>
                      <w:color w:val="auto"/>
                      <w:sz w:val="21"/>
                      <w:szCs w:val="21"/>
                    </w:rPr>
                    <w:t>≥6</w:t>
                  </w:r>
                </w:p>
              </w:tc>
              <w:tc>
                <w:tcPr>
                  <w:tcW w:w="1184" w:type="dxa"/>
                  <w:tcBorders>
                    <w:top w:val="single" w:color="auto" w:sz="4" w:space="0"/>
                    <w:left w:val="single" w:color="auto" w:sz="4" w:space="0"/>
                    <w:bottom w:val="single" w:color="auto" w:sz="4" w:space="0"/>
                    <w:right w:val="single" w:color="auto" w:sz="4" w:space="0"/>
                  </w:tcBorders>
                  <w:vAlign w:val="center"/>
                </w:tcPr>
                <w:p w14:paraId="3BDCC6D3">
                  <w:pPr>
                    <w:jc w:val="center"/>
                    <w:rPr>
                      <w:color w:val="auto"/>
                      <w:sz w:val="21"/>
                      <w:szCs w:val="21"/>
                    </w:rPr>
                  </w:pPr>
                  <w:r>
                    <w:rPr>
                      <w:color w:val="auto"/>
                      <w:sz w:val="21"/>
                      <w:szCs w:val="21"/>
                    </w:rPr>
                    <w:t>合格</w:t>
                  </w:r>
                </w:p>
              </w:tc>
            </w:tr>
          </w:tbl>
          <w:p w14:paraId="71186B37">
            <w:pPr>
              <w:autoSpaceDE w:val="0"/>
              <w:autoSpaceDN w:val="0"/>
              <w:spacing w:line="360" w:lineRule="auto"/>
              <w:ind w:firstLine="480" w:firstLineChars="200"/>
              <w:jc w:val="left"/>
              <w:rPr>
                <w:bCs/>
                <w:color w:val="auto"/>
                <w:sz w:val="24"/>
              </w:rPr>
            </w:pPr>
            <w:r>
              <w:rPr>
                <w:rFonts w:hint="eastAsia"/>
                <w:bCs/>
                <w:color w:val="auto"/>
                <w:sz w:val="24"/>
              </w:rPr>
              <w:t>根据上列检测结果，</w:t>
            </w:r>
            <w:r>
              <w:rPr>
                <w:rFonts w:hint="eastAsia"/>
                <w:bCs/>
                <w:color w:val="auto"/>
                <w:sz w:val="24"/>
                <w:lang w:eastAsia="zh-CN"/>
              </w:rPr>
              <w:t>云南常青树化工有限公司</w:t>
            </w:r>
            <w:r>
              <w:rPr>
                <w:bCs/>
                <w:color w:val="auto"/>
                <w:sz w:val="24"/>
              </w:rPr>
              <w:t>路基材料</w:t>
            </w:r>
            <w:r>
              <w:rPr>
                <w:rFonts w:hint="eastAsia"/>
                <w:bCs/>
                <w:color w:val="auto"/>
                <w:sz w:val="24"/>
              </w:rPr>
              <w:t>满足《公路路面基层用磷石膏矿渣水泥稳定材料应用技术规程》T/CCPA 26—2021（T/CBMF 149）相关要求，产品质量合格。</w:t>
            </w:r>
            <w:r>
              <w:rPr>
                <w:bCs/>
                <w:color w:val="auto"/>
                <w:sz w:val="24"/>
              </w:rPr>
              <w:t>本环评提出，产品</w:t>
            </w:r>
            <w:r>
              <w:rPr>
                <w:rFonts w:hint="eastAsia"/>
                <w:bCs/>
                <w:color w:val="auto"/>
                <w:sz w:val="24"/>
              </w:rPr>
              <w:t>路基材料</w:t>
            </w:r>
            <w:r>
              <w:rPr>
                <w:bCs/>
                <w:color w:val="auto"/>
                <w:sz w:val="24"/>
              </w:rPr>
              <w:t>出厂前</w:t>
            </w:r>
            <w:r>
              <w:rPr>
                <w:rFonts w:hint="eastAsia"/>
                <w:bCs/>
                <w:color w:val="auto"/>
                <w:sz w:val="24"/>
                <w:lang w:eastAsia="zh-CN"/>
              </w:rPr>
              <w:t>云南常青树化工有限公司</w:t>
            </w:r>
            <w:r>
              <w:rPr>
                <w:rFonts w:hint="eastAsia" w:ascii="宋体" w:hAnsi="宋体" w:cs="宋体"/>
                <w:bCs/>
                <w:color w:val="auto"/>
                <w:sz w:val="24"/>
              </w:rPr>
              <w:t>必须经检测</w:t>
            </w:r>
            <w:r>
              <w:rPr>
                <w:bCs/>
                <w:color w:val="auto"/>
                <w:sz w:val="24"/>
              </w:rPr>
              <w:t>，并</w:t>
            </w:r>
            <w:r>
              <w:rPr>
                <w:rFonts w:hint="eastAsia" w:ascii="宋体" w:hAnsi="宋体" w:cs="宋体"/>
                <w:bCs/>
                <w:color w:val="auto"/>
                <w:sz w:val="24"/>
              </w:rPr>
              <w:t>且符合上述路基材料产品质量指标后，方能外售。</w:t>
            </w:r>
          </w:p>
          <w:p w14:paraId="7055D37B">
            <w:pPr>
              <w:autoSpaceDE w:val="0"/>
              <w:autoSpaceDN w:val="0"/>
              <w:spacing w:line="360" w:lineRule="auto"/>
              <w:ind w:firstLine="480" w:firstLineChars="200"/>
              <w:jc w:val="left"/>
              <w:rPr>
                <w:rFonts w:ascii="宋体" w:hAnsi="宋体" w:cs="宋体"/>
                <w:bCs/>
                <w:color w:val="auto"/>
                <w:sz w:val="24"/>
              </w:rPr>
            </w:pPr>
            <w:r>
              <w:rPr>
                <w:rFonts w:hint="eastAsia" w:ascii="宋体" w:hAnsi="宋体" w:cs="宋体"/>
                <w:bCs/>
                <w:color w:val="auto"/>
                <w:sz w:val="24"/>
              </w:rPr>
              <w:t>③生态修复材料</w:t>
            </w:r>
          </w:p>
          <w:p w14:paraId="0873D502">
            <w:pPr>
              <w:autoSpaceDE w:val="0"/>
              <w:autoSpaceDN w:val="0"/>
              <w:spacing w:line="360" w:lineRule="auto"/>
              <w:ind w:firstLine="480" w:firstLineChars="200"/>
              <w:jc w:val="left"/>
              <w:rPr>
                <w:b/>
                <w:bCs/>
                <w:color w:val="auto"/>
                <w:sz w:val="24"/>
              </w:rPr>
            </w:pPr>
            <w:r>
              <w:rPr>
                <w:rFonts w:hint="eastAsia"/>
                <w:bCs/>
                <w:color w:val="auto"/>
                <w:sz w:val="24"/>
              </w:rPr>
              <w:t>生态修复材料需通过无害化处理使其达</w:t>
            </w:r>
            <w:r>
              <w:rPr>
                <w:bCs/>
                <w:color w:val="auto"/>
                <w:sz w:val="24"/>
              </w:rPr>
              <w:t>到第Ⅰ类一</w:t>
            </w:r>
            <w:r>
              <w:rPr>
                <w:rFonts w:hint="eastAsia"/>
                <w:bCs/>
                <w:color w:val="auto"/>
                <w:sz w:val="24"/>
              </w:rPr>
              <w:t>般工业固体废物（改性磷石膏）相关指标，即：改性磷石膏按照《固体废物  浸出毒性浸出方法  水平振荡法》（H</w:t>
            </w:r>
            <w:r>
              <w:rPr>
                <w:bCs/>
                <w:color w:val="auto"/>
                <w:sz w:val="24"/>
              </w:rPr>
              <w:t>J</w:t>
            </w:r>
            <w:r>
              <w:rPr>
                <w:rFonts w:hint="eastAsia"/>
                <w:bCs/>
                <w:color w:val="auto"/>
                <w:sz w:val="24"/>
              </w:rPr>
              <w:t xml:space="preserve"> </w:t>
            </w:r>
            <w:r>
              <w:rPr>
                <w:bCs/>
                <w:color w:val="auto"/>
                <w:sz w:val="24"/>
              </w:rPr>
              <w:t>557</w:t>
            </w:r>
            <w:r>
              <w:rPr>
                <w:rFonts w:hint="eastAsia"/>
                <w:bCs/>
                <w:color w:val="auto"/>
                <w:sz w:val="24"/>
              </w:rPr>
              <w:t>-2010</w:t>
            </w:r>
            <w:r>
              <w:rPr>
                <w:bCs/>
                <w:color w:val="auto"/>
                <w:sz w:val="24"/>
              </w:rPr>
              <w:t>）</w:t>
            </w:r>
            <w:r>
              <w:rPr>
                <w:rFonts w:hint="eastAsia"/>
                <w:bCs/>
                <w:color w:val="auto"/>
                <w:sz w:val="24"/>
              </w:rPr>
              <w:t>规定方法获得的浸出液中任何一种特征污染物浓度均未超过《污水综合排放标准》（</w:t>
            </w:r>
            <w:r>
              <w:rPr>
                <w:bCs/>
                <w:color w:val="auto"/>
                <w:sz w:val="24"/>
              </w:rPr>
              <w:t>GB</w:t>
            </w:r>
            <w:r>
              <w:rPr>
                <w:rFonts w:hint="eastAsia"/>
                <w:bCs/>
                <w:color w:val="auto"/>
                <w:sz w:val="24"/>
              </w:rPr>
              <w:t xml:space="preserve"> </w:t>
            </w:r>
            <w:r>
              <w:rPr>
                <w:bCs/>
                <w:color w:val="auto"/>
                <w:sz w:val="24"/>
              </w:rPr>
              <w:t>8978-1996</w:t>
            </w:r>
            <w:r>
              <w:rPr>
                <w:rFonts w:hint="eastAsia"/>
                <w:bCs/>
                <w:color w:val="auto"/>
                <w:sz w:val="24"/>
              </w:rPr>
              <w:t>）最高允许排放浓度，且p</w:t>
            </w:r>
            <w:r>
              <w:rPr>
                <w:bCs/>
                <w:color w:val="auto"/>
                <w:sz w:val="24"/>
              </w:rPr>
              <w:t>H</w:t>
            </w:r>
            <w:r>
              <w:rPr>
                <w:rFonts w:hint="eastAsia"/>
                <w:bCs/>
                <w:color w:val="auto"/>
                <w:sz w:val="24"/>
              </w:rPr>
              <w:t>值在6</w:t>
            </w:r>
            <w:r>
              <w:rPr>
                <w:bCs/>
                <w:color w:val="auto"/>
                <w:sz w:val="24"/>
              </w:rPr>
              <w:t>~9</w:t>
            </w:r>
            <w:r>
              <w:rPr>
                <w:rFonts w:hint="eastAsia"/>
                <w:bCs/>
                <w:color w:val="auto"/>
                <w:sz w:val="24"/>
              </w:rPr>
              <w:t>范围内，即为第Ⅰ类一般工业固体废物；同时改性磷石膏各项指标应低于《土壤环境质量 建设用地土壤污染风险管控标准（试行）》（G</w:t>
            </w:r>
            <w:r>
              <w:rPr>
                <w:bCs/>
                <w:color w:val="auto"/>
                <w:sz w:val="24"/>
              </w:rPr>
              <w:t>B</w:t>
            </w:r>
            <w:r>
              <w:rPr>
                <w:rFonts w:hint="eastAsia"/>
                <w:bCs/>
                <w:color w:val="auto"/>
                <w:sz w:val="24"/>
              </w:rPr>
              <w:t xml:space="preserve"> </w:t>
            </w:r>
            <w:r>
              <w:rPr>
                <w:bCs/>
                <w:color w:val="auto"/>
                <w:sz w:val="24"/>
              </w:rPr>
              <w:t>3660-2018</w:t>
            </w:r>
            <w:r>
              <w:rPr>
                <w:rFonts w:hint="eastAsia"/>
                <w:bCs/>
                <w:color w:val="auto"/>
                <w:sz w:val="24"/>
              </w:rPr>
              <w:t>）表1中第二类用地筛选值，其中总氟化物指标参照深圳市地方标准《建设用地土壤污染风险筛选值和管制值》（D</w:t>
            </w:r>
            <w:r>
              <w:rPr>
                <w:bCs/>
                <w:color w:val="auto"/>
                <w:sz w:val="24"/>
              </w:rPr>
              <w:t>B</w:t>
            </w:r>
            <w:r>
              <w:rPr>
                <w:rFonts w:hint="eastAsia"/>
                <w:bCs/>
                <w:color w:val="auto"/>
                <w:sz w:val="24"/>
              </w:rPr>
              <w:t xml:space="preserve"> </w:t>
            </w:r>
            <w:r>
              <w:rPr>
                <w:bCs/>
                <w:color w:val="auto"/>
                <w:sz w:val="24"/>
              </w:rPr>
              <w:t>4403/T</w:t>
            </w:r>
            <w:r>
              <w:rPr>
                <w:rFonts w:hint="eastAsia"/>
                <w:bCs/>
                <w:color w:val="auto"/>
                <w:sz w:val="24"/>
              </w:rPr>
              <w:t xml:space="preserve"> </w:t>
            </w:r>
            <w:r>
              <w:rPr>
                <w:bCs/>
                <w:color w:val="auto"/>
                <w:sz w:val="24"/>
              </w:rPr>
              <w:t>67-2020</w:t>
            </w:r>
            <w:r>
              <w:rPr>
                <w:rFonts w:hint="eastAsia"/>
                <w:bCs/>
                <w:color w:val="auto"/>
                <w:sz w:val="24"/>
              </w:rPr>
              <w:t>）第二类用地筛选值和管制值。其他要求：回填矿坑前，需对每批次回填的改性磷石膏进行检测，达到执行的标准后，方可入场回填。不应在磷石膏中掺加除无害化处理工艺所需要改性剂之外的其他固体废物，严禁混入危险废物、放射性废物、生活垃圾性质相近的一般工业固体废物以及其他有机物含量超过5</w:t>
            </w:r>
            <w:r>
              <w:rPr>
                <w:bCs/>
                <w:color w:val="auto"/>
                <w:sz w:val="24"/>
              </w:rPr>
              <w:t>%</w:t>
            </w:r>
            <w:r>
              <w:rPr>
                <w:rFonts w:hint="eastAsia"/>
                <w:bCs/>
                <w:color w:val="auto"/>
                <w:sz w:val="24"/>
              </w:rPr>
              <w:t>的一般工业固体废物，</w:t>
            </w:r>
            <w:r>
              <w:rPr>
                <w:bCs/>
                <w:color w:val="auto"/>
                <w:sz w:val="24"/>
              </w:rPr>
              <w:t>详细质量指标见表2-</w:t>
            </w:r>
            <w:r>
              <w:rPr>
                <w:rFonts w:hint="eastAsia"/>
                <w:bCs/>
                <w:color w:val="auto"/>
                <w:sz w:val="24"/>
                <w:lang w:val="en-US" w:eastAsia="zh-CN"/>
              </w:rPr>
              <w:t>9</w:t>
            </w:r>
            <w:r>
              <w:rPr>
                <w:bCs/>
                <w:color w:val="auto"/>
                <w:sz w:val="24"/>
              </w:rPr>
              <w:t>所示。</w:t>
            </w:r>
          </w:p>
          <w:p w14:paraId="73485608">
            <w:pPr>
              <w:autoSpaceDE w:val="0"/>
              <w:autoSpaceDN w:val="0"/>
              <w:jc w:val="center"/>
              <w:rPr>
                <w:b/>
                <w:color w:val="auto"/>
                <w:sz w:val="24"/>
              </w:rPr>
            </w:pPr>
            <w:r>
              <w:rPr>
                <w:b/>
                <w:color w:val="auto"/>
                <w:sz w:val="24"/>
              </w:rPr>
              <w:t>表2-</w:t>
            </w:r>
            <w:r>
              <w:rPr>
                <w:rFonts w:hint="eastAsia"/>
                <w:b/>
                <w:color w:val="auto"/>
                <w:sz w:val="24"/>
                <w:lang w:val="en-US" w:eastAsia="zh-CN"/>
              </w:rPr>
              <w:t>9</w:t>
            </w:r>
            <w:r>
              <w:rPr>
                <w:b/>
                <w:color w:val="auto"/>
                <w:sz w:val="24"/>
              </w:rPr>
              <w:t xml:space="preserve">  生态修复材料产品质量指标</w:t>
            </w:r>
          </w:p>
          <w:tbl>
            <w:tblPr>
              <w:tblStyle w:val="45"/>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2"/>
              <w:gridCol w:w="2374"/>
              <w:gridCol w:w="1069"/>
              <w:gridCol w:w="1615"/>
            </w:tblGrid>
            <w:tr w14:paraId="57DAA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20" w:type="dxa"/>
                  <w:gridSpan w:val="4"/>
                  <w:tcBorders>
                    <w:top w:val="single" w:color="auto" w:sz="4" w:space="0"/>
                    <w:left w:val="single" w:color="auto" w:sz="4" w:space="0"/>
                    <w:bottom w:val="single" w:color="auto" w:sz="4" w:space="0"/>
                    <w:right w:val="single" w:color="auto" w:sz="4" w:space="0"/>
                  </w:tcBorders>
                  <w:vAlign w:val="center"/>
                </w:tcPr>
                <w:p w14:paraId="13CCA888">
                  <w:pPr>
                    <w:jc w:val="center"/>
                    <w:rPr>
                      <w:color w:val="auto"/>
                      <w:sz w:val="21"/>
                      <w:szCs w:val="21"/>
                    </w:rPr>
                  </w:pPr>
                  <w:r>
                    <w:rPr>
                      <w:color w:val="auto"/>
                      <w:sz w:val="21"/>
                      <w:szCs w:val="21"/>
                    </w:rPr>
                    <w:t>污染物特征指标</w:t>
                  </w:r>
                </w:p>
              </w:tc>
            </w:tr>
            <w:tr w14:paraId="7EAA2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20" w:type="dxa"/>
                  <w:gridSpan w:val="4"/>
                  <w:tcBorders>
                    <w:top w:val="single" w:color="auto" w:sz="4" w:space="0"/>
                    <w:left w:val="single" w:color="auto" w:sz="4" w:space="0"/>
                    <w:bottom w:val="single" w:color="auto" w:sz="4" w:space="0"/>
                    <w:right w:val="single" w:color="auto" w:sz="4" w:space="0"/>
                  </w:tcBorders>
                </w:tcPr>
                <w:p w14:paraId="3DCC3FC8">
                  <w:pPr>
                    <w:rPr>
                      <w:color w:val="auto"/>
                      <w:sz w:val="21"/>
                      <w:szCs w:val="21"/>
                    </w:rPr>
                  </w:pPr>
                  <w:r>
                    <w:rPr>
                      <w:color w:val="auto"/>
                      <w:sz w:val="21"/>
                      <w:szCs w:val="21"/>
                    </w:rPr>
                    <w:t>1）重金属技术指标：参照GB</w:t>
                  </w:r>
                  <w:r>
                    <w:rPr>
                      <w:rFonts w:hint="eastAsia"/>
                      <w:color w:val="auto"/>
                      <w:sz w:val="21"/>
                      <w:szCs w:val="21"/>
                    </w:rPr>
                    <w:t xml:space="preserve"> </w:t>
                  </w:r>
                  <w:r>
                    <w:rPr>
                      <w:color w:val="auto"/>
                      <w:sz w:val="21"/>
                      <w:szCs w:val="21"/>
                    </w:rPr>
                    <w:t>36600</w:t>
                  </w:r>
                  <w:r>
                    <w:rPr>
                      <w:bCs/>
                      <w:color w:val="auto"/>
                      <w:sz w:val="21"/>
                      <w:szCs w:val="21"/>
                    </w:rPr>
                    <w:t>-2018</w:t>
                  </w:r>
                  <w:r>
                    <w:rPr>
                      <w:color w:val="auto"/>
                      <w:sz w:val="21"/>
                      <w:szCs w:val="21"/>
                    </w:rPr>
                    <w:t>的要求测定，并符合下述表格要求。</w:t>
                  </w:r>
                </w:p>
              </w:tc>
            </w:tr>
            <w:tr w14:paraId="23845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7EBCBE0C">
                  <w:pPr>
                    <w:jc w:val="center"/>
                    <w:rPr>
                      <w:color w:val="auto"/>
                      <w:sz w:val="21"/>
                      <w:szCs w:val="21"/>
                    </w:rPr>
                  </w:pPr>
                  <w:r>
                    <w:rPr>
                      <w:color w:val="auto"/>
                      <w:sz w:val="21"/>
                      <w:szCs w:val="21"/>
                    </w:rPr>
                    <w:t>序号</w:t>
                  </w:r>
                </w:p>
              </w:tc>
              <w:tc>
                <w:tcPr>
                  <w:tcW w:w="3443" w:type="dxa"/>
                  <w:gridSpan w:val="2"/>
                  <w:tcBorders>
                    <w:top w:val="single" w:color="auto" w:sz="4" w:space="0"/>
                    <w:left w:val="single" w:color="auto" w:sz="4" w:space="0"/>
                    <w:bottom w:val="single" w:color="auto" w:sz="4" w:space="0"/>
                    <w:right w:val="single" w:color="auto" w:sz="4" w:space="0"/>
                  </w:tcBorders>
                  <w:vAlign w:val="center"/>
                </w:tcPr>
                <w:p w14:paraId="1C0DA195">
                  <w:pPr>
                    <w:jc w:val="center"/>
                    <w:rPr>
                      <w:color w:val="auto"/>
                      <w:sz w:val="21"/>
                      <w:szCs w:val="21"/>
                    </w:rPr>
                  </w:pPr>
                  <w:r>
                    <w:rPr>
                      <w:color w:val="auto"/>
                      <w:sz w:val="21"/>
                      <w:szCs w:val="21"/>
                    </w:rPr>
                    <w:t>项目</w:t>
                  </w:r>
                </w:p>
              </w:tc>
              <w:tc>
                <w:tcPr>
                  <w:tcW w:w="1615" w:type="dxa"/>
                  <w:tcBorders>
                    <w:top w:val="single" w:color="auto" w:sz="4" w:space="0"/>
                    <w:left w:val="single" w:color="auto" w:sz="4" w:space="0"/>
                    <w:bottom w:val="single" w:color="auto" w:sz="4" w:space="0"/>
                    <w:right w:val="single" w:color="auto" w:sz="4" w:space="0"/>
                  </w:tcBorders>
                </w:tcPr>
                <w:p w14:paraId="57B645E9">
                  <w:pPr>
                    <w:jc w:val="center"/>
                    <w:rPr>
                      <w:color w:val="auto"/>
                      <w:sz w:val="21"/>
                      <w:szCs w:val="21"/>
                    </w:rPr>
                  </w:pPr>
                  <w:r>
                    <w:rPr>
                      <w:color w:val="auto"/>
                      <w:sz w:val="21"/>
                      <w:szCs w:val="21"/>
                    </w:rPr>
                    <w:t>指标</w:t>
                  </w:r>
                </w:p>
              </w:tc>
            </w:tr>
            <w:tr w14:paraId="5D514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523570A3">
                  <w:pPr>
                    <w:jc w:val="center"/>
                    <w:rPr>
                      <w:color w:val="auto"/>
                      <w:sz w:val="21"/>
                      <w:szCs w:val="21"/>
                    </w:rPr>
                  </w:pPr>
                  <w:r>
                    <w:rPr>
                      <w:color w:val="auto"/>
                      <w:sz w:val="21"/>
                      <w:szCs w:val="21"/>
                    </w:rPr>
                    <w:t>1</w:t>
                  </w:r>
                </w:p>
              </w:tc>
              <w:tc>
                <w:tcPr>
                  <w:tcW w:w="3443" w:type="dxa"/>
                  <w:gridSpan w:val="2"/>
                  <w:tcBorders>
                    <w:top w:val="single" w:color="auto" w:sz="4" w:space="0"/>
                    <w:left w:val="single" w:color="auto" w:sz="4" w:space="0"/>
                    <w:bottom w:val="single" w:color="auto" w:sz="4" w:space="0"/>
                    <w:right w:val="single" w:color="auto" w:sz="4" w:space="0"/>
                  </w:tcBorders>
                  <w:vAlign w:val="center"/>
                </w:tcPr>
                <w:p w14:paraId="1F113590">
                  <w:pPr>
                    <w:jc w:val="center"/>
                    <w:rPr>
                      <w:color w:val="auto"/>
                      <w:sz w:val="21"/>
                      <w:szCs w:val="21"/>
                    </w:rPr>
                  </w:pPr>
                  <w:r>
                    <w:rPr>
                      <w:color w:val="auto"/>
                      <w:sz w:val="21"/>
                      <w:szCs w:val="21"/>
                    </w:rPr>
                    <w:t>砷，mg/kg＜</w:t>
                  </w:r>
                </w:p>
              </w:tc>
              <w:tc>
                <w:tcPr>
                  <w:tcW w:w="1615" w:type="dxa"/>
                  <w:tcBorders>
                    <w:top w:val="single" w:color="auto" w:sz="4" w:space="0"/>
                    <w:left w:val="single" w:color="auto" w:sz="4" w:space="0"/>
                    <w:bottom w:val="single" w:color="auto" w:sz="4" w:space="0"/>
                    <w:right w:val="single" w:color="auto" w:sz="4" w:space="0"/>
                  </w:tcBorders>
                </w:tcPr>
                <w:p w14:paraId="59908727">
                  <w:pPr>
                    <w:jc w:val="center"/>
                    <w:rPr>
                      <w:color w:val="auto"/>
                      <w:sz w:val="21"/>
                      <w:szCs w:val="21"/>
                    </w:rPr>
                  </w:pPr>
                  <w:r>
                    <w:rPr>
                      <w:color w:val="auto"/>
                      <w:sz w:val="21"/>
                      <w:szCs w:val="21"/>
                    </w:rPr>
                    <w:t>60</w:t>
                  </w:r>
                </w:p>
              </w:tc>
            </w:tr>
            <w:tr w14:paraId="45272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627CD2F1">
                  <w:pPr>
                    <w:jc w:val="center"/>
                    <w:rPr>
                      <w:color w:val="auto"/>
                      <w:sz w:val="21"/>
                      <w:szCs w:val="21"/>
                    </w:rPr>
                  </w:pPr>
                  <w:r>
                    <w:rPr>
                      <w:color w:val="auto"/>
                      <w:sz w:val="21"/>
                      <w:szCs w:val="21"/>
                    </w:rPr>
                    <w:t>2</w:t>
                  </w:r>
                </w:p>
              </w:tc>
              <w:tc>
                <w:tcPr>
                  <w:tcW w:w="3443" w:type="dxa"/>
                  <w:gridSpan w:val="2"/>
                  <w:tcBorders>
                    <w:top w:val="single" w:color="auto" w:sz="4" w:space="0"/>
                    <w:left w:val="single" w:color="auto" w:sz="4" w:space="0"/>
                    <w:bottom w:val="single" w:color="auto" w:sz="4" w:space="0"/>
                    <w:right w:val="single" w:color="auto" w:sz="4" w:space="0"/>
                  </w:tcBorders>
                  <w:vAlign w:val="center"/>
                </w:tcPr>
                <w:p w14:paraId="2DCE79C4">
                  <w:pPr>
                    <w:jc w:val="center"/>
                    <w:rPr>
                      <w:color w:val="auto"/>
                      <w:sz w:val="21"/>
                      <w:szCs w:val="21"/>
                    </w:rPr>
                  </w:pPr>
                  <w:r>
                    <w:rPr>
                      <w:color w:val="auto"/>
                      <w:sz w:val="21"/>
                      <w:szCs w:val="21"/>
                    </w:rPr>
                    <w:t>镉，mg/kg＜</w:t>
                  </w:r>
                </w:p>
              </w:tc>
              <w:tc>
                <w:tcPr>
                  <w:tcW w:w="1615" w:type="dxa"/>
                  <w:tcBorders>
                    <w:top w:val="single" w:color="auto" w:sz="4" w:space="0"/>
                    <w:left w:val="single" w:color="auto" w:sz="4" w:space="0"/>
                    <w:bottom w:val="single" w:color="auto" w:sz="4" w:space="0"/>
                    <w:right w:val="single" w:color="auto" w:sz="4" w:space="0"/>
                  </w:tcBorders>
                </w:tcPr>
                <w:p w14:paraId="09D45815">
                  <w:pPr>
                    <w:jc w:val="center"/>
                    <w:rPr>
                      <w:color w:val="auto"/>
                      <w:sz w:val="21"/>
                      <w:szCs w:val="21"/>
                    </w:rPr>
                  </w:pPr>
                  <w:r>
                    <w:rPr>
                      <w:color w:val="auto"/>
                      <w:sz w:val="21"/>
                      <w:szCs w:val="21"/>
                    </w:rPr>
                    <w:t>65</w:t>
                  </w:r>
                </w:p>
              </w:tc>
            </w:tr>
            <w:tr w14:paraId="46A38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703B2637">
                  <w:pPr>
                    <w:jc w:val="center"/>
                    <w:rPr>
                      <w:color w:val="auto"/>
                      <w:sz w:val="21"/>
                      <w:szCs w:val="21"/>
                    </w:rPr>
                  </w:pPr>
                  <w:r>
                    <w:rPr>
                      <w:color w:val="auto"/>
                      <w:sz w:val="21"/>
                      <w:szCs w:val="21"/>
                    </w:rPr>
                    <w:t>3</w:t>
                  </w:r>
                </w:p>
              </w:tc>
              <w:tc>
                <w:tcPr>
                  <w:tcW w:w="3443" w:type="dxa"/>
                  <w:gridSpan w:val="2"/>
                  <w:tcBorders>
                    <w:top w:val="single" w:color="auto" w:sz="4" w:space="0"/>
                    <w:left w:val="single" w:color="auto" w:sz="4" w:space="0"/>
                    <w:bottom w:val="single" w:color="auto" w:sz="4" w:space="0"/>
                    <w:right w:val="single" w:color="auto" w:sz="4" w:space="0"/>
                  </w:tcBorders>
                  <w:vAlign w:val="center"/>
                </w:tcPr>
                <w:p w14:paraId="61612F66">
                  <w:pPr>
                    <w:jc w:val="center"/>
                    <w:rPr>
                      <w:color w:val="auto"/>
                      <w:sz w:val="21"/>
                      <w:szCs w:val="21"/>
                    </w:rPr>
                  </w:pPr>
                  <w:r>
                    <w:rPr>
                      <w:color w:val="auto"/>
                      <w:sz w:val="21"/>
                      <w:szCs w:val="21"/>
                    </w:rPr>
                    <w:t>铬（六价），mg/kg＜</w:t>
                  </w:r>
                </w:p>
              </w:tc>
              <w:tc>
                <w:tcPr>
                  <w:tcW w:w="1615" w:type="dxa"/>
                  <w:tcBorders>
                    <w:top w:val="single" w:color="auto" w:sz="4" w:space="0"/>
                    <w:left w:val="single" w:color="auto" w:sz="4" w:space="0"/>
                    <w:bottom w:val="single" w:color="auto" w:sz="4" w:space="0"/>
                    <w:right w:val="single" w:color="auto" w:sz="4" w:space="0"/>
                  </w:tcBorders>
                </w:tcPr>
                <w:p w14:paraId="50A4501C">
                  <w:pPr>
                    <w:jc w:val="center"/>
                    <w:rPr>
                      <w:color w:val="auto"/>
                      <w:sz w:val="21"/>
                      <w:szCs w:val="21"/>
                    </w:rPr>
                  </w:pPr>
                  <w:r>
                    <w:rPr>
                      <w:color w:val="auto"/>
                      <w:sz w:val="21"/>
                      <w:szCs w:val="21"/>
                    </w:rPr>
                    <w:t>5.7</w:t>
                  </w:r>
                </w:p>
              </w:tc>
            </w:tr>
            <w:tr w14:paraId="4415F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31AD1E6B">
                  <w:pPr>
                    <w:jc w:val="center"/>
                    <w:rPr>
                      <w:color w:val="auto"/>
                      <w:sz w:val="21"/>
                      <w:szCs w:val="21"/>
                    </w:rPr>
                  </w:pPr>
                  <w:r>
                    <w:rPr>
                      <w:color w:val="auto"/>
                      <w:sz w:val="21"/>
                      <w:szCs w:val="21"/>
                    </w:rPr>
                    <w:t>4</w:t>
                  </w:r>
                </w:p>
              </w:tc>
              <w:tc>
                <w:tcPr>
                  <w:tcW w:w="3443" w:type="dxa"/>
                  <w:gridSpan w:val="2"/>
                  <w:tcBorders>
                    <w:top w:val="single" w:color="auto" w:sz="4" w:space="0"/>
                    <w:left w:val="single" w:color="auto" w:sz="4" w:space="0"/>
                    <w:bottom w:val="single" w:color="auto" w:sz="4" w:space="0"/>
                    <w:right w:val="single" w:color="auto" w:sz="4" w:space="0"/>
                  </w:tcBorders>
                  <w:vAlign w:val="center"/>
                </w:tcPr>
                <w:p w14:paraId="776B612E">
                  <w:pPr>
                    <w:jc w:val="center"/>
                    <w:rPr>
                      <w:color w:val="auto"/>
                      <w:sz w:val="21"/>
                      <w:szCs w:val="21"/>
                    </w:rPr>
                  </w:pPr>
                  <w:r>
                    <w:rPr>
                      <w:color w:val="auto"/>
                      <w:sz w:val="21"/>
                      <w:szCs w:val="21"/>
                    </w:rPr>
                    <w:t>铜，mg/kg＜</w:t>
                  </w:r>
                </w:p>
              </w:tc>
              <w:tc>
                <w:tcPr>
                  <w:tcW w:w="1615" w:type="dxa"/>
                  <w:tcBorders>
                    <w:top w:val="single" w:color="auto" w:sz="4" w:space="0"/>
                    <w:left w:val="single" w:color="auto" w:sz="4" w:space="0"/>
                    <w:bottom w:val="single" w:color="auto" w:sz="4" w:space="0"/>
                    <w:right w:val="single" w:color="auto" w:sz="4" w:space="0"/>
                  </w:tcBorders>
                </w:tcPr>
                <w:p w14:paraId="1E9D44E4">
                  <w:pPr>
                    <w:jc w:val="center"/>
                    <w:rPr>
                      <w:color w:val="auto"/>
                      <w:sz w:val="21"/>
                      <w:szCs w:val="21"/>
                    </w:rPr>
                  </w:pPr>
                  <w:r>
                    <w:rPr>
                      <w:color w:val="auto"/>
                      <w:sz w:val="21"/>
                      <w:szCs w:val="21"/>
                    </w:rPr>
                    <w:t>18000</w:t>
                  </w:r>
                </w:p>
              </w:tc>
            </w:tr>
            <w:tr w14:paraId="6DD91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5EAA1B8A">
                  <w:pPr>
                    <w:jc w:val="center"/>
                    <w:rPr>
                      <w:color w:val="auto"/>
                      <w:sz w:val="21"/>
                      <w:szCs w:val="21"/>
                    </w:rPr>
                  </w:pPr>
                  <w:r>
                    <w:rPr>
                      <w:color w:val="auto"/>
                      <w:sz w:val="21"/>
                      <w:szCs w:val="21"/>
                    </w:rPr>
                    <w:t>5</w:t>
                  </w:r>
                </w:p>
              </w:tc>
              <w:tc>
                <w:tcPr>
                  <w:tcW w:w="3443" w:type="dxa"/>
                  <w:gridSpan w:val="2"/>
                  <w:tcBorders>
                    <w:top w:val="single" w:color="auto" w:sz="4" w:space="0"/>
                    <w:left w:val="single" w:color="auto" w:sz="4" w:space="0"/>
                    <w:bottom w:val="single" w:color="auto" w:sz="4" w:space="0"/>
                    <w:right w:val="single" w:color="auto" w:sz="4" w:space="0"/>
                  </w:tcBorders>
                  <w:vAlign w:val="center"/>
                </w:tcPr>
                <w:p w14:paraId="091BE3A8">
                  <w:pPr>
                    <w:jc w:val="center"/>
                    <w:rPr>
                      <w:color w:val="auto"/>
                      <w:sz w:val="21"/>
                      <w:szCs w:val="21"/>
                    </w:rPr>
                  </w:pPr>
                  <w:r>
                    <w:rPr>
                      <w:color w:val="auto"/>
                      <w:sz w:val="21"/>
                      <w:szCs w:val="21"/>
                    </w:rPr>
                    <w:t>铅，mg/kg＜</w:t>
                  </w:r>
                </w:p>
              </w:tc>
              <w:tc>
                <w:tcPr>
                  <w:tcW w:w="1615" w:type="dxa"/>
                  <w:tcBorders>
                    <w:top w:val="single" w:color="auto" w:sz="4" w:space="0"/>
                    <w:left w:val="single" w:color="auto" w:sz="4" w:space="0"/>
                    <w:bottom w:val="single" w:color="auto" w:sz="4" w:space="0"/>
                    <w:right w:val="single" w:color="auto" w:sz="4" w:space="0"/>
                  </w:tcBorders>
                </w:tcPr>
                <w:p w14:paraId="52C5748F">
                  <w:pPr>
                    <w:jc w:val="center"/>
                    <w:rPr>
                      <w:color w:val="auto"/>
                      <w:sz w:val="21"/>
                      <w:szCs w:val="21"/>
                    </w:rPr>
                  </w:pPr>
                  <w:r>
                    <w:rPr>
                      <w:color w:val="auto"/>
                      <w:sz w:val="21"/>
                      <w:szCs w:val="21"/>
                    </w:rPr>
                    <w:t>800</w:t>
                  </w:r>
                </w:p>
              </w:tc>
            </w:tr>
            <w:tr w14:paraId="2A24B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0D1D8B84">
                  <w:pPr>
                    <w:jc w:val="center"/>
                    <w:rPr>
                      <w:color w:val="auto"/>
                      <w:sz w:val="21"/>
                      <w:szCs w:val="21"/>
                    </w:rPr>
                  </w:pPr>
                  <w:r>
                    <w:rPr>
                      <w:color w:val="auto"/>
                      <w:sz w:val="21"/>
                      <w:szCs w:val="21"/>
                    </w:rPr>
                    <w:t>6</w:t>
                  </w:r>
                </w:p>
              </w:tc>
              <w:tc>
                <w:tcPr>
                  <w:tcW w:w="3443" w:type="dxa"/>
                  <w:gridSpan w:val="2"/>
                  <w:tcBorders>
                    <w:top w:val="single" w:color="auto" w:sz="4" w:space="0"/>
                    <w:left w:val="single" w:color="auto" w:sz="4" w:space="0"/>
                    <w:bottom w:val="single" w:color="auto" w:sz="4" w:space="0"/>
                    <w:right w:val="single" w:color="auto" w:sz="4" w:space="0"/>
                  </w:tcBorders>
                  <w:vAlign w:val="center"/>
                </w:tcPr>
                <w:p w14:paraId="7DBE2BB2">
                  <w:pPr>
                    <w:jc w:val="center"/>
                    <w:rPr>
                      <w:color w:val="auto"/>
                      <w:sz w:val="21"/>
                      <w:szCs w:val="21"/>
                    </w:rPr>
                  </w:pPr>
                  <w:r>
                    <w:rPr>
                      <w:color w:val="auto"/>
                      <w:sz w:val="21"/>
                      <w:szCs w:val="21"/>
                    </w:rPr>
                    <w:t>汞，mg/kg＜</w:t>
                  </w:r>
                </w:p>
              </w:tc>
              <w:tc>
                <w:tcPr>
                  <w:tcW w:w="1615" w:type="dxa"/>
                  <w:tcBorders>
                    <w:top w:val="single" w:color="auto" w:sz="4" w:space="0"/>
                    <w:left w:val="single" w:color="auto" w:sz="4" w:space="0"/>
                    <w:bottom w:val="single" w:color="auto" w:sz="4" w:space="0"/>
                    <w:right w:val="single" w:color="auto" w:sz="4" w:space="0"/>
                  </w:tcBorders>
                </w:tcPr>
                <w:p w14:paraId="6A05702D">
                  <w:pPr>
                    <w:jc w:val="center"/>
                    <w:rPr>
                      <w:color w:val="auto"/>
                      <w:sz w:val="21"/>
                      <w:szCs w:val="21"/>
                    </w:rPr>
                  </w:pPr>
                  <w:r>
                    <w:rPr>
                      <w:color w:val="auto"/>
                      <w:sz w:val="21"/>
                      <w:szCs w:val="21"/>
                    </w:rPr>
                    <w:t>38</w:t>
                  </w:r>
                </w:p>
              </w:tc>
            </w:tr>
            <w:tr w14:paraId="626A7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777E8EF9">
                  <w:pPr>
                    <w:jc w:val="center"/>
                    <w:rPr>
                      <w:color w:val="auto"/>
                      <w:sz w:val="21"/>
                      <w:szCs w:val="21"/>
                    </w:rPr>
                  </w:pPr>
                  <w:r>
                    <w:rPr>
                      <w:color w:val="auto"/>
                      <w:sz w:val="21"/>
                      <w:szCs w:val="21"/>
                    </w:rPr>
                    <w:t>7</w:t>
                  </w:r>
                </w:p>
              </w:tc>
              <w:tc>
                <w:tcPr>
                  <w:tcW w:w="2374" w:type="dxa"/>
                  <w:vMerge w:val="restart"/>
                  <w:tcBorders>
                    <w:top w:val="single" w:color="auto" w:sz="4" w:space="0"/>
                    <w:left w:val="single" w:color="auto" w:sz="4" w:space="0"/>
                    <w:right w:val="single" w:color="auto" w:sz="4" w:space="0"/>
                  </w:tcBorders>
                  <w:vAlign w:val="center"/>
                </w:tcPr>
                <w:p w14:paraId="725EA4CF">
                  <w:pPr>
                    <w:jc w:val="center"/>
                    <w:rPr>
                      <w:color w:val="auto"/>
                      <w:sz w:val="21"/>
                      <w:szCs w:val="21"/>
                    </w:rPr>
                  </w:pPr>
                  <w:r>
                    <w:rPr>
                      <w:color w:val="auto"/>
                      <w:sz w:val="21"/>
                      <w:szCs w:val="21"/>
                    </w:rPr>
                    <w:t>放射性核素限量</w:t>
                  </w:r>
                </w:p>
              </w:tc>
              <w:tc>
                <w:tcPr>
                  <w:tcW w:w="1069" w:type="dxa"/>
                  <w:tcBorders>
                    <w:top w:val="single" w:color="auto" w:sz="4" w:space="0"/>
                    <w:left w:val="single" w:color="auto" w:sz="4" w:space="0"/>
                    <w:bottom w:val="single" w:color="auto" w:sz="4" w:space="0"/>
                    <w:right w:val="single" w:color="auto" w:sz="4" w:space="0"/>
                  </w:tcBorders>
                  <w:vAlign w:val="center"/>
                </w:tcPr>
                <w:p w14:paraId="6DAE2088">
                  <w:pPr>
                    <w:jc w:val="center"/>
                    <w:rPr>
                      <w:color w:val="auto"/>
                      <w:sz w:val="21"/>
                      <w:szCs w:val="21"/>
                    </w:rPr>
                  </w:pPr>
                  <w:r>
                    <w:rPr>
                      <w:color w:val="auto"/>
                      <w:sz w:val="21"/>
                      <w:szCs w:val="21"/>
                    </w:rPr>
                    <w:t>内照射指数≤</w:t>
                  </w:r>
                </w:p>
              </w:tc>
              <w:tc>
                <w:tcPr>
                  <w:tcW w:w="1615" w:type="dxa"/>
                  <w:tcBorders>
                    <w:top w:val="single" w:color="auto" w:sz="4" w:space="0"/>
                    <w:left w:val="single" w:color="auto" w:sz="4" w:space="0"/>
                    <w:bottom w:val="single" w:color="auto" w:sz="4" w:space="0"/>
                    <w:right w:val="single" w:color="auto" w:sz="4" w:space="0"/>
                  </w:tcBorders>
                </w:tcPr>
                <w:p w14:paraId="11A6920D">
                  <w:pPr>
                    <w:jc w:val="center"/>
                    <w:rPr>
                      <w:color w:val="auto"/>
                      <w:sz w:val="21"/>
                      <w:szCs w:val="21"/>
                    </w:rPr>
                  </w:pPr>
                  <w:r>
                    <w:rPr>
                      <w:color w:val="auto"/>
                      <w:sz w:val="21"/>
                      <w:szCs w:val="21"/>
                    </w:rPr>
                    <w:t>1</w:t>
                  </w:r>
                </w:p>
              </w:tc>
            </w:tr>
            <w:tr w14:paraId="3BEB9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5A9287E7">
                  <w:pPr>
                    <w:jc w:val="center"/>
                    <w:rPr>
                      <w:color w:val="auto"/>
                      <w:sz w:val="21"/>
                      <w:szCs w:val="21"/>
                    </w:rPr>
                  </w:pPr>
                  <w:r>
                    <w:rPr>
                      <w:color w:val="auto"/>
                      <w:sz w:val="21"/>
                      <w:szCs w:val="21"/>
                    </w:rPr>
                    <w:t>8</w:t>
                  </w:r>
                </w:p>
              </w:tc>
              <w:tc>
                <w:tcPr>
                  <w:tcW w:w="2374" w:type="dxa"/>
                  <w:vMerge w:val="continue"/>
                  <w:tcBorders>
                    <w:left w:val="single" w:color="auto" w:sz="4" w:space="0"/>
                    <w:bottom w:val="single" w:color="auto" w:sz="4" w:space="0"/>
                    <w:right w:val="single" w:color="auto" w:sz="4" w:space="0"/>
                  </w:tcBorders>
                  <w:vAlign w:val="center"/>
                </w:tcPr>
                <w:p w14:paraId="4B053F57">
                  <w:pPr>
                    <w:jc w:val="center"/>
                    <w:rPr>
                      <w:color w:val="auto"/>
                      <w:sz w:val="21"/>
                      <w:szCs w:val="21"/>
                    </w:rPr>
                  </w:pPr>
                </w:p>
              </w:tc>
              <w:tc>
                <w:tcPr>
                  <w:tcW w:w="1069" w:type="dxa"/>
                  <w:tcBorders>
                    <w:top w:val="single" w:color="auto" w:sz="4" w:space="0"/>
                    <w:left w:val="single" w:color="auto" w:sz="4" w:space="0"/>
                    <w:bottom w:val="single" w:color="auto" w:sz="4" w:space="0"/>
                    <w:right w:val="single" w:color="auto" w:sz="4" w:space="0"/>
                  </w:tcBorders>
                  <w:vAlign w:val="center"/>
                </w:tcPr>
                <w:p w14:paraId="71B06950">
                  <w:pPr>
                    <w:jc w:val="center"/>
                    <w:rPr>
                      <w:color w:val="auto"/>
                      <w:sz w:val="21"/>
                      <w:szCs w:val="21"/>
                    </w:rPr>
                  </w:pPr>
                  <w:r>
                    <w:rPr>
                      <w:color w:val="auto"/>
                      <w:sz w:val="21"/>
                      <w:szCs w:val="21"/>
                    </w:rPr>
                    <w:t>外照射指数≤</w:t>
                  </w:r>
                </w:p>
              </w:tc>
              <w:tc>
                <w:tcPr>
                  <w:tcW w:w="1615" w:type="dxa"/>
                  <w:tcBorders>
                    <w:top w:val="single" w:color="auto" w:sz="4" w:space="0"/>
                    <w:left w:val="single" w:color="auto" w:sz="4" w:space="0"/>
                    <w:bottom w:val="single" w:color="auto" w:sz="4" w:space="0"/>
                    <w:right w:val="single" w:color="auto" w:sz="4" w:space="0"/>
                  </w:tcBorders>
                </w:tcPr>
                <w:p w14:paraId="0F9A61A3">
                  <w:pPr>
                    <w:jc w:val="center"/>
                    <w:rPr>
                      <w:color w:val="auto"/>
                      <w:sz w:val="21"/>
                      <w:szCs w:val="21"/>
                    </w:rPr>
                  </w:pPr>
                  <w:r>
                    <w:rPr>
                      <w:color w:val="auto"/>
                      <w:sz w:val="21"/>
                      <w:szCs w:val="21"/>
                    </w:rPr>
                    <w:t>1</w:t>
                  </w:r>
                </w:p>
              </w:tc>
            </w:tr>
            <w:tr w14:paraId="1658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20" w:type="dxa"/>
                  <w:gridSpan w:val="4"/>
                  <w:tcBorders>
                    <w:top w:val="single" w:color="auto" w:sz="4" w:space="0"/>
                    <w:left w:val="single" w:color="auto" w:sz="4" w:space="0"/>
                    <w:bottom w:val="single" w:color="auto" w:sz="4" w:space="0"/>
                    <w:right w:val="single" w:color="auto" w:sz="4" w:space="0"/>
                  </w:tcBorders>
                  <w:vAlign w:val="center"/>
                </w:tcPr>
                <w:p w14:paraId="3BE8547C">
                  <w:pPr>
                    <w:jc w:val="left"/>
                    <w:rPr>
                      <w:color w:val="auto"/>
                      <w:sz w:val="21"/>
                      <w:szCs w:val="21"/>
                    </w:rPr>
                  </w:pPr>
                  <w:r>
                    <w:rPr>
                      <w:rFonts w:hint="eastAsia"/>
                      <w:color w:val="auto"/>
                      <w:sz w:val="21"/>
                      <w:szCs w:val="21"/>
                    </w:rPr>
                    <w:t>2</w:t>
                  </w:r>
                  <w:r>
                    <w:rPr>
                      <w:color w:val="auto"/>
                      <w:sz w:val="21"/>
                      <w:szCs w:val="21"/>
                    </w:rPr>
                    <w:t>）</w:t>
                  </w:r>
                  <w:r>
                    <w:rPr>
                      <w:rFonts w:hint="eastAsia"/>
                      <w:color w:val="auto"/>
                      <w:sz w:val="21"/>
                      <w:szCs w:val="21"/>
                    </w:rPr>
                    <w:t>总氟化物</w:t>
                  </w:r>
                  <w:r>
                    <w:rPr>
                      <w:color w:val="auto"/>
                      <w:sz w:val="21"/>
                      <w:szCs w:val="21"/>
                    </w:rPr>
                    <w:t>指标：参照</w:t>
                  </w:r>
                  <w:r>
                    <w:rPr>
                      <w:rFonts w:hint="eastAsia"/>
                      <w:bCs/>
                      <w:color w:val="auto"/>
                      <w:sz w:val="21"/>
                      <w:szCs w:val="21"/>
                    </w:rPr>
                    <w:t>D</w:t>
                  </w:r>
                  <w:r>
                    <w:rPr>
                      <w:bCs/>
                      <w:color w:val="auto"/>
                      <w:sz w:val="21"/>
                      <w:szCs w:val="21"/>
                    </w:rPr>
                    <w:t>B4403/T</w:t>
                  </w:r>
                  <w:r>
                    <w:rPr>
                      <w:rFonts w:hint="eastAsia"/>
                      <w:bCs/>
                      <w:color w:val="auto"/>
                      <w:sz w:val="21"/>
                      <w:szCs w:val="21"/>
                    </w:rPr>
                    <w:t xml:space="preserve"> </w:t>
                  </w:r>
                  <w:r>
                    <w:rPr>
                      <w:bCs/>
                      <w:color w:val="auto"/>
                      <w:sz w:val="21"/>
                      <w:szCs w:val="21"/>
                    </w:rPr>
                    <w:t>67-2020</w:t>
                  </w:r>
                  <w:r>
                    <w:rPr>
                      <w:color w:val="auto"/>
                      <w:sz w:val="21"/>
                      <w:szCs w:val="21"/>
                    </w:rPr>
                    <w:t>的要求测定，并符合下述表格要求。</w:t>
                  </w:r>
                </w:p>
              </w:tc>
            </w:tr>
            <w:tr w14:paraId="4B014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669B026B">
                  <w:pPr>
                    <w:jc w:val="center"/>
                    <w:rPr>
                      <w:color w:val="auto"/>
                      <w:sz w:val="21"/>
                      <w:szCs w:val="21"/>
                    </w:rPr>
                  </w:pPr>
                  <w:r>
                    <w:rPr>
                      <w:color w:val="auto"/>
                      <w:sz w:val="21"/>
                      <w:szCs w:val="21"/>
                    </w:rPr>
                    <w:t>序号</w:t>
                  </w:r>
                </w:p>
              </w:tc>
              <w:tc>
                <w:tcPr>
                  <w:tcW w:w="2374" w:type="dxa"/>
                  <w:tcBorders>
                    <w:left w:val="single" w:color="auto" w:sz="4" w:space="0"/>
                    <w:bottom w:val="single" w:color="auto" w:sz="4" w:space="0"/>
                    <w:right w:val="single" w:color="auto" w:sz="4" w:space="0"/>
                  </w:tcBorders>
                  <w:vAlign w:val="center"/>
                </w:tcPr>
                <w:p w14:paraId="3E744683">
                  <w:pPr>
                    <w:jc w:val="center"/>
                    <w:rPr>
                      <w:color w:val="auto"/>
                      <w:sz w:val="21"/>
                      <w:szCs w:val="21"/>
                    </w:rPr>
                  </w:pPr>
                  <w:r>
                    <w:rPr>
                      <w:color w:val="auto"/>
                      <w:sz w:val="21"/>
                      <w:szCs w:val="21"/>
                    </w:rPr>
                    <w:t>项目</w:t>
                  </w:r>
                </w:p>
              </w:tc>
              <w:tc>
                <w:tcPr>
                  <w:tcW w:w="1069" w:type="dxa"/>
                  <w:tcBorders>
                    <w:top w:val="single" w:color="auto" w:sz="4" w:space="0"/>
                    <w:left w:val="single" w:color="auto" w:sz="4" w:space="0"/>
                    <w:bottom w:val="single" w:color="auto" w:sz="4" w:space="0"/>
                    <w:right w:val="single" w:color="auto" w:sz="4" w:space="0"/>
                  </w:tcBorders>
                  <w:vAlign w:val="center"/>
                </w:tcPr>
                <w:p w14:paraId="553C36DD">
                  <w:pPr>
                    <w:jc w:val="center"/>
                    <w:rPr>
                      <w:color w:val="auto"/>
                      <w:sz w:val="21"/>
                      <w:szCs w:val="21"/>
                    </w:rPr>
                  </w:pPr>
                  <w:r>
                    <w:rPr>
                      <w:color w:val="auto"/>
                      <w:sz w:val="21"/>
                      <w:szCs w:val="21"/>
                    </w:rPr>
                    <w:t>筛选值</w:t>
                  </w:r>
                </w:p>
              </w:tc>
              <w:tc>
                <w:tcPr>
                  <w:tcW w:w="1615" w:type="dxa"/>
                  <w:tcBorders>
                    <w:top w:val="single" w:color="auto" w:sz="4" w:space="0"/>
                    <w:left w:val="single" w:color="auto" w:sz="4" w:space="0"/>
                    <w:bottom w:val="single" w:color="auto" w:sz="4" w:space="0"/>
                    <w:right w:val="single" w:color="auto" w:sz="4" w:space="0"/>
                  </w:tcBorders>
                  <w:vAlign w:val="center"/>
                </w:tcPr>
                <w:p w14:paraId="7FEA4EF2">
                  <w:pPr>
                    <w:jc w:val="center"/>
                    <w:rPr>
                      <w:color w:val="auto"/>
                      <w:sz w:val="21"/>
                      <w:szCs w:val="21"/>
                    </w:rPr>
                  </w:pPr>
                  <w:r>
                    <w:rPr>
                      <w:color w:val="auto"/>
                      <w:sz w:val="21"/>
                      <w:szCs w:val="21"/>
                    </w:rPr>
                    <w:t>管制值</w:t>
                  </w:r>
                </w:p>
              </w:tc>
            </w:tr>
            <w:tr w14:paraId="32836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6DEE11CC">
                  <w:pPr>
                    <w:jc w:val="center"/>
                    <w:rPr>
                      <w:color w:val="auto"/>
                      <w:sz w:val="21"/>
                      <w:szCs w:val="21"/>
                    </w:rPr>
                  </w:pPr>
                  <w:r>
                    <w:rPr>
                      <w:rFonts w:hint="eastAsia"/>
                      <w:color w:val="auto"/>
                      <w:sz w:val="21"/>
                      <w:szCs w:val="21"/>
                    </w:rPr>
                    <w:t>1</w:t>
                  </w:r>
                </w:p>
              </w:tc>
              <w:tc>
                <w:tcPr>
                  <w:tcW w:w="2374" w:type="dxa"/>
                  <w:tcBorders>
                    <w:left w:val="single" w:color="auto" w:sz="4" w:space="0"/>
                    <w:bottom w:val="single" w:color="auto" w:sz="4" w:space="0"/>
                    <w:right w:val="single" w:color="auto" w:sz="4" w:space="0"/>
                  </w:tcBorders>
                  <w:vAlign w:val="center"/>
                </w:tcPr>
                <w:p w14:paraId="60D54F02">
                  <w:pPr>
                    <w:jc w:val="center"/>
                    <w:rPr>
                      <w:color w:val="auto"/>
                      <w:sz w:val="21"/>
                      <w:szCs w:val="21"/>
                    </w:rPr>
                  </w:pPr>
                  <w:r>
                    <w:rPr>
                      <w:rFonts w:hint="eastAsia"/>
                      <w:color w:val="auto"/>
                      <w:sz w:val="21"/>
                      <w:szCs w:val="21"/>
                    </w:rPr>
                    <w:t>总氟化物</w:t>
                  </w:r>
                  <w:r>
                    <w:rPr>
                      <w:color w:val="auto"/>
                      <w:sz w:val="21"/>
                      <w:szCs w:val="21"/>
                    </w:rPr>
                    <w:t>，mg/kg</w:t>
                  </w:r>
                </w:p>
              </w:tc>
              <w:tc>
                <w:tcPr>
                  <w:tcW w:w="1069" w:type="dxa"/>
                  <w:tcBorders>
                    <w:top w:val="single" w:color="auto" w:sz="4" w:space="0"/>
                    <w:left w:val="single" w:color="auto" w:sz="4" w:space="0"/>
                    <w:bottom w:val="single" w:color="auto" w:sz="4" w:space="0"/>
                    <w:right w:val="single" w:color="auto" w:sz="4" w:space="0"/>
                  </w:tcBorders>
                  <w:vAlign w:val="center"/>
                </w:tcPr>
                <w:p w14:paraId="29CA147F">
                  <w:pPr>
                    <w:jc w:val="center"/>
                    <w:rPr>
                      <w:color w:val="auto"/>
                      <w:sz w:val="21"/>
                      <w:szCs w:val="21"/>
                    </w:rPr>
                  </w:pPr>
                  <w:r>
                    <w:rPr>
                      <w:rFonts w:hint="eastAsia"/>
                      <w:bCs/>
                      <w:color w:val="auto"/>
                      <w:sz w:val="21"/>
                      <w:szCs w:val="21"/>
                    </w:rPr>
                    <w:t>1</w:t>
                  </w:r>
                  <w:r>
                    <w:rPr>
                      <w:bCs/>
                      <w:color w:val="auto"/>
                      <w:sz w:val="21"/>
                      <w:szCs w:val="21"/>
                    </w:rPr>
                    <w:t>0000</w:t>
                  </w:r>
                </w:p>
              </w:tc>
              <w:tc>
                <w:tcPr>
                  <w:tcW w:w="1615" w:type="dxa"/>
                  <w:tcBorders>
                    <w:top w:val="single" w:color="auto" w:sz="4" w:space="0"/>
                    <w:left w:val="single" w:color="auto" w:sz="4" w:space="0"/>
                    <w:bottom w:val="single" w:color="auto" w:sz="4" w:space="0"/>
                    <w:right w:val="single" w:color="auto" w:sz="4" w:space="0"/>
                  </w:tcBorders>
                  <w:vAlign w:val="center"/>
                </w:tcPr>
                <w:p w14:paraId="62409F1E">
                  <w:pPr>
                    <w:jc w:val="center"/>
                    <w:rPr>
                      <w:bCs/>
                      <w:color w:val="auto"/>
                      <w:sz w:val="21"/>
                      <w:szCs w:val="21"/>
                    </w:rPr>
                  </w:pPr>
                  <w:r>
                    <w:rPr>
                      <w:rFonts w:hint="eastAsia"/>
                      <w:bCs/>
                      <w:color w:val="auto"/>
                      <w:sz w:val="21"/>
                      <w:szCs w:val="21"/>
                    </w:rPr>
                    <w:t>1</w:t>
                  </w:r>
                  <w:r>
                    <w:rPr>
                      <w:bCs/>
                      <w:color w:val="auto"/>
                      <w:sz w:val="21"/>
                      <w:szCs w:val="21"/>
                    </w:rPr>
                    <w:t>0000</w:t>
                  </w:r>
                </w:p>
              </w:tc>
            </w:tr>
            <w:tr w14:paraId="35A67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20" w:type="dxa"/>
                  <w:gridSpan w:val="4"/>
                  <w:tcBorders>
                    <w:top w:val="single" w:color="auto" w:sz="4" w:space="0"/>
                    <w:left w:val="single" w:color="auto" w:sz="4" w:space="0"/>
                    <w:bottom w:val="single" w:color="auto" w:sz="4" w:space="0"/>
                    <w:right w:val="single" w:color="auto" w:sz="4" w:space="0"/>
                  </w:tcBorders>
                  <w:vAlign w:val="center"/>
                </w:tcPr>
                <w:p w14:paraId="7A5EA31D">
                  <w:pPr>
                    <w:jc w:val="left"/>
                    <w:rPr>
                      <w:color w:val="auto"/>
                      <w:sz w:val="21"/>
                      <w:szCs w:val="21"/>
                    </w:rPr>
                  </w:pPr>
                  <w:r>
                    <w:rPr>
                      <w:rFonts w:hint="eastAsia"/>
                      <w:color w:val="auto"/>
                      <w:sz w:val="21"/>
                      <w:szCs w:val="21"/>
                    </w:rPr>
                    <w:t>3</w:t>
                  </w:r>
                  <w:r>
                    <w:rPr>
                      <w:color w:val="auto"/>
                      <w:sz w:val="21"/>
                      <w:szCs w:val="21"/>
                    </w:rPr>
                    <w:t>）生态修复回填材料浸出液技术指标：按HJ 557-2010固体废物浸出毒性浸出方法水平振荡法制备，性能应符合下述表格要求。</w:t>
                  </w:r>
                </w:p>
              </w:tc>
            </w:tr>
            <w:tr w14:paraId="5A906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69682142">
                  <w:pPr>
                    <w:jc w:val="center"/>
                    <w:rPr>
                      <w:color w:val="auto"/>
                      <w:sz w:val="21"/>
                      <w:szCs w:val="21"/>
                    </w:rPr>
                  </w:pPr>
                  <w:r>
                    <w:rPr>
                      <w:color w:val="auto"/>
                      <w:sz w:val="21"/>
                      <w:szCs w:val="21"/>
                    </w:rPr>
                    <w:t>序号</w:t>
                  </w:r>
                </w:p>
              </w:tc>
              <w:tc>
                <w:tcPr>
                  <w:tcW w:w="2374" w:type="dxa"/>
                  <w:tcBorders>
                    <w:top w:val="single" w:color="auto" w:sz="4" w:space="0"/>
                    <w:left w:val="single" w:color="auto" w:sz="4" w:space="0"/>
                    <w:bottom w:val="single" w:color="auto" w:sz="4" w:space="0"/>
                    <w:right w:val="single" w:color="auto" w:sz="4" w:space="0"/>
                  </w:tcBorders>
                  <w:vAlign w:val="center"/>
                </w:tcPr>
                <w:p w14:paraId="7DD88F17">
                  <w:pPr>
                    <w:jc w:val="center"/>
                    <w:rPr>
                      <w:color w:val="auto"/>
                      <w:sz w:val="21"/>
                      <w:szCs w:val="21"/>
                    </w:rPr>
                  </w:pPr>
                  <w:r>
                    <w:rPr>
                      <w:color w:val="auto"/>
                      <w:sz w:val="21"/>
                      <w:szCs w:val="21"/>
                    </w:rPr>
                    <w:t>指标名称</w:t>
                  </w:r>
                </w:p>
              </w:tc>
              <w:tc>
                <w:tcPr>
                  <w:tcW w:w="1069" w:type="dxa"/>
                  <w:tcBorders>
                    <w:top w:val="single" w:color="auto" w:sz="4" w:space="0"/>
                    <w:left w:val="single" w:color="auto" w:sz="4" w:space="0"/>
                    <w:bottom w:val="single" w:color="auto" w:sz="4" w:space="0"/>
                    <w:right w:val="single" w:color="auto" w:sz="4" w:space="0"/>
                  </w:tcBorders>
                  <w:vAlign w:val="center"/>
                </w:tcPr>
                <w:p w14:paraId="1EC1DC6A">
                  <w:pPr>
                    <w:jc w:val="center"/>
                    <w:rPr>
                      <w:color w:val="auto"/>
                      <w:sz w:val="21"/>
                      <w:szCs w:val="21"/>
                    </w:rPr>
                  </w:pPr>
                  <w:r>
                    <w:rPr>
                      <w:color w:val="auto"/>
                      <w:sz w:val="21"/>
                      <w:szCs w:val="21"/>
                    </w:rPr>
                    <w:t>单位</w:t>
                  </w:r>
                </w:p>
              </w:tc>
              <w:tc>
                <w:tcPr>
                  <w:tcW w:w="1615" w:type="dxa"/>
                  <w:tcBorders>
                    <w:top w:val="single" w:color="auto" w:sz="4" w:space="0"/>
                    <w:left w:val="single" w:color="auto" w:sz="4" w:space="0"/>
                    <w:bottom w:val="single" w:color="auto" w:sz="4" w:space="0"/>
                    <w:right w:val="single" w:color="auto" w:sz="4" w:space="0"/>
                  </w:tcBorders>
                </w:tcPr>
                <w:p w14:paraId="1A962227">
                  <w:pPr>
                    <w:jc w:val="center"/>
                    <w:rPr>
                      <w:color w:val="auto"/>
                      <w:sz w:val="21"/>
                      <w:szCs w:val="21"/>
                    </w:rPr>
                  </w:pPr>
                  <w:r>
                    <w:rPr>
                      <w:color w:val="auto"/>
                      <w:sz w:val="21"/>
                      <w:szCs w:val="21"/>
                    </w:rPr>
                    <w:t>限值</w:t>
                  </w:r>
                </w:p>
              </w:tc>
            </w:tr>
            <w:tr w14:paraId="56CD5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37ACECB6">
                  <w:pPr>
                    <w:jc w:val="center"/>
                    <w:rPr>
                      <w:color w:val="auto"/>
                      <w:sz w:val="21"/>
                      <w:szCs w:val="21"/>
                    </w:rPr>
                  </w:pPr>
                  <w:r>
                    <w:rPr>
                      <w:color w:val="auto"/>
                      <w:sz w:val="21"/>
                      <w:szCs w:val="21"/>
                    </w:rPr>
                    <w:t>1</w:t>
                  </w:r>
                </w:p>
              </w:tc>
              <w:tc>
                <w:tcPr>
                  <w:tcW w:w="2374" w:type="dxa"/>
                  <w:tcBorders>
                    <w:top w:val="single" w:color="auto" w:sz="4" w:space="0"/>
                    <w:left w:val="single" w:color="auto" w:sz="4" w:space="0"/>
                    <w:bottom w:val="single" w:color="auto" w:sz="4" w:space="0"/>
                    <w:right w:val="single" w:color="auto" w:sz="4" w:space="0"/>
                  </w:tcBorders>
                  <w:vAlign w:val="center"/>
                </w:tcPr>
                <w:p w14:paraId="7F95C385">
                  <w:pPr>
                    <w:jc w:val="center"/>
                    <w:rPr>
                      <w:color w:val="auto"/>
                      <w:sz w:val="21"/>
                      <w:szCs w:val="21"/>
                    </w:rPr>
                  </w:pPr>
                  <w:r>
                    <w:rPr>
                      <w:color w:val="auto"/>
                      <w:sz w:val="21"/>
                      <w:szCs w:val="21"/>
                    </w:rPr>
                    <w:t>铜</w:t>
                  </w:r>
                </w:p>
              </w:tc>
              <w:tc>
                <w:tcPr>
                  <w:tcW w:w="1069" w:type="dxa"/>
                  <w:tcBorders>
                    <w:top w:val="single" w:color="auto" w:sz="4" w:space="0"/>
                    <w:left w:val="single" w:color="auto" w:sz="4" w:space="0"/>
                    <w:bottom w:val="single" w:color="auto" w:sz="4" w:space="0"/>
                    <w:right w:val="single" w:color="auto" w:sz="4" w:space="0"/>
                  </w:tcBorders>
                  <w:vAlign w:val="center"/>
                </w:tcPr>
                <w:p w14:paraId="3F8BF8B9">
                  <w:pPr>
                    <w:jc w:val="center"/>
                    <w:rPr>
                      <w:color w:val="auto"/>
                      <w:sz w:val="21"/>
                      <w:szCs w:val="21"/>
                    </w:rPr>
                  </w:pPr>
                  <w:r>
                    <w:rPr>
                      <w:color w:val="auto"/>
                      <w:sz w:val="21"/>
                      <w:szCs w:val="21"/>
                    </w:rPr>
                    <w:t>mg/L</w:t>
                  </w:r>
                </w:p>
              </w:tc>
              <w:tc>
                <w:tcPr>
                  <w:tcW w:w="1615" w:type="dxa"/>
                  <w:tcBorders>
                    <w:top w:val="single" w:color="auto" w:sz="4" w:space="0"/>
                    <w:left w:val="single" w:color="auto" w:sz="4" w:space="0"/>
                    <w:bottom w:val="single" w:color="auto" w:sz="4" w:space="0"/>
                    <w:right w:val="single" w:color="auto" w:sz="4" w:space="0"/>
                  </w:tcBorders>
                </w:tcPr>
                <w:p w14:paraId="399403C6">
                  <w:pPr>
                    <w:jc w:val="center"/>
                    <w:rPr>
                      <w:color w:val="auto"/>
                      <w:sz w:val="21"/>
                      <w:szCs w:val="21"/>
                    </w:rPr>
                  </w:pPr>
                  <w:r>
                    <w:rPr>
                      <w:color w:val="auto"/>
                      <w:sz w:val="21"/>
                      <w:szCs w:val="21"/>
                    </w:rPr>
                    <w:t>0.5</w:t>
                  </w:r>
                </w:p>
              </w:tc>
            </w:tr>
            <w:tr w14:paraId="45237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60EEADDA">
                  <w:pPr>
                    <w:jc w:val="center"/>
                    <w:rPr>
                      <w:color w:val="auto"/>
                      <w:sz w:val="21"/>
                      <w:szCs w:val="21"/>
                    </w:rPr>
                  </w:pPr>
                  <w:r>
                    <w:rPr>
                      <w:color w:val="auto"/>
                      <w:sz w:val="21"/>
                      <w:szCs w:val="21"/>
                    </w:rPr>
                    <w:t>2</w:t>
                  </w:r>
                </w:p>
              </w:tc>
              <w:tc>
                <w:tcPr>
                  <w:tcW w:w="2374" w:type="dxa"/>
                  <w:tcBorders>
                    <w:top w:val="single" w:color="auto" w:sz="4" w:space="0"/>
                    <w:left w:val="single" w:color="auto" w:sz="4" w:space="0"/>
                    <w:bottom w:val="single" w:color="auto" w:sz="4" w:space="0"/>
                    <w:right w:val="single" w:color="auto" w:sz="4" w:space="0"/>
                  </w:tcBorders>
                  <w:vAlign w:val="center"/>
                </w:tcPr>
                <w:p w14:paraId="1AFF605A">
                  <w:pPr>
                    <w:jc w:val="center"/>
                    <w:rPr>
                      <w:color w:val="auto"/>
                      <w:sz w:val="21"/>
                      <w:szCs w:val="21"/>
                    </w:rPr>
                  </w:pPr>
                  <w:r>
                    <w:rPr>
                      <w:color w:val="auto"/>
                      <w:sz w:val="21"/>
                      <w:szCs w:val="21"/>
                    </w:rPr>
                    <w:t>锌</w:t>
                  </w:r>
                </w:p>
              </w:tc>
              <w:tc>
                <w:tcPr>
                  <w:tcW w:w="1069" w:type="dxa"/>
                  <w:tcBorders>
                    <w:top w:val="single" w:color="auto" w:sz="4" w:space="0"/>
                    <w:left w:val="single" w:color="auto" w:sz="4" w:space="0"/>
                    <w:bottom w:val="single" w:color="auto" w:sz="4" w:space="0"/>
                    <w:right w:val="single" w:color="auto" w:sz="4" w:space="0"/>
                  </w:tcBorders>
                  <w:vAlign w:val="center"/>
                </w:tcPr>
                <w:p w14:paraId="3F55D724">
                  <w:pPr>
                    <w:jc w:val="center"/>
                    <w:rPr>
                      <w:color w:val="auto"/>
                      <w:sz w:val="21"/>
                      <w:szCs w:val="21"/>
                    </w:rPr>
                  </w:pPr>
                  <w:r>
                    <w:rPr>
                      <w:color w:val="auto"/>
                      <w:sz w:val="21"/>
                      <w:szCs w:val="21"/>
                    </w:rPr>
                    <w:t>mg/L</w:t>
                  </w:r>
                </w:p>
              </w:tc>
              <w:tc>
                <w:tcPr>
                  <w:tcW w:w="1615" w:type="dxa"/>
                  <w:tcBorders>
                    <w:top w:val="single" w:color="auto" w:sz="4" w:space="0"/>
                    <w:left w:val="single" w:color="auto" w:sz="4" w:space="0"/>
                    <w:bottom w:val="single" w:color="auto" w:sz="4" w:space="0"/>
                    <w:right w:val="single" w:color="auto" w:sz="4" w:space="0"/>
                  </w:tcBorders>
                </w:tcPr>
                <w:p w14:paraId="64CDD411">
                  <w:pPr>
                    <w:jc w:val="center"/>
                    <w:rPr>
                      <w:color w:val="auto"/>
                      <w:sz w:val="21"/>
                      <w:szCs w:val="21"/>
                    </w:rPr>
                  </w:pPr>
                  <w:r>
                    <w:rPr>
                      <w:color w:val="auto"/>
                      <w:sz w:val="21"/>
                      <w:szCs w:val="21"/>
                    </w:rPr>
                    <w:t>2.0</w:t>
                  </w:r>
                </w:p>
              </w:tc>
            </w:tr>
            <w:tr w14:paraId="3DCA0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1DC44488">
                  <w:pPr>
                    <w:jc w:val="center"/>
                    <w:rPr>
                      <w:color w:val="auto"/>
                      <w:sz w:val="21"/>
                      <w:szCs w:val="21"/>
                    </w:rPr>
                  </w:pPr>
                  <w:r>
                    <w:rPr>
                      <w:color w:val="auto"/>
                      <w:sz w:val="21"/>
                      <w:szCs w:val="21"/>
                    </w:rPr>
                    <w:t>3</w:t>
                  </w:r>
                </w:p>
              </w:tc>
              <w:tc>
                <w:tcPr>
                  <w:tcW w:w="2374" w:type="dxa"/>
                  <w:tcBorders>
                    <w:top w:val="single" w:color="auto" w:sz="4" w:space="0"/>
                    <w:left w:val="single" w:color="auto" w:sz="4" w:space="0"/>
                    <w:bottom w:val="single" w:color="auto" w:sz="4" w:space="0"/>
                    <w:right w:val="single" w:color="auto" w:sz="4" w:space="0"/>
                  </w:tcBorders>
                  <w:vAlign w:val="center"/>
                </w:tcPr>
                <w:p w14:paraId="4BCCA75C">
                  <w:pPr>
                    <w:jc w:val="center"/>
                    <w:rPr>
                      <w:color w:val="auto"/>
                      <w:sz w:val="21"/>
                      <w:szCs w:val="21"/>
                    </w:rPr>
                  </w:pPr>
                  <w:r>
                    <w:rPr>
                      <w:color w:val="auto"/>
                      <w:sz w:val="21"/>
                      <w:szCs w:val="21"/>
                    </w:rPr>
                    <w:t>镉</w:t>
                  </w:r>
                </w:p>
              </w:tc>
              <w:tc>
                <w:tcPr>
                  <w:tcW w:w="1069" w:type="dxa"/>
                  <w:tcBorders>
                    <w:top w:val="single" w:color="auto" w:sz="4" w:space="0"/>
                    <w:left w:val="single" w:color="auto" w:sz="4" w:space="0"/>
                    <w:bottom w:val="single" w:color="auto" w:sz="4" w:space="0"/>
                    <w:right w:val="single" w:color="auto" w:sz="4" w:space="0"/>
                  </w:tcBorders>
                  <w:vAlign w:val="center"/>
                </w:tcPr>
                <w:p w14:paraId="7951BE9A">
                  <w:pPr>
                    <w:jc w:val="center"/>
                    <w:rPr>
                      <w:color w:val="auto"/>
                      <w:sz w:val="21"/>
                      <w:szCs w:val="21"/>
                    </w:rPr>
                  </w:pPr>
                  <w:r>
                    <w:rPr>
                      <w:color w:val="auto"/>
                      <w:sz w:val="21"/>
                      <w:szCs w:val="21"/>
                    </w:rPr>
                    <w:t>mg/L</w:t>
                  </w:r>
                </w:p>
              </w:tc>
              <w:tc>
                <w:tcPr>
                  <w:tcW w:w="1615" w:type="dxa"/>
                  <w:tcBorders>
                    <w:top w:val="single" w:color="auto" w:sz="4" w:space="0"/>
                    <w:left w:val="single" w:color="auto" w:sz="4" w:space="0"/>
                    <w:bottom w:val="single" w:color="auto" w:sz="4" w:space="0"/>
                    <w:right w:val="single" w:color="auto" w:sz="4" w:space="0"/>
                  </w:tcBorders>
                </w:tcPr>
                <w:p w14:paraId="0273C064">
                  <w:pPr>
                    <w:jc w:val="center"/>
                    <w:rPr>
                      <w:color w:val="auto"/>
                      <w:sz w:val="21"/>
                      <w:szCs w:val="21"/>
                    </w:rPr>
                  </w:pPr>
                  <w:r>
                    <w:rPr>
                      <w:color w:val="auto"/>
                      <w:sz w:val="21"/>
                      <w:szCs w:val="21"/>
                    </w:rPr>
                    <w:t>0.1</w:t>
                  </w:r>
                </w:p>
              </w:tc>
            </w:tr>
            <w:tr w14:paraId="2BE85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26BE3BB6">
                  <w:pPr>
                    <w:jc w:val="center"/>
                    <w:rPr>
                      <w:color w:val="auto"/>
                      <w:sz w:val="21"/>
                      <w:szCs w:val="21"/>
                    </w:rPr>
                  </w:pPr>
                  <w:r>
                    <w:rPr>
                      <w:color w:val="auto"/>
                      <w:sz w:val="21"/>
                      <w:szCs w:val="21"/>
                    </w:rPr>
                    <w:t>4</w:t>
                  </w:r>
                </w:p>
              </w:tc>
              <w:tc>
                <w:tcPr>
                  <w:tcW w:w="2374" w:type="dxa"/>
                  <w:tcBorders>
                    <w:top w:val="single" w:color="auto" w:sz="4" w:space="0"/>
                    <w:left w:val="single" w:color="auto" w:sz="4" w:space="0"/>
                    <w:bottom w:val="single" w:color="auto" w:sz="4" w:space="0"/>
                    <w:right w:val="single" w:color="auto" w:sz="4" w:space="0"/>
                  </w:tcBorders>
                  <w:vAlign w:val="center"/>
                </w:tcPr>
                <w:p w14:paraId="6B794FC0">
                  <w:pPr>
                    <w:jc w:val="center"/>
                    <w:rPr>
                      <w:color w:val="auto"/>
                      <w:sz w:val="21"/>
                      <w:szCs w:val="21"/>
                    </w:rPr>
                  </w:pPr>
                  <w:r>
                    <w:rPr>
                      <w:color w:val="auto"/>
                      <w:sz w:val="21"/>
                      <w:szCs w:val="21"/>
                    </w:rPr>
                    <w:t>铅</w:t>
                  </w:r>
                </w:p>
              </w:tc>
              <w:tc>
                <w:tcPr>
                  <w:tcW w:w="1069" w:type="dxa"/>
                  <w:tcBorders>
                    <w:top w:val="single" w:color="auto" w:sz="4" w:space="0"/>
                    <w:left w:val="single" w:color="auto" w:sz="4" w:space="0"/>
                    <w:bottom w:val="single" w:color="auto" w:sz="4" w:space="0"/>
                    <w:right w:val="single" w:color="auto" w:sz="4" w:space="0"/>
                  </w:tcBorders>
                  <w:vAlign w:val="center"/>
                </w:tcPr>
                <w:p w14:paraId="7F319563">
                  <w:pPr>
                    <w:jc w:val="center"/>
                    <w:rPr>
                      <w:color w:val="auto"/>
                      <w:sz w:val="21"/>
                      <w:szCs w:val="21"/>
                    </w:rPr>
                  </w:pPr>
                  <w:r>
                    <w:rPr>
                      <w:color w:val="auto"/>
                      <w:sz w:val="21"/>
                      <w:szCs w:val="21"/>
                    </w:rPr>
                    <w:t>mg/L</w:t>
                  </w:r>
                </w:p>
              </w:tc>
              <w:tc>
                <w:tcPr>
                  <w:tcW w:w="1615" w:type="dxa"/>
                  <w:tcBorders>
                    <w:top w:val="single" w:color="auto" w:sz="4" w:space="0"/>
                    <w:left w:val="single" w:color="auto" w:sz="4" w:space="0"/>
                    <w:bottom w:val="single" w:color="auto" w:sz="4" w:space="0"/>
                    <w:right w:val="single" w:color="auto" w:sz="4" w:space="0"/>
                  </w:tcBorders>
                </w:tcPr>
                <w:p w14:paraId="13588880">
                  <w:pPr>
                    <w:jc w:val="center"/>
                    <w:rPr>
                      <w:color w:val="auto"/>
                      <w:sz w:val="21"/>
                      <w:szCs w:val="21"/>
                    </w:rPr>
                  </w:pPr>
                  <w:r>
                    <w:rPr>
                      <w:color w:val="auto"/>
                      <w:sz w:val="21"/>
                      <w:szCs w:val="21"/>
                    </w:rPr>
                    <w:t>1.0</w:t>
                  </w:r>
                </w:p>
              </w:tc>
            </w:tr>
            <w:tr w14:paraId="07097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50452D98">
                  <w:pPr>
                    <w:jc w:val="center"/>
                    <w:rPr>
                      <w:color w:val="auto"/>
                      <w:sz w:val="21"/>
                      <w:szCs w:val="21"/>
                    </w:rPr>
                  </w:pPr>
                  <w:r>
                    <w:rPr>
                      <w:color w:val="auto"/>
                      <w:sz w:val="21"/>
                      <w:szCs w:val="21"/>
                    </w:rPr>
                    <w:t>5</w:t>
                  </w:r>
                </w:p>
              </w:tc>
              <w:tc>
                <w:tcPr>
                  <w:tcW w:w="2374" w:type="dxa"/>
                  <w:tcBorders>
                    <w:top w:val="single" w:color="auto" w:sz="4" w:space="0"/>
                    <w:left w:val="single" w:color="auto" w:sz="4" w:space="0"/>
                    <w:bottom w:val="single" w:color="auto" w:sz="4" w:space="0"/>
                    <w:right w:val="single" w:color="auto" w:sz="4" w:space="0"/>
                  </w:tcBorders>
                  <w:vAlign w:val="center"/>
                </w:tcPr>
                <w:p w14:paraId="255D2074">
                  <w:pPr>
                    <w:jc w:val="center"/>
                    <w:rPr>
                      <w:color w:val="auto"/>
                      <w:sz w:val="21"/>
                      <w:szCs w:val="21"/>
                    </w:rPr>
                  </w:pPr>
                  <w:r>
                    <w:rPr>
                      <w:color w:val="auto"/>
                      <w:sz w:val="21"/>
                      <w:szCs w:val="21"/>
                    </w:rPr>
                    <w:t>总铬</w:t>
                  </w:r>
                </w:p>
              </w:tc>
              <w:tc>
                <w:tcPr>
                  <w:tcW w:w="1069" w:type="dxa"/>
                  <w:tcBorders>
                    <w:top w:val="single" w:color="auto" w:sz="4" w:space="0"/>
                    <w:left w:val="single" w:color="auto" w:sz="4" w:space="0"/>
                    <w:bottom w:val="single" w:color="auto" w:sz="4" w:space="0"/>
                    <w:right w:val="single" w:color="auto" w:sz="4" w:space="0"/>
                  </w:tcBorders>
                  <w:vAlign w:val="center"/>
                </w:tcPr>
                <w:p w14:paraId="6D515BD1">
                  <w:pPr>
                    <w:jc w:val="center"/>
                    <w:rPr>
                      <w:color w:val="auto"/>
                      <w:sz w:val="21"/>
                      <w:szCs w:val="21"/>
                    </w:rPr>
                  </w:pPr>
                  <w:r>
                    <w:rPr>
                      <w:color w:val="auto"/>
                      <w:sz w:val="21"/>
                      <w:szCs w:val="21"/>
                    </w:rPr>
                    <w:t>mg/L</w:t>
                  </w:r>
                </w:p>
              </w:tc>
              <w:tc>
                <w:tcPr>
                  <w:tcW w:w="1615" w:type="dxa"/>
                  <w:tcBorders>
                    <w:top w:val="single" w:color="auto" w:sz="4" w:space="0"/>
                    <w:left w:val="single" w:color="auto" w:sz="4" w:space="0"/>
                    <w:bottom w:val="single" w:color="auto" w:sz="4" w:space="0"/>
                    <w:right w:val="single" w:color="auto" w:sz="4" w:space="0"/>
                  </w:tcBorders>
                </w:tcPr>
                <w:p w14:paraId="735C81AE">
                  <w:pPr>
                    <w:jc w:val="center"/>
                    <w:rPr>
                      <w:color w:val="auto"/>
                      <w:sz w:val="21"/>
                      <w:szCs w:val="21"/>
                    </w:rPr>
                  </w:pPr>
                  <w:r>
                    <w:rPr>
                      <w:color w:val="auto"/>
                      <w:sz w:val="21"/>
                      <w:szCs w:val="21"/>
                    </w:rPr>
                    <w:t>1.5</w:t>
                  </w:r>
                </w:p>
              </w:tc>
            </w:tr>
            <w:tr w14:paraId="30E41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4FD3A5B4">
                  <w:pPr>
                    <w:jc w:val="center"/>
                    <w:rPr>
                      <w:color w:val="auto"/>
                      <w:sz w:val="21"/>
                      <w:szCs w:val="21"/>
                    </w:rPr>
                  </w:pPr>
                  <w:r>
                    <w:rPr>
                      <w:color w:val="auto"/>
                      <w:sz w:val="21"/>
                      <w:szCs w:val="21"/>
                    </w:rPr>
                    <w:t>6</w:t>
                  </w:r>
                </w:p>
              </w:tc>
              <w:tc>
                <w:tcPr>
                  <w:tcW w:w="2374" w:type="dxa"/>
                  <w:tcBorders>
                    <w:top w:val="single" w:color="auto" w:sz="4" w:space="0"/>
                    <w:left w:val="single" w:color="auto" w:sz="4" w:space="0"/>
                    <w:bottom w:val="single" w:color="auto" w:sz="4" w:space="0"/>
                    <w:right w:val="single" w:color="auto" w:sz="4" w:space="0"/>
                  </w:tcBorders>
                  <w:vAlign w:val="center"/>
                </w:tcPr>
                <w:p w14:paraId="391FFBBD">
                  <w:pPr>
                    <w:jc w:val="center"/>
                    <w:rPr>
                      <w:color w:val="auto"/>
                      <w:sz w:val="21"/>
                      <w:szCs w:val="21"/>
                    </w:rPr>
                  </w:pPr>
                  <w:r>
                    <w:rPr>
                      <w:color w:val="auto"/>
                      <w:sz w:val="21"/>
                      <w:szCs w:val="21"/>
                    </w:rPr>
                    <w:t>六价铬</w:t>
                  </w:r>
                </w:p>
              </w:tc>
              <w:tc>
                <w:tcPr>
                  <w:tcW w:w="1069" w:type="dxa"/>
                  <w:tcBorders>
                    <w:top w:val="single" w:color="auto" w:sz="4" w:space="0"/>
                    <w:left w:val="single" w:color="auto" w:sz="4" w:space="0"/>
                    <w:bottom w:val="single" w:color="auto" w:sz="4" w:space="0"/>
                    <w:right w:val="single" w:color="auto" w:sz="4" w:space="0"/>
                  </w:tcBorders>
                  <w:vAlign w:val="center"/>
                </w:tcPr>
                <w:p w14:paraId="2F6375BE">
                  <w:pPr>
                    <w:jc w:val="center"/>
                    <w:rPr>
                      <w:color w:val="auto"/>
                      <w:sz w:val="21"/>
                      <w:szCs w:val="21"/>
                    </w:rPr>
                  </w:pPr>
                  <w:r>
                    <w:rPr>
                      <w:color w:val="auto"/>
                      <w:sz w:val="21"/>
                      <w:szCs w:val="21"/>
                    </w:rPr>
                    <w:t>mg/L</w:t>
                  </w:r>
                </w:p>
              </w:tc>
              <w:tc>
                <w:tcPr>
                  <w:tcW w:w="1615" w:type="dxa"/>
                  <w:tcBorders>
                    <w:top w:val="single" w:color="auto" w:sz="4" w:space="0"/>
                    <w:left w:val="single" w:color="auto" w:sz="4" w:space="0"/>
                    <w:bottom w:val="single" w:color="auto" w:sz="4" w:space="0"/>
                    <w:right w:val="single" w:color="auto" w:sz="4" w:space="0"/>
                  </w:tcBorders>
                </w:tcPr>
                <w:p w14:paraId="4BBE8AF2">
                  <w:pPr>
                    <w:jc w:val="center"/>
                    <w:rPr>
                      <w:color w:val="auto"/>
                      <w:sz w:val="21"/>
                      <w:szCs w:val="21"/>
                    </w:rPr>
                  </w:pPr>
                  <w:r>
                    <w:rPr>
                      <w:color w:val="auto"/>
                      <w:sz w:val="21"/>
                      <w:szCs w:val="21"/>
                    </w:rPr>
                    <w:t>0.5</w:t>
                  </w:r>
                </w:p>
              </w:tc>
            </w:tr>
            <w:tr w14:paraId="15872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02A2F228">
                  <w:pPr>
                    <w:jc w:val="center"/>
                    <w:rPr>
                      <w:color w:val="auto"/>
                      <w:sz w:val="21"/>
                      <w:szCs w:val="21"/>
                    </w:rPr>
                  </w:pPr>
                  <w:r>
                    <w:rPr>
                      <w:color w:val="auto"/>
                      <w:sz w:val="21"/>
                      <w:szCs w:val="21"/>
                    </w:rPr>
                    <w:t>7</w:t>
                  </w:r>
                </w:p>
              </w:tc>
              <w:tc>
                <w:tcPr>
                  <w:tcW w:w="2374" w:type="dxa"/>
                  <w:tcBorders>
                    <w:top w:val="single" w:color="auto" w:sz="4" w:space="0"/>
                    <w:left w:val="single" w:color="auto" w:sz="4" w:space="0"/>
                    <w:bottom w:val="single" w:color="auto" w:sz="4" w:space="0"/>
                    <w:right w:val="single" w:color="auto" w:sz="4" w:space="0"/>
                  </w:tcBorders>
                  <w:vAlign w:val="center"/>
                </w:tcPr>
                <w:p w14:paraId="5E6F4B3D">
                  <w:pPr>
                    <w:jc w:val="center"/>
                    <w:rPr>
                      <w:color w:val="auto"/>
                      <w:sz w:val="21"/>
                      <w:szCs w:val="21"/>
                    </w:rPr>
                  </w:pPr>
                  <w:r>
                    <w:rPr>
                      <w:color w:val="auto"/>
                      <w:sz w:val="21"/>
                      <w:szCs w:val="21"/>
                    </w:rPr>
                    <w:t>总汞</w:t>
                  </w:r>
                </w:p>
              </w:tc>
              <w:tc>
                <w:tcPr>
                  <w:tcW w:w="1069" w:type="dxa"/>
                  <w:tcBorders>
                    <w:top w:val="single" w:color="auto" w:sz="4" w:space="0"/>
                    <w:left w:val="single" w:color="auto" w:sz="4" w:space="0"/>
                    <w:bottom w:val="single" w:color="auto" w:sz="4" w:space="0"/>
                    <w:right w:val="single" w:color="auto" w:sz="4" w:space="0"/>
                  </w:tcBorders>
                  <w:vAlign w:val="center"/>
                </w:tcPr>
                <w:p w14:paraId="0E64B9F4">
                  <w:pPr>
                    <w:jc w:val="center"/>
                    <w:rPr>
                      <w:color w:val="auto"/>
                      <w:sz w:val="21"/>
                      <w:szCs w:val="21"/>
                    </w:rPr>
                  </w:pPr>
                  <w:r>
                    <w:rPr>
                      <w:color w:val="auto"/>
                      <w:sz w:val="21"/>
                      <w:szCs w:val="21"/>
                    </w:rPr>
                    <w:t>mg/L</w:t>
                  </w:r>
                </w:p>
              </w:tc>
              <w:tc>
                <w:tcPr>
                  <w:tcW w:w="1615" w:type="dxa"/>
                  <w:tcBorders>
                    <w:top w:val="single" w:color="auto" w:sz="4" w:space="0"/>
                    <w:left w:val="single" w:color="auto" w:sz="4" w:space="0"/>
                    <w:bottom w:val="single" w:color="auto" w:sz="4" w:space="0"/>
                    <w:right w:val="single" w:color="auto" w:sz="4" w:space="0"/>
                  </w:tcBorders>
                </w:tcPr>
                <w:p w14:paraId="699898D8">
                  <w:pPr>
                    <w:jc w:val="center"/>
                    <w:rPr>
                      <w:color w:val="auto"/>
                      <w:sz w:val="21"/>
                      <w:szCs w:val="21"/>
                    </w:rPr>
                  </w:pPr>
                  <w:r>
                    <w:rPr>
                      <w:color w:val="auto"/>
                      <w:sz w:val="21"/>
                      <w:szCs w:val="21"/>
                    </w:rPr>
                    <w:t>0.05</w:t>
                  </w:r>
                </w:p>
              </w:tc>
            </w:tr>
            <w:tr w14:paraId="45C22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627DED4C">
                  <w:pPr>
                    <w:jc w:val="center"/>
                    <w:rPr>
                      <w:color w:val="auto"/>
                      <w:sz w:val="21"/>
                      <w:szCs w:val="21"/>
                    </w:rPr>
                  </w:pPr>
                  <w:r>
                    <w:rPr>
                      <w:color w:val="auto"/>
                      <w:sz w:val="21"/>
                      <w:szCs w:val="21"/>
                    </w:rPr>
                    <w:t>8</w:t>
                  </w:r>
                </w:p>
              </w:tc>
              <w:tc>
                <w:tcPr>
                  <w:tcW w:w="2374" w:type="dxa"/>
                  <w:tcBorders>
                    <w:top w:val="single" w:color="auto" w:sz="4" w:space="0"/>
                    <w:left w:val="single" w:color="auto" w:sz="4" w:space="0"/>
                    <w:bottom w:val="single" w:color="auto" w:sz="4" w:space="0"/>
                    <w:right w:val="single" w:color="auto" w:sz="4" w:space="0"/>
                  </w:tcBorders>
                  <w:vAlign w:val="center"/>
                </w:tcPr>
                <w:p w14:paraId="5DBCAFC7">
                  <w:pPr>
                    <w:jc w:val="center"/>
                    <w:rPr>
                      <w:color w:val="auto"/>
                      <w:sz w:val="21"/>
                      <w:szCs w:val="21"/>
                    </w:rPr>
                  </w:pPr>
                  <w:r>
                    <w:rPr>
                      <w:color w:val="auto"/>
                      <w:sz w:val="21"/>
                      <w:szCs w:val="21"/>
                    </w:rPr>
                    <w:t>铍</w:t>
                  </w:r>
                </w:p>
              </w:tc>
              <w:tc>
                <w:tcPr>
                  <w:tcW w:w="1069" w:type="dxa"/>
                  <w:tcBorders>
                    <w:top w:val="single" w:color="auto" w:sz="4" w:space="0"/>
                    <w:left w:val="single" w:color="auto" w:sz="4" w:space="0"/>
                    <w:bottom w:val="single" w:color="auto" w:sz="4" w:space="0"/>
                    <w:right w:val="single" w:color="auto" w:sz="4" w:space="0"/>
                  </w:tcBorders>
                  <w:vAlign w:val="center"/>
                </w:tcPr>
                <w:p w14:paraId="7F261BB3">
                  <w:pPr>
                    <w:jc w:val="center"/>
                    <w:rPr>
                      <w:color w:val="auto"/>
                      <w:sz w:val="21"/>
                      <w:szCs w:val="21"/>
                    </w:rPr>
                  </w:pPr>
                  <w:r>
                    <w:rPr>
                      <w:color w:val="auto"/>
                      <w:sz w:val="21"/>
                      <w:szCs w:val="21"/>
                    </w:rPr>
                    <w:t>mg/L</w:t>
                  </w:r>
                </w:p>
              </w:tc>
              <w:tc>
                <w:tcPr>
                  <w:tcW w:w="1615" w:type="dxa"/>
                  <w:tcBorders>
                    <w:top w:val="single" w:color="auto" w:sz="4" w:space="0"/>
                    <w:left w:val="single" w:color="auto" w:sz="4" w:space="0"/>
                    <w:bottom w:val="single" w:color="auto" w:sz="4" w:space="0"/>
                    <w:right w:val="single" w:color="auto" w:sz="4" w:space="0"/>
                  </w:tcBorders>
                </w:tcPr>
                <w:p w14:paraId="083DF6E8">
                  <w:pPr>
                    <w:jc w:val="center"/>
                    <w:rPr>
                      <w:color w:val="auto"/>
                      <w:sz w:val="21"/>
                      <w:szCs w:val="21"/>
                    </w:rPr>
                  </w:pPr>
                  <w:r>
                    <w:rPr>
                      <w:color w:val="auto"/>
                      <w:sz w:val="21"/>
                      <w:szCs w:val="21"/>
                    </w:rPr>
                    <w:t>0.005</w:t>
                  </w:r>
                </w:p>
              </w:tc>
            </w:tr>
            <w:tr w14:paraId="0DA5A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614AAAB4">
                  <w:pPr>
                    <w:jc w:val="center"/>
                    <w:rPr>
                      <w:color w:val="auto"/>
                      <w:sz w:val="21"/>
                      <w:szCs w:val="21"/>
                    </w:rPr>
                  </w:pPr>
                  <w:r>
                    <w:rPr>
                      <w:color w:val="auto"/>
                      <w:sz w:val="21"/>
                      <w:szCs w:val="21"/>
                    </w:rPr>
                    <w:t>9</w:t>
                  </w:r>
                </w:p>
              </w:tc>
              <w:tc>
                <w:tcPr>
                  <w:tcW w:w="2374" w:type="dxa"/>
                  <w:tcBorders>
                    <w:top w:val="single" w:color="auto" w:sz="4" w:space="0"/>
                    <w:left w:val="single" w:color="auto" w:sz="4" w:space="0"/>
                    <w:bottom w:val="single" w:color="auto" w:sz="4" w:space="0"/>
                    <w:right w:val="single" w:color="auto" w:sz="4" w:space="0"/>
                  </w:tcBorders>
                  <w:vAlign w:val="center"/>
                </w:tcPr>
                <w:p w14:paraId="5653C29A">
                  <w:pPr>
                    <w:jc w:val="center"/>
                    <w:rPr>
                      <w:color w:val="auto"/>
                      <w:sz w:val="21"/>
                      <w:szCs w:val="21"/>
                    </w:rPr>
                  </w:pPr>
                  <w:r>
                    <w:rPr>
                      <w:color w:val="auto"/>
                      <w:sz w:val="21"/>
                      <w:szCs w:val="21"/>
                    </w:rPr>
                    <w:t>镍</w:t>
                  </w:r>
                </w:p>
              </w:tc>
              <w:tc>
                <w:tcPr>
                  <w:tcW w:w="1069" w:type="dxa"/>
                  <w:tcBorders>
                    <w:top w:val="single" w:color="auto" w:sz="4" w:space="0"/>
                    <w:left w:val="single" w:color="auto" w:sz="4" w:space="0"/>
                    <w:bottom w:val="single" w:color="auto" w:sz="4" w:space="0"/>
                    <w:right w:val="single" w:color="auto" w:sz="4" w:space="0"/>
                  </w:tcBorders>
                  <w:vAlign w:val="center"/>
                </w:tcPr>
                <w:p w14:paraId="74775146">
                  <w:pPr>
                    <w:jc w:val="center"/>
                    <w:rPr>
                      <w:color w:val="auto"/>
                      <w:sz w:val="21"/>
                      <w:szCs w:val="21"/>
                    </w:rPr>
                  </w:pPr>
                  <w:r>
                    <w:rPr>
                      <w:color w:val="auto"/>
                      <w:sz w:val="21"/>
                      <w:szCs w:val="21"/>
                    </w:rPr>
                    <w:t>mg/L</w:t>
                  </w:r>
                </w:p>
              </w:tc>
              <w:tc>
                <w:tcPr>
                  <w:tcW w:w="1615" w:type="dxa"/>
                  <w:tcBorders>
                    <w:top w:val="single" w:color="auto" w:sz="4" w:space="0"/>
                    <w:left w:val="single" w:color="auto" w:sz="4" w:space="0"/>
                    <w:bottom w:val="single" w:color="auto" w:sz="4" w:space="0"/>
                    <w:right w:val="single" w:color="auto" w:sz="4" w:space="0"/>
                  </w:tcBorders>
                </w:tcPr>
                <w:p w14:paraId="2A82B7E7">
                  <w:pPr>
                    <w:jc w:val="center"/>
                    <w:rPr>
                      <w:color w:val="auto"/>
                      <w:sz w:val="21"/>
                      <w:szCs w:val="21"/>
                    </w:rPr>
                  </w:pPr>
                  <w:r>
                    <w:rPr>
                      <w:color w:val="auto"/>
                      <w:sz w:val="21"/>
                      <w:szCs w:val="21"/>
                    </w:rPr>
                    <w:t>1.0</w:t>
                  </w:r>
                </w:p>
              </w:tc>
            </w:tr>
            <w:tr w14:paraId="6DDA4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62" w:type="dxa"/>
                  <w:tcBorders>
                    <w:top w:val="single" w:color="auto" w:sz="4" w:space="0"/>
                    <w:left w:val="single" w:color="auto" w:sz="4" w:space="0"/>
                    <w:bottom w:val="single" w:color="auto" w:sz="4" w:space="0"/>
                    <w:right w:val="single" w:color="auto" w:sz="4" w:space="0"/>
                  </w:tcBorders>
                  <w:vAlign w:val="center"/>
                </w:tcPr>
                <w:p w14:paraId="626E0E8D">
                  <w:pPr>
                    <w:jc w:val="center"/>
                    <w:rPr>
                      <w:color w:val="auto"/>
                      <w:sz w:val="21"/>
                      <w:szCs w:val="21"/>
                    </w:rPr>
                  </w:pPr>
                  <w:r>
                    <w:rPr>
                      <w:color w:val="auto"/>
                      <w:sz w:val="21"/>
                      <w:szCs w:val="21"/>
                    </w:rPr>
                    <w:t>10</w:t>
                  </w:r>
                </w:p>
              </w:tc>
              <w:tc>
                <w:tcPr>
                  <w:tcW w:w="2374" w:type="dxa"/>
                  <w:tcBorders>
                    <w:top w:val="single" w:color="auto" w:sz="4" w:space="0"/>
                    <w:left w:val="single" w:color="auto" w:sz="4" w:space="0"/>
                    <w:bottom w:val="single" w:color="auto" w:sz="4" w:space="0"/>
                    <w:right w:val="single" w:color="auto" w:sz="4" w:space="0"/>
                  </w:tcBorders>
                  <w:vAlign w:val="center"/>
                </w:tcPr>
                <w:p w14:paraId="3D666038">
                  <w:pPr>
                    <w:jc w:val="center"/>
                    <w:rPr>
                      <w:color w:val="auto"/>
                      <w:sz w:val="21"/>
                      <w:szCs w:val="21"/>
                    </w:rPr>
                  </w:pPr>
                  <w:r>
                    <w:rPr>
                      <w:color w:val="auto"/>
                      <w:sz w:val="21"/>
                      <w:szCs w:val="21"/>
                    </w:rPr>
                    <w:t>总银</w:t>
                  </w:r>
                </w:p>
              </w:tc>
              <w:tc>
                <w:tcPr>
                  <w:tcW w:w="1069" w:type="dxa"/>
                  <w:tcBorders>
                    <w:top w:val="single" w:color="auto" w:sz="4" w:space="0"/>
                    <w:left w:val="single" w:color="auto" w:sz="4" w:space="0"/>
                    <w:bottom w:val="single" w:color="auto" w:sz="4" w:space="0"/>
                    <w:right w:val="single" w:color="auto" w:sz="4" w:space="0"/>
                  </w:tcBorders>
                  <w:vAlign w:val="center"/>
                </w:tcPr>
                <w:p w14:paraId="301D85C0">
                  <w:pPr>
                    <w:jc w:val="center"/>
                    <w:rPr>
                      <w:color w:val="auto"/>
                      <w:sz w:val="21"/>
                      <w:szCs w:val="21"/>
                    </w:rPr>
                  </w:pPr>
                  <w:r>
                    <w:rPr>
                      <w:color w:val="auto"/>
                      <w:sz w:val="21"/>
                      <w:szCs w:val="21"/>
                    </w:rPr>
                    <w:t>mg/L</w:t>
                  </w:r>
                </w:p>
              </w:tc>
              <w:tc>
                <w:tcPr>
                  <w:tcW w:w="1615" w:type="dxa"/>
                  <w:tcBorders>
                    <w:top w:val="single" w:color="auto" w:sz="4" w:space="0"/>
                    <w:left w:val="single" w:color="auto" w:sz="4" w:space="0"/>
                    <w:bottom w:val="single" w:color="auto" w:sz="4" w:space="0"/>
                    <w:right w:val="single" w:color="auto" w:sz="4" w:space="0"/>
                  </w:tcBorders>
                </w:tcPr>
                <w:p w14:paraId="66AEDBD3">
                  <w:pPr>
                    <w:jc w:val="center"/>
                    <w:rPr>
                      <w:color w:val="auto"/>
                      <w:sz w:val="21"/>
                      <w:szCs w:val="21"/>
                    </w:rPr>
                  </w:pPr>
                  <w:r>
                    <w:rPr>
                      <w:color w:val="auto"/>
                      <w:sz w:val="21"/>
                      <w:szCs w:val="21"/>
                    </w:rPr>
                    <w:t>0.5</w:t>
                  </w:r>
                </w:p>
              </w:tc>
            </w:tr>
          </w:tbl>
          <w:p w14:paraId="31E2E778">
            <w:pPr>
              <w:spacing w:line="360" w:lineRule="auto"/>
              <w:ind w:firstLine="480" w:firstLineChars="200"/>
              <w:jc w:val="left"/>
              <w:rPr>
                <w:color w:val="auto"/>
                <w:sz w:val="24"/>
              </w:rPr>
            </w:pPr>
            <w:r>
              <w:rPr>
                <w:rFonts w:hint="eastAsia"/>
                <w:color w:val="auto"/>
                <w:sz w:val="24"/>
                <w:lang w:eastAsia="zh-CN"/>
              </w:rPr>
              <w:t>云南常青树化工有限公司</w:t>
            </w:r>
            <w:r>
              <w:rPr>
                <w:color w:val="auto"/>
                <w:sz w:val="24"/>
                <w:highlight w:val="none"/>
              </w:rPr>
              <w:t>202</w:t>
            </w:r>
            <w:r>
              <w:rPr>
                <w:rFonts w:hint="eastAsia"/>
                <w:color w:val="auto"/>
                <w:sz w:val="24"/>
                <w:highlight w:val="none"/>
                <w:lang w:val="en-US" w:eastAsia="zh-CN"/>
              </w:rPr>
              <w:t>4</w:t>
            </w:r>
            <w:r>
              <w:rPr>
                <w:color w:val="auto"/>
                <w:sz w:val="24"/>
                <w:highlight w:val="none"/>
              </w:rPr>
              <w:t>年</w:t>
            </w:r>
            <w:r>
              <w:rPr>
                <w:rFonts w:hint="eastAsia"/>
                <w:color w:val="auto"/>
                <w:sz w:val="24"/>
                <w:highlight w:val="none"/>
                <w:lang w:val="en-US" w:eastAsia="zh-CN"/>
              </w:rPr>
              <w:t>3</w:t>
            </w:r>
            <w:r>
              <w:rPr>
                <w:color w:val="auto"/>
                <w:sz w:val="24"/>
                <w:highlight w:val="none"/>
              </w:rPr>
              <w:t>月</w:t>
            </w:r>
            <w:r>
              <w:rPr>
                <w:rFonts w:hint="eastAsia"/>
                <w:color w:val="auto"/>
                <w:sz w:val="24"/>
                <w:highlight w:val="none"/>
                <w:lang w:val="en-US" w:eastAsia="zh-CN"/>
              </w:rPr>
              <w:t>18</w:t>
            </w:r>
            <w:r>
              <w:rPr>
                <w:color w:val="auto"/>
                <w:sz w:val="24"/>
                <w:highlight w:val="none"/>
              </w:rPr>
              <w:t>日委托</w:t>
            </w:r>
            <w:r>
              <w:rPr>
                <w:rFonts w:hint="eastAsia"/>
                <w:color w:val="auto"/>
                <w:sz w:val="24"/>
                <w:highlight w:val="none"/>
                <w:lang w:val="en-US" w:eastAsia="zh-CN"/>
              </w:rPr>
              <w:t>云南华都生态环境监测有限公司</w:t>
            </w:r>
            <w:r>
              <w:rPr>
                <w:color w:val="auto"/>
                <w:sz w:val="24"/>
              </w:rPr>
              <w:t>对</w:t>
            </w:r>
            <w:r>
              <w:rPr>
                <w:rFonts w:hint="eastAsia"/>
                <w:color w:val="auto"/>
                <w:sz w:val="24"/>
              </w:rPr>
              <w:t>生态修复材料样品</w:t>
            </w:r>
            <w:r>
              <w:rPr>
                <w:rFonts w:hint="eastAsia"/>
                <w:color w:val="auto"/>
                <w:sz w:val="24"/>
                <w:highlight w:val="none"/>
              </w:rPr>
              <w:t>使用硫酸</w:t>
            </w:r>
            <w:r>
              <w:rPr>
                <w:color w:val="auto"/>
                <w:sz w:val="24"/>
                <w:highlight w:val="none"/>
              </w:rPr>
              <w:t>硝酸法</w:t>
            </w:r>
            <w:r>
              <w:rPr>
                <w:rFonts w:hint="eastAsia"/>
                <w:color w:val="auto"/>
                <w:sz w:val="24"/>
                <w:highlight w:val="none"/>
                <w:lang w:val="en-US" w:eastAsia="zh-CN"/>
              </w:rPr>
              <w:t>和</w:t>
            </w:r>
            <w:r>
              <w:rPr>
                <w:rFonts w:hint="eastAsia"/>
                <w:color w:val="auto"/>
                <w:sz w:val="24"/>
                <w:highlight w:val="none"/>
              </w:rPr>
              <w:t>水平振荡法</w:t>
            </w:r>
            <w:r>
              <w:rPr>
                <w:color w:val="auto"/>
                <w:sz w:val="24"/>
                <w:highlight w:val="none"/>
              </w:rPr>
              <w:t>进行浸出液的制备，进行检测。具体检测结果</w:t>
            </w:r>
            <w:r>
              <w:rPr>
                <w:color w:val="auto"/>
                <w:sz w:val="24"/>
              </w:rPr>
              <w:t>见</w:t>
            </w:r>
            <w:r>
              <w:rPr>
                <w:rFonts w:hint="eastAsia"/>
                <w:color w:val="auto"/>
                <w:sz w:val="24"/>
                <w:lang w:val="en-US" w:eastAsia="zh-CN"/>
              </w:rPr>
              <w:t>下</w:t>
            </w:r>
            <w:r>
              <w:rPr>
                <w:color w:val="auto"/>
                <w:sz w:val="24"/>
              </w:rPr>
              <w:t>表。</w:t>
            </w:r>
          </w:p>
          <w:p w14:paraId="086E679F">
            <w:pPr>
              <w:jc w:val="center"/>
              <w:rPr>
                <w:b/>
                <w:color w:val="auto"/>
                <w:sz w:val="24"/>
              </w:rPr>
            </w:pPr>
            <w:r>
              <w:rPr>
                <w:b/>
                <w:color w:val="auto"/>
                <w:sz w:val="24"/>
              </w:rPr>
              <w:t>表2-</w:t>
            </w:r>
            <w:r>
              <w:rPr>
                <w:rFonts w:hint="eastAsia"/>
                <w:b/>
                <w:color w:val="auto"/>
                <w:sz w:val="24"/>
              </w:rPr>
              <w:t>1</w:t>
            </w:r>
            <w:r>
              <w:rPr>
                <w:rFonts w:hint="eastAsia"/>
                <w:b/>
                <w:color w:val="auto"/>
                <w:sz w:val="24"/>
                <w:lang w:val="en-US" w:eastAsia="zh-CN"/>
              </w:rPr>
              <w:t>0</w:t>
            </w:r>
            <w:r>
              <w:rPr>
                <w:b/>
                <w:color w:val="auto"/>
                <w:sz w:val="24"/>
              </w:rPr>
              <w:t xml:space="preserve">  </w:t>
            </w:r>
            <w:r>
              <w:rPr>
                <w:b/>
                <w:color w:val="auto"/>
                <w:sz w:val="24"/>
                <w:lang w:bidi="en-US"/>
              </w:rPr>
              <w:t>生态修复材料浸出</w:t>
            </w:r>
            <w:r>
              <w:rPr>
                <w:b/>
                <w:color w:val="auto"/>
                <w:sz w:val="24"/>
              </w:rPr>
              <w:t>液腐蚀性鉴别结果</w:t>
            </w:r>
          </w:p>
          <w:tbl>
            <w:tblPr>
              <w:tblStyle w:val="45"/>
              <w:tblW w:w="81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526"/>
              <w:gridCol w:w="527"/>
              <w:gridCol w:w="3380"/>
              <w:gridCol w:w="2371"/>
            </w:tblGrid>
            <w:tr w14:paraId="26029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14:paraId="0AAB9295">
                  <w:pPr>
                    <w:jc w:val="center"/>
                    <w:rPr>
                      <w:color w:val="auto"/>
                      <w:sz w:val="21"/>
                      <w:szCs w:val="21"/>
                    </w:rPr>
                  </w:pPr>
                  <w:r>
                    <w:rPr>
                      <w:color w:val="auto"/>
                      <w:sz w:val="21"/>
                      <w:szCs w:val="21"/>
                    </w:rPr>
                    <w:t>项目</w:t>
                  </w:r>
                </w:p>
              </w:tc>
              <w:tc>
                <w:tcPr>
                  <w:tcW w:w="1053" w:type="dxa"/>
                  <w:gridSpan w:val="2"/>
                  <w:tcBorders>
                    <w:top w:val="single" w:color="auto" w:sz="4" w:space="0"/>
                    <w:left w:val="single" w:color="auto" w:sz="4" w:space="0"/>
                    <w:bottom w:val="single" w:color="auto" w:sz="4" w:space="0"/>
                    <w:right w:val="single" w:color="auto" w:sz="4" w:space="0"/>
                  </w:tcBorders>
                  <w:vAlign w:val="center"/>
                </w:tcPr>
                <w:p w14:paraId="1FFE8E60">
                  <w:pPr>
                    <w:jc w:val="center"/>
                    <w:rPr>
                      <w:rFonts w:hint="default" w:eastAsia="宋体"/>
                      <w:color w:val="auto"/>
                      <w:sz w:val="21"/>
                      <w:szCs w:val="21"/>
                      <w:lang w:val="en-US" w:eastAsia="zh-CN"/>
                    </w:rPr>
                  </w:pPr>
                  <w:r>
                    <w:rPr>
                      <w:rFonts w:hint="eastAsia"/>
                      <w:color w:val="auto"/>
                      <w:sz w:val="21"/>
                      <w:szCs w:val="21"/>
                      <w:lang w:val="en-US" w:eastAsia="zh-CN"/>
                    </w:rPr>
                    <w:t>检测结果</w:t>
                  </w:r>
                </w:p>
              </w:tc>
              <w:tc>
                <w:tcPr>
                  <w:tcW w:w="3380" w:type="dxa"/>
                  <w:tcBorders>
                    <w:top w:val="single" w:color="auto" w:sz="4" w:space="0"/>
                    <w:left w:val="single" w:color="auto" w:sz="4" w:space="0"/>
                    <w:bottom w:val="single" w:color="auto" w:sz="4" w:space="0"/>
                    <w:right w:val="single" w:color="auto" w:sz="4" w:space="0"/>
                  </w:tcBorders>
                  <w:vAlign w:val="center"/>
                </w:tcPr>
                <w:p w14:paraId="48FABEEF">
                  <w:pPr>
                    <w:jc w:val="center"/>
                    <w:rPr>
                      <w:color w:val="auto"/>
                      <w:sz w:val="21"/>
                      <w:szCs w:val="21"/>
                    </w:rPr>
                  </w:pPr>
                  <w:r>
                    <w:rPr>
                      <w:color w:val="auto"/>
                      <w:sz w:val="21"/>
                      <w:szCs w:val="21"/>
                    </w:rPr>
                    <w:t>《危险废物鉴别标准—浸出毒性鉴别》（GB5085.3-2007）标准值</w:t>
                  </w:r>
                </w:p>
              </w:tc>
              <w:tc>
                <w:tcPr>
                  <w:tcW w:w="2371" w:type="dxa"/>
                  <w:tcBorders>
                    <w:top w:val="single" w:color="auto" w:sz="4" w:space="0"/>
                    <w:left w:val="single" w:color="auto" w:sz="4" w:space="0"/>
                    <w:bottom w:val="single" w:color="auto" w:sz="4" w:space="0"/>
                    <w:right w:val="single" w:color="auto" w:sz="4" w:space="0"/>
                  </w:tcBorders>
                  <w:vAlign w:val="center"/>
                </w:tcPr>
                <w:p w14:paraId="0A9B6397">
                  <w:pPr>
                    <w:jc w:val="center"/>
                    <w:rPr>
                      <w:color w:val="auto"/>
                      <w:sz w:val="21"/>
                      <w:szCs w:val="21"/>
                    </w:rPr>
                  </w:pPr>
                  <w:r>
                    <w:rPr>
                      <w:color w:val="auto"/>
                      <w:sz w:val="21"/>
                      <w:szCs w:val="21"/>
                    </w:rPr>
                    <w:t>《污水综合排放标准》中最高允许排放浓度</w:t>
                  </w:r>
                </w:p>
              </w:tc>
            </w:tr>
            <w:tr w14:paraId="3C758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14:paraId="7784FE6C">
                  <w:pPr>
                    <w:jc w:val="center"/>
                    <w:rPr>
                      <w:color w:val="auto"/>
                      <w:sz w:val="21"/>
                      <w:szCs w:val="21"/>
                    </w:rPr>
                  </w:pPr>
                  <w:r>
                    <w:rPr>
                      <w:color w:val="auto"/>
                      <w:sz w:val="21"/>
                      <w:szCs w:val="21"/>
                    </w:rPr>
                    <w:t>pH（无量纲）</w:t>
                  </w:r>
                </w:p>
              </w:tc>
              <w:tc>
                <w:tcPr>
                  <w:tcW w:w="526" w:type="dxa"/>
                  <w:tcBorders>
                    <w:top w:val="single" w:color="auto" w:sz="4" w:space="0"/>
                    <w:left w:val="single" w:color="auto" w:sz="4" w:space="0"/>
                    <w:bottom w:val="single" w:color="auto" w:sz="4" w:space="0"/>
                    <w:right w:val="single" w:color="auto" w:sz="4" w:space="0"/>
                  </w:tcBorders>
                  <w:vAlign w:val="center"/>
                </w:tcPr>
                <w:p w14:paraId="2D869796">
                  <w:pPr>
                    <w:jc w:val="center"/>
                    <w:rPr>
                      <w:rFonts w:hint="default" w:eastAsia="宋体"/>
                      <w:color w:val="auto"/>
                      <w:sz w:val="21"/>
                      <w:szCs w:val="21"/>
                      <w:lang w:val="en-US" w:eastAsia="zh-CN"/>
                    </w:rPr>
                  </w:pPr>
                  <w:r>
                    <w:rPr>
                      <w:rFonts w:hint="eastAsia"/>
                      <w:color w:val="auto"/>
                      <w:sz w:val="21"/>
                      <w:szCs w:val="21"/>
                      <w:lang w:val="en-US" w:eastAsia="zh-CN"/>
                    </w:rPr>
                    <w:t>7.9</w:t>
                  </w:r>
                </w:p>
              </w:tc>
              <w:tc>
                <w:tcPr>
                  <w:tcW w:w="527" w:type="dxa"/>
                  <w:tcBorders>
                    <w:top w:val="single" w:color="auto" w:sz="4" w:space="0"/>
                    <w:left w:val="single" w:color="auto" w:sz="4" w:space="0"/>
                    <w:bottom w:val="single" w:color="auto" w:sz="4" w:space="0"/>
                    <w:right w:val="single" w:color="auto" w:sz="4" w:space="0"/>
                  </w:tcBorders>
                  <w:vAlign w:val="center"/>
                </w:tcPr>
                <w:p w14:paraId="7CA3D025">
                  <w:pPr>
                    <w:jc w:val="center"/>
                    <w:rPr>
                      <w:rFonts w:hint="default" w:eastAsia="宋体"/>
                      <w:color w:val="auto"/>
                      <w:sz w:val="21"/>
                      <w:szCs w:val="21"/>
                      <w:lang w:val="en-US" w:eastAsia="zh-CN"/>
                    </w:rPr>
                  </w:pPr>
                  <w:r>
                    <w:rPr>
                      <w:rFonts w:hint="eastAsia"/>
                      <w:color w:val="auto"/>
                      <w:sz w:val="21"/>
                      <w:szCs w:val="21"/>
                      <w:lang w:val="en-US" w:eastAsia="zh-CN"/>
                    </w:rPr>
                    <w:t>8.1</w:t>
                  </w:r>
                </w:p>
              </w:tc>
              <w:tc>
                <w:tcPr>
                  <w:tcW w:w="3380" w:type="dxa"/>
                  <w:tcBorders>
                    <w:top w:val="single" w:color="auto" w:sz="4" w:space="0"/>
                    <w:left w:val="single" w:color="auto" w:sz="4" w:space="0"/>
                    <w:bottom w:val="single" w:color="auto" w:sz="4" w:space="0"/>
                    <w:right w:val="single" w:color="auto" w:sz="4" w:space="0"/>
                  </w:tcBorders>
                  <w:vAlign w:val="center"/>
                </w:tcPr>
                <w:p w14:paraId="393166D4">
                  <w:pPr>
                    <w:jc w:val="center"/>
                    <w:rPr>
                      <w:color w:val="auto"/>
                      <w:sz w:val="21"/>
                      <w:szCs w:val="21"/>
                    </w:rPr>
                  </w:pPr>
                  <w:r>
                    <w:rPr>
                      <w:color w:val="auto"/>
                      <w:sz w:val="21"/>
                      <w:szCs w:val="21"/>
                    </w:rPr>
                    <w:t>2≤</w:t>
                  </w:r>
                  <w:r>
                    <w:rPr>
                      <w:bCs/>
                      <w:color w:val="auto"/>
                      <w:sz w:val="21"/>
                      <w:szCs w:val="21"/>
                    </w:rPr>
                    <w:t>pH</w:t>
                  </w:r>
                  <w:r>
                    <w:rPr>
                      <w:color w:val="auto"/>
                      <w:sz w:val="21"/>
                      <w:szCs w:val="21"/>
                    </w:rPr>
                    <w:t>≤12.5</w:t>
                  </w:r>
                </w:p>
              </w:tc>
              <w:tc>
                <w:tcPr>
                  <w:tcW w:w="2371" w:type="dxa"/>
                  <w:tcBorders>
                    <w:top w:val="single" w:color="auto" w:sz="4" w:space="0"/>
                    <w:left w:val="single" w:color="auto" w:sz="4" w:space="0"/>
                    <w:bottom w:val="single" w:color="auto" w:sz="4" w:space="0"/>
                    <w:right w:val="single" w:color="auto" w:sz="4" w:space="0"/>
                  </w:tcBorders>
                  <w:vAlign w:val="center"/>
                </w:tcPr>
                <w:p w14:paraId="510C712C">
                  <w:pPr>
                    <w:jc w:val="center"/>
                    <w:rPr>
                      <w:color w:val="auto"/>
                      <w:sz w:val="21"/>
                      <w:szCs w:val="21"/>
                    </w:rPr>
                  </w:pPr>
                  <w:r>
                    <w:rPr>
                      <w:color w:val="auto"/>
                      <w:sz w:val="21"/>
                      <w:szCs w:val="21"/>
                    </w:rPr>
                    <w:t>6~9</w:t>
                  </w:r>
                </w:p>
              </w:tc>
            </w:tr>
          </w:tbl>
          <w:p w14:paraId="1ADAB3FB">
            <w:pPr>
              <w:jc w:val="center"/>
              <w:rPr>
                <w:b/>
                <w:color w:val="auto"/>
                <w:sz w:val="24"/>
                <w:szCs w:val="22"/>
                <w:lang w:bidi="en-US"/>
              </w:rPr>
            </w:pPr>
            <w:r>
              <w:rPr>
                <w:b/>
                <w:color w:val="auto"/>
                <w:sz w:val="24"/>
                <w:szCs w:val="22"/>
                <w:lang w:bidi="en-US"/>
              </w:rPr>
              <w:t>表2-1</w:t>
            </w:r>
            <w:r>
              <w:rPr>
                <w:rFonts w:hint="eastAsia"/>
                <w:b/>
                <w:color w:val="auto"/>
                <w:sz w:val="24"/>
                <w:szCs w:val="22"/>
                <w:lang w:val="en-US" w:eastAsia="zh-CN" w:bidi="en-US"/>
              </w:rPr>
              <w:t xml:space="preserve">1 </w:t>
            </w:r>
            <w:r>
              <w:rPr>
                <w:b/>
                <w:color w:val="auto"/>
                <w:sz w:val="24"/>
                <w:szCs w:val="22"/>
                <w:lang w:bidi="en-US"/>
              </w:rPr>
              <w:t xml:space="preserve"> 生态修复材料浸出毒性检测结果</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1111"/>
              <w:gridCol w:w="1300"/>
              <w:gridCol w:w="1087"/>
              <w:gridCol w:w="850"/>
              <w:gridCol w:w="1653"/>
              <w:gridCol w:w="1065"/>
            </w:tblGrid>
            <w:tr w14:paraId="5022E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83" w:type="pct"/>
                  <w:vMerge w:val="restart"/>
                  <w:tcBorders>
                    <w:top w:val="single" w:color="auto" w:sz="4" w:space="0"/>
                    <w:left w:val="single" w:color="auto" w:sz="4" w:space="0"/>
                    <w:right w:val="single" w:color="auto" w:sz="4" w:space="0"/>
                  </w:tcBorders>
                  <w:vAlign w:val="center"/>
                </w:tcPr>
                <w:p w14:paraId="454BE5E6">
                  <w:pPr>
                    <w:jc w:val="center"/>
                    <w:rPr>
                      <w:color w:val="auto"/>
                      <w:sz w:val="21"/>
                      <w:szCs w:val="21"/>
                    </w:rPr>
                  </w:pPr>
                  <w:r>
                    <w:rPr>
                      <w:color w:val="auto"/>
                      <w:sz w:val="21"/>
                      <w:szCs w:val="21"/>
                    </w:rPr>
                    <w:t>分析项目</w:t>
                  </w:r>
                </w:p>
              </w:tc>
              <w:tc>
                <w:tcPr>
                  <w:tcW w:w="2087" w:type="pct"/>
                  <w:gridSpan w:val="3"/>
                  <w:tcBorders>
                    <w:top w:val="single" w:color="auto" w:sz="4" w:space="0"/>
                    <w:left w:val="single" w:color="auto" w:sz="4" w:space="0"/>
                    <w:bottom w:val="single" w:color="auto" w:sz="4" w:space="0"/>
                    <w:right w:val="single" w:color="auto" w:sz="4" w:space="0"/>
                  </w:tcBorders>
                  <w:vAlign w:val="center"/>
                </w:tcPr>
                <w:p w14:paraId="2D364681">
                  <w:pPr>
                    <w:jc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硫酸硝酸法</w:t>
                  </w:r>
                </w:p>
              </w:tc>
              <w:tc>
                <w:tcPr>
                  <w:tcW w:w="2129" w:type="pct"/>
                  <w:gridSpan w:val="3"/>
                  <w:tcBorders>
                    <w:top w:val="single" w:color="auto" w:sz="4" w:space="0"/>
                    <w:left w:val="single" w:color="auto" w:sz="4" w:space="0"/>
                    <w:right w:val="single" w:color="auto" w:sz="4" w:space="0"/>
                  </w:tcBorders>
                  <w:vAlign w:val="center"/>
                </w:tcPr>
                <w:p w14:paraId="479881A7">
                  <w:pPr>
                    <w:jc w:val="center"/>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水平振荡</w:t>
                  </w:r>
                  <w:r>
                    <w:rPr>
                      <w:rFonts w:ascii="Times New Roman" w:hAnsi="Times New Roman" w:eastAsia="宋体" w:cs="Times New Roman"/>
                      <w:color w:val="auto"/>
                      <w:sz w:val="21"/>
                      <w:szCs w:val="21"/>
                      <w:lang w:val="en-US" w:eastAsia="zh-CN" w:bidi="ar-SA"/>
                    </w:rPr>
                    <w:t>法</w:t>
                  </w:r>
                </w:p>
              </w:tc>
            </w:tr>
            <w:tr w14:paraId="37834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83" w:type="pct"/>
                  <w:vMerge w:val="continue"/>
                  <w:tcBorders>
                    <w:left w:val="single" w:color="auto" w:sz="4" w:space="0"/>
                    <w:bottom w:val="single" w:color="auto" w:sz="4" w:space="0"/>
                    <w:right w:val="single" w:color="auto" w:sz="4" w:space="0"/>
                  </w:tcBorders>
                  <w:vAlign w:val="center"/>
                </w:tcPr>
                <w:p w14:paraId="19F3533A">
                  <w:pPr>
                    <w:jc w:val="center"/>
                    <w:rPr>
                      <w:color w:val="auto"/>
                    </w:rPr>
                  </w:pPr>
                </w:p>
              </w:tc>
              <w:tc>
                <w:tcPr>
                  <w:tcW w:w="663" w:type="pct"/>
                  <w:tcBorders>
                    <w:top w:val="single" w:color="auto" w:sz="4" w:space="0"/>
                    <w:left w:val="single" w:color="auto" w:sz="4" w:space="0"/>
                    <w:bottom w:val="single" w:color="auto" w:sz="4" w:space="0"/>
                    <w:right w:val="single" w:color="auto" w:sz="4" w:space="0"/>
                  </w:tcBorders>
                  <w:vAlign w:val="center"/>
                </w:tcPr>
                <w:p w14:paraId="3435B2E0">
                  <w:pPr>
                    <w:jc w:val="center"/>
                    <w:rPr>
                      <w:rFonts w:ascii="Times New Roman" w:hAnsi="Times New Roman" w:eastAsia="宋体" w:cs="Times New Roman"/>
                      <w:color w:val="auto"/>
                      <w:sz w:val="21"/>
                      <w:szCs w:val="21"/>
                      <w:lang w:val="en-US" w:eastAsia="zh-CN" w:bidi="ar-SA"/>
                    </w:rPr>
                  </w:pPr>
                  <w:r>
                    <w:rPr>
                      <w:rFonts w:hint="eastAsia"/>
                      <w:color w:val="auto"/>
                      <w:sz w:val="21"/>
                      <w:szCs w:val="21"/>
                      <w:lang w:val="en-US" w:eastAsia="zh-CN"/>
                    </w:rPr>
                    <w:t>检测结果</w:t>
                  </w:r>
                </w:p>
              </w:tc>
              <w:tc>
                <w:tcPr>
                  <w:tcW w:w="775" w:type="pct"/>
                  <w:tcBorders>
                    <w:left w:val="single" w:color="auto" w:sz="4" w:space="0"/>
                    <w:bottom w:val="single" w:color="auto" w:sz="4" w:space="0"/>
                    <w:right w:val="single" w:color="auto" w:sz="4" w:space="0"/>
                  </w:tcBorders>
                  <w:vAlign w:val="center"/>
                </w:tcPr>
                <w:p w14:paraId="44975BE1">
                  <w:pPr>
                    <w:jc w:val="center"/>
                    <w:rPr>
                      <w:rFonts w:hint="eastAsia" w:ascii="Times New Roman" w:hAnsi="Times New Roman" w:eastAsia="宋体" w:cs="Times New Roman"/>
                      <w:color w:val="auto"/>
                      <w:sz w:val="21"/>
                      <w:szCs w:val="21"/>
                      <w:lang w:val="en-US" w:eastAsia="zh-CN" w:bidi="ar-SA"/>
                    </w:rPr>
                  </w:pPr>
                  <w:r>
                    <w:rPr>
                      <w:color w:val="auto"/>
                      <w:sz w:val="21"/>
                      <w:szCs w:val="21"/>
                    </w:rPr>
                    <w:t>GB5085.3-2007</w:t>
                  </w:r>
                  <w:r>
                    <w:rPr>
                      <w:rFonts w:hint="eastAsia"/>
                      <w:color w:val="auto"/>
                      <w:sz w:val="21"/>
                      <w:szCs w:val="21"/>
                      <w:lang w:eastAsia="zh-CN"/>
                    </w:rPr>
                    <w:t>（</w:t>
                  </w:r>
                  <w:r>
                    <w:rPr>
                      <w:rFonts w:hint="eastAsia"/>
                      <w:color w:val="auto"/>
                      <w:sz w:val="21"/>
                      <w:szCs w:val="21"/>
                      <w:lang w:val="en-US" w:eastAsia="zh-CN"/>
                    </w:rPr>
                    <w:t>mg/L</w:t>
                  </w:r>
                  <w:r>
                    <w:rPr>
                      <w:rFonts w:hint="eastAsia"/>
                      <w:color w:val="auto"/>
                      <w:sz w:val="21"/>
                      <w:szCs w:val="21"/>
                      <w:lang w:eastAsia="zh-CN"/>
                    </w:rPr>
                    <w:t>）</w:t>
                  </w:r>
                </w:p>
              </w:tc>
              <w:tc>
                <w:tcPr>
                  <w:tcW w:w="648" w:type="pct"/>
                  <w:tcBorders>
                    <w:left w:val="single" w:color="auto" w:sz="4" w:space="0"/>
                    <w:bottom w:val="single" w:color="auto" w:sz="4" w:space="0"/>
                    <w:right w:val="single" w:color="auto" w:sz="4" w:space="0"/>
                  </w:tcBorders>
                  <w:vAlign w:val="center"/>
                </w:tcPr>
                <w:p w14:paraId="1F02FDF4">
                  <w:pPr>
                    <w:jc w:val="center"/>
                    <w:rPr>
                      <w:color w:val="auto"/>
                      <w:sz w:val="21"/>
                      <w:szCs w:val="21"/>
                    </w:rPr>
                  </w:pPr>
                  <w:r>
                    <w:rPr>
                      <w:color w:val="auto"/>
                      <w:sz w:val="21"/>
                      <w:szCs w:val="21"/>
                    </w:rPr>
                    <w:t>达标情况</w:t>
                  </w:r>
                </w:p>
              </w:tc>
              <w:tc>
                <w:tcPr>
                  <w:tcW w:w="507" w:type="pct"/>
                  <w:tcBorders>
                    <w:left w:val="single" w:color="auto" w:sz="4" w:space="0"/>
                    <w:bottom w:val="single" w:color="auto" w:sz="4" w:space="0"/>
                    <w:right w:val="single" w:color="auto" w:sz="4" w:space="0"/>
                  </w:tcBorders>
                  <w:vAlign w:val="center"/>
                </w:tcPr>
                <w:p w14:paraId="1D1E0A68">
                  <w:pPr>
                    <w:jc w:val="center"/>
                    <w:rPr>
                      <w:rFonts w:ascii="Times New Roman" w:hAnsi="Times New Roman" w:eastAsia="宋体" w:cs="Times New Roman"/>
                      <w:color w:val="auto"/>
                      <w:sz w:val="21"/>
                      <w:szCs w:val="21"/>
                      <w:lang w:val="en-US" w:eastAsia="zh-CN" w:bidi="ar-SA"/>
                    </w:rPr>
                  </w:pPr>
                  <w:r>
                    <w:rPr>
                      <w:rFonts w:hint="eastAsia"/>
                      <w:color w:val="auto"/>
                      <w:sz w:val="21"/>
                      <w:szCs w:val="21"/>
                      <w:lang w:val="en-US" w:eastAsia="zh-CN"/>
                    </w:rPr>
                    <w:t>检测结果</w:t>
                  </w:r>
                </w:p>
              </w:tc>
              <w:tc>
                <w:tcPr>
                  <w:tcW w:w="986" w:type="pct"/>
                  <w:tcBorders>
                    <w:left w:val="single" w:color="auto" w:sz="4" w:space="0"/>
                    <w:bottom w:val="single" w:color="auto" w:sz="4" w:space="0"/>
                    <w:right w:val="single" w:color="auto" w:sz="4" w:space="0"/>
                  </w:tcBorders>
                  <w:vAlign w:val="center"/>
                </w:tcPr>
                <w:p w14:paraId="3F51E538">
                  <w:pPr>
                    <w:jc w:val="center"/>
                    <w:rPr>
                      <w:rFonts w:ascii="Times New Roman" w:hAnsi="Times New Roman" w:eastAsia="宋体" w:cs="Times New Roman"/>
                      <w:color w:val="auto"/>
                      <w:sz w:val="21"/>
                      <w:szCs w:val="21"/>
                      <w:lang w:val="en-US" w:eastAsia="zh-CN" w:bidi="ar-SA"/>
                    </w:rPr>
                  </w:pPr>
                  <w:r>
                    <w:rPr>
                      <w:color w:val="auto"/>
                      <w:sz w:val="21"/>
                      <w:szCs w:val="21"/>
                    </w:rPr>
                    <w:t>GB</w:t>
                  </w:r>
                  <w:r>
                    <w:rPr>
                      <w:rFonts w:hint="eastAsia"/>
                      <w:color w:val="auto"/>
                      <w:sz w:val="21"/>
                      <w:szCs w:val="21"/>
                    </w:rPr>
                    <w:t xml:space="preserve"> </w:t>
                  </w:r>
                  <w:r>
                    <w:rPr>
                      <w:color w:val="auto"/>
                      <w:sz w:val="21"/>
                      <w:szCs w:val="21"/>
                    </w:rPr>
                    <w:t>8978-1996（</w:t>
                  </w:r>
                  <w:r>
                    <w:rPr>
                      <w:color w:val="auto"/>
                      <w:sz w:val="21"/>
                      <w:szCs w:val="21"/>
                      <w:lang w:bidi="en-US"/>
                    </w:rPr>
                    <w:t>mg/L</w:t>
                  </w:r>
                  <w:r>
                    <w:rPr>
                      <w:color w:val="auto"/>
                      <w:sz w:val="21"/>
                      <w:szCs w:val="21"/>
                    </w:rPr>
                    <w:t>）</w:t>
                  </w:r>
                </w:p>
              </w:tc>
              <w:tc>
                <w:tcPr>
                  <w:tcW w:w="635" w:type="pct"/>
                  <w:tcBorders>
                    <w:left w:val="single" w:color="auto" w:sz="4" w:space="0"/>
                    <w:bottom w:val="single" w:color="auto" w:sz="4" w:space="0"/>
                    <w:right w:val="single" w:color="auto" w:sz="4" w:space="0"/>
                  </w:tcBorders>
                  <w:vAlign w:val="center"/>
                </w:tcPr>
                <w:p w14:paraId="26A386B4">
                  <w:pPr>
                    <w:jc w:val="center"/>
                    <w:rPr>
                      <w:rFonts w:ascii="Times New Roman" w:hAnsi="Times New Roman" w:eastAsia="宋体" w:cs="Times New Roman"/>
                      <w:b/>
                      <w:color w:val="auto"/>
                      <w:sz w:val="21"/>
                      <w:szCs w:val="21"/>
                      <w:lang w:val="en-US" w:eastAsia="zh-CN" w:bidi="ar-SA"/>
                    </w:rPr>
                  </w:pPr>
                  <w:r>
                    <w:rPr>
                      <w:b/>
                      <w:color w:val="auto"/>
                      <w:sz w:val="21"/>
                      <w:szCs w:val="21"/>
                    </w:rPr>
                    <w:t>达标情况</w:t>
                  </w:r>
                </w:p>
              </w:tc>
            </w:tr>
            <w:tr w14:paraId="7645F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2F957FC0">
                  <w:pPr>
                    <w:jc w:val="center"/>
                    <w:rPr>
                      <w:rFonts w:hint="eastAsia" w:ascii="Times New Roman" w:hAnsi="Times New Roman" w:eastAsia="宋体" w:cs="Times New Roman"/>
                      <w:color w:val="auto"/>
                      <w:sz w:val="21"/>
                      <w:szCs w:val="21"/>
                      <w:lang w:val="en-US" w:eastAsia="zh-CN" w:bidi="ar-SA"/>
                    </w:rPr>
                  </w:pPr>
                  <w:r>
                    <w:rPr>
                      <w:color w:val="auto"/>
                      <w:sz w:val="21"/>
                      <w:szCs w:val="21"/>
                    </w:rPr>
                    <w:t>镉</w:t>
                  </w:r>
                  <w:r>
                    <w:rPr>
                      <w:rFonts w:hint="eastAsia"/>
                      <w:color w:val="auto"/>
                      <w:sz w:val="21"/>
                      <w:szCs w:val="21"/>
                      <w:lang w:eastAsia="zh-CN"/>
                    </w:rPr>
                    <w:t>（</w:t>
                  </w:r>
                  <w:r>
                    <w:rPr>
                      <w:rFonts w:hint="default" w:ascii="Times New Roman" w:hAnsi="Times New Roman" w:cs="Times New Roman"/>
                      <w:color w:val="auto"/>
                      <w:sz w:val="21"/>
                      <w:szCs w:val="21"/>
                      <w:lang w:eastAsia="zh-CN"/>
                    </w:rPr>
                    <w:t>μ</w:t>
                  </w:r>
                  <w:r>
                    <w:rPr>
                      <w:rFonts w:hint="eastAsia"/>
                      <w:color w:val="auto"/>
                      <w:sz w:val="21"/>
                      <w:szCs w:val="21"/>
                      <w:lang w:val="en-US" w:eastAsia="zh-CN"/>
                    </w:rPr>
                    <w:t>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096DC07B">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0.6L</w:t>
                  </w:r>
                </w:p>
              </w:tc>
              <w:tc>
                <w:tcPr>
                  <w:tcW w:w="775" w:type="pct"/>
                  <w:tcBorders>
                    <w:top w:val="single" w:color="auto" w:sz="4" w:space="0"/>
                    <w:left w:val="single" w:color="auto" w:sz="4" w:space="0"/>
                    <w:bottom w:val="single" w:color="auto" w:sz="4" w:space="0"/>
                    <w:right w:val="single" w:color="auto" w:sz="4" w:space="0"/>
                  </w:tcBorders>
                  <w:vAlign w:val="center"/>
                </w:tcPr>
                <w:p w14:paraId="5FD11297">
                  <w:pPr>
                    <w:jc w:val="center"/>
                    <w:rPr>
                      <w:rFonts w:hint="eastAsia" w:ascii="Times New Roman" w:hAnsi="Times New Roman" w:eastAsia="宋体" w:cs="Times New Roman"/>
                      <w:color w:val="auto"/>
                      <w:sz w:val="21"/>
                      <w:szCs w:val="21"/>
                      <w:lang w:val="en-US" w:eastAsia="zh-CN" w:bidi="ar-SA"/>
                    </w:rPr>
                  </w:pPr>
                  <w:r>
                    <w:rPr>
                      <w:color w:val="auto"/>
                      <w:sz w:val="21"/>
                      <w:szCs w:val="21"/>
                    </w:rPr>
                    <w:t>1</w:t>
                  </w:r>
                </w:p>
              </w:tc>
              <w:tc>
                <w:tcPr>
                  <w:tcW w:w="648" w:type="pct"/>
                  <w:tcBorders>
                    <w:top w:val="single" w:color="auto" w:sz="4" w:space="0"/>
                    <w:left w:val="single" w:color="auto" w:sz="4" w:space="0"/>
                    <w:bottom w:val="single" w:color="auto" w:sz="4" w:space="0"/>
                    <w:right w:val="single" w:color="auto" w:sz="4" w:space="0"/>
                  </w:tcBorders>
                  <w:vAlign w:val="center"/>
                </w:tcPr>
                <w:p w14:paraId="5B18A723">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732E8576">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0.6L</w:t>
                  </w:r>
                </w:p>
              </w:tc>
              <w:tc>
                <w:tcPr>
                  <w:tcW w:w="986" w:type="pct"/>
                  <w:tcBorders>
                    <w:top w:val="single" w:color="auto" w:sz="4" w:space="0"/>
                    <w:left w:val="single" w:color="auto" w:sz="4" w:space="0"/>
                    <w:bottom w:val="single" w:color="auto" w:sz="4" w:space="0"/>
                    <w:right w:val="single" w:color="auto" w:sz="4" w:space="0"/>
                  </w:tcBorders>
                  <w:vAlign w:val="center"/>
                </w:tcPr>
                <w:p w14:paraId="230B8A4E">
                  <w:pPr>
                    <w:jc w:val="center"/>
                    <w:rPr>
                      <w:rFonts w:ascii="Times New Roman" w:hAnsi="Times New Roman" w:eastAsia="宋体" w:cs="Times New Roman"/>
                      <w:color w:val="auto"/>
                      <w:sz w:val="21"/>
                      <w:szCs w:val="21"/>
                      <w:lang w:val="en-US" w:eastAsia="zh-CN" w:bidi="ar-SA"/>
                    </w:rPr>
                  </w:pPr>
                  <w:r>
                    <w:rPr>
                      <w:color w:val="auto"/>
                      <w:sz w:val="21"/>
                      <w:szCs w:val="21"/>
                    </w:rPr>
                    <w:t>0.1</w:t>
                  </w:r>
                </w:p>
              </w:tc>
              <w:tc>
                <w:tcPr>
                  <w:tcW w:w="635" w:type="pct"/>
                  <w:tcBorders>
                    <w:top w:val="single" w:color="auto" w:sz="4" w:space="0"/>
                    <w:left w:val="single" w:color="auto" w:sz="4" w:space="0"/>
                    <w:bottom w:val="single" w:color="auto" w:sz="4" w:space="0"/>
                    <w:right w:val="single" w:color="auto" w:sz="4" w:space="0"/>
                  </w:tcBorders>
                  <w:vAlign w:val="center"/>
                </w:tcPr>
                <w:p w14:paraId="302085E0">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77333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4213F70F">
                  <w:pPr>
                    <w:jc w:val="center"/>
                    <w:rPr>
                      <w:rFonts w:hint="eastAsia" w:ascii="Times New Roman" w:hAnsi="Times New Roman" w:eastAsia="宋体" w:cs="Times New Roman"/>
                      <w:color w:val="auto"/>
                      <w:sz w:val="21"/>
                      <w:szCs w:val="21"/>
                      <w:lang w:val="en-US" w:eastAsia="zh-CN" w:bidi="ar-SA"/>
                    </w:rPr>
                  </w:pPr>
                  <w:r>
                    <w:rPr>
                      <w:color w:val="auto"/>
                      <w:sz w:val="21"/>
                      <w:szCs w:val="21"/>
                    </w:rPr>
                    <w:t>银</w:t>
                  </w:r>
                  <w:r>
                    <w:rPr>
                      <w:rFonts w:hint="eastAsia"/>
                      <w:color w:val="auto"/>
                      <w:sz w:val="21"/>
                      <w:szCs w:val="21"/>
                      <w:lang w:eastAsia="zh-CN"/>
                    </w:rPr>
                    <w:t>（</w:t>
                  </w:r>
                  <w:r>
                    <w:rPr>
                      <w:rFonts w:hint="eastAsia"/>
                      <w:color w:val="auto"/>
                      <w:sz w:val="21"/>
                      <w:szCs w:val="21"/>
                      <w:lang w:val="en-US" w:eastAsia="zh-CN"/>
                    </w:rPr>
                    <w:t>mg/L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47ED40D7">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0.05</w:t>
                  </w:r>
                </w:p>
              </w:tc>
              <w:tc>
                <w:tcPr>
                  <w:tcW w:w="775" w:type="pct"/>
                  <w:tcBorders>
                    <w:top w:val="single" w:color="auto" w:sz="4" w:space="0"/>
                    <w:left w:val="single" w:color="auto" w:sz="4" w:space="0"/>
                    <w:bottom w:val="single" w:color="auto" w:sz="4" w:space="0"/>
                    <w:right w:val="single" w:color="auto" w:sz="4" w:space="0"/>
                  </w:tcBorders>
                  <w:vAlign w:val="center"/>
                </w:tcPr>
                <w:p w14:paraId="39D3C3A9">
                  <w:pPr>
                    <w:jc w:val="center"/>
                    <w:rPr>
                      <w:rFonts w:ascii="Times New Roman" w:hAnsi="Times New Roman" w:eastAsia="宋体" w:cs="Times New Roman"/>
                      <w:color w:val="auto"/>
                      <w:sz w:val="21"/>
                      <w:szCs w:val="21"/>
                      <w:lang w:val="en-US" w:eastAsia="zh-CN" w:bidi="ar-SA"/>
                    </w:rPr>
                  </w:pPr>
                  <w:r>
                    <w:rPr>
                      <w:color w:val="auto"/>
                      <w:sz w:val="21"/>
                      <w:szCs w:val="21"/>
                    </w:rPr>
                    <w:t>5</w:t>
                  </w:r>
                </w:p>
              </w:tc>
              <w:tc>
                <w:tcPr>
                  <w:tcW w:w="648" w:type="pct"/>
                  <w:tcBorders>
                    <w:top w:val="single" w:color="auto" w:sz="4" w:space="0"/>
                    <w:left w:val="single" w:color="auto" w:sz="4" w:space="0"/>
                    <w:bottom w:val="single" w:color="auto" w:sz="4" w:space="0"/>
                    <w:right w:val="single" w:color="auto" w:sz="4" w:space="0"/>
                  </w:tcBorders>
                  <w:vAlign w:val="center"/>
                </w:tcPr>
                <w:p w14:paraId="354D4882">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11E139FE">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0.04</w:t>
                  </w:r>
                </w:p>
              </w:tc>
              <w:tc>
                <w:tcPr>
                  <w:tcW w:w="986" w:type="pct"/>
                  <w:tcBorders>
                    <w:top w:val="single" w:color="auto" w:sz="4" w:space="0"/>
                    <w:left w:val="single" w:color="auto" w:sz="4" w:space="0"/>
                    <w:bottom w:val="single" w:color="auto" w:sz="4" w:space="0"/>
                    <w:right w:val="single" w:color="auto" w:sz="4" w:space="0"/>
                  </w:tcBorders>
                  <w:vAlign w:val="center"/>
                </w:tcPr>
                <w:p w14:paraId="13DC5445">
                  <w:pPr>
                    <w:jc w:val="center"/>
                    <w:rPr>
                      <w:rFonts w:ascii="Times New Roman" w:hAnsi="Times New Roman" w:eastAsia="宋体" w:cs="Times New Roman"/>
                      <w:color w:val="auto"/>
                      <w:sz w:val="21"/>
                      <w:szCs w:val="21"/>
                      <w:lang w:val="en-US" w:eastAsia="zh-CN" w:bidi="ar-SA"/>
                    </w:rPr>
                  </w:pPr>
                  <w:r>
                    <w:rPr>
                      <w:color w:val="auto"/>
                      <w:sz w:val="21"/>
                      <w:szCs w:val="21"/>
                    </w:rPr>
                    <w:t>0.5</w:t>
                  </w:r>
                </w:p>
              </w:tc>
              <w:tc>
                <w:tcPr>
                  <w:tcW w:w="635" w:type="pct"/>
                  <w:tcBorders>
                    <w:top w:val="single" w:color="auto" w:sz="4" w:space="0"/>
                    <w:left w:val="single" w:color="auto" w:sz="4" w:space="0"/>
                    <w:bottom w:val="single" w:color="auto" w:sz="4" w:space="0"/>
                    <w:right w:val="single" w:color="auto" w:sz="4" w:space="0"/>
                  </w:tcBorders>
                  <w:vAlign w:val="center"/>
                </w:tcPr>
                <w:p w14:paraId="7A828361">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63766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63BFE828">
                  <w:pPr>
                    <w:jc w:val="center"/>
                    <w:rPr>
                      <w:rFonts w:ascii="Times New Roman" w:hAnsi="Times New Roman" w:eastAsia="宋体" w:cs="Times New Roman"/>
                      <w:color w:val="auto"/>
                      <w:sz w:val="21"/>
                      <w:szCs w:val="21"/>
                      <w:lang w:val="en-US" w:eastAsia="zh-CN" w:bidi="ar-SA"/>
                    </w:rPr>
                  </w:pPr>
                  <w:r>
                    <w:rPr>
                      <w:color w:val="auto"/>
                      <w:sz w:val="21"/>
                      <w:szCs w:val="21"/>
                    </w:rPr>
                    <w:t>镍</w:t>
                  </w:r>
                  <w:r>
                    <w:rPr>
                      <w:rFonts w:hint="eastAsia"/>
                      <w:color w:val="auto"/>
                      <w:sz w:val="21"/>
                      <w:szCs w:val="21"/>
                      <w:lang w:eastAsia="zh-CN"/>
                    </w:rPr>
                    <w:t>（</w:t>
                  </w:r>
                  <w:r>
                    <w:rPr>
                      <w:rFonts w:hint="eastAsia"/>
                      <w:color w:val="auto"/>
                      <w:sz w:val="21"/>
                      <w:szCs w:val="21"/>
                      <w:lang w:val="en-US" w:eastAsia="zh-CN"/>
                    </w:rPr>
                    <w:t>mg/L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2D5E876B">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0.03L</w:t>
                  </w:r>
                </w:p>
              </w:tc>
              <w:tc>
                <w:tcPr>
                  <w:tcW w:w="775" w:type="pct"/>
                  <w:tcBorders>
                    <w:top w:val="single" w:color="auto" w:sz="4" w:space="0"/>
                    <w:left w:val="single" w:color="auto" w:sz="4" w:space="0"/>
                    <w:bottom w:val="single" w:color="auto" w:sz="4" w:space="0"/>
                    <w:right w:val="single" w:color="auto" w:sz="4" w:space="0"/>
                  </w:tcBorders>
                  <w:vAlign w:val="center"/>
                </w:tcPr>
                <w:p w14:paraId="3E62BDC0">
                  <w:pPr>
                    <w:jc w:val="center"/>
                    <w:rPr>
                      <w:rFonts w:ascii="Times New Roman" w:hAnsi="Times New Roman" w:eastAsia="宋体" w:cs="Times New Roman"/>
                      <w:color w:val="auto"/>
                      <w:sz w:val="21"/>
                      <w:szCs w:val="21"/>
                      <w:lang w:val="en-US" w:eastAsia="zh-CN" w:bidi="ar-SA"/>
                    </w:rPr>
                  </w:pPr>
                  <w:r>
                    <w:rPr>
                      <w:color w:val="auto"/>
                      <w:sz w:val="21"/>
                      <w:szCs w:val="21"/>
                    </w:rPr>
                    <w:t>5</w:t>
                  </w:r>
                </w:p>
              </w:tc>
              <w:tc>
                <w:tcPr>
                  <w:tcW w:w="648" w:type="pct"/>
                  <w:tcBorders>
                    <w:top w:val="single" w:color="auto" w:sz="4" w:space="0"/>
                    <w:left w:val="single" w:color="auto" w:sz="4" w:space="0"/>
                    <w:bottom w:val="single" w:color="auto" w:sz="4" w:space="0"/>
                    <w:right w:val="single" w:color="auto" w:sz="4" w:space="0"/>
                  </w:tcBorders>
                  <w:vAlign w:val="center"/>
                </w:tcPr>
                <w:p w14:paraId="0C5B6C98">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6B09DB00">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0.03L</w:t>
                  </w:r>
                </w:p>
              </w:tc>
              <w:tc>
                <w:tcPr>
                  <w:tcW w:w="986" w:type="pct"/>
                  <w:tcBorders>
                    <w:top w:val="single" w:color="auto" w:sz="4" w:space="0"/>
                    <w:left w:val="single" w:color="auto" w:sz="4" w:space="0"/>
                    <w:bottom w:val="single" w:color="auto" w:sz="4" w:space="0"/>
                    <w:right w:val="single" w:color="auto" w:sz="4" w:space="0"/>
                  </w:tcBorders>
                  <w:vAlign w:val="center"/>
                </w:tcPr>
                <w:p w14:paraId="7CEC6591">
                  <w:pPr>
                    <w:jc w:val="center"/>
                    <w:rPr>
                      <w:rFonts w:ascii="Times New Roman" w:hAnsi="Times New Roman" w:eastAsia="宋体" w:cs="Times New Roman"/>
                      <w:color w:val="auto"/>
                      <w:sz w:val="21"/>
                      <w:szCs w:val="21"/>
                      <w:lang w:val="en-US" w:eastAsia="zh-CN" w:bidi="ar-SA"/>
                    </w:rPr>
                  </w:pPr>
                  <w:r>
                    <w:rPr>
                      <w:color w:val="auto"/>
                      <w:sz w:val="21"/>
                      <w:szCs w:val="21"/>
                    </w:rPr>
                    <w:t>1.0</w:t>
                  </w:r>
                </w:p>
              </w:tc>
              <w:tc>
                <w:tcPr>
                  <w:tcW w:w="635" w:type="pct"/>
                  <w:tcBorders>
                    <w:top w:val="single" w:color="auto" w:sz="4" w:space="0"/>
                    <w:left w:val="single" w:color="auto" w:sz="4" w:space="0"/>
                    <w:bottom w:val="single" w:color="auto" w:sz="4" w:space="0"/>
                    <w:right w:val="single" w:color="auto" w:sz="4" w:space="0"/>
                  </w:tcBorders>
                  <w:vAlign w:val="center"/>
                </w:tcPr>
                <w:p w14:paraId="26FB8A6B">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0A38B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06E4FF81">
                  <w:pPr>
                    <w:jc w:val="center"/>
                    <w:rPr>
                      <w:color w:val="auto"/>
                      <w:sz w:val="21"/>
                      <w:szCs w:val="21"/>
                    </w:rPr>
                  </w:pPr>
                  <w:r>
                    <w:rPr>
                      <w:color w:val="auto"/>
                      <w:sz w:val="21"/>
                      <w:szCs w:val="21"/>
                    </w:rPr>
                    <w:t>铜</w:t>
                  </w:r>
                  <w:r>
                    <w:rPr>
                      <w:rFonts w:hint="eastAsia"/>
                      <w:color w:val="auto"/>
                      <w:sz w:val="21"/>
                      <w:szCs w:val="21"/>
                      <w:lang w:eastAsia="zh-CN"/>
                    </w:rPr>
                    <w:t>（</w:t>
                  </w:r>
                  <w:r>
                    <w:rPr>
                      <w:rFonts w:hint="eastAsia"/>
                      <w:color w:val="auto"/>
                      <w:sz w:val="21"/>
                      <w:szCs w:val="21"/>
                      <w:lang w:val="en-US" w:eastAsia="zh-CN"/>
                    </w:rPr>
                    <w:t>mg/L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0C04FCF9">
                  <w:pPr>
                    <w:jc w:val="center"/>
                    <w:rPr>
                      <w:rFonts w:hint="default" w:eastAsia="宋体"/>
                      <w:color w:val="auto"/>
                      <w:sz w:val="21"/>
                      <w:szCs w:val="21"/>
                      <w:lang w:val="en-US" w:eastAsia="zh-CN"/>
                    </w:rPr>
                  </w:pPr>
                  <w:r>
                    <w:rPr>
                      <w:rFonts w:hint="eastAsia"/>
                      <w:color w:val="auto"/>
                      <w:sz w:val="21"/>
                      <w:szCs w:val="21"/>
                      <w:lang w:val="en-US" w:eastAsia="zh-CN"/>
                    </w:rPr>
                    <w:t>0.02L</w:t>
                  </w:r>
                </w:p>
              </w:tc>
              <w:tc>
                <w:tcPr>
                  <w:tcW w:w="775" w:type="pct"/>
                  <w:tcBorders>
                    <w:top w:val="single" w:color="auto" w:sz="4" w:space="0"/>
                    <w:left w:val="single" w:color="auto" w:sz="4" w:space="0"/>
                    <w:bottom w:val="single" w:color="auto" w:sz="4" w:space="0"/>
                    <w:right w:val="single" w:color="auto" w:sz="4" w:space="0"/>
                  </w:tcBorders>
                  <w:vAlign w:val="center"/>
                </w:tcPr>
                <w:p w14:paraId="2640CD8C">
                  <w:pPr>
                    <w:jc w:val="center"/>
                    <w:rPr>
                      <w:color w:val="auto"/>
                      <w:sz w:val="21"/>
                      <w:szCs w:val="21"/>
                    </w:rPr>
                  </w:pPr>
                  <w:r>
                    <w:rPr>
                      <w:color w:val="auto"/>
                      <w:sz w:val="21"/>
                      <w:szCs w:val="21"/>
                    </w:rPr>
                    <w:t>100</w:t>
                  </w:r>
                </w:p>
              </w:tc>
              <w:tc>
                <w:tcPr>
                  <w:tcW w:w="648" w:type="pct"/>
                  <w:tcBorders>
                    <w:top w:val="single" w:color="auto" w:sz="4" w:space="0"/>
                    <w:left w:val="single" w:color="auto" w:sz="4" w:space="0"/>
                    <w:bottom w:val="single" w:color="auto" w:sz="4" w:space="0"/>
                    <w:right w:val="single" w:color="auto" w:sz="4" w:space="0"/>
                  </w:tcBorders>
                  <w:vAlign w:val="center"/>
                </w:tcPr>
                <w:p w14:paraId="66A07D36">
                  <w:pPr>
                    <w:jc w:val="center"/>
                    <w:rPr>
                      <w:color w:val="auto"/>
                      <w:sz w:val="21"/>
                      <w:szCs w:val="21"/>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0E7D8D3C">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0.02L</w:t>
                  </w:r>
                </w:p>
              </w:tc>
              <w:tc>
                <w:tcPr>
                  <w:tcW w:w="986" w:type="pct"/>
                  <w:tcBorders>
                    <w:top w:val="single" w:color="auto" w:sz="4" w:space="0"/>
                    <w:left w:val="single" w:color="auto" w:sz="4" w:space="0"/>
                    <w:bottom w:val="single" w:color="auto" w:sz="4" w:space="0"/>
                    <w:right w:val="single" w:color="auto" w:sz="4" w:space="0"/>
                  </w:tcBorders>
                  <w:vAlign w:val="center"/>
                </w:tcPr>
                <w:p w14:paraId="749E01D2">
                  <w:pPr>
                    <w:jc w:val="center"/>
                    <w:rPr>
                      <w:rFonts w:ascii="Times New Roman" w:hAnsi="Times New Roman" w:eastAsia="宋体" w:cs="Times New Roman"/>
                      <w:color w:val="auto"/>
                      <w:sz w:val="21"/>
                      <w:szCs w:val="21"/>
                      <w:lang w:val="en-US" w:eastAsia="zh-CN" w:bidi="ar-SA"/>
                    </w:rPr>
                  </w:pPr>
                  <w:r>
                    <w:rPr>
                      <w:color w:val="auto"/>
                      <w:sz w:val="21"/>
                      <w:szCs w:val="21"/>
                    </w:rPr>
                    <w:t>0.5</w:t>
                  </w:r>
                </w:p>
              </w:tc>
              <w:tc>
                <w:tcPr>
                  <w:tcW w:w="635" w:type="pct"/>
                  <w:tcBorders>
                    <w:top w:val="single" w:color="auto" w:sz="4" w:space="0"/>
                    <w:left w:val="single" w:color="auto" w:sz="4" w:space="0"/>
                    <w:bottom w:val="single" w:color="auto" w:sz="4" w:space="0"/>
                    <w:right w:val="single" w:color="auto" w:sz="4" w:space="0"/>
                  </w:tcBorders>
                  <w:vAlign w:val="center"/>
                </w:tcPr>
                <w:p w14:paraId="3C46AF04">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04337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41E91B72">
                  <w:pPr>
                    <w:jc w:val="center"/>
                    <w:rPr>
                      <w:rFonts w:ascii="Times New Roman" w:hAnsi="Times New Roman" w:eastAsia="宋体" w:cs="Times New Roman"/>
                      <w:color w:val="auto"/>
                      <w:sz w:val="21"/>
                      <w:szCs w:val="21"/>
                      <w:lang w:val="en-US" w:eastAsia="zh-CN" w:bidi="ar-SA"/>
                    </w:rPr>
                  </w:pPr>
                  <w:r>
                    <w:rPr>
                      <w:color w:val="auto"/>
                      <w:sz w:val="21"/>
                      <w:szCs w:val="21"/>
                    </w:rPr>
                    <w:t>铍</w:t>
                  </w:r>
                  <w:r>
                    <w:rPr>
                      <w:rFonts w:hint="eastAsia"/>
                      <w:color w:val="auto"/>
                      <w:sz w:val="21"/>
                      <w:szCs w:val="21"/>
                      <w:lang w:eastAsia="zh-CN"/>
                    </w:rPr>
                    <w:t>（</w:t>
                  </w:r>
                  <w:r>
                    <w:rPr>
                      <w:rFonts w:hint="default" w:ascii="Times New Roman" w:hAnsi="Times New Roman" w:cs="Times New Roman"/>
                      <w:color w:val="auto"/>
                      <w:sz w:val="21"/>
                      <w:szCs w:val="21"/>
                      <w:lang w:eastAsia="zh-CN"/>
                    </w:rPr>
                    <w:t>μ</w:t>
                  </w:r>
                  <w:r>
                    <w:rPr>
                      <w:rFonts w:hint="eastAsia"/>
                      <w:color w:val="auto"/>
                      <w:sz w:val="21"/>
                      <w:szCs w:val="21"/>
                      <w:lang w:val="en-US" w:eastAsia="zh-CN"/>
                    </w:rPr>
                    <w:t>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5BE8257D">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0.1L</w:t>
                  </w:r>
                </w:p>
              </w:tc>
              <w:tc>
                <w:tcPr>
                  <w:tcW w:w="775" w:type="pct"/>
                  <w:tcBorders>
                    <w:top w:val="single" w:color="auto" w:sz="4" w:space="0"/>
                    <w:left w:val="single" w:color="auto" w:sz="4" w:space="0"/>
                    <w:bottom w:val="single" w:color="auto" w:sz="4" w:space="0"/>
                    <w:right w:val="single" w:color="auto" w:sz="4" w:space="0"/>
                  </w:tcBorders>
                  <w:vAlign w:val="center"/>
                </w:tcPr>
                <w:p w14:paraId="4F51BE9A">
                  <w:pPr>
                    <w:jc w:val="center"/>
                    <w:rPr>
                      <w:rFonts w:ascii="Times New Roman" w:hAnsi="Times New Roman" w:eastAsia="宋体" w:cs="Times New Roman"/>
                      <w:color w:val="auto"/>
                      <w:sz w:val="21"/>
                      <w:szCs w:val="21"/>
                      <w:lang w:val="en-US" w:eastAsia="zh-CN" w:bidi="ar-SA"/>
                    </w:rPr>
                  </w:pPr>
                  <w:r>
                    <w:rPr>
                      <w:color w:val="auto"/>
                      <w:sz w:val="21"/>
                      <w:szCs w:val="21"/>
                    </w:rPr>
                    <w:t>0.02</w:t>
                  </w:r>
                </w:p>
              </w:tc>
              <w:tc>
                <w:tcPr>
                  <w:tcW w:w="648" w:type="pct"/>
                  <w:tcBorders>
                    <w:top w:val="single" w:color="auto" w:sz="4" w:space="0"/>
                    <w:left w:val="single" w:color="auto" w:sz="4" w:space="0"/>
                    <w:bottom w:val="single" w:color="auto" w:sz="4" w:space="0"/>
                    <w:right w:val="single" w:color="auto" w:sz="4" w:space="0"/>
                  </w:tcBorders>
                  <w:vAlign w:val="center"/>
                </w:tcPr>
                <w:p w14:paraId="692FB22C">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67BB3012">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0.1L</w:t>
                  </w:r>
                </w:p>
              </w:tc>
              <w:tc>
                <w:tcPr>
                  <w:tcW w:w="986" w:type="pct"/>
                  <w:tcBorders>
                    <w:top w:val="single" w:color="auto" w:sz="4" w:space="0"/>
                    <w:left w:val="single" w:color="auto" w:sz="4" w:space="0"/>
                    <w:bottom w:val="single" w:color="auto" w:sz="4" w:space="0"/>
                    <w:right w:val="single" w:color="auto" w:sz="4" w:space="0"/>
                  </w:tcBorders>
                  <w:vAlign w:val="center"/>
                </w:tcPr>
                <w:p w14:paraId="77294A0C">
                  <w:pPr>
                    <w:jc w:val="center"/>
                    <w:rPr>
                      <w:rFonts w:ascii="Times New Roman" w:hAnsi="Times New Roman" w:eastAsia="宋体" w:cs="Times New Roman"/>
                      <w:color w:val="auto"/>
                      <w:sz w:val="21"/>
                      <w:szCs w:val="21"/>
                      <w:lang w:val="en-US" w:eastAsia="zh-CN" w:bidi="ar-SA"/>
                    </w:rPr>
                  </w:pPr>
                  <w:r>
                    <w:rPr>
                      <w:color w:val="auto"/>
                      <w:sz w:val="21"/>
                      <w:szCs w:val="21"/>
                    </w:rPr>
                    <w:t>0.005</w:t>
                  </w:r>
                </w:p>
              </w:tc>
              <w:tc>
                <w:tcPr>
                  <w:tcW w:w="635" w:type="pct"/>
                  <w:tcBorders>
                    <w:top w:val="single" w:color="auto" w:sz="4" w:space="0"/>
                    <w:left w:val="single" w:color="auto" w:sz="4" w:space="0"/>
                    <w:bottom w:val="single" w:color="auto" w:sz="4" w:space="0"/>
                    <w:right w:val="single" w:color="auto" w:sz="4" w:space="0"/>
                  </w:tcBorders>
                  <w:vAlign w:val="center"/>
                </w:tcPr>
                <w:p w14:paraId="4606626A">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5C91D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64331962">
                  <w:pPr>
                    <w:jc w:val="center"/>
                    <w:rPr>
                      <w:rFonts w:hint="eastAsia" w:eastAsia="宋体"/>
                      <w:color w:val="auto"/>
                      <w:sz w:val="21"/>
                      <w:szCs w:val="21"/>
                      <w:lang w:val="en-US" w:eastAsia="zh-CN"/>
                    </w:rPr>
                  </w:pPr>
                  <w:r>
                    <w:rPr>
                      <w:rFonts w:hint="eastAsia"/>
                      <w:color w:val="auto"/>
                      <w:sz w:val="21"/>
                      <w:szCs w:val="21"/>
                      <w:lang w:val="en-US" w:eastAsia="zh-CN"/>
                    </w:rPr>
                    <w:t>铅</w:t>
                  </w:r>
                  <w:r>
                    <w:rPr>
                      <w:rFonts w:hint="eastAsia"/>
                      <w:color w:val="auto"/>
                      <w:sz w:val="21"/>
                      <w:szCs w:val="21"/>
                      <w:lang w:eastAsia="zh-CN"/>
                    </w:rPr>
                    <w:t>（</w:t>
                  </w:r>
                  <w:r>
                    <w:rPr>
                      <w:rFonts w:hint="default" w:ascii="Times New Roman" w:hAnsi="Times New Roman" w:cs="Times New Roman"/>
                      <w:color w:val="auto"/>
                      <w:sz w:val="21"/>
                      <w:szCs w:val="21"/>
                      <w:lang w:eastAsia="zh-CN"/>
                    </w:rPr>
                    <w:t>μ</w:t>
                  </w:r>
                  <w:r>
                    <w:rPr>
                      <w:rFonts w:hint="eastAsia"/>
                      <w:color w:val="auto"/>
                      <w:sz w:val="21"/>
                      <w:szCs w:val="21"/>
                      <w:lang w:val="en-US" w:eastAsia="zh-CN"/>
                    </w:rPr>
                    <w:t>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06800088">
                  <w:pPr>
                    <w:jc w:val="center"/>
                    <w:rPr>
                      <w:rFonts w:hint="default" w:cs="Times New Roman"/>
                      <w:color w:val="auto"/>
                      <w:sz w:val="21"/>
                      <w:szCs w:val="21"/>
                      <w:lang w:val="en-US" w:eastAsia="zh-CN" w:bidi="ar-SA"/>
                    </w:rPr>
                  </w:pPr>
                  <w:r>
                    <w:rPr>
                      <w:rFonts w:hint="eastAsia" w:cs="Times New Roman"/>
                      <w:color w:val="auto"/>
                      <w:sz w:val="21"/>
                      <w:szCs w:val="21"/>
                      <w:lang w:val="en-US" w:eastAsia="zh-CN" w:bidi="ar-SA"/>
                    </w:rPr>
                    <w:t>0.9L</w:t>
                  </w:r>
                </w:p>
              </w:tc>
              <w:tc>
                <w:tcPr>
                  <w:tcW w:w="775" w:type="pct"/>
                  <w:tcBorders>
                    <w:top w:val="single" w:color="auto" w:sz="4" w:space="0"/>
                    <w:left w:val="single" w:color="auto" w:sz="4" w:space="0"/>
                    <w:bottom w:val="single" w:color="auto" w:sz="4" w:space="0"/>
                    <w:right w:val="single" w:color="auto" w:sz="4" w:space="0"/>
                  </w:tcBorders>
                  <w:vAlign w:val="center"/>
                </w:tcPr>
                <w:p w14:paraId="343A38CA">
                  <w:pPr>
                    <w:jc w:val="center"/>
                    <w:rPr>
                      <w:rFonts w:ascii="Times New Roman" w:hAnsi="Times New Roman" w:eastAsia="宋体" w:cs="Times New Roman"/>
                      <w:color w:val="auto"/>
                      <w:sz w:val="21"/>
                      <w:szCs w:val="21"/>
                      <w:lang w:val="en-US" w:eastAsia="zh-CN" w:bidi="ar-SA"/>
                    </w:rPr>
                  </w:pPr>
                  <w:r>
                    <w:rPr>
                      <w:color w:val="auto"/>
                      <w:sz w:val="21"/>
                      <w:szCs w:val="21"/>
                    </w:rPr>
                    <w:t>5</w:t>
                  </w:r>
                </w:p>
              </w:tc>
              <w:tc>
                <w:tcPr>
                  <w:tcW w:w="648" w:type="pct"/>
                  <w:tcBorders>
                    <w:top w:val="single" w:color="auto" w:sz="4" w:space="0"/>
                    <w:left w:val="single" w:color="auto" w:sz="4" w:space="0"/>
                    <w:bottom w:val="single" w:color="auto" w:sz="4" w:space="0"/>
                    <w:right w:val="single" w:color="auto" w:sz="4" w:space="0"/>
                  </w:tcBorders>
                  <w:vAlign w:val="center"/>
                </w:tcPr>
                <w:p w14:paraId="21381336">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3B6D7936">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0.9L</w:t>
                  </w:r>
                </w:p>
              </w:tc>
              <w:tc>
                <w:tcPr>
                  <w:tcW w:w="986" w:type="pct"/>
                  <w:tcBorders>
                    <w:top w:val="single" w:color="auto" w:sz="4" w:space="0"/>
                    <w:left w:val="single" w:color="auto" w:sz="4" w:space="0"/>
                    <w:bottom w:val="single" w:color="auto" w:sz="4" w:space="0"/>
                    <w:right w:val="single" w:color="auto" w:sz="4" w:space="0"/>
                  </w:tcBorders>
                  <w:vAlign w:val="center"/>
                </w:tcPr>
                <w:p w14:paraId="584F63BF">
                  <w:pPr>
                    <w:jc w:val="center"/>
                    <w:rPr>
                      <w:rFonts w:ascii="Times New Roman" w:hAnsi="Times New Roman" w:eastAsia="宋体" w:cs="Times New Roman"/>
                      <w:color w:val="auto"/>
                      <w:sz w:val="21"/>
                      <w:szCs w:val="21"/>
                      <w:lang w:val="en-US" w:eastAsia="zh-CN" w:bidi="ar-SA"/>
                    </w:rPr>
                  </w:pPr>
                  <w:r>
                    <w:rPr>
                      <w:color w:val="auto"/>
                      <w:sz w:val="21"/>
                      <w:szCs w:val="21"/>
                    </w:rPr>
                    <w:t>1.0</w:t>
                  </w:r>
                </w:p>
              </w:tc>
              <w:tc>
                <w:tcPr>
                  <w:tcW w:w="635" w:type="pct"/>
                  <w:tcBorders>
                    <w:top w:val="single" w:color="auto" w:sz="4" w:space="0"/>
                    <w:left w:val="single" w:color="auto" w:sz="4" w:space="0"/>
                    <w:bottom w:val="single" w:color="auto" w:sz="4" w:space="0"/>
                    <w:right w:val="single" w:color="auto" w:sz="4" w:space="0"/>
                  </w:tcBorders>
                  <w:vAlign w:val="center"/>
                </w:tcPr>
                <w:p w14:paraId="1F98B37E">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449E0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5C1C8276">
                  <w:pPr>
                    <w:jc w:val="center"/>
                    <w:rPr>
                      <w:rFonts w:ascii="Times New Roman" w:hAnsi="Times New Roman" w:eastAsia="宋体" w:cs="Times New Roman"/>
                      <w:color w:val="auto"/>
                      <w:sz w:val="21"/>
                      <w:szCs w:val="21"/>
                      <w:lang w:val="en-US" w:eastAsia="zh-CN" w:bidi="ar-SA"/>
                    </w:rPr>
                  </w:pPr>
                  <w:r>
                    <w:rPr>
                      <w:color w:val="auto"/>
                      <w:sz w:val="21"/>
                      <w:szCs w:val="21"/>
                    </w:rPr>
                    <w:t>总铬</w:t>
                  </w:r>
                  <w:r>
                    <w:rPr>
                      <w:rFonts w:hint="eastAsia"/>
                      <w:color w:val="auto"/>
                      <w:sz w:val="21"/>
                      <w:szCs w:val="21"/>
                      <w:lang w:eastAsia="zh-CN"/>
                    </w:rPr>
                    <w:t>（</w:t>
                  </w:r>
                  <w:r>
                    <w:rPr>
                      <w:rFonts w:hint="eastAsia"/>
                      <w:color w:val="auto"/>
                      <w:sz w:val="21"/>
                      <w:szCs w:val="21"/>
                      <w:lang w:val="en-US" w:eastAsia="zh-CN"/>
                    </w:rPr>
                    <w:t>mg/L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15FD0821">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0.03L</w:t>
                  </w:r>
                </w:p>
              </w:tc>
              <w:tc>
                <w:tcPr>
                  <w:tcW w:w="775" w:type="pct"/>
                  <w:tcBorders>
                    <w:top w:val="single" w:color="auto" w:sz="4" w:space="0"/>
                    <w:left w:val="single" w:color="auto" w:sz="4" w:space="0"/>
                    <w:bottom w:val="single" w:color="auto" w:sz="4" w:space="0"/>
                    <w:right w:val="single" w:color="auto" w:sz="4" w:space="0"/>
                  </w:tcBorders>
                  <w:vAlign w:val="center"/>
                </w:tcPr>
                <w:p w14:paraId="220BC291">
                  <w:pPr>
                    <w:jc w:val="center"/>
                    <w:rPr>
                      <w:rFonts w:ascii="Times New Roman" w:hAnsi="Times New Roman" w:eastAsia="宋体" w:cs="Times New Roman"/>
                      <w:color w:val="auto"/>
                      <w:sz w:val="21"/>
                      <w:szCs w:val="21"/>
                      <w:lang w:val="en-US" w:eastAsia="zh-CN" w:bidi="ar-SA"/>
                    </w:rPr>
                  </w:pPr>
                  <w:r>
                    <w:rPr>
                      <w:color w:val="auto"/>
                      <w:sz w:val="21"/>
                      <w:szCs w:val="21"/>
                    </w:rPr>
                    <w:t>15</w:t>
                  </w:r>
                </w:p>
              </w:tc>
              <w:tc>
                <w:tcPr>
                  <w:tcW w:w="648" w:type="pct"/>
                  <w:tcBorders>
                    <w:top w:val="single" w:color="auto" w:sz="4" w:space="0"/>
                    <w:left w:val="single" w:color="auto" w:sz="4" w:space="0"/>
                    <w:bottom w:val="single" w:color="auto" w:sz="4" w:space="0"/>
                    <w:right w:val="single" w:color="auto" w:sz="4" w:space="0"/>
                  </w:tcBorders>
                  <w:vAlign w:val="center"/>
                </w:tcPr>
                <w:p w14:paraId="0C2851BE">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574DB95C">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0.03L</w:t>
                  </w:r>
                </w:p>
              </w:tc>
              <w:tc>
                <w:tcPr>
                  <w:tcW w:w="986" w:type="pct"/>
                  <w:tcBorders>
                    <w:top w:val="single" w:color="auto" w:sz="4" w:space="0"/>
                    <w:left w:val="single" w:color="auto" w:sz="4" w:space="0"/>
                    <w:bottom w:val="single" w:color="auto" w:sz="4" w:space="0"/>
                    <w:right w:val="single" w:color="auto" w:sz="4" w:space="0"/>
                  </w:tcBorders>
                  <w:vAlign w:val="center"/>
                </w:tcPr>
                <w:p w14:paraId="6E5CB23F">
                  <w:pPr>
                    <w:jc w:val="center"/>
                    <w:rPr>
                      <w:rFonts w:ascii="Times New Roman" w:hAnsi="Times New Roman" w:eastAsia="宋体" w:cs="Times New Roman"/>
                      <w:color w:val="auto"/>
                      <w:sz w:val="21"/>
                      <w:szCs w:val="21"/>
                      <w:lang w:val="en-US" w:eastAsia="zh-CN" w:bidi="ar-SA"/>
                    </w:rPr>
                  </w:pPr>
                  <w:r>
                    <w:rPr>
                      <w:color w:val="auto"/>
                      <w:sz w:val="21"/>
                      <w:szCs w:val="21"/>
                    </w:rPr>
                    <w:t>1.5</w:t>
                  </w:r>
                </w:p>
              </w:tc>
              <w:tc>
                <w:tcPr>
                  <w:tcW w:w="635" w:type="pct"/>
                  <w:tcBorders>
                    <w:top w:val="single" w:color="auto" w:sz="4" w:space="0"/>
                    <w:left w:val="single" w:color="auto" w:sz="4" w:space="0"/>
                    <w:bottom w:val="single" w:color="auto" w:sz="4" w:space="0"/>
                    <w:right w:val="single" w:color="auto" w:sz="4" w:space="0"/>
                  </w:tcBorders>
                  <w:vAlign w:val="center"/>
                </w:tcPr>
                <w:p w14:paraId="3317DF1D">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6F60D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16752E7A">
                  <w:pPr>
                    <w:jc w:val="center"/>
                    <w:rPr>
                      <w:rFonts w:ascii="Times New Roman" w:hAnsi="Times New Roman" w:eastAsia="宋体" w:cs="Times New Roman"/>
                      <w:color w:val="auto"/>
                      <w:sz w:val="21"/>
                      <w:szCs w:val="21"/>
                      <w:lang w:val="en-US" w:eastAsia="zh-CN" w:bidi="ar-SA"/>
                    </w:rPr>
                  </w:pPr>
                  <w:r>
                    <w:rPr>
                      <w:color w:val="auto"/>
                      <w:sz w:val="21"/>
                      <w:szCs w:val="21"/>
                    </w:rPr>
                    <w:t>锌</w:t>
                  </w:r>
                  <w:r>
                    <w:rPr>
                      <w:rFonts w:hint="eastAsia"/>
                      <w:color w:val="auto"/>
                      <w:sz w:val="21"/>
                      <w:szCs w:val="21"/>
                      <w:lang w:eastAsia="zh-CN"/>
                    </w:rPr>
                    <w:t>（</w:t>
                  </w:r>
                  <w:r>
                    <w:rPr>
                      <w:rFonts w:hint="eastAsia"/>
                      <w:color w:val="auto"/>
                      <w:sz w:val="21"/>
                      <w:szCs w:val="21"/>
                      <w:lang w:val="en-US" w:eastAsia="zh-CN"/>
                    </w:rPr>
                    <w:t>mg/L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62CB4D76">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0.06L</w:t>
                  </w:r>
                </w:p>
              </w:tc>
              <w:tc>
                <w:tcPr>
                  <w:tcW w:w="775" w:type="pct"/>
                  <w:tcBorders>
                    <w:top w:val="single" w:color="auto" w:sz="4" w:space="0"/>
                    <w:left w:val="single" w:color="auto" w:sz="4" w:space="0"/>
                    <w:bottom w:val="single" w:color="auto" w:sz="4" w:space="0"/>
                    <w:right w:val="single" w:color="auto" w:sz="4" w:space="0"/>
                  </w:tcBorders>
                  <w:vAlign w:val="center"/>
                </w:tcPr>
                <w:p w14:paraId="4449CC0C">
                  <w:pPr>
                    <w:jc w:val="center"/>
                    <w:rPr>
                      <w:rFonts w:ascii="Times New Roman" w:hAnsi="Times New Roman" w:eastAsia="宋体" w:cs="Times New Roman"/>
                      <w:color w:val="auto"/>
                      <w:sz w:val="21"/>
                      <w:szCs w:val="21"/>
                      <w:lang w:val="en-US" w:eastAsia="zh-CN" w:bidi="ar-SA"/>
                    </w:rPr>
                  </w:pPr>
                  <w:r>
                    <w:rPr>
                      <w:color w:val="auto"/>
                      <w:sz w:val="21"/>
                      <w:szCs w:val="21"/>
                    </w:rPr>
                    <w:t>100</w:t>
                  </w:r>
                </w:p>
              </w:tc>
              <w:tc>
                <w:tcPr>
                  <w:tcW w:w="648" w:type="pct"/>
                  <w:tcBorders>
                    <w:top w:val="single" w:color="auto" w:sz="4" w:space="0"/>
                    <w:left w:val="single" w:color="auto" w:sz="4" w:space="0"/>
                    <w:bottom w:val="single" w:color="auto" w:sz="4" w:space="0"/>
                    <w:right w:val="single" w:color="auto" w:sz="4" w:space="0"/>
                  </w:tcBorders>
                  <w:vAlign w:val="center"/>
                </w:tcPr>
                <w:p w14:paraId="1DF41EE0">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7975A906">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0.06L</w:t>
                  </w:r>
                </w:p>
              </w:tc>
              <w:tc>
                <w:tcPr>
                  <w:tcW w:w="986" w:type="pct"/>
                  <w:tcBorders>
                    <w:top w:val="single" w:color="auto" w:sz="4" w:space="0"/>
                    <w:left w:val="single" w:color="auto" w:sz="4" w:space="0"/>
                    <w:bottom w:val="single" w:color="auto" w:sz="4" w:space="0"/>
                    <w:right w:val="single" w:color="auto" w:sz="4" w:space="0"/>
                  </w:tcBorders>
                  <w:vAlign w:val="center"/>
                </w:tcPr>
                <w:p w14:paraId="73258976">
                  <w:pPr>
                    <w:jc w:val="center"/>
                    <w:rPr>
                      <w:rFonts w:ascii="Times New Roman" w:hAnsi="Times New Roman" w:eastAsia="宋体" w:cs="Times New Roman"/>
                      <w:color w:val="auto"/>
                      <w:sz w:val="21"/>
                      <w:szCs w:val="21"/>
                      <w:lang w:val="en-US" w:eastAsia="zh-CN" w:bidi="ar-SA"/>
                    </w:rPr>
                  </w:pPr>
                  <w:r>
                    <w:rPr>
                      <w:color w:val="auto"/>
                      <w:sz w:val="21"/>
                      <w:szCs w:val="21"/>
                    </w:rPr>
                    <w:t>2.0</w:t>
                  </w:r>
                </w:p>
              </w:tc>
              <w:tc>
                <w:tcPr>
                  <w:tcW w:w="635" w:type="pct"/>
                  <w:tcBorders>
                    <w:top w:val="single" w:color="auto" w:sz="4" w:space="0"/>
                    <w:left w:val="single" w:color="auto" w:sz="4" w:space="0"/>
                    <w:bottom w:val="single" w:color="auto" w:sz="4" w:space="0"/>
                    <w:right w:val="single" w:color="auto" w:sz="4" w:space="0"/>
                  </w:tcBorders>
                  <w:vAlign w:val="center"/>
                </w:tcPr>
                <w:p w14:paraId="415CC06F">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0A4D0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5A1117DE">
                  <w:pPr>
                    <w:jc w:val="center"/>
                    <w:rPr>
                      <w:rFonts w:ascii="Times New Roman" w:hAnsi="Times New Roman" w:eastAsia="宋体" w:cs="Times New Roman"/>
                      <w:color w:val="auto"/>
                      <w:sz w:val="21"/>
                      <w:szCs w:val="21"/>
                      <w:lang w:val="en-US" w:eastAsia="zh-CN" w:bidi="ar-SA"/>
                    </w:rPr>
                  </w:pPr>
                  <w:r>
                    <w:rPr>
                      <w:color w:val="auto"/>
                      <w:sz w:val="21"/>
                      <w:szCs w:val="21"/>
                    </w:rPr>
                    <w:t>汞</w:t>
                  </w:r>
                  <w:r>
                    <w:rPr>
                      <w:rFonts w:hint="eastAsia"/>
                      <w:color w:val="auto"/>
                      <w:sz w:val="21"/>
                      <w:szCs w:val="21"/>
                      <w:lang w:eastAsia="zh-CN"/>
                    </w:rPr>
                    <w:t>（</w:t>
                  </w:r>
                  <w:r>
                    <w:rPr>
                      <w:rFonts w:hint="default" w:ascii="Times New Roman" w:hAnsi="Times New Roman" w:cs="Times New Roman"/>
                      <w:color w:val="auto"/>
                      <w:sz w:val="21"/>
                      <w:szCs w:val="21"/>
                      <w:lang w:eastAsia="zh-CN"/>
                    </w:rPr>
                    <w:t>μ</w:t>
                  </w:r>
                  <w:r>
                    <w:rPr>
                      <w:rFonts w:hint="eastAsia"/>
                      <w:color w:val="auto"/>
                      <w:sz w:val="21"/>
                      <w:szCs w:val="21"/>
                      <w:lang w:val="en-US" w:eastAsia="zh-CN"/>
                    </w:rPr>
                    <w:t>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5FC36209">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1.30</w:t>
                  </w:r>
                </w:p>
              </w:tc>
              <w:tc>
                <w:tcPr>
                  <w:tcW w:w="775" w:type="pct"/>
                  <w:tcBorders>
                    <w:top w:val="single" w:color="auto" w:sz="4" w:space="0"/>
                    <w:left w:val="single" w:color="auto" w:sz="4" w:space="0"/>
                    <w:bottom w:val="single" w:color="auto" w:sz="4" w:space="0"/>
                    <w:right w:val="single" w:color="auto" w:sz="4" w:space="0"/>
                  </w:tcBorders>
                  <w:vAlign w:val="center"/>
                </w:tcPr>
                <w:p w14:paraId="35B74BBC">
                  <w:pPr>
                    <w:jc w:val="center"/>
                    <w:rPr>
                      <w:rFonts w:ascii="Times New Roman" w:hAnsi="Times New Roman" w:eastAsia="宋体" w:cs="Times New Roman"/>
                      <w:color w:val="auto"/>
                      <w:sz w:val="21"/>
                      <w:szCs w:val="21"/>
                      <w:lang w:val="en-US" w:eastAsia="zh-CN" w:bidi="ar-SA"/>
                    </w:rPr>
                  </w:pPr>
                  <w:r>
                    <w:rPr>
                      <w:color w:val="auto"/>
                      <w:sz w:val="21"/>
                      <w:szCs w:val="21"/>
                    </w:rPr>
                    <w:t>0.1</w:t>
                  </w:r>
                </w:p>
              </w:tc>
              <w:tc>
                <w:tcPr>
                  <w:tcW w:w="648" w:type="pct"/>
                  <w:tcBorders>
                    <w:top w:val="single" w:color="auto" w:sz="4" w:space="0"/>
                    <w:left w:val="single" w:color="auto" w:sz="4" w:space="0"/>
                    <w:bottom w:val="single" w:color="auto" w:sz="4" w:space="0"/>
                    <w:right w:val="single" w:color="auto" w:sz="4" w:space="0"/>
                  </w:tcBorders>
                  <w:vAlign w:val="center"/>
                </w:tcPr>
                <w:p w14:paraId="1B34D07E">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2F52583C">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0.494</w:t>
                  </w:r>
                </w:p>
              </w:tc>
              <w:tc>
                <w:tcPr>
                  <w:tcW w:w="986" w:type="pct"/>
                  <w:tcBorders>
                    <w:top w:val="single" w:color="auto" w:sz="4" w:space="0"/>
                    <w:left w:val="single" w:color="auto" w:sz="4" w:space="0"/>
                    <w:bottom w:val="single" w:color="auto" w:sz="4" w:space="0"/>
                    <w:right w:val="single" w:color="auto" w:sz="4" w:space="0"/>
                  </w:tcBorders>
                  <w:vAlign w:val="center"/>
                </w:tcPr>
                <w:p w14:paraId="49619C89">
                  <w:pPr>
                    <w:jc w:val="center"/>
                    <w:rPr>
                      <w:rFonts w:ascii="Times New Roman" w:hAnsi="Times New Roman" w:eastAsia="宋体" w:cs="Times New Roman"/>
                      <w:color w:val="auto"/>
                      <w:sz w:val="21"/>
                      <w:szCs w:val="21"/>
                      <w:lang w:val="en-US" w:eastAsia="zh-CN" w:bidi="ar-SA"/>
                    </w:rPr>
                  </w:pPr>
                  <w:r>
                    <w:rPr>
                      <w:color w:val="auto"/>
                      <w:sz w:val="21"/>
                      <w:szCs w:val="21"/>
                    </w:rPr>
                    <w:t>0.05</w:t>
                  </w:r>
                </w:p>
              </w:tc>
              <w:tc>
                <w:tcPr>
                  <w:tcW w:w="635" w:type="pct"/>
                  <w:tcBorders>
                    <w:top w:val="single" w:color="auto" w:sz="4" w:space="0"/>
                    <w:left w:val="single" w:color="auto" w:sz="4" w:space="0"/>
                    <w:bottom w:val="single" w:color="auto" w:sz="4" w:space="0"/>
                    <w:right w:val="single" w:color="auto" w:sz="4" w:space="0"/>
                  </w:tcBorders>
                  <w:vAlign w:val="center"/>
                </w:tcPr>
                <w:p w14:paraId="44C21C9F">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4C540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4F64B74A">
                  <w:pPr>
                    <w:jc w:val="center"/>
                    <w:rPr>
                      <w:rFonts w:ascii="Times New Roman" w:hAnsi="Times New Roman" w:eastAsia="宋体" w:cs="Times New Roman"/>
                      <w:color w:val="auto"/>
                      <w:sz w:val="21"/>
                      <w:szCs w:val="21"/>
                      <w:lang w:val="en-US" w:eastAsia="zh-CN" w:bidi="ar-SA"/>
                    </w:rPr>
                  </w:pPr>
                  <w:r>
                    <w:rPr>
                      <w:color w:val="auto"/>
                      <w:sz w:val="21"/>
                      <w:szCs w:val="21"/>
                    </w:rPr>
                    <w:t>砷</w:t>
                  </w:r>
                  <w:r>
                    <w:rPr>
                      <w:rFonts w:hint="eastAsia"/>
                      <w:color w:val="auto"/>
                      <w:sz w:val="21"/>
                      <w:szCs w:val="21"/>
                      <w:lang w:eastAsia="zh-CN"/>
                    </w:rPr>
                    <w:t>（</w:t>
                  </w:r>
                  <w:r>
                    <w:rPr>
                      <w:rFonts w:hint="default" w:ascii="Times New Roman" w:hAnsi="Times New Roman" w:cs="Times New Roman"/>
                      <w:color w:val="auto"/>
                      <w:sz w:val="21"/>
                      <w:szCs w:val="21"/>
                      <w:lang w:eastAsia="zh-CN"/>
                    </w:rPr>
                    <w:t>μ</w:t>
                  </w:r>
                  <w:r>
                    <w:rPr>
                      <w:rFonts w:hint="eastAsia"/>
                      <w:color w:val="auto"/>
                      <w:sz w:val="21"/>
                      <w:szCs w:val="21"/>
                      <w:lang w:val="en-US" w:eastAsia="zh-CN"/>
                    </w:rPr>
                    <w:t>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2178ACEC">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1.20</w:t>
                  </w:r>
                </w:p>
              </w:tc>
              <w:tc>
                <w:tcPr>
                  <w:tcW w:w="775" w:type="pct"/>
                  <w:tcBorders>
                    <w:top w:val="single" w:color="auto" w:sz="4" w:space="0"/>
                    <w:left w:val="single" w:color="auto" w:sz="4" w:space="0"/>
                    <w:bottom w:val="single" w:color="auto" w:sz="4" w:space="0"/>
                    <w:right w:val="single" w:color="auto" w:sz="4" w:space="0"/>
                  </w:tcBorders>
                  <w:vAlign w:val="center"/>
                </w:tcPr>
                <w:p w14:paraId="019DD54F">
                  <w:pPr>
                    <w:jc w:val="center"/>
                    <w:rPr>
                      <w:rFonts w:ascii="Times New Roman" w:hAnsi="Times New Roman" w:eastAsia="宋体" w:cs="Times New Roman"/>
                      <w:color w:val="auto"/>
                      <w:sz w:val="21"/>
                      <w:szCs w:val="21"/>
                      <w:lang w:val="en-US" w:eastAsia="zh-CN" w:bidi="ar-SA"/>
                    </w:rPr>
                  </w:pPr>
                  <w:r>
                    <w:rPr>
                      <w:color w:val="auto"/>
                      <w:sz w:val="21"/>
                      <w:szCs w:val="21"/>
                    </w:rPr>
                    <w:t>5</w:t>
                  </w:r>
                </w:p>
              </w:tc>
              <w:tc>
                <w:tcPr>
                  <w:tcW w:w="648" w:type="pct"/>
                  <w:tcBorders>
                    <w:top w:val="single" w:color="auto" w:sz="4" w:space="0"/>
                    <w:left w:val="single" w:color="auto" w:sz="4" w:space="0"/>
                    <w:bottom w:val="single" w:color="auto" w:sz="4" w:space="0"/>
                    <w:right w:val="single" w:color="auto" w:sz="4" w:space="0"/>
                  </w:tcBorders>
                  <w:vAlign w:val="center"/>
                </w:tcPr>
                <w:p w14:paraId="2F5477A6">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53B3BD02">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0.739</w:t>
                  </w:r>
                </w:p>
              </w:tc>
              <w:tc>
                <w:tcPr>
                  <w:tcW w:w="986" w:type="pct"/>
                  <w:tcBorders>
                    <w:top w:val="single" w:color="auto" w:sz="4" w:space="0"/>
                    <w:left w:val="single" w:color="auto" w:sz="4" w:space="0"/>
                    <w:bottom w:val="single" w:color="auto" w:sz="4" w:space="0"/>
                    <w:right w:val="single" w:color="auto" w:sz="4" w:space="0"/>
                  </w:tcBorders>
                  <w:vAlign w:val="center"/>
                </w:tcPr>
                <w:p w14:paraId="632BA8E0">
                  <w:pPr>
                    <w:jc w:val="center"/>
                    <w:rPr>
                      <w:rFonts w:ascii="Times New Roman" w:hAnsi="Times New Roman" w:eastAsia="宋体" w:cs="Times New Roman"/>
                      <w:color w:val="auto"/>
                      <w:sz w:val="21"/>
                      <w:szCs w:val="21"/>
                      <w:lang w:val="en-US" w:eastAsia="zh-CN" w:bidi="ar-SA"/>
                    </w:rPr>
                  </w:pPr>
                  <w:r>
                    <w:rPr>
                      <w:color w:val="auto"/>
                      <w:sz w:val="21"/>
                      <w:szCs w:val="21"/>
                    </w:rPr>
                    <w:t>0.5</w:t>
                  </w:r>
                </w:p>
              </w:tc>
              <w:tc>
                <w:tcPr>
                  <w:tcW w:w="635" w:type="pct"/>
                  <w:tcBorders>
                    <w:top w:val="single" w:color="auto" w:sz="4" w:space="0"/>
                    <w:left w:val="single" w:color="auto" w:sz="4" w:space="0"/>
                    <w:bottom w:val="single" w:color="auto" w:sz="4" w:space="0"/>
                    <w:right w:val="single" w:color="auto" w:sz="4" w:space="0"/>
                  </w:tcBorders>
                  <w:vAlign w:val="center"/>
                </w:tcPr>
                <w:p w14:paraId="3A1E1FAB">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29AE1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6CA92998">
                  <w:pPr>
                    <w:jc w:val="center"/>
                    <w:rPr>
                      <w:rFonts w:ascii="Times New Roman" w:hAnsi="Times New Roman" w:eastAsia="宋体" w:cs="Times New Roman"/>
                      <w:color w:val="auto"/>
                      <w:sz w:val="21"/>
                      <w:szCs w:val="21"/>
                      <w:lang w:val="en-US" w:eastAsia="zh-CN" w:bidi="ar-SA"/>
                    </w:rPr>
                  </w:pPr>
                  <w:r>
                    <w:rPr>
                      <w:color w:val="auto"/>
                      <w:sz w:val="21"/>
                      <w:szCs w:val="21"/>
                    </w:rPr>
                    <w:t>六价铬</w:t>
                  </w:r>
                  <w:r>
                    <w:rPr>
                      <w:rFonts w:hint="eastAsia"/>
                      <w:color w:val="auto"/>
                      <w:sz w:val="21"/>
                      <w:szCs w:val="21"/>
                      <w:lang w:eastAsia="zh-CN"/>
                    </w:rPr>
                    <w:t>（</w:t>
                  </w:r>
                  <w:r>
                    <w:rPr>
                      <w:rFonts w:hint="eastAsia"/>
                      <w:color w:val="auto"/>
                      <w:sz w:val="21"/>
                      <w:szCs w:val="21"/>
                      <w:lang w:val="en-US" w:eastAsia="zh-CN"/>
                    </w:rPr>
                    <w:t>mg/L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693CEB15">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0.004L</w:t>
                  </w:r>
                </w:p>
              </w:tc>
              <w:tc>
                <w:tcPr>
                  <w:tcW w:w="775" w:type="pct"/>
                  <w:tcBorders>
                    <w:top w:val="single" w:color="auto" w:sz="4" w:space="0"/>
                    <w:left w:val="single" w:color="auto" w:sz="4" w:space="0"/>
                    <w:bottom w:val="single" w:color="auto" w:sz="4" w:space="0"/>
                    <w:right w:val="single" w:color="auto" w:sz="4" w:space="0"/>
                  </w:tcBorders>
                  <w:vAlign w:val="center"/>
                </w:tcPr>
                <w:p w14:paraId="35941A2B">
                  <w:pPr>
                    <w:jc w:val="center"/>
                    <w:rPr>
                      <w:rFonts w:ascii="Times New Roman" w:hAnsi="Times New Roman" w:eastAsia="宋体" w:cs="Times New Roman"/>
                      <w:color w:val="auto"/>
                      <w:sz w:val="21"/>
                      <w:szCs w:val="21"/>
                      <w:lang w:val="en-US" w:eastAsia="zh-CN" w:bidi="ar-SA"/>
                    </w:rPr>
                  </w:pPr>
                  <w:r>
                    <w:rPr>
                      <w:color w:val="auto"/>
                      <w:sz w:val="21"/>
                      <w:szCs w:val="21"/>
                    </w:rPr>
                    <w:t>5</w:t>
                  </w:r>
                </w:p>
              </w:tc>
              <w:tc>
                <w:tcPr>
                  <w:tcW w:w="648" w:type="pct"/>
                  <w:tcBorders>
                    <w:top w:val="single" w:color="auto" w:sz="4" w:space="0"/>
                    <w:left w:val="single" w:color="auto" w:sz="4" w:space="0"/>
                    <w:bottom w:val="single" w:color="auto" w:sz="4" w:space="0"/>
                    <w:right w:val="single" w:color="auto" w:sz="4" w:space="0"/>
                  </w:tcBorders>
                  <w:vAlign w:val="center"/>
                </w:tcPr>
                <w:p w14:paraId="00C4FBA3">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01A0C345">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0.004L</w:t>
                  </w:r>
                </w:p>
              </w:tc>
              <w:tc>
                <w:tcPr>
                  <w:tcW w:w="986" w:type="pct"/>
                  <w:tcBorders>
                    <w:top w:val="single" w:color="auto" w:sz="4" w:space="0"/>
                    <w:left w:val="single" w:color="auto" w:sz="4" w:space="0"/>
                    <w:bottom w:val="single" w:color="auto" w:sz="4" w:space="0"/>
                    <w:right w:val="single" w:color="auto" w:sz="4" w:space="0"/>
                  </w:tcBorders>
                  <w:vAlign w:val="center"/>
                </w:tcPr>
                <w:p w14:paraId="168F7302">
                  <w:pPr>
                    <w:jc w:val="center"/>
                    <w:rPr>
                      <w:rFonts w:ascii="Times New Roman" w:hAnsi="Times New Roman" w:eastAsia="宋体" w:cs="Times New Roman"/>
                      <w:color w:val="auto"/>
                      <w:sz w:val="21"/>
                      <w:szCs w:val="21"/>
                      <w:lang w:val="en-US" w:eastAsia="zh-CN" w:bidi="ar-SA"/>
                    </w:rPr>
                  </w:pPr>
                  <w:r>
                    <w:rPr>
                      <w:color w:val="auto"/>
                      <w:sz w:val="21"/>
                      <w:szCs w:val="21"/>
                    </w:rPr>
                    <w:t>0.5</w:t>
                  </w:r>
                </w:p>
              </w:tc>
              <w:tc>
                <w:tcPr>
                  <w:tcW w:w="635" w:type="pct"/>
                  <w:tcBorders>
                    <w:top w:val="single" w:color="auto" w:sz="4" w:space="0"/>
                    <w:left w:val="single" w:color="auto" w:sz="4" w:space="0"/>
                    <w:bottom w:val="single" w:color="auto" w:sz="4" w:space="0"/>
                    <w:right w:val="single" w:color="auto" w:sz="4" w:space="0"/>
                  </w:tcBorders>
                  <w:vAlign w:val="center"/>
                </w:tcPr>
                <w:p w14:paraId="4A650F1E">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bl>
          <w:p w14:paraId="742973B3">
            <w:pPr>
              <w:pStyle w:val="23"/>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b/>
                <w:bCs/>
                <w:color w:val="auto"/>
                <w:sz w:val="24"/>
                <w:szCs w:val="24"/>
                <w:lang w:val="en-US" w:eastAsia="zh-CN"/>
              </w:rPr>
            </w:pPr>
            <w:r>
              <w:rPr>
                <w:rFonts w:ascii="Times New Roman" w:hAnsi="Times New Roman"/>
                <w:b/>
                <w:bCs/>
                <w:color w:val="auto"/>
                <w:sz w:val="24"/>
                <w:szCs w:val="24"/>
              </w:rPr>
              <w:t>表2-</w:t>
            </w:r>
            <w:r>
              <w:rPr>
                <w:rFonts w:hint="eastAsia" w:ascii="Times New Roman" w:hAnsi="Times New Roman"/>
                <w:b/>
                <w:bCs/>
                <w:color w:val="auto"/>
                <w:sz w:val="24"/>
                <w:szCs w:val="24"/>
                <w:lang w:val="en-US" w:eastAsia="zh-CN"/>
              </w:rPr>
              <w:t>12</w:t>
            </w:r>
            <w:r>
              <w:rPr>
                <w:rFonts w:ascii="Times New Roman" w:hAnsi="Times New Roman"/>
                <w:b/>
                <w:bCs/>
                <w:color w:val="auto"/>
                <w:sz w:val="24"/>
                <w:szCs w:val="24"/>
              </w:rPr>
              <w:t xml:space="preserve"> 生态修复材料产品</w:t>
            </w:r>
            <w:r>
              <w:rPr>
                <w:rFonts w:hint="eastAsia" w:ascii="Times New Roman" w:hAnsi="Times New Roman"/>
                <w:b/>
                <w:bCs/>
                <w:color w:val="auto"/>
                <w:sz w:val="24"/>
                <w:szCs w:val="24"/>
                <w:lang w:val="en-US" w:eastAsia="zh-CN"/>
              </w:rPr>
              <w:t>放射性检测结果一览表</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5"/>
              <w:gridCol w:w="2063"/>
              <w:gridCol w:w="2616"/>
              <w:gridCol w:w="1064"/>
            </w:tblGrid>
            <w:tr w14:paraId="5BB5D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2635" w:type="dxa"/>
                  <w:vAlign w:val="center"/>
                </w:tcPr>
                <w:p w14:paraId="23A56E11">
                  <w:pPr>
                    <w:pStyle w:val="148"/>
                    <w:jc w:val="center"/>
                    <w:rPr>
                      <w:rFonts w:ascii="Times New Roman" w:hAnsi="Times New Roman"/>
                      <w:b w:val="0"/>
                      <w:bCs w:val="0"/>
                      <w:color w:val="auto"/>
                      <w:szCs w:val="21"/>
                    </w:rPr>
                  </w:pPr>
                  <w:r>
                    <w:rPr>
                      <w:rFonts w:hint="eastAsia" w:ascii="Times New Roman" w:hAnsi="Times New Roman"/>
                      <w:b w:val="0"/>
                      <w:bCs w:val="0"/>
                      <w:color w:val="auto"/>
                      <w:szCs w:val="21"/>
                    </w:rPr>
                    <w:t>检测项目</w:t>
                  </w:r>
                </w:p>
              </w:tc>
              <w:tc>
                <w:tcPr>
                  <w:tcW w:w="2063" w:type="dxa"/>
                  <w:vAlign w:val="center"/>
                </w:tcPr>
                <w:p w14:paraId="364AD345">
                  <w:pPr>
                    <w:jc w:val="center"/>
                    <w:rPr>
                      <w:rFonts w:hint="eastAsia" w:eastAsia="宋体"/>
                      <w:color w:val="auto"/>
                      <w:sz w:val="21"/>
                      <w:szCs w:val="21"/>
                      <w:lang w:val="en-US" w:eastAsia="zh-CN"/>
                    </w:rPr>
                  </w:pPr>
                  <w:r>
                    <w:rPr>
                      <w:rFonts w:hint="eastAsia"/>
                      <w:color w:val="auto"/>
                      <w:sz w:val="21"/>
                      <w:szCs w:val="21"/>
                      <w:lang w:val="en-US" w:eastAsia="zh-CN"/>
                    </w:rPr>
                    <w:t>检验结果</w:t>
                  </w:r>
                </w:p>
              </w:tc>
              <w:tc>
                <w:tcPr>
                  <w:tcW w:w="2616" w:type="dxa"/>
                  <w:vAlign w:val="center"/>
                </w:tcPr>
                <w:p w14:paraId="4749CF9E">
                  <w:pPr>
                    <w:pStyle w:val="148"/>
                    <w:jc w:val="center"/>
                    <w:rPr>
                      <w:rFonts w:hint="default" w:ascii="Times New Roman" w:hAnsi="Times New Roman" w:eastAsia="宋体"/>
                      <w:color w:val="auto"/>
                      <w:kern w:val="0"/>
                      <w:szCs w:val="21"/>
                      <w:lang w:val="en-US" w:eastAsia="zh-CN" w:bidi="ar"/>
                    </w:rPr>
                  </w:pPr>
                  <w:r>
                    <w:rPr>
                      <w:rFonts w:hint="eastAsia" w:ascii="Times New Roman" w:hAnsi="Times New Roman"/>
                      <w:color w:val="auto"/>
                      <w:kern w:val="0"/>
                      <w:szCs w:val="21"/>
                      <w:lang w:val="en-US" w:eastAsia="zh-CN" w:bidi="ar"/>
                    </w:rPr>
                    <w:t>指标标准</w:t>
                  </w:r>
                </w:p>
              </w:tc>
              <w:tc>
                <w:tcPr>
                  <w:tcW w:w="1064" w:type="dxa"/>
                  <w:vAlign w:val="center"/>
                </w:tcPr>
                <w:p w14:paraId="4DF1E9B1">
                  <w:pPr>
                    <w:pStyle w:val="148"/>
                    <w:jc w:val="center"/>
                    <w:rPr>
                      <w:rFonts w:hint="default" w:ascii="Times New Roman" w:hAnsi="Times New Roman" w:eastAsia="宋体"/>
                      <w:bCs/>
                      <w:color w:val="auto"/>
                      <w:szCs w:val="21"/>
                      <w:lang w:val="en-US" w:eastAsia="zh-CN"/>
                    </w:rPr>
                  </w:pPr>
                  <w:r>
                    <w:rPr>
                      <w:rFonts w:hint="eastAsia" w:ascii="Times New Roman" w:hAnsi="Times New Roman"/>
                      <w:bCs/>
                      <w:color w:val="auto"/>
                      <w:szCs w:val="21"/>
                      <w:lang w:val="en-US" w:eastAsia="zh-CN"/>
                    </w:rPr>
                    <w:t>合格情况</w:t>
                  </w:r>
                </w:p>
              </w:tc>
            </w:tr>
            <w:tr w14:paraId="489E4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2635" w:type="dxa"/>
                  <w:vAlign w:val="center"/>
                </w:tcPr>
                <w:p w14:paraId="207E6E60">
                  <w:pPr>
                    <w:pStyle w:val="148"/>
                    <w:jc w:val="center"/>
                    <w:rPr>
                      <w:rFonts w:hint="default" w:ascii="Times New Roman" w:hAnsi="Times New Roman"/>
                      <w:b w:val="0"/>
                      <w:bCs w:val="0"/>
                      <w:color w:val="auto"/>
                      <w:szCs w:val="21"/>
                      <w:lang w:val="en-US" w:eastAsia="zh-CN"/>
                    </w:rPr>
                  </w:pPr>
                  <w:r>
                    <w:rPr>
                      <w:rFonts w:hint="eastAsia" w:ascii="Times New Roman" w:hAnsi="Times New Roman"/>
                      <w:b w:val="0"/>
                      <w:bCs w:val="0"/>
                      <w:color w:val="auto"/>
                      <w:szCs w:val="21"/>
                      <w:lang w:val="en-US" w:eastAsia="zh-CN"/>
                    </w:rPr>
                    <w:t>I</w:t>
                  </w:r>
                  <w:r>
                    <w:rPr>
                      <w:rFonts w:hint="eastAsia" w:ascii="Times New Roman" w:hAnsi="Times New Roman"/>
                      <w:b w:val="0"/>
                      <w:bCs w:val="0"/>
                      <w:color w:val="auto"/>
                      <w:szCs w:val="21"/>
                      <w:vertAlign w:val="subscript"/>
                      <w:lang w:val="en-US" w:eastAsia="zh-CN"/>
                    </w:rPr>
                    <w:t>Ra</w:t>
                  </w:r>
                  <w:r>
                    <w:rPr>
                      <w:rFonts w:hint="eastAsia" w:ascii="Times New Roman" w:hAnsi="Times New Roman"/>
                      <w:b w:val="0"/>
                      <w:bCs w:val="0"/>
                      <w:color w:val="auto"/>
                      <w:szCs w:val="21"/>
                      <w:lang w:val="en-US" w:eastAsia="zh-CN"/>
                    </w:rPr>
                    <w:t>内照射指数</w:t>
                  </w:r>
                </w:p>
              </w:tc>
              <w:tc>
                <w:tcPr>
                  <w:tcW w:w="2063" w:type="dxa"/>
                  <w:vAlign w:val="center"/>
                </w:tcPr>
                <w:p w14:paraId="2D7921DF">
                  <w:pPr>
                    <w:jc w:val="center"/>
                    <w:rPr>
                      <w:rFonts w:hint="default" w:eastAsia="宋体"/>
                      <w:color w:val="auto"/>
                      <w:sz w:val="21"/>
                      <w:szCs w:val="21"/>
                      <w:lang w:val="en-US" w:eastAsia="zh-CN"/>
                    </w:rPr>
                  </w:pPr>
                  <w:r>
                    <w:rPr>
                      <w:rFonts w:hint="eastAsia"/>
                      <w:color w:val="auto"/>
                      <w:sz w:val="21"/>
                      <w:szCs w:val="21"/>
                      <w:lang w:val="en-US" w:eastAsia="zh-CN"/>
                    </w:rPr>
                    <w:t>0.5</w:t>
                  </w:r>
                </w:p>
              </w:tc>
              <w:tc>
                <w:tcPr>
                  <w:tcW w:w="2616" w:type="dxa"/>
                  <w:vAlign w:val="center"/>
                </w:tcPr>
                <w:p w14:paraId="3C0CF00F">
                  <w:pPr>
                    <w:pStyle w:val="148"/>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rPr>
                    <w:t>≤</w:t>
                  </w:r>
                  <w:r>
                    <w:rPr>
                      <w:rFonts w:hint="default" w:ascii="Times New Roman" w:hAnsi="Times New Roman" w:cs="Times New Roman"/>
                      <w:bCs/>
                      <w:color w:val="auto"/>
                      <w:szCs w:val="21"/>
                      <w:lang w:val="en-US" w:eastAsia="zh-CN"/>
                    </w:rPr>
                    <w:t>1</w:t>
                  </w:r>
                </w:p>
              </w:tc>
              <w:tc>
                <w:tcPr>
                  <w:tcW w:w="1064" w:type="dxa"/>
                  <w:vAlign w:val="center"/>
                </w:tcPr>
                <w:p w14:paraId="0593141B">
                  <w:pPr>
                    <w:pStyle w:val="148"/>
                    <w:jc w:val="center"/>
                    <w:rPr>
                      <w:rFonts w:hint="eastAsia" w:ascii="Times New Roman" w:hAnsi="Times New Roman" w:eastAsia="宋体"/>
                      <w:bCs/>
                      <w:color w:val="auto"/>
                      <w:szCs w:val="21"/>
                      <w:lang w:val="en-US" w:eastAsia="zh-CN"/>
                    </w:rPr>
                  </w:pPr>
                  <w:r>
                    <w:rPr>
                      <w:rFonts w:hint="eastAsia" w:ascii="Times New Roman" w:hAnsi="Times New Roman"/>
                      <w:bCs/>
                      <w:color w:val="auto"/>
                      <w:szCs w:val="21"/>
                      <w:lang w:val="en-US" w:eastAsia="zh-CN"/>
                    </w:rPr>
                    <w:t>合格</w:t>
                  </w:r>
                </w:p>
              </w:tc>
            </w:tr>
            <w:tr w14:paraId="4683F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2635" w:type="dxa"/>
                  <w:vAlign w:val="center"/>
                </w:tcPr>
                <w:p w14:paraId="5BFE0158">
                  <w:pPr>
                    <w:pStyle w:val="148"/>
                    <w:jc w:val="center"/>
                    <w:rPr>
                      <w:rFonts w:hint="default" w:ascii="Times New Roman" w:hAnsi="Times New Roman"/>
                      <w:b w:val="0"/>
                      <w:bCs w:val="0"/>
                      <w:color w:val="auto"/>
                      <w:szCs w:val="21"/>
                      <w:lang w:val="en-US" w:eastAsia="zh-CN"/>
                    </w:rPr>
                  </w:pPr>
                  <w:r>
                    <w:rPr>
                      <w:rFonts w:hint="eastAsia" w:ascii="Times New Roman" w:hAnsi="Times New Roman"/>
                      <w:b w:val="0"/>
                      <w:bCs w:val="0"/>
                      <w:color w:val="auto"/>
                      <w:szCs w:val="21"/>
                      <w:lang w:val="en-US" w:eastAsia="zh-CN"/>
                    </w:rPr>
                    <w:t>I</w:t>
                  </w:r>
                  <w:r>
                    <w:rPr>
                      <w:rFonts w:hint="eastAsia" w:ascii="Times New Roman" w:hAnsi="Times New Roman"/>
                      <w:b w:val="0"/>
                      <w:bCs w:val="0"/>
                      <w:color w:val="auto"/>
                      <w:szCs w:val="21"/>
                      <w:vertAlign w:val="subscript"/>
                      <w:lang w:val="en-US" w:eastAsia="zh-CN"/>
                    </w:rPr>
                    <w:t>r</w:t>
                  </w:r>
                  <w:r>
                    <w:rPr>
                      <w:rFonts w:hint="eastAsia" w:ascii="Times New Roman" w:hAnsi="Times New Roman"/>
                      <w:b w:val="0"/>
                      <w:bCs w:val="0"/>
                      <w:color w:val="auto"/>
                      <w:szCs w:val="21"/>
                      <w:lang w:val="en-US" w:eastAsia="zh-CN"/>
                    </w:rPr>
                    <w:t>外照射指数</w:t>
                  </w:r>
                </w:p>
              </w:tc>
              <w:tc>
                <w:tcPr>
                  <w:tcW w:w="2063" w:type="dxa"/>
                  <w:vAlign w:val="center"/>
                </w:tcPr>
                <w:p w14:paraId="0B487900">
                  <w:pPr>
                    <w:jc w:val="center"/>
                    <w:rPr>
                      <w:rFonts w:hint="default" w:eastAsia="宋体"/>
                      <w:color w:val="auto"/>
                      <w:sz w:val="21"/>
                      <w:szCs w:val="21"/>
                      <w:lang w:val="en-US" w:eastAsia="zh-CN"/>
                    </w:rPr>
                  </w:pPr>
                  <w:r>
                    <w:rPr>
                      <w:rFonts w:hint="eastAsia"/>
                      <w:color w:val="auto"/>
                      <w:sz w:val="21"/>
                      <w:szCs w:val="21"/>
                      <w:lang w:val="en-US" w:eastAsia="zh-CN"/>
                    </w:rPr>
                    <w:t>0.3</w:t>
                  </w:r>
                </w:p>
              </w:tc>
              <w:tc>
                <w:tcPr>
                  <w:tcW w:w="2616" w:type="dxa"/>
                  <w:vAlign w:val="center"/>
                </w:tcPr>
                <w:p w14:paraId="66FDB3C6">
                  <w:pPr>
                    <w:pStyle w:val="148"/>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r>
                    <w:rPr>
                      <w:rFonts w:hint="default" w:ascii="Times New Roman" w:hAnsi="Times New Roman" w:cs="Times New Roman"/>
                      <w:bCs/>
                      <w:color w:val="auto"/>
                      <w:szCs w:val="21"/>
                      <w:lang w:val="en-US" w:eastAsia="zh-CN"/>
                    </w:rPr>
                    <w:t>1</w:t>
                  </w:r>
                </w:p>
              </w:tc>
              <w:tc>
                <w:tcPr>
                  <w:tcW w:w="1064" w:type="dxa"/>
                  <w:vAlign w:val="center"/>
                </w:tcPr>
                <w:p w14:paraId="57463A0B">
                  <w:pPr>
                    <w:pStyle w:val="148"/>
                    <w:jc w:val="center"/>
                    <w:rPr>
                      <w:rFonts w:hint="eastAsia" w:ascii="Times New Roman" w:hAnsi="Times New Roman"/>
                      <w:bCs/>
                      <w:color w:val="auto"/>
                      <w:szCs w:val="21"/>
                    </w:rPr>
                  </w:pPr>
                  <w:r>
                    <w:rPr>
                      <w:rFonts w:hint="eastAsia" w:ascii="Times New Roman" w:hAnsi="Times New Roman"/>
                      <w:bCs/>
                      <w:color w:val="auto"/>
                      <w:szCs w:val="21"/>
                      <w:lang w:val="en-US" w:eastAsia="zh-CN"/>
                    </w:rPr>
                    <w:t>合格</w:t>
                  </w:r>
                </w:p>
              </w:tc>
            </w:tr>
          </w:tbl>
          <w:p w14:paraId="55ED7D3B">
            <w:pPr>
              <w:pStyle w:val="23"/>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ascii="Times New Roman" w:hAnsi="Times New Roman"/>
                <w:b/>
                <w:bCs/>
                <w:color w:val="auto"/>
                <w:sz w:val="24"/>
                <w:szCs w:val="24"/>
              </w:rPr>
            </w:pPr>
          </w:p>
          <w:p w14:paraId="60AD12D6">
            <w:pPr>
              <w:pStyle w:val="23"/>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ascii="Times New Roman" w:hAnsi="Times New Roman"/>
                <w:b/>
                <w:bCs/>
                <w:color w:val="auto"/>
                <w:sz w:val="24"/>
                <w:szCs w:val="24"/>
              </w:rPr>
            </w:pPr>
          </w:p>
          <w:p w14:paraId="7C5705E6">
            <w:pPr>
              <w:pStyle w:val="23"/>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ascii="Times New Roman" w:hAnsi="Times New Roman"/>
                <w:b/>
                <w:bCs/>
                <w:color w:val="auto"/>
                <w:sz w:val="24"/>
                <w:szCs w:val="24"/>
              </w:rPr>
            </w:pPr>
            <w:r>
              <w:rPr>
                <w:rFonts w:ascii="Times New Roman" w:hAnsi="Times New Roman"/>
                <w:b/>
                <w:bCs/>
                <w:color w:val="auto"/>
                <w:sz w:val="24"/>
                <w:szCs w:val="24"/>
              </w:rPr>
              <w:t>表2-</w:t>
            </w:r>
            <w:r>
              <w:rPr>
                <w:rFonts w:hint="eastAsia" w:ascii="Times New Roman" w:hAnsi="Times New Roman"/>
                <w:b/>
                <w:bCs/>
                <w:color w:val="auto"/>
                <w:sz w:val="24"/>
                <w:szCs w:val="24"/>
                <w:lang w:val="en-US" w:eastAsia="zh-CN"/>
              </w:rPr>
              <w:t>13</w:t>
            </w:r>
            <w:r>
              <w:rPr>
                <w:rFonts w:ascii="Times New Roman" w:hAnsi="Times New Roman"/>
                <w:b/>
                <w:bCs/>
                <w:color w:val="auto"/>
                <w:sz w:val="24"/>
                <w:szCs w:val="24"/>
              </w:rPr>
              <w:t xml:space="preserve"> 生态修复材料产品质量检测结果一览表（</w:t>
            </w:r>
            <w:r>
              <w:rPr>
                <w:rFonts w:hint="eastAsia" w:ascii="Times New Roman" w:hAnsi="Times New Roman"/>
                <w:b/>
                <w:bCs/>
                <w:color w:val="auto"/>
                <w:sz w:val="24"/>
                <w:szCs w:val="24"/>
              </w:rPr>
              <w:t>单位：</w:t>
            </w:r>
            <w:r>
              <w:rPr>
                <w:rFonts w:ascii="Times New Roman" w:hAnsi="Times New Roman"/>
                <w:b/>
                <w:bCs/>
                <w:color w:val="auto"/>
                <w:sz w:val="24"/>
                <w:szCs w:val="24"/>
              </w:rPr>
              <w:t>mg/</w:t>
            </w:r>
            <w:r>
              <w:rPr>
                <w:rFonts w:hint="eastAsia" w:ascii="Times New Roman" w:hAnsi="Times New Roman"/>
                <w:b/>
                <w:bCs/>
                <w:color w:val="auto"/>
                <w:sz w:val="24"/>
                <w:szCs w:val="24"/>
              </w:rPr>
              <w:t>kg</w:t>
            </w:r>
            <w:r>
              <w:rPr>
                <w:rFonts w:ascii="Times New Roman" w:hAnsi="Times New Roman"/>
                <w:b/>
                <w:bCs/>
                <w:color w:val="auto"/>
                <w:sz w:val="24"/>
                <w:szCs w:val="24"/>
              </w:rPr>
              <w:t>）</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3"/>
              <w:gridCol w:w="1589"/>
              <w:gridCol w:w="4172"/>
              <w:gridCol w:w="1064"/>
            </w:tblGrid>
            <w:tr w14:paraId="7D921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108" w:type="dxa"/>
                  <w:vAlign w:val="center"/>
                </w:tcPr>
                <w:p w14:paraId="5EC9663D">
                  <w:pPr>
                    <w:pStyle w:val="148"/>
                    <w:jc w:val="center"/>
                    <w:rPr>
                      <w:rFonts w:ascii="Times New Roman" w:hAnsi="Times New Roman"/>
                      <w:b/>
                      <w:bCs/>
                      <w:color w:val="auto"/>
                      <w:szCs w:val="21"/>
                    </w:rPr>
                  </w:pPr>
                  <w:r>
                    <w:rPr>
                      <w:rFonts w:hint="eastAsia" w:ascii="Times New Roman" w:hAnsi="Times New Roman"/>
                      <w:b w:val="0"/>
                      <w:bCs w:val="0"/>
                      <w:color w:val="auto"/>
                      <w:szCs w:val="21"/>
                    </w:rPr>
                    <w:t>检测项目</w:t>
                  </w:r>
                </w:p>
              </w:tc>
              <w:tc>
                <w:tcPr>
                  <w:tcW w:w="1134" w:type="dxa"/>
                  <w:vAlign w:val="center"/>
                </w:tcPr>
                <w:p w14:paraId="4C173B8A">
                  <w:pPr>
                    <w:jc w:val="center"/>
                    <w:rPr>
                      <w:color w:val="auto"/>
                      <w:sz w:val="21"/>
                      <w:szCs w:val="21"/>
                    </w:rPr>
                  </w:pPr>
                  <w:r>
                    <w:rPr>
                      <w:rFonts w:hint="eastAsia"/>
                      <w:color w:val="auto"/>
                      <w:sz w:val="21"/>
                      <w:szCs w:val="21"/>
                      <w:lang w:val="en-US" w:eastAsia="zh-CN"/>
                    </w:rPr>
                    <w:t>检测结果</w:t>
                  </w:r>
                </w:p>
              </w:tc>
              <w:tc>
                <w:tcPr>
                  <w:tcW w:w="2977" w:type="dxa"/>
                  <w:vAlign w:val="center"/>
                </w:tcPr>
                <w:p w14:paraId="60A15029">
                  <w:pPr>
                    <w:pStyle w:val="148"/>
                    <w:jc w:val="center"/>
                    <w:rPr>
                      <w:rFonts w:ascii="Times New Roman" w:hAnsi="Times New Roman"/>
                      <w:color w:val="auto"/>
                      <w:kern w:val="0"/>
                      <w:szCs w:val="21"/>
                      <w:lang w:bidi="ar"/>
                    </w:rPr>
                  </w:pPr>
                  <w:r>
                    <w:rPr>
                      <w:rFonts w:hint="eastAsia" w:ascii="Times New Roman" w:hAnsi="Times New Roman"/>
                      <w:bCs/>
                      <w:color w:val="auto"/>
                      <w:szCs w:val="21"/>
                    </w:rPr>
                    <w:t>《土壤环境质量 建设用地土壤污染风险管控标准（试行）》（G</w:t>
                  </w:r>
                  <w:r>
                    <w:rPr>
                      <w:rFonts w:ascii="Times New Roman" w:hAnsi="Times New Roman"/>
                      <w:bCs/>
                      <w:color w:val="auto"/>
                      <w:szCs w:val="21"/>
                    </w:rPr>
                    <w:t>B</w:t>
                  </w:r>
                  <w:r>
                    <w:rPr>
                      <w:rFonts w:hint="eastAsia" w:ascii="Times New Roman" w:hAnsi="Times New Roman"/>
                      <w:bCs/>
                      <w:color w:val="auto"/>
                      <w:szCs w:val="21"/>
                    </w:rPr>
                    <w:t xml:space="preserve"> </w:t>
                  </w:r>
                  <w:r>
                    <w:rPr>
                      <w:rFonts w:ascii="Times New Roman" w:hAnsi="Times New Roman"/>
                      <w:bCs/>
                      <w:color w:val="auto"/>
                      <w:szCs w:val="21"/>
                    </w:rPr>
                    <w:t>3660-2018</w:t>
                  </w:r>
                  <w:r>
                    <w:rPr>
                      <w:rFonts w:hint="eastAsia" w:ascii="Times New Roman" w:hAnsi="Times New Roman"/>
                      <w:bCs/>
                      <w:color w:val="auto"/>
                      <w:szCs w:val="21"/>
                    </w:rPr>
                    <w:t>）表1中第二类用地筛选值</w:t>
                  </w:r>
                </w:p>
              </w:tc>
              <w:tc>
                <w:tcPr>
                  <w:tcW w:w="759" w:type="dxa"/>
                  <w:vAlign w:val="center"/>
                </w:tcPr>
                <w:p w14:paraId="04C6D1B0">
                  <w:pPr>
                    <w:pStyle w:val="148"/>
                    <w:jc w:val="center"/>
                    <w:rPr>
                      <w:rFonts w:ascii="Times New Roman" w:hAnsi="Times New Roman"/>
                      <w:bCs/>
                      <w:color w:val="auto"/>
                      <w:szCs w:val="21"/>
                    </w:rPr>
                  </w:pPr>
                  <w:r>
                    <w:rPr>
                      <w:rFonts w:hint="eastAsia" w:ascii="Times New Roman" w:hAnsi="Times New Roman"/>
                      <w:bCs/>
                      <w:color w:val="auto"/>
                      <w:szCs w:val="21"/>
                    </w:rPr>
                    <w:t>合格情况</w:t>
                  </w:r>
                </w:p>
              </w:tc>
            </w:tr>
            <w:tr w14:paraId="2DF44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08" w:type="dxa"/>
                  <w:vAlign w:val="center"/>
                </w:tcPr>
                <w:p w14:paraId="7730DC72">
                  <w:pPr>
                    <w:pStyle w:val="148"/>
                    <w:jc w:val="center"/>
                    <w:rPr>
                      <w:rFonts w:ascii="Times New Roman" w:hAnsi="Times New Roman"/>
                      <w:color w:val="auto"/>
                      <w:szCs w:val="21"/>
                    </w:rPr>
                  </w:pPr>
                  <w:r>
                    <w:rPr>
                      <w:rFonts w:ascii="Times New Roman" w:hAnsi="Times New Roman"/>
                      <w:color w:val="auto"/>
                      <w:szCs w:val="21"/>
                    </w:rPr>
                    <w:t>砷</w:t>
                  </w:r>
                </w:p>
              </w:tc>
              <w:tc>
                <w:tcPr>
                  <w:tcW w:w="1134" w:type="dxa"/>
                  <w:vAlign w:val="center"/>
                </w:tcPr>
                <w:p w14:paraId="2CFEFB06">
                  <w:pPr>
                    <w:pStyle w:val="148"/>
                    <w:jc w:val="center"/>
                    <w:rPr>
                      <w:rFonts w:hint="default" w:ascii="Times New Roman" w:hAnsi="Times New Roman" w:eastAsia="宋体"/>
                      <w:color w:val="auto"/>
                      <w:kern w:val="0"/>
                      <w:szCs w:val="21"/>
                      <w:lang w:val="en-US" w:eastAsia="zh-CN" w:bidi="ar"/>
                    </w:rPr>
                  </w:pPr>
                  <w:r>
                    <w:rPr>
                      <w:rFonts w:hint="eastAsia" w:ascii="Times New Roman" w:hAnsi="Times New Roman"/>
                      <w:color w:val="auto"/>
                      <w:kern w:val="0"/>
                      <w:szCs w:val="21"/>
                      <w:lang w:val="en-US" w:eastAsia="zh-CN" w:bidi="ar"/>
                    </w:rPr>
                    <w:t>1.78</w:t>
                  </w:r>
                </w:p>
              </w:tc>
              <w:tc>
                <w:tcPr>
                  <w:tcW w:w="2977" w:type="dxa"/>
                  <w:vAlign w:val="center"/>
                </w:tcPr>
                <w:p w14:paraId="0FB7C802">
                  <w:pPr>
                    <w:pStyle w:val="148"/>
                    <w:jc w:val="center"/>
                    <w:rPr>
                      <w:rFonts w:ascii="Times New Roman" w:hAnsi="Times New Roman"/>
                      <w:color w:val="auto"/>
                      <w:spacing w:val="-20"/>
                      <w:szCs w:val="21"/>
                    </w:rPr>
                  </w:pPr>
                  <w:r>
                    <w:rPr>
                      <w:rFonts w:hint="eastAsia" w:ascii="Times New Roman" w:hAnsi="Times New Roman"/>
                      <w:color w:val="auto"/>
                      <w:szCs w:val="21"/>
                    </w:rPr>
                    <w:t>60</w:t>
                  </w:r>
                </w:p>
              </w:tc>
              <w:tc>
                <w:tcPr>
                  <w:tcW w:w="759" w:type="dxa"/>
                  <w:vAlign w:val="center"/>
                </w:tcPr>
                <w:p w14:paraId="69517661">
                  <w:pPr>
                    <w:pStyle w:val="148"/>
                    <w:jc w:val="center"/>
                    <w:rPr>
                      <w:rFonts w:ascii="Times New Roman" w:hAnsi="Times New Roman"/>
                      <w:color w:val="auto"/>
                      <w:szCs w:val="21"/>
                    </w:rPr>
                  </w:pPr>
                  <w:r>
                    <w:rPr>
                      <w:rFonts w:hint="eastAsia" w:ascii="Times New Roman" w:hAnsi="Times New Roman"/>
                      <w:color w:val="auto"/>
                      <w:szCs w:val="21"/>
                    </w:rPr>
                    <w:t>合格</w:t>
                  </w:r>
                </w:p>
              </w:tc>
            </w:tr>
            <w:tr w14:paraId="6CBF5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08" w:type="dxa"/>
                  <w:vAlign w:val="center"/>
                </w:tcPr>
                <w:p w14:paraId="5C2AC430">
                  <w:pPr>
                    <w:pStyle w:val="148"/>
                    <w:jc w:val="center"/>
                    <w:rPr>
                      <w:rFonts w:ascii="Times New Roman" w:hAnsi="Times New Roman"/>
                      <w:color w:val="auto"/>
                      <w:szCs w:val="21"/>
                    </w:rPr>
                  </w:pPr>
                  <w:r>
                    <w:rPr>
                      <w:rFonts w:ascii="Times New Roman" w:hAnsi="Times New Roman"/>
                      <w:color w:val="auto"/>
                      <w:szCs w:val="21"/>
                    </w:rPr>
                    <w:t>镉</w:t>
                  </w:r>
                </w:p>
              </w:tc>
              <w:tc>
                <w:tcPr>
                  <w:tcW w:w="1134" w:type="dxa"/>
                  <w:vAlign w:val="center"/>
                </w:tcPr>
                <w:p w14:paraId="033FC911">
                  <w:pPr>
                    <w:pStyle w:val="148"/>
                    <w:jc w:val="center"/>
                    <w:rPr>
                      <w:rFonts w:hint="default" w:ascii="Times New Roman" w:hAnsi="Times New Roman" w:eastAsia="宋体"/>
                      <w:color w:val="auto"/>
                      <w:kern w:val="0"/>
                      <w:szCs w:val="21"/>
                      <w:lang w:val="en-US" w:eastAsia="zh-CN" w:bidi="ar"/>
                    </w:rPr>
                  </w:pPr>
                  <w:r>
                    <w:rPr>
                      <w:rFonts w:hint="eastAsia" w:ascii="Times New Roman" w:hAnsi="Times New Roman"/>
                      <w:color w:val="auto"/>
                      <w:kern w:val="0"/>
                      <w:szCs w:val="21"/>
                      <w:lang w:val="en-US" w:eastAsia="zh-CN" w:bidi="ar"/>
                    </w:rPr>
                    <w:t>0.02</w:t>
                  </w:r>
                </w:p>
              </w:tc>
              <w:tc>
                <w:tcPr>
                  <w:tcW w:w="2977" w:type="dxa"/>
                  <w:vAlign w:val="center"/>
                </w:tcPr>
                <w:p w14:paraId="79909780">
                  <w:pPr>
                    <w:pStyle w:val="148"/>
                    <w:jc w:val="center"/>
                    <w:rPr>
                      <w:rFonts w:ascii="Times New Roman" w:hAnsi="Times New Roman"/>
                      <w:color w:val="auto"/>
                      <w:szCs w:val="21"/>
                    </w:rPr>
                  </w:pPr>
                  <w:r>
                    <w:rPr>
                      <w:rFonts w:hint="eastAsia" w:ascii="Times New Roman" w:hAnsi="Times New Roman"/>
                      <w:color w:val="auto"/>
                      <w:szCs w:val="21"/>
                    </w:rPr>
                    <w:t>65</w:t>
                  </w:r>
                </w:p>
              </w:tc>
              <w:tc>
                <w:tcPr>
                  <w:tcW w:w="759" w:type="dxa"/>
                  <w:vAlign w:val="center"/>
                </w:tcPr>
                <w:p w14:paraId="2E91BDC1">
                  <w:pPr>
                    <w:pStyle w:val="148"/>
                    <w:jc w:val="center"/>
                    <w:rPr>
                      <w:rFonts w:ascii="Times New Roman" w:hAnsi="Times New Roman"/>
                      <w:color w:val="auto"/>
                      <w:szCs w:val="21"/>
                    </w:rPr>
                  </w:pPr>
                  <w:r>
                    <w:rPr>
                      <w:rFonts w:hint="eastAsia" w:ascii="Times New Roman" w:hAnsi="Times New Roman"/>
                      <w:color w:val="auto"/>
                      <w:szCs w:val="21"/>
                    </w:rPr>
                    <w:t>合格</w:t>
                  </w:r>
                </w:p>
              </w:tc>
            </w:tr>
            <w:tr w14:paraId="57AE1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08" w:type="dxa"/>
                  <w:vAlign w:val="center"/>
                </w:tcPr>
                <w:p w14:paraId="53EA034A">
                  <w:pPr>
                    <w:pStyle w:val="148"/>
                    <w:jc w:val="center"/>
                    <w:rPr>
                      <w:rFonts w:ascii="Times New Roman" w:hAnsi="Times New Roman"/>
                      <w:color w:val="auto"/>
                      <w:szCs w:val="21"/>
                      <w:highlight w:val="none"/>
                    </w:rPr>
                  </w:pPr>
                  <w:r>
                    <w:rPr>
                      <w:rFonts w:ascii="Times New Roman" w:hAnsi="Times New Roman"/>
                      <w:color w:val="auto"/>
                      <w:szCs w:val="21"/>
                      <w:highlight w:val="none"/>
                    </w:rPr>
                    <w:t>铬</w:t>
                  </w:r>
                </w:p>
              </w:tc>
              <w:tc>
                <w:tcPr>
                  <w:tcW w:w="1134" w:type="dxa"/>
                  <w:vAlign w:val="center"/>
                </w:tcPr>
                <w:p w14:paraId="4079BFAB">
                  <w:pPr>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31.3</w:t>
                  </w:r>
                </w:p>
              </w:tc>
              <w:tc>
                <w:tcPr>
                  <w:tcW w:w="2977" w:type="dxa"/>
                  <w:vAlign w:val="center"/>
                </w:tcPr>
                <w:p w14:paraId="286AE94B">
                  <w:pPr>
                    <w:pStyle w:val="148"/>
                    <w:jc w:val="center"/>
                    <w:rPr>
                      <w:rFonts w:hint="eastAsia" w:ascii="Times New Roman" w:hAnsi="Times New Roman" w:eastAsia="宋体"/>
                      <w:color w:val="auto"/>
                      <w:spacing w:val="-20"/>
                      <w:szCs w:val="21"/>
                      <w:highlight w:val="none"/>
                      <w:lang w:eastAsia="zh-CN"/>
                    </w:rPr>
                  </w:pPr>
                  <w:r>
                    <w:rPr>
                      <w:rFonts w:hint="eastAsia" w:ascii="Times New Roman" w:hAnsi="Times New Roman"/>
                      <w:color w:val="auto"/>
                      <w:szCs w:val="21"/>
                      <w:highlight w:val="none"/>
                      <w:lang w:val="en-US" w:eastAsia="zh-CN"/>
                    </w:rPr>
                    <w:t>/</w:t>
                  </w:r>
                </w:p>
              </w:tc>
              <w:tc>
                <w:tcPr>
                  <w:tcW w:w="759" w:type="dxa"/>
                  <w:vAlign w:val="center"/>
                </w:tcPr>
                <w:p w14:paraId="4719F47F">
                  <w:pPr>
                    <w:pStyle w:val="148"/>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w:t>
                  </w:r>
                </w:p>
              </w:tc>
            </w:tr>
            <w:tr w14:paraId="0DAC9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08" w:type="dxa"/>
                  <w:vAlign w:val="center"/>
                </w:tcPr>
                <w:p w14:paraId="62ABC7D3">
                  <w:pPr>
                    <w:pStyle w:val="148"/>
                    <w:jc w:val="center"/>
                    <w:rPr>
                      <w:rFonts w:ascii="Times New Roman" w:hAnsi="Times New Roman"/>
                      <w:color w:val="auto"/>
                      <w:szCs w:val="21"/>
                    </w:rPr>
                  </w:pPr>
                  <w:r>
                    <w:rPr>
                      <w:rFonts w:ascii="Times New Roman" w:hAnsi="Times New Roman"/>
                      <w:color w:val="auto"/>
                      <w:szCs w:val="21"/>
                    </w:rPr>
                    <w:t>铜</w:t>
                  </w:r>
                </w:p>
              </w:tc>
              <w:tc>
                <w:tcPr>
                  <w:tcW w:w="1134" w:type="dxa"/>
                  <w:vAlign w:val="center"/>
                </w:tcPr>
                <w:p w14:paraId="4C7D4A24">
                  <w:pPr>
                    <w:pStyle w:val="148"/>
                    <w:jc w:val="center"/>
                    <w:rPr>
                      <w:rFonts w:hint="default" w:ascii="Times New Roman" w:hAnsi="Times New Roman" w:eastAsia="宋体"/>
                      <w:color w:val="auto"/>
                      <w:kern w:val="0"/>
                      <w:szCs w:val="21"/>
                      <w:lang w:val="en-US" w:eastAsia="zh-CN" w:bidi="ar"/>
                    </w:rPr>
                  </w:pPr>
                  <w:r>
                    <w:rPr>
                      <w:rFonts w:hint="eastAsia" w:ascii="Times New Roman" w:hAnsi="Times New Roman"/>
                      <w:color w:val="auto"/>
                      <w:kern w:val="0"/>
                      <w:szCs w:val="21"/>
                      <w:lang w:val="en-US" w:eastAsia="zh-CN" w:bidi="ar"/>
                    </w:rPr>
                    <w:t>14.0</w:t>
                  </w:r>
                </w:p>
              </w:tc>
              <w:tc>
                <w:tcPr>
                  <w:tcW w:w="2977" w:type="dxa"/>
                  <w:vAlign w:val="center"/>
                </w:tcPr>
                <w:p w14:paraId="28EE69F3">
                  <w:pPr>
                    <w:pStyle w:val="148"/>
                    <w:jc w:val="center"/>
                    <w:rPr>
                      <w:rFonts w:ascii="Times New Roman" w:hAnsi="Times New Roman"/>
                      <w:color w:val="auto"/>
                      <w:spacing w:val="-20"/>
                      <w:szCs w:val="21"/>
                    </w:rPr>
                  </w:pPr>
                  <w:r>
                    <w:rPr>
                      <w:rFonts w:hint="eastAsia" w:ascii="Times New Roman" w:hAnsi="Times New Roman"/>
                      <w:color w:val="auto"/>
                      <w:szCs w:val="21"/>
                    </w:rPr>
                    <w:t>18000</w:t>
                  </w:r>
                </w:p>
              </w:tc>
              <w:tc>
                <w:tcPr>
                  <w:tcW w:w="759" w:type="dxa"/>
                  <w:vAlign w:val="center"/>
                </w:tcPr>
                <w:p w14:paraId="322CD0C6">
                  <w:pPr>
                    <w:pStyle w:val="148"/>
                    <w:jc w:val="center"/>
                    <w:rPr>
                      <w:rFonts w:ascii="Times New Roman" w:hAnsi="Times New Roman"/>
                      <w:color w:val="auto"/>
                      <w:szCs w:val="21"/>
                    </w:rPr>
                  </w:pPr>
                  <w:r>
                    <w:rPr>
                      <w:rFonts w:hint="eastAsia" w:ascii="Times New Roman" w:hAnsi="Times New Roman"/>
                      <w:color w:val="auto"/>
                      <w:szCs w:val="21"/>
                    </w:rPr>
                    <w:t>合格</w:t>
                  </w:r>
                </w:p>
              </w:tc>
            </w:tr>
            <w:tr w14:paraId="67CFD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08" w:type="dxa"/>
                  <w:vAlign w:val="center"/>
                </w:tcPr>
                <w:p w14:paraId="0647275C">
                  <w:pPr>
                    <w:pStyle w:val="148"/>
                    <w:jc w:val="center"/>
                    <w:rPr>
                      <w:rFonts w:ascii="Times New Roman" w:hAnsi="Times New Roman"/>
                      <w:color w:val="auto"/>
                      <w:szCs w:val="21"/>
                    </w:rPr>
                  </w:pPr>
                  <w:r>
                    <w:rPr>
                      <w:rFonts w:ascii="Times New Roman" w:hAnsi="Times New Roman"/>
                      <w:color w:val="auto"/>
                      <w:szCs w:val="21"/>
                    </w:rPr>
                    <w:t>铅</w:t>
                  </w:r>
                </w:p>
              </w:tc>
              <w:tc>
                <w:tcPr>
                  <w:tcW w:w="1134" w:type="dxa"/>
                  <w:vAlign w:val="center"/>
                </w:tcPr>
                <w:p w14:paraId="672CE2EC">
                  <w:pPr>
                    <w:pStyle w:val="148"/>
                    <w:jc w:val="center"/>
                    <w:rPr>
                      <w:rFonts w:hint="default" w:ascii="Times New Roman" w:hAnsi="Times New Roman" w:eastAsia="宋体"/>
                      <w:color w:val="auto"/>
                      <w:kern w:val="0"/>
                      <w:szCs w:val="21"/>
                      <w:lang w:val="en-US" w:eastAsia="zh-CN" w:bidi="ar"/>
                    </w:rPr>
                  </w:pPr>
                  <w:r>
                    <w:rPr>
                      <w:rFonts w:hint="eastAsia" w:ascii="Times New Roman" w:hAnsi="Times New Roman"/>
                      <w:color w:val="auto"/>
                      <w:kern w:val="0"/>
                      <w:szCs w:val="21"/>
                      <w:lang w:val="en-US" w:eastAsia="zh-CN" w:bidi="ar"/>
                    </w:rPr>
                    <w:t>7.7</w:t>
                  </w:r>
                </w:p>
              </w:tc>
              <w:tc>
                <w:tcPr>
                  <w:tcW w:w="2977" w:type="dxa"/>
                  <w:vAlign w:val="center"/>
                </w:tcPr>
                <w:p w14:paraId="1037C59F">
                  <w:pPr>
                    <w:pStyle w:val="148"/>
                    <w:jc w:val="center"/>
                    <w:rPr>
                      <w:rFonts w:ascii="Times New Roman" w:hAnsi="Times New Roman"/>
                      <w:color w:val="auto"/>
                      <w:spacing w:val="-20"/>
                      <w:szCs w:val="21"/>
                    </w:rPr>
                  </w:pPr>
                  <w:r>
                    <w:rPr>
                      <w:rFonts w:hint="eastAsia" w:ascii="Times New Roman" w:hAnsi="Times New Roman"/>
                      <w:color w:val="auto"/>
                      <w:szCs w:val="21"/>
                    </w:rPr>
                    <w:t>800</w:t>
                  </w:r>
                </w:p>
              </w:tc>
              <w:tc>
                <w:tcPr>
                  <w:tcW w:w="759" w:type="dxa"/>
                  <w:vAlign w:val="center"/>
                </w:tcPr>
                <w:p w14:paraId="43175A48">
                  <w:pPr>
                    <w:pStyle w:val="148"/>
                    <w:jc w:val="center"/>
                    <w:rPr>
                      <w:rFonts w:ascii="Times New Roman" w:hAnsi="Times New Roman"/>
                      <w:color w:val="auto"/>
                      <w:szCs w:val="21"/>
                    </w:rPr>
                  </w:pPr>
                  <w:r>
                    <w:rPr>
                      <w:rFonts w:hint="eastAsia" w:ascii="Times New Roman" w:hAnsi="Times New Roman"/>
                      <w:color w:val="auto"/>
                      <w:szCs w:val="21"/>
                    </w:rPr>
                    <w:t>合格</w:t>
                  </w:r>
                </w:p>
              </w:tc>
            </w:tr>
            <w:tr w14:paraId="5A9F1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08" w:type="dxa"/>
                  <w:vAlign w:val="center"/>
                </w:tcPr>
                <w:p w14:paraId="3202088A">
                  <w:pPr>
                    <w:pStyle w:val="148"/>
                    <w:jc w:val="center"/>
                    <w:rPr>
                      <w:rFonts w:ascii="Times New Roman" w:hAnsi="Times New Roman"/>
                      <w:color w:val="auto"/>
                      <w:szCs w:val="21"/>
                    </w:rPr>
                  </w:pPr>
                  <w:r>
                    <w:rPr>
                      <w:rFonts w:ascii="Times New Roman" w:hAnsi="Times New Roman"/>
                      <w:color w:val="auto"/>
                      <w:szCs w:val="21"/>
                    </w:rPr>
                    <w:t>汞</w:t>
                  </w:r>
                </w:p>
              </w:tc>
              <w:tc>
                <w:tcPr>
                  <w:tcW w:w="1134" w:type="dxa"/>
                  <w:vAlign w:val="center"/>
                </w:tcPr>
                <w:p w14:paraId="4279E342">
                  <w:pPr>
                    <w:pStyle w:val="148"/>
                    <w:jc w:val="center"/>
                    <w:rPr>
                      <w:rFonts w:hint="default" w:ascii="Times New Roman" w:hAnsi="Times New Roman" w:eastAsia="宋体"/>
                      <w:color w:val="auto"/>
                      <w:kern w:val="0"/>
                      <w:szCs w:val="21"/>
                      <w:lang w:val="en-US" w:eastAsia="zh-CN" w:bidi="ar"/>
                    </w:rPr>
                  </w:pPr>
                  <w:r>
                    <w:rPr>
                      <w:rFonts w:hint="eastAsia" w:ascii="Times New Roman" w:hAnsi="Times New Roman"/>
                      <w:color w:val="auto"/>
                      <w:kern w:val="0"/>
                      <w:szCs w:val="21"/>
                      <w:lang w:val="en-US" w:eastAsia="zh-CN" w:bidi="ar"/>
                    </w:rPr>
                    <w:t>0.139</w:t>
                  </w:r>
                </w:p>
              </w:tc>
              <w:tc>
                <w:tcPr>
                  <w:tcW w:w="2977" w:type="dxa"/>
                  <w:vAlign w:val="center"/>
                </w:tcPr>
                <w:p w14:paraId="56A9AF6A">
                  <w:pPr>
                    <w:pStyle w:val="148"/>
                    <w:jc w:val="center"/>
                    <w:rPr>
                      <w:rFonts w:ascii="Times New Roman" w:hAnsi="Times New Roman"/>
                      <w:color w:val="auto"/>
                      <w:szCs w:val="21"/>
                    </w:rPr>
                  </w:pPr>
                  <w:r>
                    <w:rPr>
                      <w:rFonts w:hint="eastAsia" w:ascii="Times New Roman" w:hAnsi="Times New Roman"/>
                      <w:color w:val="auto"/>
                      <w:szCs w:val="21"/>
                    </w:rPr>
                    <w:t>38</w:t>
                  </w:r>
                </w:p>
              </w:tc>
              <w:tc>
                <w:tcPr>
                  <w:tcW w:w="759" w:type="dxa"/>
                  <w:vAlign w:val="center"/>
                </w:tcPr>
                <w:p w14:paraId="6988A010">
                  <w:pPr>
                    <w:pStyle w:val="148"/>
                    <w:jc w:val="center"/>
                    <w:rPr>
                      <w:rFonts w:ascii="Times New Roman" w:hAnsi="Times New Roman"/>
                      <w:color w:val="auto"/>
                      <w:szCs w:val="21"/>
                    </w:rPr>
                  </w:pPr>
                  <w:r>
                    <w:rPr>
                      <w:rFonts w:hint="eastAsia" w:ascii="Times New Roman" w:hAnsi="Times New Roman"/>
                      <w:color w:val="auto"/>
                      <w:szCs w:val="21"/>
                    </w:rPr>
                    <w:t>合格</w:t>
                  </w:r>
                </w:p>
              </w:tc>
            </w:tr>
            <w:tr w14:paraId="7B660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08" w:type="dxa"/>
                  <w:vAlign w:val="center"/>
                </w:tcPr>
                <w:p w14:paraId="757485CA">
                  <w:pPr>
                    <w:pStyle w:val="148"/>
                    <w:jc w:val="center"/>
                    <w:rPr>
                      <w:rFonts w:ascii="Times New Roman" w:hAnsi="Times New Roman"/>
                      <w:color w:val="auto"/>
                      <w:szCs w:val="21"/>
                      <w:highlight w:val="none"/>
                    </w:rPr>
                  </w:pPr>
                  <w:r>
                    <w:rPr>
                      <w:rFonts w:ascii="Times New Roman" w:hAnsi="Times New Roman"/>
                      <w:color w:val="auto"/>
                      <w:szCs w:val="21"/>
                      <w:highlight w:val="none"/>
                    </w:rPr>
                    <w:t>氟化物</w:t>
                  </w:r>
                  <w:r>
                    <w:rPr>
                      <w:rFonts w:hint="eastAsia"/>
                      <w:b/>
                      <w:bCs/>
                      <w:color w:val="auto"/>
                      <w:szCs w:val="21"/>
                      <w:highlight w:val="none"/>
                      <w:vertAlign w:val="superscript"/>
                    </w:rPr>
                    <w:t>a</w:t>
                  </w:r>
                </w:p>
              </w:tc>
              <w:tc>
                <w:tcPr>
                  <w:tcW w:w="1134" w:type="dxa"/>
                  <w:vAlign w:val="center"/>
                </w:tcPr>
                <w:p w14:paraId="0153915E">
                  <w:pPr>
                    <w:pStyle w:val="148"/>
                    <w:jc w:val="center"/>
                    <w:rPr>
                      <w:rFonts w:hint="default" w:ascii="Times New Roman" w:hAnsi="Times New Roman" w:eastAsia="宋体"/>
                      <w:color w:val="auto"/>
                      <w:kern w:val="0"/>
                      <w:szCs w:val="21"/>
                      <w:highlight w:val="none"/>
                      <w:lang w:val="en-US" w:eastAsia="zh-CN" w:bidi="ar"/>
                    </w:rPr>
                  </w:pPr>
                  <w:r>
                    <w:rPr>
                      <w:rFonts w:hint="eastAsia" w:ascii="Times New Roman" w:hAnsi="Times New Roman"/>
                      <w:color w:val="auto"/>
                      <w:kern w:val="0"/>
                      <w:szCs w:val="21"/>
                      <w:highlight w:val="none"/>
                      <w:lang w:val="en-US" w:eastAsia="zh-CN" w:bidi="ar"/>
                    </w:rPr>
                    <w:t>239</w:t>
                  </w:r>
                </w:p>
              </w:tc>
              <w:tc>
                <w:tcPr>
                  <w:tcW w:w="2977" w:type="dxa"/>
                  <w:vAlign w:val="center"/>
                </w:tcPr>
                <w:p w14:paraId="780F6654">
                  <w:pPr>
                    <w:pStyle w:val="148"/>
                    <w:jc w:val="center"/>
                    <w:rPr>
                      <w:rFonts w:ascii="Times New Roman" w:hAnsi="Times New Roman"/>
                      <w:color w:val="auto"/>
                      <w:szCs w:val="21"/>
                      <w:highlight w:val="none"/>
                    </w:rPr>
                  </w:pPr>
                  <w:r>
                    <w:rPr>
                      <w:rFonts w:hint="eastAsia" w:ascii="Times New Roman" w:hAnsi="Times New Roman"/>
                      <w:color w:val="auto"/>
                      <w:szCs w:val="21"/>
                      <w:highlight w:val="none"/>
                    </w:rPr>
                    <w:t>10000</w:t>
                  </w:r>
                </w:p>
              </w:tc>
              <w:tc>
                <w:tcPr>
                  <w:tcW w:w="759" w:type="dxa"/>
                  <w:vAlign w:val="center"/>
                </w:tcPr>
                <w:p w14:paraId="4DBB5D16">
                  <w:pPr>
                    <w:pStyle w:val="148"/>
                    <w:jc w:val="center"/>
                    <w:rPr>
                      <w:rFonts w:ascii="Times New Roman" w:hAnsi="Times New Roman"/>
                      <w:color w:val="auto"/>
                      <w:szCs w:val="21"/>
                      <w:highlight w:val="none"/>
                    </w:rPr>
                  </w:pPr>
                  <w:r>
                    <w:rPr>
                      <w:rFonts w:hint="eastAsia" w:ascii="Times New Roman" w:hAnsi="Times New Roman"/>
                      <w:color w:val="auto"/>
                      <w:szCs w:val="21"/>
                      <w:highlight w:val="none"/>
                    </w:rPr>
                    <w:t>合格</w:t>
                  </w:r>
                </w:p>
              </w:tc>
            </w:tr>
            <w:tr w14:paraId="2374E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78" w:type="dxa"/>
                  <w:gridSpan w:val="4"/>
                  <w:vAlign w:val="center"/>
                </w:tcPr>
                <w:p w14:paraId="24C77461">
                  <w:pPr>
                    <w:pStyle w:val="148"/>
                    <w:rPr>
                      <w:rFonts w:hint="eastAsia"/>
                      <w:b/>
                      <w:bCs/>
                      <w:color w:val="auto"/>
                      <w:szCs w:val="21"/>
                      <w:highlight w:val="none"/>
                      <w:vertAlign w:val="superscript"/>
                    </w:rPr>
                  </w:pPr>
                  <w:r>
                    <w:rPr>
                      <w:rFonts w:hint="eastAsia"/>
                      <w:b/>
                      <w:bCs/>
                      <w:color w:val="auto"/>
                      <w:szCs w:val="21"/>
                      <w:highlight w:val="none"/>
                      <w:vertAlign w:val="superscript"/>
                    </w:rPr>
                    <w:t>a</w:t>
                  </w:r>
                  <w:r>
                    <w:rPr>
                      <w:rFonts w:hint="eastAsia"/>
                      <w:bCs/>
                      <w:color w:val="auto"/>
                      <w:szCs w:val="21"/>
                      <w:highlight w:val="none"/>
                    </w:rPr>
                    <w:t>总氟化物指标参照深圳市地方标准《建设用地土壤污染风险筛选值和管制值》</w:t>
                  </w:r>
                  <w:r>
                    <w:rPr>
                      <w:rFonts w:ascii="Times New Roman" w:hAnsi="Times New Roman"/>
                      <w:bCs/>
                      <w:color w:val="auto"/>
                      <w:szCs w:val="21"/>
                      <w:highlight w:val="none"/>
                    </w:rPr>
                    <w:t>（DB 4403/T 67-2020）第二类用地筛选值和管制值。</w:t>
                  </w:r>
                  <w:r>
                    <w:rPr>
                      <w:rFonts w:ascii="Times New Roman" w:hAnsi="Times New Roman"/>
                      <w:color w:val="auto"/>
                      <w:szCs w:val="21"/>
                      <w:highlight w:val="none"/>
                    </w:rPr>
                    <w:t>（单位：</w:t>
                  </w:r>
                  <w:r>
                    <w:rPr>
                      <w:rFonts w:ascii="Times New Roman" w:hAnsi="Times New Roman"/>
                      <w:color w:val="auto"/>
                      <w:szCs w:val="21"/>
                      <w:highlight w:val="none"/>
                      <w:lang w:bidi="en-US"/>
                    </w:rPr>
                    <w:t>mg/kg</w:t>
                  </w:r>
                  <w:r>
                    <w:rPr>
                      <w:rFonts w:ascii="Times New Roman" w:hAnsi="Times New Roman"/>
                      <w:color w:val="auto"/>
                      <w:szCs w:val="21"/>
                      <w:highlight w:val="none"/>
                    </w:rPr>
                    <w:t>）</w:t>
                  </w:r>
                </w:p>
              </w:tc>
            </w:tr>
          </w:tbl>
          <w:p w14:paraId="48084298">
            <w:pPr>
              <w:spacing w:line="360" w:lineRule="auto"/>
              <w:ind w:firstLine="480" w:firstLineChars="200"/>
              <w:rPr>
                <w:color w:val="auto"/>
                <w:sz w:val="24"/>
                <w:szCs w:val="22"/>
              </w:rPr>
            </w:pPr>
            <w:r>
              <w:rPr>
                <w:color w:val="auto"/>
                <w:sz w:val="24"/>
                <w:szCs w:val="22"/>
              </w:rPr>
              <w:t>根据上表结果，</w:t>
            </w:r>
            <w:r>
              <w:rPr>
                <w:rFonts w:hint="eastAsia"/>
                <w:color w:val="auto"/>
                <w:sz w:val="24"/>
                <w:szCs w:val="22"/>
                <w:lang w:eastAsia="zh-CN"/>
              </w:rPr>
              <w:t>云南常青树化工有限公司</w:t>
            </w:r>
            <w:r>
              <w:rPr>
                <w:color w:val="auto"/>
                <w:sz w:val="24"/>
              </w:rPr>
              <w:t>生态修复材料</w:t>
            </w:r>
            <w:r>
              <w:rPr>
                <w:color w:val="auto"/>
                <w:sz w:val="24"/>
                <w:szCs w:val="22"/>
              </w:rPr>
              <w:t>按照HJ/T 299制备的浸出液中</w:t>
            </w:r>
            <w:r>
              <w:rPr>
                <w:color w:val="auto"/>
                <w:sz w:val="24"/>
              </w:rPr>
              <w:t>生态修复材料</w:t>
            </w:r>
            <w:r>
              <w:rPr>
                <w:color w:val="auto"/>
                <w:sz w:val="24"/>
                <w:szCs w:val="22"/>
              </w:rPr>
              <w:t>的腐蚀性并未超过《危险废物鉴别标准 腐蚀性鉴别》（GB 5085.1-2007）中的限值，各检测指标未超过《危险废物鉴别标准 浸出毒性鉴别》（GB 5085.3-2007）中的限值，因此从浸出毒性判断</w:t>
            </w:r>
            <w:r>
              <w:rPr>
                <w:rFonts w:hint="eastAsia"/>
                <w:color w:val="auto"/>
                <w:sz w:val="24"/>
                <w:szCs w:val="22"/>
                <w:lang w:eastAsia="zh-CN"/>
              </w:rPr>
              <w:t>云南常青树化工有限公司</w:t>
            </w:r>
            <w:r>
              <w:rPr>
                <w:color w:val="auto"/>
                <w:sz w:val="24"/>
              </w:rPr>
              <w:t>生态修复材料</w:t>
            </w:r>
            <w:r>
              <w:rPr>
                <w:color w:val="auto"/>
                <w:sz w:val="24"/>
                <w:szCs w:val="22"/>
              </w:rPr>
              <w:t>不是危险废物。</w:t>
            </w:r>
            <w:r>
              <w:rPr>
                <w:rFonts w:hint="eastAsia"/>
                <w:color w:val="auto"/>
                <w:sz w:val="24"/>
                <w:szCs w:val="22"/>
                <w:lang w:val="en-US" w:eastAsia="zh-CN"/>
              </w:rPr>
              <w:t>此外，</w:t>
            </w:r>
            <w:r>
              <w:rPr>
                <w:color w:val="auto"/>
                <w:sz w:val="24"/>
                <w:szCs w:val="22"/>
              </w:rPr>
              <w:t>各检测指标均未超过《污水综合排放标准》（GB 8978-1996）中一级标准的限值，且pH值位于6-9范围内。</w:t>
            </w:r>
            <w:r>
              <w:rPr>
                <w:rFonts w:hint="eastAsia"/>
                <w:bCs/>
                <w:color w:val="auto"/>
                <w:sz w:val="24"/>
              </w:rPr>
              <w:t>同时</w:t>
            </w:r>
            <w:r>
              <w:rPr>
                <w:rFonts w:hint="eastAsia"/>
                <w:bCs/>
                <w:color w:val="auto"/>
                <w:sz w:val="24"/>
                <w:lang w:eastAsia="zh-CN"/>
              </w:rPr>
              <w:t>云南常青树化工有限公司</w:t>
            </w:r>
            <w:r>
              <w:rPr>
                <w:rFonts w:hint="eastAsia"/>
                <w:bCs/>
                <w:color w:val="auto"/>
                <w:sz w:val="24"/>
              </w:rPr>
              <w:t>生态修复材料各项重金属技术指标均低于《土壤环境质量 建设用地土壤污染风险管控标准（试行）》（G</w:t>
            </w:r>
            <w:r>
              <w:rPr>
                <w:bCs/>
                <w:color w:val="auto"/>
                <w:sz w:val="24"/>
              </w:rPr>
              <w:t>B</w:t>
            </w:r>
            <w:r>
              <w:rPr>
                <w:rFonts w:hint="eastAsia"/>
                <w:bCs/>
                <w:color w:val="auto"/>
                <w:sz w:val="24"/>
              </w:rPr>
              <w:t xml:space="preserve"> </w:t>
            </w:r>
            <w:r>
              <w:rPr>
                <w:bCs/>
                <w:color w:val="auto"/>
                <w:sz w:val="24"/>
              </w:rPr>
              <w:t>3660-2018</w:t>
            </w:r>
            <w:r>
              <w:rPr>
                <w:rFonts w:hint="eastAsia"/>
                <w:bCs/>
                <w:color w:val="auto"/>
                <w:sz w:val="24"/>
              </w:rPr>
              <w:t>）表1中第二类用地筛选值，总氟化物指标低于深圳市地方标准《建设用地土壤污染风险筛选值和管制值》（D</w:t>
            </w:r>
            <w:r>
              <w:rPr>
                <w:bCs/>
                <w:color w:val="auto"/>
                <w:sz w:val="24"/>
              </w:rPr>
              <w:t>B</w:t>
            </w:r>
            <w:r>
              <w:rPr>
                <w:rFonts w:hint="eastAsia"/>
                <w:bCs/>
                <w:color w:val="auto"/>
                <w:sz w:val="24"/>
              </w:rPr>
              <w:t xml:space="preserve"> </w:t>
            </w:r>
            <w:r>
              <w:rPr>
                <w:bCs/>
                <w:color w:val="auto"/>
                <w:sz w:val="24"/>
              </w:rPr>
              <w:t>4403/T</w:t>
            </w:r>
            <w:r>
              <w:rPr>
                <w:rFonts w:hint="eastAsia"/>
                <w:bCs/>
                <w:color w:val="auto"/>
                <w:sz w:val="24"/>
              </w:rPr>
              <w:t xml:space="preserve"> </w:t>
            </w:r>
            <w:r>
              <w:rPr>
                <w:bCs/>
                <w:color w:val="auto"/>
                <w:sz w:val="24"/>
              </w:rPr>
              <w:t>67-2020</w:t>
            </w:r>
            <w:r>
              <w:rPr>
                <w:rFonts w:hint="eastAsia"/>
                <w:bCs/>
                <w:color w:val="auto"/>
                <w:sz w:val="24"/>
              </w:rPr>
              <w:t>）第二类用地筛选值和管制值。</w:t>
            </w:r>
          </w:p>
          <w:p w14:paraId="5343FEB5">
            <w:pPr>
              <w:spacing w:line="360" w:lineRule="auto"/>
              <w:ind w:firstLine="480" w:firstLineChars="200"/>
              <w:rPr>
                <w:color w:val="auto"/>
                <w:sz w:val="24"/>
                <w:szCs w:val="22"/>
              </w:rPr>
            </w:pPr>
            <w:r>
              <w:rPr>
                <w:color w:val="auto"/>
                <w:sz w:val="24"/>
              </w:rPr>
              <w:t>综上所述</w:t>
            </w:r>
            <w:r>
              <w:rPr>
                <w:color w:val="auto"/>
                <w:sz w:val="24"/>
                <w:szCs w:val="22"/>
              </w:rPr>
              <w:t>，</w:t>
            </w:r>
            <w:r>
              <w:rPr>
                <w:rFonts w:hint="eastAsia"/>
                <w:color w:val="auto"/>
                <w:sz w:val="24"/>
                <w:szCs w:val="22"/>
                <w:lang w:eastAsia="zh-CN"/>
              </w:rPr>
              <w:t>云南常青树化工有限公司</w:t>
            </w:r>
            <w:r>
              <w:rPr>
                <w:color w:val="auto"/>
                <w:sz w:val="24"/>
              </w:rPr>
              <w:t>生态修复材料</w:t>
            </w:r>
            <w:r>
              <w:rPr>
                <w:color w:val="auto"/>
                <w:sz w:val="24"/>
                <w:szCs w:val="22"/>
              </w:rPr>
              <w:t>满足第Ⅰ类一般工业固体废物指标要求，满足《一般工业固体废物贮存和填埋污染控制标准》（GB18599-2020）充填及回填利用污染控制要求，</w:t>
            </w:r>
            <w:r>
              <w:rPr>
                <w:rFonts w:hint="eastAsia"/>
                <w:bCs/>
                <w:color w:val="auto"/>
                <w:sz w:val="24"/>
              </w:rPr>
              <w:t>重金属技术</w:t>
            </w:r>
            <w:r>
              <w:rPr>
                <w:color w:val="auto"/>
                <w:sz w:val="24"/>
                <w:szCs w:val="22"/>
              </w:rPr>
              <w:t>指标满足</w:t>
            </w:r>
            <w:r>
              <w:rPr>
                <w:rFonts w:hint="eastAsia"/>
                <w:bCs/>
                <w:color w:val="auto"/>
                <w:sz w:val="24"/>
              </w:rPr>
              <w:t>《土壤环境质量 建设用地土壤污染风险管控标准（试行）》（G</w:t>
            </w:r>
            <w:r>
              <w:rPr>
                <w:bCs/>
                <w:color w:val="auto"/>
                <w:sz w:val="24"/>
              </w:rPr>
              <w:t>B</w:t>
            </w:r>
            <w:r>
              <w:rPr>
                <w:rFonts w:hint="eastAsia"/>
                <w:bCs/>
                <w:color w:val="auto"/>
                <w:sz w:val="24"/>
              </w:rPr>
              <w:t xml:space="preserve"> </w:t>
            </w:r>
            <w:r>
              <w:rPr>
                <w:bCs/>
                <w:color w:val="auto"/>
                <w:sz w:val="24"/>
              </w:rPr>
              <w:t>3660-2018</w:t>
            </w:r>
            <w:r>
              <w:rPr>
                <w:rFonts w:hint="eastAsia"/>
                <w:bCs/>
                <w:color w:val="auto"/>
                <w:sz w:val="24"/>
              </w:rPr>
              <w:t>）表1中第二类用地筛选值</w:t>
            </w:r>
            <w:r>
              <w:rPr>
                <w:color w:val="auto"/>
                <w:sz w:val="24"/>
                <w:szCs w:val="22"/>
              </w:rPr>
              <w:t>要求，</w:t>
            </w:r>
            <w:r>
              <w:rPr>
                <w:rFonts w:hint="eastAsia"/>
                <w:bCs/>
                <w:color w:val="auto"/>
                <w:sz w:val="24"/>
              </w:rPr>
              <w:t>总氟化物指标满足深圳市地方标准《建设用地土壤污染风险筛选值和管制值》（D</w:t>
            </w:r>
            <w:r>
              <w:rPr>
                <w:bCs/>
                <w:color w:val="auto"/>
                <w:sz w:val="24"/>
              </w:rPr>
              <w:t>B</w:t>
            </w:r>
            <w:r>
              <w:rPr>
                <w:rFonts w:hint="eastAsia"/>
                <w:bCs/>
                <w:color w:val="auto"/>
                <w:sz w:val="24"/>
              </w:rPr>
              <w:t xml:space="preserve"> </w:t>
            </w:r>
            <w:r>
              <w:rPr>
                <w:bCs/>
                <w:color w:val="auto"/>
                <w:sz w:val="24"/>
              </w:rPr>
              <w:t>4403/T</w:t>
            </w:r>
            <w:r>
              <w:rPr>
                <w:rFonts w:hint="eastAsia"/>
                <w:bCs/>
                <w:color w:val="auto"/>
                <w:sz w:val="24"/>
              </w:rPr>
              <w:t xml:space="preserve"> </w:t>
            </w:r>
            <w:r>
              <w:rPr>
                <w:bCs/>
                <w:color w:val="auto"/>
                <w:sz w:val="24"/>
              </w:rPr>
              <w:t>67-2020</w:t>
            </w:r>
            <w:r>
              <w:rPr>
                <w:rFonts w:hint="eastAsia"/>
                <w:bCs/>
                <w:color w:val="auto"/>
                <w:sz w:val="24"/>
              </w:rPr>
              <w:t>）第二类用地筛选值和管制值要求</w:t>
            </w:r>
            <w:r>
              <w:rPr>
                <w:color w:val="auto"/>
                <w:sz w:val="24"/>
              </w:rPr>
              <w:t>，确保了环境安全。</w:t>
            </w:r>
          </w:p>
          <w:p w14:paraId="452CD44B">
            <w:pPr>
              <w:autoSpaceDE w:val="0"/>
              <w:autoSpaceDN w:val="0"/>
              <w:spacing w:line="360" w:lineRule="auto"/>
              <w:ind w:firstLine="480" w:firstLineChars="200"/>
              <w:jc w:val="left"/>
              <w:rPr>
                <w:rFonts w:hint="default" w:eastAsia="宋体"/>
                <w:bCs/>
                <w:color w:val="auto"/>
                <w:sz w:val="24"/>
                <w:highlight w:val="yellow"/>
                <w:lang w:val="en-US" w:eastAsia="zh-CN"/>
              </w:rPr>
            </w:pPr>
            <w:r>
              <w:rPr>
                <w:rFonts w:hint="eastAsia"/>
                <w:bCs/>
                <w:color w:val="auto"/>
                <w:sz w:val="24"/>
                <w:highlight w:val="none"/>
                <w:lang w:val="en-US" w:eastAsia="zh-CN"/>
              </w:rPr>
              <w:t>此外，改性磷石膏用于矿山生态修复已得到应用，如：项目矿山生态修复材料去向—</w:t>
            </w:r>
            <w:r>
              <w:rPr>
                <w:rFonts w:hint="eastAsia"/>
                <w:color w:val="auto"/>
                <w:sz w:val="24"/>
                <w:highlight w:val="none"/>
              </w:rPr>
              <w:t>兴中宝磷矿厂矿山</w:t>
            </w:r>
            <w:r>
              <w:rPr>
                <w:rFonts w:hint="eastAsia"/>
                <w:color w:val="auto"/>
                <w:sz w:val="24"/>
                <w:highlight w:val="none"/>
                <w:lang w:eastAsia="zh-CN"/>
              </w:rPr>
              <w:t>，</w:t>
            </w:r>
            <w:r>
              <w:rPr>
                <w:rFonts w:hint="eastAsia"/>
                <w:color w:val="auto"/>
                <w:sz w:val="24"/>
                <w:highlight w:val="none"/>
                <w:lang w:val="en-US" w:eastAsia="zh-CN"/>
              </w:rPr>
              <w:t>该项目已于2021年5月26日取得了</w:t>
            </w:r>
            <w:r>
              <w:rPr>
                <w:rFonts w:hint="eastAsia"/>
                <w:color w:val="auto"/>
                <w:sz w:val="24"/>
                <w:highlight w:val="none"/>
              </w:rPr>
              <w:t>昆明市生态环境局西山分局关于《昆明市海口工业园区兴中宝磷矿厂矿山生态修复建设项目环境影响报告表》的批复西环管发﹝2021﹞9号</w:t>
            </w:r>
            <w:r>
              <w:rPr>
                <w:rFonts w:hint="eastAsia"/>
                <w:color w:val="auto"/>
                <w:sz w:val="24"/>
                <w:highlight w:val="none"/>
                <w:lang w:eastAsia="zh-CN"/>
              </w:rPr>
              <w:t>，</w:t>
            </w:r>
            <w:r>
              <w:rPr>
                <w:rFonts w:hint="eastAsia"/>
                <w:color w:val="auto"/>
                <w:sz w:val="24"/>
                <w:highlight w:val="none"/>
                <w:lang w:val="en-US" w:eastAsia="zh-CN"/>
              </w:rPr>
              <w:t>目前已实施了近三年，期间未出现过环境污染事故。</w:t>
            </w:r>
          </w:p>
          <w:p w14:paraId="635478C7">
            <w:pPr>
              <w:autoSpaceDE w:val="0"/>
              <w:autoSpaceDN w:val="0"/>
              <w:spacing w:line="360" w:lineRule="auto"/>
              <w:ind w:firstLine="480" w:firstLineChars="200"/>
              <w:jc w:val="left"/>
              <w:rPr>
                <w:rFonts w:hint="eastAsia"/>
                <w:bCs/>
                <w:color w:val="auto"/>
                <w:sz w:val="24"/>
              </w:rPr>
            </w:pPr>
            <w:r>
              <w:rPr>
                <w:bCs/>
                <w:color w:val="auto"/>
                <w:sz w:val="24"/>
              </w:rPr>
              <w:t>本环评提出，产品</w:t>
            </w:r>
            <w:r>
              <w:rPr>
                <w:rFonts w:hint="eastAsia"/>
                <w:bCs/>
                <w:color w:val="auto"/>
                <w:sz w:val="24"/>
              </w:rPr>
              <w:t>生态修复材料每批次</w:t>
            </w:r>
            <w:r>
              <w:rPr>
                <w:bCs/>
                <w:color w:val="auto"/>
                <w:sz w:val="24"/>
              </w:rPr>
              <w:t>出厂前</w:t>
            </w:r>
            <w:r>
              <w:rPr>
                <w:rFonts w:hint="eastAsia" w:ascii="宋体" w:hAnsi="宋体" w:cs="宋体"/>
                <w:bCs/>
                <w:color w:val="auto"/>
                <w:sz w:val="24"/>
              </w:rPr>
              <w:t>必须经检测</w:t>
            </w:r>
            <w:r>
              <w:rPr>
                <w:bCs/>
                <w:color w:val="auto"/>
                <w:sz w:val="24"/>
              </w:rPr>
              <w:t>，</w:t>
            </w:r>
            <w:r>
              <w:rPr>
                <w:rFonts w:hint="eastAsia"/>
                <w:bCs/>
                <w:color w:val="auto"/>
                <w:sz w:val="24"/>
              </w:rPr>
              <w:t>达到执行的标准且满足：不在磷石膏中掺加除无害化处理工艺所需要改性剂之外的其他固体废物，严禁混入危险废物、放射性废物、生活垃圾性质相近的一般工业固体废物以及其他有机物含量超过5</w:t>
            </w:r>
            <w:r>
              <w:rPr>
                <w:bCs/>
                <w:color w:val="auto"/>
                <w:sz w:val="24"/>
              </w:rPr>
              <w:t>%</w:t>
            </w:r>
            <w:r>
              <w:rPr>
                <w:rFonts w:hint="eastAsia"/>
                <w:bCs/>
                <w:color w:val="auto"/>
                <w:sz w:val="24"/>
              </w:rPr>
              <w:t>的一般工业固体废物的要求，方可出售。</w:t>
            </w:r>
          </w:p>
          <w:p w14:paraId="3853C675">
            <w:pPr>
              <w:spacing w:line="360" w:lineRule="auto"/>
              <w:ind w:firstLine="562" w:firstLineChars="200"/>
              <w:rPr>
                <w:b/>
                <w:bCs/>
                <w:color w:val="auto"/>
                <w:sz w:val="28"/>
                <w:szCs w:val="28"/>
              </w:rPr>
            </w:pPr>
            <w:r>
              <w:rPr>
                <w:b/>
                <w:bCs/>
                <w:color w:val="auto"/>
                <w:sz w:val="28"/>
                <w:szCs w:val="28"/>
              </w:rPr>
              <w:t>5、原辅材料及能源消耗情况</w:t>
            </w:r>
          </w:p>
          <w:p w14:paraId="27BBE89F">
            <w:pPr>
              <w:spacing w:line="360" w:lineRule="auto"/>
              <w:ind w:firstLine="480" w:firstLineChars="200"/>
              <w:rPr>
                <w:color w:val="auto"/>
                <w:sz w:val="24"/>
                <w:highlight w:val="yellow"/>
              </w:rPr>
            </w:pPr>
            <w:r>
              <w:rPr>
                <w:color w:val="auto"/>
                <w:sz w:val="24"/>
              </w:rPr>
              <w:t>（1）磷石膏</w:t>
            </w:r>
          </w:p>
          <w:p w14:paraId="52F0FAAE">
            <w:pPr>
              <w:spacing w:line="360" w:lineRule="auto"/>
              <w:ind w:firstLine="360" w:firstLineChars="150"/>
              <w:jc w:val="both"/>
              <w:rPr>
                <w:color w:val="auto"/>
                <w:sz w:val="24"/>
              </w:rPr>
            </w:pPr>
            <w:r>
              <w:rPr>
                <w:color w:val="auto"/>
                <w:sz w:val="24"/>
              </w:rPr>
              <w:t>根据业主提供资料，项目原材料磷石膏来源于</w:t>
            </w:r>
            <w:r>
              <w:rPr>
                <w:rFonts w:hint="eastAsia"/>
                <w:color w:val="auto"/>
                <w:sz w:val="24"/>
                <w:lang w:eastAsia="zh-CN"/>
              </w:rPr>
              <w:t>云南常青树化工有限公司</w:t>
            </w:r>
            <w:r>
              <w:rPr>
                <w:color w:val="auto"/>
                <w:sz w:val="24"/>
              </w:rPr>
              <w:t>湿法磷酸生产线副产品，其主要成分是二水石膏(CaSO</w:t>
            </w:r>
            <w:r>
              <w:rPr>
                <w:color w:val="auto"/>
                <w:sz w:val="24"/>
                <w:vertAlign w:val="subscript"/>
              </w:rPr>
              <w:t>4</w:t>
            </w:r>
            <w:r>
              <w:rPr>
                <w:color w:val="auto"/>
                <w:sz w:val="24"/>
              </w:rPr>
              <w:t>·2H</w:t>
            </w:r>
            <w:r>
              <w:rPr>
                <w:color w:val="auto"/>
                <w:sz w:val="24"/>
                <w:vertAlign w:val="subscript"/>
              </w:rPr>
              <w:t>2</w:t>
            </w:r>
            <w:r>
              <w:rPr>
                <w:color w:val="auto"/>
                <w:sz w:val="24"/>
              </w:rPr>
              <w:t>O)，初期含水率在20%~25%左右，通过皮带运输至在</w:t>
            </w:r>
            <w:r>
              <w:rPr>
                <w:rFonts w:hint="eastAsia"/>
                <w:color w:val="auto"/>
                <w:sz w:val="24"/>
                <w:lang w:eastAsia="zh-CN"/>
              </w:rPr>
              <w:t>云南常青树化工有限公司</w:t>
            </w:r>
            <w:r>
              <w:rPr>
                <w:color w:val="auto"/>
                <w:sz w:val="24"/>
              </w:rPr>
              <w:t>磷石膏</w:t>
            </w:r>
            <w:r>
              <w:rPr>
                <w:rFonts w:hint="eastAsia"/>
                <w:color w:val="auto"/>
                <w:sz w:val="24"/>
                <w:lang w:val="en-US" w:eastAsia="zh-CN"/>
              </w:rPr>
              <w:t>渣场</w:t>
            </w:r>
            <w:r>
              <w:rPr>
                <w:color w:val="auto"/>
                <w:sz w:val="24"/>
              </w:rPr>
              <w:t>，堆放时间约60-90天。通过自然日晒雨淋的作用，将磷石膏中可溶性的氟、磷等无机盐通过雨水溶解下渗并蒸发掉部分水分，通过预净化后磷石膏的水含量下降到15%左右，脱水处理后的磷石膏</w:t>
            </w:r>
            <w:r>
              <w:rPr>
                <w:rFonts w:hint="eastAsia"/>
                <w:color w:val="auto"/>
                <w:sz w:val="24"/>
                <w:lang w:val="en-US" w:eastAsia="zh-CN"/>
              </w:rPr>
              <w:t>采用汽车</w:t>
            </w:r>
            <w:r>
              <w:rPr>
                <w:color w:val="auto"/>
                <w:sz w:val="24"/>
              </w:rPr>
              <w:t>运至</w:t>
            </w:r>
            <w:r>
              <w:rPr>
                <w:rFonts w:hint="eastAsia"/>
                <w:color w:val="auto"/>
                <w:sz w:val="24"/>
                <w:lang w:val="en-US" w:eastAsia="zh-CN"/>
              </w:rPr>
              <w:t>项目原料库</w:t>
            </w:r>
            <w:r>
              <w:rPr>
                <w:color w:val="auto"/>
                <w:sz w:val="24"/>
              </w:rPr>
              <w:t>进行生产。磷石膏呈弱酸性，灰白色粉状，含一定量的P</w:t>
            </w:r>
            <w:r>
              <w:rPr>
                <w:color w:val="auto"/>
                <w:sz w:val="24"/>
                <w:vertAlign w:val="subscript"/>
              </w:rPr>
              <w:t>2</w:t>
            </w:r>
            <w:r>
              <w:rPr>
                <w:color w:val="auto"/>
                <w:sz w:val="24"/>
              </w:rPr>
              <w:t>O</w:t>
            </w:r>
            <w:r>
              <w:rPr>
                <w:color w:val="auto"/>
                <w:sz w:val="24"/>
                <w:vertAlign w:val="subscript"/>
              </w:rPr>
              <w:t>5</w:t>
            </w:r>
            <w:r>
              <w:rPr>
                <w:color w:val="auto"/>
                <w:sz w:val="24"/>
              </w:rPr>
              <w:t>、F、未分解磷矿和酸不溶物，</w:t>
            </w:r>
            <w:r>
              <w:rPr>
                <w:rFonts w:hint="eastAsia"/>
                <w:color w:val="auto"/>
                <w:sz w:val="24"/>
              </w:rPr>
              <w:t>密度2.3g/cm</w:t>
            </w:r>
            <w:r>
              <w:rPr>
                <w:rFonts w:hint="eastAsia"/>
                <w:color w:val="auto"/>
                <w:sz w:val="24"/>
                <w:vertAlign w:val="superscript"/>
              </w:rPr>
              <w:t>3</w:t>
            </w:r>
            <w:r>
              <w:rPr>
                <w:color w:val="auto"/>
                <w:sz w:val="24"/>
              </w:rPr>
              <w:t>。其组成如下表2-</w:t>
            </w:r>
            <w:r>
              <w:rPr>
                <w:rFonts w:hint="eastAsia"/>
                <w:color w:val="auto"/>
                <w:sz w:val="24"/>
              </w:rPr>
              <w:t>1</w:t>
            </w:r>
            <w:r>
              <w:rPr>
                <w:rFonts w:hint="eastAsia"/>
                <w:color w:val="auto"/>
                <w:sz w:val="24"/>
                <w:lang w:val="en-US" w:eastAsia="zh-CN"/>
              </w:rPr>
              <w:t>4</w:t>
            </w:r>
            <w:r>
              <w:rPr>
                <w:color w:val="auto"/>
                <w:sz w:val="24"/>
              </w:rPr>
              <w:t>所示。</w:t>
            </w:r>
          </w:p>
          <w:p w14:paraId="35CA2DB6">
            <w:pPr>
              <w:jc w:val="center"/>
              <w:rPr>
                <w:b/>
                <w:color w:val="auto"/>
                <w:sz w:val="24"/>
                <w:highlight w:val="yellow"/>
              </w:rPr>
            </w:pPr>
            <w:r>
              <w:rPr>
                <w:b/>
                <w:color w:val="auto"/>
                <w:sz w:val="24"/>
              </w:rPr>
              <w:t>表2-</w:t>
            </w:r>
            <w:r>
              <w:rPr>
                <w:rFonts w:hint="eastAsia"/>
                <w:b/>
                <w:color w:val="auto"/>
                <w:sz w:val="24"/>
              </w:rPr>
              <w:t>1</w:t>
            </w:r>
            <w:r>
              <w:rPr>
                <w:rFonts w:hint="eastAsia"/>
                <w:b/>
                <w:color w:val="auto"/>
                <w:sz w:val="24"/>
                <w:lang w:val="en-US" w:eastAsia="zh-CN"/>
              </w:rPr>
              <w:t>4</w:t>
            </w:r>
            <w:r>
              <w:rPr>
                <w:b/>
                <w:color w:val="auto"/>
                <w:sz w:val="24"/>
              </w:rPr>
              <w:t xml:space="preserve">  磷石膏化学组成</w:t>
            </w:r>
          </w:p>
          <w:tbl>
            <w:tblPr>
              <w:tblStyle w:val="4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7"/>
              <w:gridCol w:w="689"/>
              <w:gridCol w:w="655"/>
              <w:gridCol w:w="598"/>
              <w:gridCol w:w="561"/>
              <w:gridCol w:w="682"/>
              <w:gridCol w:w="682"/>
              <w:gridCol w:w="630"/>
              <w:gridCol w:w="588"/>
              <w:gridCol w:w="650"/>
              <w:gridCol w:w="566"/>
              <w:gridCol w:w="561"/>
              <w:gridCol w:w="559"/>
            </w:tblGrid>
            <w:tr w14:paraId="39770C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71" w:type="pct"/>
                  <w:tcBorders>
                    <w:top w:val="single" w:color="000000" w:sz="4" w:space="0"/>
                    <w:left w:val="single" w:color="000000" w:sz="4" w:space="0"/>
                    <w:bottom w:val="single" w:color="000000" w:sz="4" w:space="0"/>
                    <w:right w:val="single" w:color="000000" w:sz="4" w:space="0"/>
                  </w:tcBorders>
                  <w:vAlign w:val="center"/>
                </w:tcPr>
                <w:p w14:paraId="497C4496">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成分</w:t>
                  </w:r>
                </w:p>
              </w:tc>
              <w:tc>
                <w:tcPr>
                  <w:tcW w:w="411" w:type="pct"/>
                  <w:tcBorders>
                    <w:top w:val="single" w:color="000000" w:sz="4" w:space="0"/>
                    <w:left w:val="single" w:color="000000" w:sz="4" w:space="0"/>
                    <w:bottom w:val="single" w:color="000000" w:sz="4" w:space="0"/>
                    <w:right w:val="single" w:color="000000" w:sz="4" w:space="0"/>
                  </w:tcBorders>
                  <w:vAlign w:val="center"/>
                </w:tcPr>
                <w:p w14:paraId="56252F47">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CaO</w:t>
                  </w:r>
                </w:p>
              </w:tc>
              <w:tc>
                <w:tcPr>
                  <w:tcW w:w="391" w:type="pct"/>
                  <w:tcBorders>
                    <w:top w:val="single" w:color="000000" w:sz="4" w:space="0"/>
                    <w:left w:val="single" w:color="000000" w:sz="4" w:space="0"/>
                    <w:bottom w:val="single" w:color="000000" w:sz="4" w:space="0"/>
                    <w:right w:val="single" w:color="000000" w:sz="4" w:space="0"/>
                  </w:tcBorders>
                  <w:vAlign w:val="center"/>
                </w:tcPr>
                <w:p w14:paraId="0D804F5E">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SO</w:t>
                  </w:r>
                  <w:r>
                    <w:rPr>
                      <w:rFonts w:hint="eastAsia" w:ascii="Times New Roman"/>
                      <w:color w:val="auto"/>
                      <w:kern w:val="2"/>
                      <w:sz w:val="21"/>
                      <w:szCs w:val="21"/>
                      <w:vertAlign w:val="subscript"/>
                    </w:rPr>
                    <w:t>2</w:t>
                  </w:r>
                </w:p>
              </w:tc>
              <w:tc>
                <w:tcPr>
                  <w:tcW w:w="357" w:type="pct"/>
                  <w:tcBorders>
                    <w:top w:val="single" w:color="000000" w:sz="4" w:space="0"/>
                    <w:left w:val="single" w:color="000000" w:sz="4" w:space="0"/>
                    <w:bottom w:val="single" w:color="000000" w:sz="4" w:space="0"/>
                    <w:right w:val="single" w:color="000000" w:sz="4" w:space="0"/>
                  </w:tcBorders>
                  <w:vAlign w:val="center"/>
                </w:tcPr>
                <w:p w14:paraId="692A5404">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P</w:t>
                  </w:r>
                  <w:r>
                    <w:rPr>
                      <w:rFonts w:ascii="Times New Roman"/>
                      <w:color w:val="auto"/>
                      <w:kern w:val="2"/>
                      <w:sz w:val="21"/>
                      <w:szCs w:val="21"/>
                      <w:vertAlign w:val="subscript"/>
                    </w:rPr>
                    <w:t>2</w:t>
                  </w:r>
                  <w:r>
                    <w:rPr>
                      <w:rFonts w:ascii="Times New Roman"/>
                      <w:color w:val="auto"/>
                      <w:kern w:val="2"/>
                      <w:sz w:val="21"/>
                      <w:szCs w:val="21"/>
                    </w:rPr>
                    <w:t>O</w:t>
                  </w:r>
                  <w:r>
                    <w:rPr>
                      <w:rFonts w:ascii="Times New Roman"/>
                      <w:color w:val="auto"/>
                      <w:kern w:val="2"/>
                      <w:sz w:val="21"/>
                      <w:szCs w:val="21"/>
                      <w:vertAlign w:val="subscript"/>
                    </w:rPr>
                    <w:t>5</w:t>
                  </w:r>
                </w:p>
              </w:tc>
              <w:tc>
                <w:tcPr>
                  <w:tcW w:w="335" w:type="pct"/>
                  <w:tcBorders>
                    <w:top w:val="single" w:color="000000" w:sz="4" w:space="0"/>
                    <w:left w:val="single" w:color="000000" w:sz="4" w:space="0"/>
                    <w:bottom w:val="single" w:color="000000" w:sz="4" w:space="0"/>
                    <w:right w:val="single" w:color="000000" w:sz="4" w:space="0"/>
                  </w:tcBorders>
                  <w:vAlign w:val="center"/>
                </w:tcPr>
                <w:p w14:paraId="6C4A793C">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F</w:t>
                  </w:r>
                </w:p>
              </w:tc>
              <w:tc>
                <w:tcPr>
                  <w:tcW w:w="407" w:type="pct"/>
                  <w:tcBorders>
                    <w:top w:val="single" w:color="000000" w:sz="4" w:space="0"/>
                    <w:left w:val="single" w:color="000000" w:sz="4" w:space="0"/>
                    <w:bottom w:val="single" w:color="000000" w:sz="4" w:space="0"/>
                    <w:right w:val="single" w:color="000000" w:sz="4" w:space="0"/>
                  </w:tcBorders>
                  <w:vAlign w:val="center"/>
                </w:tcPr>
                <w:p w14:paraId="136979BD">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Fe</w:t>
                  </w:r>
                  <w:r>
                    <w:rPr>
                      <w:rFonts w:ascii="Times New Roman"/>
                      <w:color w:val="auto"/>
                      <w:kern w:val="2"/>
                      <w:sz w:val="21"/>
                      <w:szCs w:val="21"/>
                      <w:vertAlign w:val="subscript"/>
                    </w:rPr>
                    <w:t>2</w:t>
                  </w:r>
                  <w:r>
                    <w:rPr>
                      <w:rFonts w:ascii="Times New Roman"/>
                      <w:color w:val="auto"/>
                      <w:kern w:val="2"/>
                      <w:sz w:val="21"/>
                      <w:szCs w:val="21"/>
                    </w:rPr>
                    <w:t>O</w:t>
                  </w:r>
                  <w:r>
                    <w:rPr>
                      <w:rFonts w:ascii="Times New Roman"/>
                      <w:color w:val="auto"/>
                      <w:kern w:val="2"/>
                      <w:sz w:val="21"/>
                      <w:szCs w:val="21"/>
                      <w:vertAlign w:val="subscript"/>
                    </w:rPr>
                    <w:t>3</w:t>
                  </w:r>
                </w:p>
              </w:tc>
              <w:tc>
                <w:tcPr>
                  <w:tcW w:w="407" w:type="pct"/>
                  <w:tcBorders>
                    <w:top w:val="single" w:color="000000" w:sz="4" w:space="0"/>
                    <w:left w:val="single" w:color="000000" w:sz="4" w:space="0"/>
                    <w:bottom w:val="single" w:color="000000" w:sz="4" w:space="0"/>
                    <w:right w:val="single" w:color="000000" w:sz="4" w:space="0"/>
                  </w:tcBorders>
                  <w:vAlign w:val="center"/>
                </w:tcPr>
                <w:p w14:paraId="5493FFB3">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Al</w:t>
                  </w:r>
                  <w:r>
                    <w:rPr>
                      <w:rFonts w:ascii="Times New Roman"/>
                      <w:color w:val="auto"/>
                      <w:kern w:val="2"/>
                      <w:sz w:val="21"/>
                      <w:szCs w:val="21"/>
                      <w:vertAlign w:val="subscript"/>
                    </w:rPr>
                    <w:t>2</w:t>
                  </w:r>
                  <w:r>
                    <w:rPr>
                      <w:rFonts w:ascii="Times New Roman"/>
                      <w:color w:val="auto"/>
                      <w:kern w:val="2"/>
                      <w:sz w:val="21"/>
                      <w:szCs w:val="21"/>
                    </w:rPr>
                    <w:t>O</w:t>
                  </w:r>
                  <w:r>
                    <w:rPr>
                      <w:rFonts w:ascii="Times New Roman"/>
                      <w:color w:val="auto"/>
                      <w:kern w:val="2"/>
                      <w:sz w:val="21"/>
                      <w:szCs w:val="21"/>
                      <w:vertAlign w:val="subscript"/>
                    </w:rPr>
                    <w:t>3</w:t>
                  </w:r>
                </w:p>
              </w:tc>
              <w:tc>
                <w:tcPr>
                  <w:tcW w:w="376" w:type="pct"/>
                  <w:tcBorders>
                    <w:top w:val="single" w:color="000000" w:sz="4" w:space="0"/>
                    <w:left w:val="single" w:color="000000" w:sz="4" w:space="0"/>
                    <w:bottom w:val="single" w:color="000000" w:sz="4" w:space="0"/>
                    <w:right w:val="single" w:color="000000" w:sz="4" w:space="0"/>
                  </w:tcBorders>
                  <w:vAlign w:val="center"/>
                </w:tcPr>
                <w:p w14:paraId="4F135007">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MgO</w:t>
                  </w:r>
                </w:p>
              </w:tc>
              <w:tc>
                <w:tcPr>
                  <w:tcW w:w="351" w:type="pct"/>
                  <w:tcBorders>
                    <w:top w:val="single" w:color="000000" w:sz="4" w:space="0"/>
                    <w:left w:val="single" w:color="000000" w:sz="4" w:space="0"/>
                    <w:bottom w:val="single" w:color="000000" w:sz="4" w:space="0"/>
                    <w:right w:val="single" w:color="000000" w:sz="4" w:space="0"/>
                  </w:tcBorders>
                  <w:vAlign w:val="center"/>
                </w:tcPr>
                <w:p w14:paraId="408021CA">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SiO</w:t>
                  </w:r>
                  <w:r>
                    <w:rPr>
                      <w:rFonts w:ascii="Times New Roman"/>
                      <w:color w:val="auto"/>
                      <w:kern w:val="2"/>
                      <w:sz w:val="21"/>
                      <w:szCs w:val="21"/>
                      <w:vertAlign w:val="subscript"/>
                    </w:rPr>
                    <w:t>2</w:t>
                  </w:r>
                </w:p>
              </w:tc>
              <w:tc>
                <w:tcPr>
                  <w:tcW w:w="388" w:type="pct"/>
                  <w:tcBorders>
                    <w:top w:val="single" w:color="000000" w:sz="4" w:space="0"/>
                    <w:left w:val="single" w:color="000000" w:sz="4" w:space="0"/>
                    <w:bottom w:val="single" w:color="000000" w:sz="4" w:space="0"/>
                    <w:right w:val="single" w:color="000000" w:sz="4" w:space="0"/>
                  </w:tcBorders>
                  <w:vAlign w:val="center"/>
                </w:tcPr>
                <w:p w14:paraId="6C12B6B9">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Na</w:t>
                  </w:r>
                  <w:r>
                    <w:rPr>
                      <w:rFonts w:ascii="Times New Roman"/>
                      <w:color w:val="auto"/>
                      <w:kern w:val="2"/>
                      <w:sz w:val="21"/>
                      <w:szCs w:val="21"/>
                      <w:vertAlign w:val="subscript"/>
                    </w:rPr>
                    <w:t>2</w:t>
                  </w:r>
                  <w:r>
                    <w:rPr>
                      <w:rFonts w:ascii="Times New Roman"/>
                      <w:color w:val="auto"/>
                      <w:kern w:val="2"/>
                      <w:sz w:val="21"/>
                      <w:szCs w:val="21"/>
                    </w:rPr>
                    <w:t>O</w:t>
                  </w:r>
                </w:p>
              </w:tc>
              <w:tc>
                <w:tcPr>
                  <w:tcW w:w="338" w:type="pct"/>
                  <w:tcBorders>
                    <w:top w:val="single" w:color="000000" w:sz="4" w:space="0"/>
                    <w:left w:val="single" w:color="000000" w:sz="4" w:space="0"/>
                    <w:bottom w:val="single" w:color="000000" w:sz="4" w:space="0"/>
                    <w:right w:val="single" w:color="000000" w:sz="4" w:space="0"/>
                  </w:tcBorders>
                  <w:vAlign w:val="center"/>
                </w:tcPr>
                <w:p w14:paraId="1F7A8DB1">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K</w:t>
                  </w:r>
                  <w:r>
                    <w:rPr>
                      <w:rFonts w:ascii="Times New Roman"/>
                      <w:color w:val="auto"/>
                      <w:kern w:val="2"/>
                      <w:sz w:val="21"/>
                      <w:szCs w:val="21"/>
                      <w:vertAlign w:val="subscript"/>
                    </w:rPr>
                    <w:t>2</w:t>
                  </w:r>
                  <w:r>
                    <w:rPr>
                      <w:rFonts w:ascii="Times New Roman"/>
                      <w:color w:val="auto"/>
                      <w:kern w:val="2"/>
                      <w:sz w:val="21"/>
                      <w:szCs w:val="21"/>
                    </w:rPr>
                    <w:t>O</w:t>
                  </w:r>
                </w:p>
              </w:tc>
              <w:tc>
                <w:tcPr>
                  <w:tcW w:w="335" w:type="pct"/>
                  <w:tcBorders>
                    <w:top w:val="single" w:color="000000" w:sz="4" w:space="0"/>
                    <w:left w:val="single" w:color="000000" w:sz="4" w:space="0"/>
                    <w:bottom w:val="single" w:color="000000" w:sz="4" w:space="0"/>
                    <w:right w:val="single" w:color="000000" w:sz="4" w:space="0"/>
                  </w:tcBorders>
                  <w:vAlign w:val="center"/>
                </w:tcPr>
                <w:p w14:paraId="25A7A164">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有机物</w:t>
                  </w:r>
                </w:p>
              </w:tc>
              <w:tc>
                <w:tcPr>
                  <w:tcW w:w="335" w:type="pct"/>
                  <w:tcBorders>
                    <w:top w:val="single" w:color="000000" w:sz="4" w:space="0"/>
                    <w:left w:val="single" w:color="000000" w:sz="4" w:space="0"/>
                    <w:bottom w:val="single" w:color="000000" w:sz="4" w:space="0"/>
                    <w:right w:val="single" w:color="000000" w:sz="4" w:space="0"/>
                  </w:tcBorders>
                  <w:vAlign w:val="center"/>
                </w:tcPr>
                <w:p w14:paraId="58303D99">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结晶水</w:t>
                  </w:r>
                </w:p>
              </w:tc>
            </w:tr>
            <w:tr w14:paraId="37B6D1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71" w:type="pct"/>
                  <w:tcBorders>
                    <w:top w:val="single" w:color="000000" w:sz="4" w:space="0"/>
                    <w:left w:val="single" w:color="000000" w:sz="4" w:space="0"/>
                    <w:right w:val="single" w:color="000000" w:sz="4" w:space="0"/>
                  </w:tcBorders>
                  <w:vAlign w:val="center"/>
                </w:tcPr>
                <w:p w14:paraId="3F59A41F">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组成（wt%）</w:t>
                  </w:r>
                </w:p>
              </w:tc>
              <w:tc>
                <w:tcPr>
                  <w:tcW w:w="411" w:type="pct"/>
                  <w:tcBorders>
                    <w:top w:val="single" w:color="000000" w:sz="4" w:space="0"/>
                    <w:left w:val="single" w:color="000000" w:sz="4" w:space="0"/>
                    <w:bottom w:val="single" w:color="000000" w:sz="4" w:space="0"/>
                    <w:right w:val="single" w:color="000000" w:sz="4" w:space="0"/>
                  </w:tcBorders>
                  <w:vAlign w:val="center"/>
                </w:tcPr>
                <w:p w14:paraId="769A2153">
                  <w:pPr>
                    <w:pStyle w:val="87"/>
                    <w:adjustRightInd/>
                    <w:snapToGrid/>
                    <w:spacing w:beforeLines="0" w:afterLines="0" w:line="240" w:lineRule="auto"/>
                    <w:rPr>
                      <w:rFonts w:ascii="Times New Roman"/>
                      <w:color w:val="auto"/>
                      <w:kern w:val="2"/>
                      <w:sz w:val="21"/>
                      <w:szCs w:val="21"/>
                    </w:rPr>
                  </w:pPr>
                  <w:r>
                    <w:rPr>
                      <w:rFonts w:hint="eastAsia" w:ascii="Times New Roman"/>
                      <w:color w:val="auto"/>
                      <w:kern w:val="2"/>
                      <w:sz w:val="21"/>
                      <w:szCs w:val="21"/>
                    </w:rPr>
                    <w:t>28.14</w:t>
                  </w:r>
                </w:p>
              </w:tc>
              <w:tc>
                <w:tcPr>
                  <w:tcW w:w="391" w:type="pct"/>
                  <w:tcBorders>
                    <w:top w:val="single" w:color="000000" w:sz="4" w:space="0"/>
                    <w:left w:val="single" w:color="000000" w:sz="4" w:space="0"/>
                    <w:bottom w:val="single" w:color="000000" w:sz="4" w:space="0"/>
                    <w:right w:val="single" w:color="000000" w:sz="4" w:space="0"/>
                  </w:tcBorders>
                  <w:vAlign w:val="center"/>
                </w:tcPr>
                <w:p w14:paraId="624AE258">
                  <w:pPr>
                    <w:pStyle w:val="87"/>
                    <w:adjustRightInd/>
                    <w:snapToGrid/>
                    <w:spacing w:beforeLines="0" w:afterLines="0" w:line="240" w:lineRule="auto"/>
                    <w:rPr>
                      <w:rFonts w:ascii="Times New Roman"/>
                      <w:color w:val="auto"/>
                      <w:kern w:val="2"/>
                      <w:sz w:val="21"/>
                      <w:szCs w:val="21"/>
                    </w:rPr>
                  </w:pPr>
                  <w:r>
                    <w:rPr>
                      <w:rFonts w:hint="eastAsia" w:ascii="Times New Roman"/>
                      <w:color w:val="auto"/>
                      <w:kern w:val="2"/>
                      <w:sz w:val="21"/>
                      <w:szCs w:val="21"/>
                    </w:rPr>
                    <w:t>39.38</w:t>
                  </w:r>
                </w:p>
              </w:tc>
              <w:tc>
                <w:tcPr>
                  <w:tcW w:w="357" w:type="pct"/>
                  <w:tcBorders>
                    <w:top w:val="single" w:color="000000" w:sz="4" w:space="0"/>
                    <w:left w:val="single" w:color="000000" w:sz="4" w:space="0"/>
                    <w:bottom w:val="single" w:color="000000" w:sz="4" w:space="0"/>
                    <w:right w:val="single" w:color="000000" w:sz="4" w:space="0"/>
                  </w:tcBorders>
                  <w:vAlign w:val="center"/>
                </w:tcPr>
                <w:p w14:paraId="79C7EE11">
                  <w:pPr>
                    <w:pStyle w:val="87"/>
                    <w:adjustRightInd/>
                    <w:snapToGrid/>
                    <w:spacing w:beforeLines="0" w:afterLines="0" w:line="240" w:lineRule="auto"/>
                    <w:rPr>
                      <w:rFonts w:ascii="Times New Roman"/>
                      <w:color w:val="auto"/>
                      <w:kern w:val="2"/>
                      <w:sz w:val="21"/>
                      <w:szCs w:val="21"/>
                    </w:rPr>
                  </w:pPr>
                  <w:r>
                    <w:rPr>
                      <w:rFonts w:hint="eastAsia" w:ascii="Times New Roman"/>
                      <w:color w:val="auto"/>
                      <w:kern w:val="2"/>
                      <w:sz w:val="21"/>
                      <w:szCs w:val="21"/>
                    </w:rPr>
                    <w:t>0.4</w:t>
                  </w:r>
                </w:p>
              </w:tc>
              <w:tc>
                <w:tcPr>
                  <w:tcW w:w="335" w:type="pct"/>
                  <w:tcBorders>
                    <w:top w:val="single" w:color="000000" w:sz="4" w:space="0"/>
                    <w:left w:val="single" w:color="000000" w:sz="4" w:space="0"/>
                    <w:bottom w:val="single" w:color="000000" w:sz="4" w:space="0"/>
                    <w:right w:val="single" w:color="000000" w:sz="4" w:space="0"/>
                  </w:tcBorders>
                  <w:vAlign w:val="center"/>
                </w:tcPr>
                <w:p w14:paraId="158629E0">
                  <w:pPr>
                    <w:pStyle w:val="87"/>
                    <w:adjustRightInd/>
                    <w:snapToGrid/>
                    <w:spacing w:beforeLines="0" w:afterLines="0" w:line="240" w:lineRule="auto"/>
                    <w:rPr>
                      <w:rFonts w:ascii="Times New Roman"/>
                      <w:color w:val="auto"/>
                      <w:kern w:val="2"/>
                      <w:sz w:val="21"/>
                      <w:szCs w:val="21"/>
                    </w:rPr>
                  </w:pPr>
                  <w:r>
                    <w:rPr>
                      <w:rFonts w:hint="eastAsia" w:ascii="Times New Roman"/>
                      <w:color w:val="auto"/>
                      <w:kern w:val="2"/>
                      <w:sz w:val="21"/>
                      <w:szCs w:val="21"/>
                    </w:rPr>
                    <w:t>0.06</w:t>
                  </w:r>
                </w:p>
              </w:tc>
              <w:tc>
                <w:tcPr>
                  <w:tcW w:w="407" w:type="pct"/>
                  <w:tcBorders>
                    <w:top w:val="single" w:color="000000" w:sz="4" w:space="0"/>
                    <w:left w:val="single" w:color="000000" w:sz="4" w:space="0"/>
                    <w:bottom w:val="single" w:color="000000" w:sz="4" w:space="0"/>
                    <w:right w:val="single" w:color="000000" w:sz="4" w:space="0"/>
                  </w:tcBorders>
                  <w:vAlign w:val="center"/>
                </w:tcPr>
                <w:p w14:paraId="080D8D8F">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0.13</w:t>
                  </w:r>
                </w:p>
              </w:tc>
              <w:tc>
                <w:tcPr>
                  <w:tcW w:w="407" w:type="pct"/>
                  <w:tcBorders>
                    <w:top w:val="single" w:color="000000" w:sz="4" w:space="0"/>
                    <w:left w:val="single" w:color="000000" w:sz="4" w:space="0"/>
                    <w:bottom w:val="single" w:color="000000" w:sz="4" w:space="0"/>
                    <w:right w:val="single" w:color="000000" w:sz="4" w:space="0"/>
                  </w:tcBorders>
                  <w:vAlign w:val="center"/>
                </w:tcPr>
                <w:p w14:paraId="57B5509E">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0.28</w:t>
                  </w:r>
                </w:p>
              </w:tc>
              <w:tc>
                <w:tcPr>
                  <w:tcW w:w="376" w:type="pct"/>
                  <w:tcBorders>
                    <w:top w:val="single" w:color="000000" w:sz="4" w:space="0"/>
                    <w:left w:val="single" w:color="000000" w:sz="4" w:space="0"/>
                    <w:bottom w:val="single" w:color="000000" w:sz="4" w:space="0"/>
                    <w:right w:val="single" w:color="000000" w:sz="4" w:space="0"/>
                  </w:tcBorders>
                  <w:vAlign w:val="center"/>
                </w:tcPr>
                <w:p w14:paraId="479AABED">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0.</w:t>
                  </w:r>
                  <w:r>
                    <w:rPr>
                      <w:rFonts w:hint="eastAsia" w:ascii="Times New Roman"/>
                      <w:color w:val="auto"/>
                      <w:kern w:val="2"/>
                      <w:sz w:val="21"/>
                      <w:szCs w:val="21"/>
                    </w:rPr>
                    <w:t>4</w:t>
                  </w:r>
                </w:p>
              </w:tc>
              <w:tc>
                <w:tcPr>
                  <w:tcW w:w="351" w:type="pct"/>
                  <w:tcBorders>
                    <w:top w:val="single" w:color="000000" w:sz="4" w:space="0"/>
                    <w:left w:val="single" w:color="000000" w:sz="4" w:space="0"/>
                    <w:bottom w:val="single" w:color="000000" w:sz="4" w:space="0"/>
                    <w:right w:val="single" w:color="000000" w:sz="4" w:space="0"/>
                  </w:tcBorders>
                  <w:vAlign w:val="center"/>
                </w:tcPr>
                <w:p w14:paraId="60671520">
                  <w:pPr>
                    <w:pStyle w:val="87"/>
                    <w:adjustRightInd/>
                    <w:snapToGrid/>
                    <w:spacing w:beforeLines="0" w:afterLines="0" w:line="240" w:lineRule="auto"/>
                    <w:rPr>
                      <w:rFonts w:ascii="Times New Roman"/>
                      <w:color w:val="auto"/>
                      <w:kern w:val="2"/>
                      <w:sz w:val="21"/>
                      <w:szCs w:val="21"/>
                    </w:rPr>
                  </w:pPr>
                  <w:r>
                    <w:rPr>
                      <w:rFonts w:hint="eastAsia" w:ascii="Times New Roman"/>
                      <w:color w:val="auto"/>
                      <w:kern w:val="2"/>
                      <w:sz w:val="21"/>
                      <w:szCs w:val="21"/>
                    </w:rPr>
                    <w:t>9.45</w:t>
                  </w:r>
                </w:p>
              </w:tc>
              <w:tc>
                <w:tcPr>
                  <w:tcW w:w="388" w:type="pct"/>
                  <w:tcBorders>
                    <w:top w:val="single" w:color="000000" w:sz="4" w:space="0"/>
                    <w:left w:val="single" w:color="000000" w:sz="4" w:space="0"/>
                    <w:bottom w:val="single" w:color="000000" w:sz="4" w:space="0"/>
                    <w:right w:val="single" w:color="000000" w:sz="4" w:space="0"/>
                  </w:tcBorders>
                  <w:vAlign w:val="center"/>
                </w:tcPr>
                <w:p w14:paraId="7F722880">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0.05</w:t>
                  </w:r>
                </w:p>
              </w:tc>
              <w:tc>
                <w:tcPr>
                  <w:tcW w:w="338" w:type="pct"/>
                  <w:tcBorders>
                    <w:top w:val="single" w:color="000000" w:sz="4" w:space="0"/>
                    <w:left w:val="single" w:color="000000" w:sz="4" w:space="0"/>
                    <w:bottom w:val="single" w:color="000000" w:sz="4" w:space="0"/>
                    <w:right w:val="single" w:color="000000" w:sz="4" w:space="0"/>
                  </w:tcBorders>
                  <w:vAlign w:val="center"/>
                </w:tcPr>
                <w:p w14:paraId="02EB3788">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0.09</w:t>
                  </w:r>
                </w:p>
              </w:tc>
              <w:tc>
                <w:tcPr>
                  <w:tcW w:w="335" w:type="pct"/>
                  <w:tcBorders>
                    <w:top w:val="single" w:color="000000" w:sz="4" w:space="0"/>
                    <w:left w:val="single" w:color="000000" w:sz="4" w:space="0"/>
                    <w:bottom w:val="single" w:color="000000" w:sz="4" w:space="0"/>
                    <w:right w:val="single" w:color="000000" w:sz="4" w:space="0"/>
                  </w:tcBorders>
                  <w:vAlign w:val="center"/>
                </w:tcPr>
                <w:p w14:paraId="65B26D22">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0.25</w:t>
                  </w:r>
                </w:p>
              </w:tc>
              <w:tc>
                <w:tcPr>
                  <w:tcW w:w="335" w:type="pct"/>
                  <w:tcBorders>
                    <w:top w:val="single" w:color="000000" w:sz="4" w:space="0"/>
                    <w:left w:val="single" w:color="000000" w:sz="4" w:space="0"/>
                    <w:bottom w:val="single" w:color="000000" w:sz="4" w:space="0"/>
                    <w:right w:val="single" w:color="000000" w:sz="4" w:space="0"/>
                  </w:tcBorders>
                  <w:vAlign w:val="center"/>
                </w:tcPr>
                <w:p w14:paraId="1E68D3D5">
                  <w:pPr>
                    <w:pStyle w:val="87"/>
                    <w:adjustRightInd/>
                    <w:snapToGrid/>
                    <w:spacing w:beforeLines="0" w:afterLines="0" w:line="240" w:lineRule="auto"/>
                    <w:rPr>
                      <w:rFonts w:ascii="Times New Roman"/>
                      <w:color w:val="auto"/>
                      <w:kern w:val="2"/>
                      <w:sz w:val="21"/>
                      <w:szCs w:val="21"/>
                    </w:rPr>
                  </w:pPr>
                  <w:r>
                    <w:rPr>
                      <w:rFonts w:hint="eastAsia" w:ascii="Times New Roman"/>
                      <w:color w:val="auto"/>
                      <w:kern w:val="2"/>
                      <w:sz w:val="21"/>
                      <w:szCs w:val="21"/>
                    </w:rPr>
                    <w:t>21</w:t>
                  </w:r>
                </w:p>
              </w:tc>
            </w:tr>
          </w:tbl>
          <w:p w14:paraId="1686A688">
            <w:pPr>
              <w:autoSpaceDE w:val="0"/>
              <w:autoSpaceDN w:val="0"/>
              <w:spacing w:line="360" w:lineRule="auto"/>
              <w:ind w:firstLine="480" w:firstLineChars="200"/>
              <w:rPr>
                <w:color w:val="auto"/>
                <w:sz w:val="24"/>
                <w:szCs w:val="24"/>
                <w:highlight w:val="yellow"/>
              </w:rPr>
            </w:pPr>
            <w:r>
              <w:rPr>
                <w:color w:val="auto"/>
                <w:sz w:val="24"/>
              </w:rPr>
              <w:t>年需用量：</w:t>
            </w:r>
            <w:r>
              <w:rPr>
                <w:color w:val="auto"/>
                <w:sz w:val="24"/>
                <w:highlight w:val="none"/>
              </w:rPr>
              <w:t>本项目</w:t>
            </w:r>
            <w:r>
              <w:rPr>
                <w:rFonts w:hint="eastAsia"/>
                <w:color w:val="auto"/>
                <w:sz w:val="24"/>
                <w:highlight w:val="none"/>
                <w:lang w:val="en-US" w:eastAsia="zh-CN"/>
              </w:rPr>
              <w:t>改扩建工程</w:t>
            </w:r>
            <w:r>
              <w:rPr>
                <w:color w:val="auto"/>
                <w:sz w:val="24"/>
                <w:highlight w:val="none"/>
              </w:rPr>
              <w:t>主要</w:t>
            </w:r>
            <w:r>
              <w:rPr>
                <w:rFonts w:hint="eastAsia"/>
                <w:color w:val="auto"/>
                <w:sz w:val="24"/>
                <w:highlight w:val="none"/>
                <w:lang w:val="en-US" w:eastAsia="zh-CN"/>
              </w:rPr>
              <w:t>生产</w:t>
            </w:r>
            <w:r>
              <w:rPr>
                <w:color w:val="auto"/>
                <w:sz w:val="24"/>
                <w:highlight w:val="none"/>
              </w:rPr>
              <w:t>土壤</w:t>
            </w:r>
            <w:r>
              <w:rPr>
                <w:rFonts w:hint="eastAsia" w:ascii="Times New Roman" w:hAnsi="Times New Roman"/>
                <w:color w:val="auto"/>
                <w:kern w:val="2"/>
                <w:sz w:val="24"/>
                <w:szCs w:val="24"/>
                <w:lang w:val="en-US" w:eastAsia="zh-CN"/>
              </w:rPr>
              <w:t>改良</w:t>
            </w:r>
            <w:r>
              <w:rPr>
                <w:color w:val="auto"/>
                <w:sz w:val="24"/>
                <w:highlight w:val="none"/>
              </w:rPr>
              <w:t>剂、路基材料、生态修复材料等</w:t>
            </w:r>
            <w:r>
              <w:rPr>
                <w:rFonts w:hint="eastAsia"/>
                <w:color w:val="auto"/>
                <w:sz w:val="24"/>
                <w:highlight w:val="none"/>
                <w:lang w:val="en-US" w:eastAsia="zh-CN"/>
              </w:rPr>
              <w:t>3</w:t>
            </w:r>
            <w:r>
              <w:rPr>
                <w:color w:val="auto"/>
                <w:sz w:val="24"/>
                <w:highlight w:val="none"/>
              </w:rPr>
              <w:t>种产品，年</w:t>
            </w:r>
            <w:r>
              <w:rPr>
                <w:rFonts w:hint="eastAsia"/>
                <w:color w:val="auto"/>
                <w:sz w:val="24"/>
                <w:highlight w:val="none"/>
              </w:rPr>
              <w:t>使用</w:t>
            </w:r>
            <w:r>
              <w:rPr>
                <w:color w:val="auto"/>
                <w:sz w:val="24"/>
                <w:highlight w:val="none"/>
              </w:rPr>
              <w:t>磷</w:t>
            </w:r>
            <w:r>
              <w:rPr>
                <w:color w:val="auto"/>
                <w:sz w:val="24"/>
                <w:szCs w:val="24"/>
                <w:highlight w:val="none"/>
              </w:rPr>
              <w:t>石膏</w:t>
            </w:r>
            <w:r>
              <w:rPr>
                <w:rFonts w:hint="eastAsia" w:ascii="Times New Roman"/>
                <w:color w:val="auto"/>
                <w:sz w:val="24"/>
                <w:szCs w:val="24"/>
                <w:lang w:val="en-US" w:eastAsia="zh-CN"/>
              </w:rPr>
              <w:t>529108.82</w:t>
            </w:r>
            <w:r>
              <w:rPr>
                <w:rFonts w:hint="eastAsia"/>
                <w:color w:val="auto"/>
                <w:sz w:val="24"/>
                <w:szCs w:val="24"/>
                <w:highlight w:val="none"/>
              </w:rPr>
              <w:t>t</w:t>
            </w:r>
            <w:r>
              <w:rPr>
                <w:color w:val="auto"/>
                <w:sz w:val="24"/>
                <w:szCs w:val="24"/>
                <w:highlight w:val="none"/>
              </w:rPr>
              <w:t>。</w:t>
            </w:r>
          </w:p>
          <w:p w14:paraId="3998301E">
            <w:pPr>
              <w:spacing w:line="360" w:lineRule="auto"/>
              <w:ind w:firstLine="480" w:firstLineChars="200"/>
              <w:rPr>
                <w:color w:val="auto"/>
                <w:sz w:val="24"/>
              </w:rPr>
            </w:pPr>
            <w:r>
              <w:rPr>
                <w:color w:val="auto"/>
                <w:sz w:val="24"/>
              </w:rPr>
              <w:t>磷石膏浸出毒性鉴别：</w:t>
            </w:r>
          </w:p>
          <w:p w14:paraId="7F3D3990">
            <w:pPr>
              <w:spacing w:line="360" w:lineRule="auto"/>
              <w:ind w:firstLine="480" w:firstLineChars="200"/>
              <w:rPr>
                <w:color w:val="auto"/>
                <w:sz w:val="24"/>
              </w:rPr>
            </w:pPr>
            <w:r>
              <w:rPr>
                <w:color w:val="auto"/>
                <w:sz w:val="24"/>
              </w:rPr>
              <w:t>为了鉴别磷石膏的属性，建设单位于</w:t>
            </w:r>
            <w:r>
              <w:rPr>
                <w:color w:val="auto"/>
                <w:sz w:val="24"/>
                <w:highlight w:val="none"/>
              </w:rPr>
              <w:t>202</w:t>
            </w:r>
            <w:r>
              <w:rPr>
                <w:rFonts w:hint="eastAsia"/>
                <w:color w:val="auto"/>
                <w:sz w:val="24"/>
                <w:highlight w:val="none"/>
                <w:lang w:val="en-US" w:eastAsia="zh-CN"/>
              </w:rPr>
              <w:t>4</w:t>
            </w:r>
            <w:r>
              <w:rPr>
                <w:color w:val="auto"/>
                <w:sz w:val="24"/>
                <w:highlight w:val="none"/>
              </w:rPr>
              <w:t>年</w:t>
            </w:r>
            <w:r>
              <w:rPr>
                <w:rFonts w:hint="eastAsia"/>
                <w:color w:val="auto"/>
                <w:sz w:val="24"/>
                <w:highlight w:val="none"/>
                <w:lang w:val="en-US" w:eastAsia="zh-CN"/>
              </w:rPr>
              <w:t>3</w:t>
            </w:r>
            <w:r>
              <w:rPr>
                <w:color w:val="auto"/>
                <w:sz w:val="24"/>
                <w:highlight w:val="none"/>
              </w:rPr>
              <w:t>月</w:t>
            </w:r>
            <w:r>
              <w:rPr>
                <w:rFonts w:hint="eastAsia"/>
                <w:color w:val="auto"/>
                <w:sz w:val="24"/>
                <w:highlight w:val="none"/>
                <w:lang w:val="en-US" w:eastAsia="zh-CN"/>
              </w:rPr>
              <w:t>18</w:t>
            </w:r>
            <w:r>
              <w:rPr>
                <w:color w:val="auto"/>
                <w:sz w:val="24"/>
                <w:highlight w:val="none"/>
              </w:rPr>
              <w:t>日委托</w:t>
            </w:r>
            <w:r>
              <w:rPr>
                <w:rFonts w:hint="eastAsia"/>
                <w:color w:val="auto"/>
                <w:sz w:val="24"/>
                <w:highlight w:val="none"/>
                <w:lang w:val="en-US" w:eastAsia="zh-CN"/>
              </w:rPr>
              <w:t>云南华都生态环境监测有限公司</w:t>
            </w:r>
            <w:r>
              <w:rPr>
                <w:color w:val="auto"/>
                <w:sz w:val="24"/>
                <w:highlight w:val="none"/>
              </w:rPr>
              <w:t>对</w:t>
            </w:r>
            <w:r>
              <w:rPr>
                <w:rFonts w:hint="eastAsia"/>
                <w:color w:val="auto"/>
                <w:sz w:val="24"/>
              </w:rPr>
              <w:t>磷石膏</w:t>
            </w:r>
            <w:r>
              <w:rPr>
                <w:color w:val="auto"/>
                <w:sz w:val="24"/>
              </w:rPr>
              <w:t>进行了属性鉴别，采用《</w:t>
            </w:r>
            <w:r>
              <w:rPr>
                <w:rFonts w:hint="eastAsia"/>
                <w:color w:val="auto"/>
                <w:sz w:val="24"/>
              </w:rPr>
              <w:t>固体废物浸出毒性浸出方法硫酸硝酸法》（HJ/T 299-2007）和</w:t>
            </w:r>
            <w:r>
              <w:rPr>
                <w:color w:val="auto"/>
                <w:sz w:val="24"/>
              </w:rPr>
              <w:t>《</w:t>
            </w:r>
            <w:r>
              <w:rPr>
                <w:rFonts w:hint="eastAsia"/>
                <w:color w:val="auto"/>
                <w:sz w:val="24"/>
              </w:rPr>
              <w:t>固体废物浸出毒性浸出方法 水平振荡法</w:t>
            </w:r>
            <w:r>
              <w:rPr>
                <w:color w:val="auto"/>
                <w:sz w:val="24"/>
              </w:rPr>
              <w:t>》</w:t>
            </w:r>
            <w:r>
              <w:rPr>
                <w:rFonts w:hint="eastAsia"/>
                <w:color w:val="auto"/>
                <w:sz w:val="24"/>
              </w:rPr>
              <w:t>（HJ 557—2010）</w:t>
            </w:r>
            <w:r>
              <w:rPr>
                <w:color w:val="auto"/>
                <w:sz w:val="24"/>
              </w:rPr>
              <w:t>进行浸出液的制备。具体监测结果见</w:t>
            </w:r>
            <w:r>
              <w:rPr>
                <w:rFonts w:hint="eastAsia"/>
                <w:color w:val="auto"/>
                <w:sz w:val="24"/>
                <w:lang w:val="en-US" w:eastAsia="zh-CN"/>
              </w:rPr>
              <w:t>下</w:t>
            </w:r>
            <w:r>
              <w:rPr>
                <w:color w:val="auto"/>
                <w:sz w:val="24"/>
              </w:rPr>
              <w:t>表。</w:t>
            </w:r>
          </w:p>
          <w:p w14:paraId="036A1258">
            <w:pPr>
              <w:ind w:firstLine="361" w:firstLineChars="150"/>
              <w:jc w:val="center"/>
              <w:rPr>
                <w:b/>
                <w:color w:val="auto"/>
                <w:sz w:val="24"/>
                <w:highlight w:val="yellow"/>
              </w:rPr>
            </w:pPr>
            <w:r>
              <w:rPr>
                <w:b/>
                <w:color w:val="auto"/>
                <w:sz w:val="24"/>
              </w:rPr>
              <w:t>表2-1</w:t>
            </w:r>
            <w:r>
              <w:rPr>
                <w:rFonts w:hint="eastAsia"/>
                <w:b/>
                <w:color w:val="auto"/>
                <w:sz w:val="24"/>
                <w:lang w:val="en-US" w:eastAsia="zh-CN"/>
              </w:rPr>
              <w:t>5</w:t>
            </w:r>
            <w:r>
              <w:rPr>
                <w:b/>
                <w:color w:val="auto"/>
                <w:sz w:val="24"/>
              </w:rPr>
              <w:t xml:space="preserve">  磷石膏浸出毒性试验检测结果</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1111"/>
              <w:gridCol w:w="1300"/>
              <w:gridCol w:w="1087"/>
              <w:gridCol w:w="850"/>
              <w:gridCol w:w="1653"/>
              <w:gridCol w:w="1065"/>
            </w:tblGrid>
            <w:tr w14:paraId="429E7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83" w:type="pct"/>
                  <w:vMerge w:val="restart"/>
                  <w:tcBorders>
                    <w:top w:val="single" w:color="auto" w:sz="4" w:space="0"/>
                    <w:left w:val="single" w:color="auto" w:sz="4" w:space="0"/>
                    <w:right w:val="single" w:color="auto" w:sz="4" w:space="0"/>
                  </w:tcBorders>
                  <w:vAlign w:val="center"/>
                </w:tcPr>
                <w:p w14:paraId="1746C3E2">
                  <w:pPr>
                    <w:jc w:val="center"/>
                    <w:rPr>
                      <w:color w:val="auto"/>
                      <w:sz w:val="21"/>
                      <w:szCs w:val="21"/>
                    </w:rPr>
                  </w:pPr>
                  <w:r>
                    <w:rPr>
                      <w:color w:val="auto"/>
                      <w:sz w:val="21"/>
                      <w:szCs w:val="21"/>
                    </w:rPr>
                    <w:t>分析项目</w:t>
                  </w:r>
                </w:p>
              </w:tc>
              <w:tc>
                <w:tcPr>
                  <w:tcW w:w="2087" w:type="pct"/>
                  <w:gridSpan w:val="3"/>
                  <w:tcBorders>
                    <w:top w:val="single" w:color="auto" w:sz="4" w:space="0"/>
                    <w:left w:val="single" w:color="auto" w:sz="4" w:space="0"/>
                    <w:bottom w:val="single" w:color="auto" w:sz="4" w:space="0"/>
                    <w:right w:val="single" w:color="auto" w:sz="4" w:space="0"/>
                  </w:tcBorders>
                  <w:vAlign w:val="center"/>
                </w:tcPr>
                <w:p w14:paraId="49169DC1">
                  <w:pPr>
                    <w:jc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硫酸硝酸法</w:t>
                  </w:r>
                </w:p>
              </w:tc>
              <w:tc>
                <w:tcPr>
                  <w:tcW w:w="2129" w:type="pct"/>
                  <w:gridSpan w:val="3"/>
                  <w:tcBorders>
                    <w:top w:val="single" w:color="auto" w:sz="4" w:space="0"/>
                    <w:left w:val="single" w:color="auto" w:sz="4" w:space="0"/>
                    <w:right w:val="single" w:color="auto" w:sz="4" w:space="0"/>
                  </w:tcBorders>
                  <w:vAlign w:val="center"/>
                </w:tcPr>
                <w:p w14:paraId="658BA07D">
                  <w:pPr>
                    <w:jc w:val="center"/>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水平振荡</w:t>
                  </w:r>
                  <w:r>
                    <w:rPr>
                      <w:rFonts w:ascii="Times New Roman" w:hAnsi="Times New Roman" w:eastAsia="宋体" w:cs="Times New Roman"/>
                      <w:color w:val="auto"/>
                      <w:sz w:val="21"/>
                      <w:szCs w:val="21"/>
                      <w:lang w:val="en-US" w:eastAsia="zh-CN" w:bidi="ar-SA"/>
                    </w:rPr>
                    <w:t>法</w:t>
                  </w:r>
                </w:p>
              </w:tc>
            </w:tr>
            <w:tr w14:paraId="3428F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83" w:type="pct"/>
                  <w:vMerge w:val="continue"/>
                  <w:tcBorders>
                    <w:left w:val="single" w:color="auto" w:sz="4" w:space="0"/>
                    <w:bottom w:val="single" w:color="auto" w:sz="4" w:space="0"/>
                    <w:right w:val="single" w:color="auto" w:sz="4" w:space="0"/>
                  </w:tcBorders>
                  <w:vAlign w:val="center"/>
                </w:tcPr>
                <w:p w14:paraId="22BFE157">
                  <w:pPr>
                    <w:jc w:val="center"/>
                    <w:rPr>
                      <w:color w:val="auto"/>
                    </w:rPr>
                  </w:pPr>
                </w:p>
              </w:tc>
              <w:tc>
                <w:tcPr>
                  <w:tcW w:w="663" w:type="pct"/>
                  <w:tcBorders>
                    <w:top w:val="single" w:color="auto" w:sz="4" w:space="0"/>
                    <w:left w:val="single" w:color="auto" w:sz="4" w:space="0"/>
                    <w:bottom w:val="single" w:color="auto" w:sz="4" w:space="0"/>
                    <w:right w:val="single" w:color="auto" w:sz="4" w:space="0"/>
                  </w:tcBorders>
                  <w:vAlign w:val="center"/>
                </w:tcPr>
                <w:p w14:paraId="16D6DB04">
                  <w:pPr>
                    <w:jc w:val="center"/>
                    <w:rPr>
                      <w:rFonts w:ascii="Times New Roman" w:hAnsi="Times New Roman" w:eastAsia="宋体" w:cs="Times New Roman"/>
                      <w:color w:val="auto"/>
                      <w:sz w:val="21"/>
                      <w:szCs w:val="21"/>
                      <w:lang w:val="en-US" w:eastAsia="zh-CN" w:bidi="ar-SA"/>
                    </w:rPr>
                  </w:pPr>
                  <w:r>
                    <w:rPr>
                      <w:color w:val="auto"/>
                      <w:sz w:val="21"/>
                      <w:szCs w:val="21"/>
                    </w:rPr>
                    <w:t>磷石膏</w:t>
                  </w:r>
                </w:p>
              </w:tc>
              <w:tc>
                <w:tcPr>
                  <w:tcW w:w="775" w:type="pct"/>
                  <w:tcBorders>
                    <w:left w:val="single" w:color="auto" w:sz="4" w:space="0"/>
                    <w:bottom w:val="single" w:color="auto" w:sz="4" w:space="0"/>
                    <w:right w:val="single" w:color="auto" w:sz="4" w:space="0"/>
                  </w:tcBorders>
                  <w:vAlign w:val="center"/>
                </w:tcPr>
                <w:p w14:paraId="55399517">
                  <w:pPr>
                    <w:jc w:val="center"/>
                    <w:rPr>
                      <w:rFonts w:hint="eastAsia" w:ascii="Times New Roman" w:hAnsi="Times New Roman" w:eastAsia="宋体" w:cs="Times New Roman"/>
                      <w:color w:val="auto"/>
                      <w:sz w:val="21"/>
                      <w:szCs w:val="21"/>
                      <w:lang w:val="en-US" w:eastAsia="zh-CN" w:bidi="ar-SA"/>
                    </w:rPr>
                  </w:pPr>
                  <w:r>
                    <w:rPr>
                      <w:color w:val="auto"/>
                      <w:sz w:val="21"/>
                      <w:szCs w:val="21"/>
                    </w:rPr>
                    <w:t>GB5085.3-2007</w:t>
                  </w:r>
                  <w:r>
                    <w:rPr>
                      <w:rFonts w:hint="eastAsia"/>
                      <w:color w:val="auto"/>
                      <w:sz w:val="21"/>
                      <w:szCs w:val="21"/>
                      <w:lang w:eastAsia="zh-CN"/>
                    </w:rPr>
                    <w:t>（</w:t>
                  </w:r>
                  <w:r>
                    <w:rPr>
                      <w:rFonts w:hint="eastAsia"/>
                      <w:color w:val="auto"/>
                      <w:sz w:val="21"/>
                      <w:szCs w:val="21"/>
                      <w:lang w:val="en-US" w:eastAsia="zh-CN"/>
                    </w:rPr>
                    <w:t>mg/L</w:t>
                  </w:r>
                  <w:r>
                    <w:rPr>
                      <w:rFonts w:hint="eastAsia"/>
                      <w:color w:val="auto"/>
                      <w:sz w:val="21"/>
                      <w:szCs w:val="21"/>
                      <w:lang w:eastAsia="zh-CN"/>
                    </w:rPr>
                    <w:t>）</w:t>
                  </w:r>
                </w:p>
              </w:tc>
              <w:tc>
                <w:tcPr>
                  <w:tcW w:w="648" w:type="pct"/>
                  <w:tcBorders>
                    <w:left w:val="single" w:color="auto" w:sz="4" w:space="0"/>
                    <w:bottom w:val="single" w:color="auto" w:sz="4" w:space="0"/>
                    <w:right w:val="single" w:color="auto" w:sz="4" w:space="0"/>
                  </w:tcBorders>
                  <w:vAlign w:val="center"/>
                </w:tcPr>
                <w:p w14:paraId="767F0C27">
                  <w:pPr>
                    <w:jc w:val="center"/>
                    <w:rPr>
                      <w:color w:val="auto"/>
                      <w:sz w:val="21"/>
                      <w:szCs w:val="21"/>
                    </w:rPr>
                  </w:pPr>
                  <w:r>
                    <w:rPr>
                      <w:color w:val="auto"/>
                      <w:sz w:val="21"/>
                      <w:szCs w:val="21"/>
                    </w:rPr>
                    <w:t>达标情况</w:t>
                  </w:r>
                </w:p>
              </w:tc>
              <w:tc>
                <w:tcPr>
                  <w:tcW w:w="507" w:type="pct"/>
                  <w:tcBorders>
                    <w:left w:val="single" w:color="auto" w:sz="4" w:space="0"/>
                    <w:bottom w:val="single" w:color="auto" w:sz="4" w:space="0"/>
                    <w:right w:val="single" w:color="auto" w:sz="4" w:space="0"/>
                  </w:tcBorders>
                  <w:vAlign w:val="center"/>
                </w:tcPr>
                <w:p w14:paraId="361D3EBB">
                  <w:pPr>
                    <w:jc w:val="center"/>
                    <w:rPr>
                      <w:rFonts w:ascii="Times New Roman" w:hAnsi="Times New Roman" w:eastAsia="宋体" w:cs="Times New Roman"/>
                      <w:color w:val="auto"/>
                      <w:sz w:val="21"/>
                      <w:szCs w:val="21"/>
                      <w:lang w:val="en-US" w:eastAsia="zh-CN" w:bidi="ar-SA"/>
                    </w:rPr>
                  </w:pPr>
                  <w:r>
                    <w:rPr>
                      <w:rFonts w:hint="eastAsia"/>
                      <w:color w:val="auto"/>
                      <w:sz w:val="21"/>
                      <w:szCs w:val="21"/>
                    </w:rPr>
                    <w:t>磷石膏</w:t>
                  </w:r>
                </w:p>
              </w:tc>
              <w:tc>
                <w:tcPr>
                  <w:tcW w:w="986" w:type="pct"/>
                  <w:tcBorders>
                    <w:left w:val="single" w:color="auto" w:sz="4" w:space="0"/>
                    <w:bottom w:val="single" w:color="auto" w:sz="4" w:space="0"/>
                    <w:right w:val="single" w:color="auto" w:sz="4" w:space="0"/>
                  </w:tcBorders>
                  <w:vAlign w:val="center"/>
                </w:tcPr>
                <w:p w14:paraId="29E85987">
                  <w:pPr>
                    <w:jc w:val="center"/>
                    <w:rPr>
                      <w:rFonts w:ascii="Times New Roman" w:hAnsi="Times New Roman" w:eastAsia="宋体" w:cs="Times New Roman"/>
                      <w:color w:val="auto"/>
                      <w:sz w:val="21"/>
                      <w:szCs w:val="21"/>
                      <w:lang w:val="en-US" w:eastAsia="zh-CN" w:bidi="ar-SA"/>
                    </w:rPr>
                  </w:pPr>
                  <w:r>
                    <w:rPr>
                      <w:color w:val="auto"/>
                      <w:sz w:val="21"/>
                      <w:szCs w:val="21"/>
                    </w:rPr>
                    <w:t>GB</w:t>
                  </w:r>
                  <w:r>
                    <w:rPr>
                      <w:rFonts w:hint="eastAsia"/>
                      <w:color w:val="auto"/>
                      <w:sz w:val="21"/>
                      <w:szCs w:val="21"/>
                    </w:rPr>
                    <w:t xml:space="preserve"> </w:t>
                  </w:r>
                  <w:r>
                    <w:rPr>
                      <w:color w:val="auto"/>
                      <w:sz w:val="21"/>
                      <w:szCs w:val="21"/>
                    </w:rPr>
                    <w:t>8978-1996（</w:t>
                  </w:r>
                  <w:r>
                    <w:rPr>
                      <w:color w:val="auto"/>
                      <w:sz w:val="21"/>
                      <w:szCs w:val="21"/>
                      <w:lang w:bidi="en-US"/>
                    </w:rPr>
                    <w:t>mg/L</w:t>
                  </w:r>
                  <w:r>
                    <w:rPr>
                      <w:color w:val="auto"/>
                      <w:sz w:val="21"/>
                      <w:szCs w:val="21"/>
                    </w:rPr>
                    <w:t>）</w:t>
                  </w:r>
                </w:p>
              </w:tc>
              <w:tc>
                <w:tcPr>
                  <w:tcW w:w="635" w:type="pct"/>
                  <w:tcBorders>
                    <w:left w:val="single" w:color="auto" w:sz="4" w:space="0"/>
                    <w:bottom w:val="single" w:color="auto" w:sz="4" w:space="0"/>
                    <w:right w:val="single" w:color="auto" w:sz="4" w:space="0"/>
                  </w:tcBorders>
                  <w:vAlign w:val="center"/>
                </w:tcPr>
                <w:p w14:paraId="32AC8B9A">
                  <w:pPr>
                    <w:jc w:val="center"/>
                    <w:rPr>
                      <w:rFonts w:ascii="Times New Roman" w:hAnsi="Times New Roman" w:eastAsia="宋体" w:cs="Times New Roman"/>
                      <w:b/>
                      <w:color w:val="auto"/>
                      <w:sz w:val="21"/>
                      <w:szCs w:val="21"/>
                      <w:lang w:val="en-US" w:eastAsia="zh-CN" w:bidi="ar-SA"/>
                    </w:rPr>
                  </w:pPr>
                  <w:r>
                    <w:rPr>
                      <w:b/>
                      <w:color w:val="auto"/>
                      <w:sz w:val="21"/>
                      <w:szCs w:val="21"/>
                    </w:rPr>
                    <w:t>达标情况</w:t>
                  </w:r>
                </w:p>
              </w:tc>
            </w:tr>
            <w:tr w14:paraId="28055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4C9891AA">
                  <w:pPr>
                    <w:jc w:val="center"/>
                    <w:rPr>
                      <w:rFonts w:hint="eastAsia" w:ascii="Times New Roman" w:hAnsi="Times New Roman" w:eastAsia="宋体" w:cs="Times New Roman"/>
                      <w:color w:val="auto"/>
                      <w:sz w:val="21"/>
                      <w:szCs w:val="21"/>
                      <w:lang w:val="en-US" w:eastAsia="zh-CN" w:bidi="ar-SA"/>
                    </w:rPr>
                  </w:pPr>
                  <w:r>
                    <w:rPr>
                      <w:color w:val="auto"/>
                      <w:sz w:val="21"/>
                      <w:szCs w:val="21"/>
                    </w:rPr>
                    <w:t>镉</w:t>
                  </w:r>
                  <w:r>
                    <w:rPr>
                      <w:rFonts w:hint="eastAsia"/>
                      <w:color w:val="auto"/>
                      <w:sz w:val="21"/>
                      <w:szCs w:val="21"/>
                      <w:lang w:eastAsia="zh-CN"/>
                    </w:rPr>
                    <w:t>（</w:t>
                  </w:r>
                  <w:r>
                    <w:rPr>
                      <w:rFonts w:hint="default" w:ascii="Times New Roman" w:hAnsi="Times New Roman" w:cs="Times New Roman"/>
                      <w:color w:val="auto"/>
                      <w:sz w:val="21"/>
                      <w:szCs w:val="21"/>
                      <w:lang w:eastAsia="zh-CN"/>
                    </w:rPr>
                    <w:t>μ</w:t>
                  </w:r>
                  <w:r>
                    <w:rPr>
                      <w:rFonts w:hint="eastAsia"/>
                      <w:color w:val="auto"/>
                      <w:sz w:val="21"/>
                      <w:szCs w:val="21"/>
                      <w:lang w:val="en-US" w:eastAsia="zh-CN"/>
                    </w:rPr>
                    <w:t>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10B57B90">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0.6L</w:t>
                  </w:r>
                </w:p>
              </w:tc>
              <w:tc>
                <w:tcPr>
                  <w:tcW w:w="775" w:type="pct"/>
                  <w:tcBorders>
                    <w:top w:val="single" w:color="auto" w:sz="4" w:space="0"/>
                    <w:left w:val="single" w:color="auto" w:sz="4" w:space="0"/>
                    <w:bottom w:val="single" w:color="auto" w:sz="4" w:space="0"/>
                    <w:right w:val="single" w:color="auto" w:sz="4" w:space="0"/>
                  </w:tcBorders>
                  <w:vAlign w:val="center"/>
                </w:tcPr>
                <w:p w14:paraId="359BBF5E">
                  <w:pPr>
                    <w:jc w:val="center"/>
                    <w:rPr>
                      <w:rFonts w:hint="eastAsia" w:ascii="Times New Roman" w:hAnsi="Times New Roman" w:eastAsia="宋体" w:cs="Times New Roman"/>
                      <w:color w:val="auto"/>
                      <w:sz w:val="21"/>
                      <w:szCs w:val="21"/>
                      <w:lang w:val="en-US" w:eastAsia="zh-CN" w:bidi="ar-SA"/>
                    </w:rPr>
                  </w:pPr>
                  <w:r>
                    <w:rPr>
                      <w:color w:val="auto"/>
                      <w:sz w:val="21"/>
                      <w:szCs w:val="21"/>
                    </w:rPr>
                    <w:t>1</w:t>
                  </w:r>
                </w:p>
              </w:tc>
              <w:tc>
                <w:tcPr>
                  <w:tcW w:w="648" w:type="pct"/>
                  <w:tcBorders>
                    <w:top w:val="single" w:color="auto" w:sz="4" w:space="0"/>
                    <w:left w:val="single" w:color="auto" w:sz="4" w:space="0"/>
                    <w:bottom w:val="single" w:color="auto" w:sz="4" w:space="0"/>
                    <w:right w:val="single" w:color="auto" w:sz="4" w:space="0"/>
                  </w:tcBorders>
                  <w:vAlign w:val="center"/>
                </w:tcPr>
                <w:p w14:paraId="7F61D256">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6662C342">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0.6L</w:t>
                  </w:r>
                </w:p>
              </w:tc>
              <w:tc>
                <w:tcPr>
                  <w:tcW w:w="986" w:type="pct"/>
                  <w:tcBorders>
                    <w:top w:val="single" w:color="auto" w:sz="4" w:space="0"/>
                    <w:left w:val="single" w:color="auto" w:sz="4" w:space="0"/>
                    <w:bottom w:val="single" w:color="auto" w:sz="4" w:space="0"/>
                    <w:right w:val="single" w:color="auto" w:sz="4" w:space="0"/>
                  </w:tcBorders>
                  <w:vAlign w:val="center"/>
                </w:tcPr>
                <w:p w14:paraId="31290926">
                  <w:pPr>
                    <w:jc w:val="center"/>
                    <w:rPr>
                      <w:rFonts w:ascii="Times New Roman" w:hAnsi="Times New Roman" w:eastAsia="宋体" w:cs="Times New Roman"/>
                      <w:color w:val="auto"/>
                      <w:sz w:val="21"/>
                      <w:szCs w:val="21"/>
                      <w:lang w:val="en-US" w:eastAsia="zh-CN" w:bidi="ar-SA"/>
                    </w:rPr>
                  </w:pPr>
                  <w:r>
                    <w:rPr>
                      <w:color w:val="auto"/>
                      <w:sz w:val="21"/>
                      <w:szCs w:val="21"/>
                    </w:rPr>
                    <w:t>0.1</w:t>
                  </w:r>
                </w:p>
              </w:tc>
              <w:tc>
                <w:tcPr>
                  <w:tcW w:w="635" w:type="pct"/>
                  <w:tcBorders>
                    <w:top w:val="single" w:color="auto" w:sz="4" w:space="0"/>
                    <w:left w:val="single" w:color="auto" w:sz="4" w:space="0"/>
                    <w:bottom w:val="single" w:color="auto" w:sz="4" w:space="0"/>
                    <w:right w:val="single" w:color="auto" w:sz="4" w:space="0"/>
                  </w:tcBorders>
                  <w:vAlign w:val="center"/>
                </w:tcPr>
                <w:p w14:paraId="78C3C3ED">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5EA3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1048B316">
                  <w:pPr>
                    <w:jc w:val="center"/>
                    <w:rPr>
                      <w:rFonts w:hint="eastAsia" w:ascii="Times New Roman" w:hAnsi="Times New Roman" w:eastAsia="宋体" w:cs="Times New Roman"/>
                      <w:color w:val="auto"/>
                      <w:sz w:val="21"/>
                      <w:szCs w:val="21"/>
                      <w:lang w:val="en-US" w:eastAsia="zh-CN" w:bidi="ar-SA"/>
                    </w:rPr>
                  </w:pPr>
                  <w:r>
                    <w:rPr>
                      <w:color w:val="auto"/>
                      <w:sz w:val="21"/>
                      <w:szCs w:val="21"/>
                    </w:rPr>
                    <w:t>银</w:t>
                  </w:r>
                  <w:r>
                    <w:rPr>
                      <w:rFonts w:hint="eastAsia"/>
                      <w:color w:val="auto"/>
                      <w:sz w:val="21"/>
                      <w:szCs w:val="21"/>
                      <w:lang w:eastAsia="zh-CN"/>
                    </w:rPr>
                    <w:t>（</w:t>
                  </w:r>
                  <w:r>
                    <w:rPr>
                      <w:rFonts w:hint="eastAsia"/>
                      <w:color w:val="auto"/>
                      <w:sz w:val="21"/>
                      <w:szCs w:val="21"/>
                      <w:lang w:val="en-US" w:eastAsia="zh-CN"/>
                    </w:rPr>
                    <w:t>mg/L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565F058A">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0.05</w:t>
                  </w:r>
                </w:p>
              </w:tc>
              <w:tc>
                <w:tcPr>
                  <w:tcW w:w="775" w:type="pct"/>
                  <w:tcBorders>
                    <w:top w:val="single" w:color="auto" w:sz="4" w:space="0"/>
                    <w:left w:val="single" w:color="auto" w:sz="4" w:space="0"/>
                    <w:bottom w:val="single" w:color="auto" w:sz="4" w:space="0"/>
                    <w:right w:val="single" w:color="auto" w:sz="4" w:space="0"/>
                  </w:tcBorders>
                  <w:vAlign w:val="center"/>
                </w:tcPr>
                <w:p w14:paraId="15CECE4A">
                  <w:pPr>
                    <w:jc w:val="center"/>
                    <w:rPr>
                      <w:rFonts w:ascii="Times New Roman" w:hAnsi="Times New Roman" w:eastAsia="宋体" w:cs="Times New Roman"/>
                      <w:color w:val="auto"/>
                      <w:sz w:val="21"/>
                      <w:szCs w:val="21"/>
                      <w:lang w:val="en-US" w:eastAsia="zh-CN" w:bidi="ar-SA"/>
                    </w:rPr>
                  </w:pPr>
                  <w:r>
                    <w:rPr>
                      <w:color w:val="auto"/>
                      <w:sz w:val="21"/>
                      <w:szCs w:val="21"/>
                    </w:rPr>
                    <w:t>5</w:t>
                  </w:r>
                </w:p>
              </w:tc>
              <w:tc>
                <w:tcPr>
                  <w:tcW w:w="648" w:type="pct"/>
                  <w:tcBorders>
                    <w:top w:val="single" w:color="auto" w:sz="4" w:space="0"/>
                    <w:left w:val="single" w:color="auto" w:sz="4" w:space="0"/>
                    <w:bottom w:val="single" w:color="auto" w:sz="4" w:space="0"/>
                    <w:right w:val="single" w:color="auto" w:sz="4" w:space="0"/>
                  </w:tcBorders>
                  <w:vAlign w:val="center"/>
                </w:tcPr>
                <w:p w14:paraId="798B0AA5">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318D775C">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0.05</w:t>
                  </w:r>
                </w:p>
              </w:tc>
              <w:tc>
                <w:tcPr>
                  <w:tcW w:w="986" w:type="pct"/>
                  <w:tcBorders>
                    <w:top w:val="single" w:color="auto" w:sz="4" w:space="0"/>
                    <w:left w:val="single" w:color="auto" w:sz="4" w:space="0"/>
                    <w:bottom w:val="single" w:color="auto" w:sz="4" w:space="0"/>
                    <w:right w:val="single" w:color="auto" w:sz="4" w:space="0"/>
                  </w:tcBorders>
                  <w:vAlign w:val="center"/>
                </w:tcPr>
                <w:p w14:paraId="713DFB33">
                  <w:pPr>
                    <w:jc w:val="center"/>
                    <w:rPr>
                      <w:rFonts w:ascii="Times New Roman" w:hAnsi="Times New Roman" w:eastAsia="宋体" w:cs="Times New Roman"/>
                      <w:color w:val="auto"/>
                      <w:sz w:val="21"/>
                      <w:szCs w:val="21"/>
                      <w:lang w:val="en-US" w:eastAsia="zh-CN" w:bidi="ar-SA"/>
                    </w:rPr>
                  </w:pPr>
                  <w:r>
                    <w:rPr>
                      <w:color w:val="auto"/>
                      <w:sz w:val="21"/>
                      <w:szCs w:val="21"/>
                    </w:rPr>
                    <w:t>0.5</w:t>
                  </w:r>
                </w:p>
              </w:tc>
              <w:tc>
                <w:tcPr>
                  <w:tcW w:w="635" w:type="pct"/>
                  <w:tcBorders>
                    <w:top w:val="single" w:color="auto" w:sz="4" w:space="0"/>
                    <w:left w:val="single" w:color="auto" w:sz="4" w:space="0"/>
                    <w:bottom w:val="single" w:color="auto" w:sz="4" w:space="0"/>
                    <w:right w:val="single" w:color="auto" w:sz="4" w:space="0"/>
                  </w:tcBorders>
                  <w:vAlign w:val="center"/>
                </w:tcPr>
                <w:p w14:paraId="0F39D7C7">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231CC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361E89DD">
                  <w:pPr>
                    <w:jc w:val="center"/>
                    <w:rPr>
                      <w:rFonts w:ascii="Times New Roman" w:hAnsi="Times New Roman" w:eastAsia="宋体" w:cs="Times New Roman"/>
                      <w:color w:val="auto"/>
                      <w:sz w:val="21"/>
                      <w:szCs w:val="21"/>
                      <w:lang w:val="en-US" w:eastAsia="zh-CN" w:bidi="ar-SA"/>
                    </w:rPr>
                  </w:pPr>
                  <w:r>
                    <w:rPr>
                      <w:color w:val="auto"/>
                      <w:sz w:val="21"/>
                      <w:szCs w:val="21"/>
                    </w:rPr>
                    <w:t>镍</w:t>
                  </w:r>
                  <w:r>
                    <w:rPr>
                      <w:rFonts w:hint="eastAsia"/>
                      <w:color w:val="auto"/>
                      <w:sz w:val="21"/>
                      <w:szCs w:val="21"/>
                      <w:lang w:eastAsia="zh-CN"/>
                    </w:rPr>
                    <w:t>（</w:t>
                  </w:r>
                  <w:r>
                    <w:rPr>
                      <w:rFonts w:hint="eastAsia"/>
                      <w:color w:val="auto"/>
                      <w:sz w:val="21"/>
                      <w:szCs w:val="21"/>
                      <w:lang w:val="en-US" w:eastAsia="zh-CN"/>
                    </w:rPr>
                    <w:t>mg/L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19E4A9B2">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0.05</w:t>
                  </w:r>
                </w:p>
              </w:tc>
              <w:tc>
                <w:tcPr>
                  <w:tcW w:w="775" w:type="pct"/>
                  <w:tcBorders>
                    <w:top w:val="single" w:color="auto" w:sz="4" w:space="0"/>
                    <w:left w:val="single" w:color="auto" w:sz="4" w:space="0"/>
                    <w:bottom w:val="single" w:color="auto" w:sz="4" w:space="0"/>
                    <w:right w:val="single" w:color="auto" w:sz="4" w:space="0"/>
                  </w:tcBorders>
                  <w:vAlign w:val="center"/>
                </w:tcPr>
                <w:p w14:paraId="66350530">
                  <w:pPr>
                    <w:jc w:val="center"/>
                    <w:rPr>
                      <w:rFonts w:ascii="Times New Roman" w:hAnsi="Times New Roman" w:eastAsia="宋体" w:cs="Times New Roman"/>
                      <w:color w:val="auto"/>
                      <w:sz w:val="21"/>
                      <w:szCs w:val="21"/>
                      <w:lang w:val="en-US" w:eastAsia="zh-CN" w:bidi="ar-SA"/>
                    </w:rPr>
                  </w:pPr>
                  <w:r>
                    <w:rPr>
                      <w:color w:val="auto"/>
                      <w:sz w:val="21"/>
                      <w:szCs w:val="21"/>
                    </w:rPr>
                    <w:t>5</w:t>
                  </w:r>
                </w:p>
              </w:tc>
              <w:tc>
                <w:tcPr>
                  <w:tcW w:w="648" w:type="pct"/>
                  <w:tcBorders>
                    <w:top w:val="single" w:color="auto" w:sz="4" w:space="0"/>
                    <w:left w:val="single" w:color="auto" w:sz="4" w:space="0"/>
                    <w:bottom w:val="single" w:color="auto" w:sz="4" w:space="0"/>
                    <w:right w:val="single" w:color="auto" w:sz="4" w:space="0"/>
                  </w:tcBorders>
                  <w:vAlign w:val="center"/>
                </w:tcPr>
                <w:p w14:paraId="51708076">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628F9FDA">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0.03L</w:t>
                  </w:r>
                </w:p>
              </w:tc>
              <w:tc>
                <w:tcPr>
                  <w:tcW w:w="986" w:type="pct"/>
                  <w:tcBorders>
                    <w:top w:val="single" w:color="auto" w:sz="4" w:space="0"/>
                    <w:left w:val="single" w:color="auto" w:sz="4" w:space="0"/>
                    <w:bottom w:val="single" w:color="auto" w:sz="4" w:space="0"/>
                    <w:right w:val="single" w:color="auto" w:sz="4" w:space="0"/>
                  </w:tcBorders>
                  <w:vAlign w:val="center"/>
                </w:tcPr>
                <w:p w14:paraId="2A182021">
                  <w:pPr>
                    <w:jc w:val="center"/>
                    <w:rPr>
                      <w:rFonts w:ascii="Times New Roman" w:hAnsi="Times New Roman" w:eastAsia="宋体" w:cs="Times New Roman"/>
                      <w:color w:val="auto"/>
                      <w:sz w:val="21"/>
                      <w:szCs w:val="21"/>
                      <w:lang w:val="en-US" w:eastAsia="zh-CN" w:bidi="ar-SA"/>
                    </w:rPr>
                  </w:pPr>
                  <w:r>
                    <w:rPr>
                      <w:color w:val="auto"/>
                      <w:sz w:val="21"/>
                      <w:szCs w:val="21"/>
                    </w:rPr>
                    <w:t>1.0</w:t>
                  </w:r>
                </w:p>
              </w:tc>
              <w:tc>
                <w:tcPr>
                  <w:tcW w:w="635" w:type="pct"/>
                  <w:tcBorders>
                    <w:top w:val="single" w:color="auto" w:sz="4" w:space="0"/>
                    <w:left w:val="single" w:color="auto" w:sz="4" w:space="0"/>
                    <w:bottom w:val="single" w:color="auto" w:sz="4" w:space="0"/>
                    <w:right w:val="single" w:color="auto" w:sz="4" w:space="0"/>
                  </w:tcBorders>
                  <w:vAlign w:val="center"/>
                </w:tcPr>
                <w:p w14:paraId="0B9A3E8F">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79639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0F33EC09">
                  <w:pPr>
                    <w:jc w:val="center"/>
                    <w:rPr>
                      <w:color w:val="auto"/>
                      <w:sz w:val="21"/>
                      <w:szCs w:val="21"/>
                    </w:rPr>
                  </w:pPr>
                  <w:r>
                    <w:rPr>
                      <w:color w:val="auto"/>
                      <w:sz w:val="21"/>
                      <w:szCs w:val="21"/>
                    </w:rPr>
                    <w:t>铜</w:t>
                  </w:r>
                  <w:r>
                    <w:rPr>
                      <w:rFonts w:hint="eastAsia"/>
                      <w:color w:val="auto"/>
                      <w:sz w:val="21"/>
                      <w:szCs w:val="21"/>
                      <w:lang w:eastAsia="zh-CN"/>
                    </w:rPr>
                    <w:t>（</w:t>
                  </w:r>
                  <w:r>
                    <w:rPr>
                      <w:rFonts w:hint="eastAsia"/>
                      <w:color w:val="auto"/>
                      <w:sz w:val="21"/>
                      <w:szCs w:val="21"/>
                      <w:lang w:val="en-US" w:eastAsia="zh-CN"/>
                    </w:rPr>
                    <w:t>mg/L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3BA33FED">
                  <w:pPr>
                    <w:jc w:val="center"/>
                    <w:rPr>
                      <w:rFonts w:hint="default" w:eastAsia="宋体"/>
                      <w:color w:val="auto"/>
                      <w:sz w:val="21"/>
                      <w:szCs w:val="21"/>
                      <w:lang w:val="en-US" w:eastAsia="zh-CN"/>
                    </w:rPr>
                  </w:pPr>
                  <w:r>
                    <w:rPr>
                      <w:rFonts w:hint="eastAsia"/>
                      <w:color w:val="auto"/>
                      <w:sz w:val="21"/>
                      <w:szCs w:val="21"/>
                      <w:lang w:val="en-US" w:eastAsia="zh-CN"/>
                    </w:rPr>
                    <w:t>0.02L</w:t>
                  </w:r>
                </w:p>
              </w:tc>
              <w:tc>
                <w:tcPr>
                  <w:tcW w:w="775" w:type="pct"/>
                  <w:tcBorders>
                    <w:top w:val="single" w:color="auto" w:sz="4" w:space="0"/>
                    <w:left w:val="single" w:color="auto" w:sz="4" w:space="0"/>
                    <w:bottom w:val="single" w:color="auto" w:sz="4" w:space="0"/>
                    <w:right w:val="single" w:color="auto" w:sz="4" w:space="0"/>
                  </w:tcBorders>
                  <w:vAlign w:val="center"/>
                </w:tcPr>
                <w:p w14:paraId="788E74EE">
                  <w:pPr>
                    <w:jc w:val="center"/>
                    <w:rPr>
                      <w:color w:val="auto"/>
                      <w:sz w:val="21"/>
                      <w:szCs w:val="21"/>
                    </w:rPr>
                  </w:pPr>
                  <w:r>
                    <w:rPr>
                      <w:color w:val="auto"/>
                      <w:sz w:val="21"/>
                      <w:szCs w:val="21"/>
                    </w:rPr>
                    <w:t>100</w:t>
                  </w:r>
                </w:p>
              </w:tc>
              <w:tc>
                <w:tcPr>
                  <w:tcW w:w="648" w:type="pct"/>
                  <w:tcBorders>
                    <w:top w:val="single" w:color="auto" w:sz="4" w:space="0"/>
                    <w:left w:val="single" w:color="auto" w:sz="4" w:space="0"/>
                    <w:bottom w:val="single" w:color="auto" w:sz="4" w:space="0"/>
                    <w:right w:val="single" w:color="auto" w:sz="4" w:space="0"/>
                  </w:tcBorders>
                  <w:vAlign w:val="center"/>
                </w:tcPr>
                <w:p w14:paraId="6AC4627C">
                  <w:pPr>
                    <w:jc w:val="center"/>
                    <w:rPr>
                      <w:color w:val="auto"/>
                      <w:sz w:val="21"/>
                      <w:szCs w:val="21"/>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36D4762A">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0.02L</w:t>
                  </w:r>
                </w:p>
              </w:tc>
              <w:tc>
                <w:tcPr>
                  <w:tcW w:w="986" w:type="pct"/>
                  <w:tcBorders>
                    <w:top w:val="single" w:color="auto" w:sz="4" w:space="0"/>
                    <w:left w:val="single" w:color="auto" w:sz="4" w:space="0"/>
                    <w:bottom w:val="single" w:color="auto" w:sz="4" w:space="0"/>
                    <w:right w:val="single" w:color="auto" w:sz="4" w:space="0"/>
                  </w:tcBorders>
                  <w:vAlign w:val="center"/>
                </w:tcPr>
                <w:p w14:paraId="072099D5">
                  <w:pPr>
                    <w:jc w:val="center"/>
                    <w:rPr>
                      <w:rFonts w:ascii="Times New Roman" w:hAnsi="Times New Roman" w:eastAsia="宋体" w:cs="Times New Roman"/>
                      <w:color w:val="auto"/>
                      <w:sz w:val="21"/>
                      <w:szCs w:val="21"/>
                      <w:lang w:val="en-US" w:eastAsia="zh-CN" w:bidi="ar-SA"/>
                    </w:rPr>
                  </w:pPr>
                  <w:r>
                    <w:rPr>
                      <w:color w:val="auto"/>
                      <w:sz w:val="21"/>
                      <w:szCs w:val="21"/>
                    </w:rPr>
                    <w:t>0.5</w:t>
                  </w:r>
                </w:p>
              </w:tc>
              <w:tc>
                <w:tcPr>
                  <w:tcW w:w="635" w:type="pct"/>
                  <w:tcBorders>
                    <w:top w:val="single" w:color="auto" w:sz="4" w:space="0"/>
                    <w:left w:val="single" w:color="auto" w:sz="4" w:space="0"/>
                    <w:bottom w:val="single" w:color="auto" w:sz="4" w:space="0"/>
                    <w:right w:val="single" w:color="auto" w:sz="4" w:space="0"/>
                  </w:tcBorders>
                  <w:vAlign w:val="center"/>
                </w:tcPr>
                <w:p w14:paraId="2B559781">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40D77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4812D272">
                  <w:pPr>
                    <w:jc w:val="center"/>
                    <w:rPr>
                      <w:rFonts w:ascii="Times New Roman" w:hAnsi="Times New Roman" w:eastAsia="宋体" w:cs="Times New Roman"/>
                      <w:color w:val="auto"/>
                      <w:sz w:val="21"/>
                      <w:szCs w:val="21"/>
                      <w:lang w:val="en-US" w:eastAsia="zh-CN" w:bidi="ar-SA"/>
                    </w:rPr>
                  </w:pPr>
                  <w:r>
                    <w:rPr>
                      <w:color w:val="auto"/>
                      <w:sz w:val="21"/>
                      <w:szCs w:val="21"/>
                    </w:rPr>
                    <w:t>铍</w:t>
                  </w:r>
                  <w:r>
                    <w:rPr>
                      <w:rFonts w:hint="eastAsia"/>
                      <w:color w:val="auto"/>
                      <w:sz w:val="21"/>
                      <w:szCs w:val="21"/>
                      <w:lang w:eastAsia="zh-CN"/>
                    </w:rPr>
                    <w:t>（</w:t>
                  </w:r>
                  <w:r>
                    <w:rPr>
                      <w:rFonts w:hint="default" w:ascii="Times New Roman" w:hAnsi="Times New Roman" w:cs="Times New Roman"/>
                      <w:color w:val="auto"/>
                      <w:sz w:val="21"/>
                      <w:szCs w:val="21"/>
                      <w:lang w:eastAsia="zh-CN"/>
                    </w:rPr>
                    <w:t>μ</w:t>
                  </w:r>
                  <w:r>
                    <w:rPr>
                      <w:rFonts w:hint="eastAsia"/>
                      <w:color w:val="auto"/>
                      <w:sz w:val="21"/>
                      <w:szCs w:val="21"/>
                      <w:lang w:val="en-US" w:eastAsia="zh-CN"/>
                    </w:rPr>
                    <w:t>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656CB616">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0.8</w:t>
                  </w:r>
                </w:p>
              </w:tc>
              <w:tc>
                <w:tcPr>
                  <w:tcW w:w="775" w:type="pct"/>
                  <w:tcBorders>
                    <w:top w:val="single" w:color="auto" w:sz="4" w:space="0"/>
                    <w:left w:val="single" w:color="auto" w:sz="4" w:space="0"/>
                    <w:bottom w:val="single" w:color="auto" w:sz="4" w:space="0"/>
                    <w:right w:val="single" w:color="auto" w:sz="4" w:space="0"/>
                  </w:tcBorders>
                  <w:vAlign w:val="center"/>
                </w:tcPr>
                <w:p w14:paraId="63A46EF7">
                  <w:pPr>
                    <w:jc w:val="center"/>
                    <w:rPr>
                      <w:rFonts w:ascii="Times New Roman" w:hAnsi="Times New Roman" w:eastAsia="宋体" w:cs="Times New Roman"/>
                      <w:color w:val="auto"/>
                      <w:sz w:val="21"/>
                      <w:szCs w:val="21"/>
                      <w:lang w:val="en-US" w:eastAsia="zh-CN" w:bidi="ar-SA"/>
                    </w:rPr>
                  </w:pPr>
                  <w:r>
                    <w:rPr>
                      <w:color w:val="auto"/>
                      <w:sz w:val="21"/>
                      <w:szCs w:val="21"/>
                    </w:rPr>
                    <w:t>0.02</w:t>
                  </w:r>
                </w:p>
              </w:tc>
              <w:tc>
                <w:tcPr>
                  <w:tcW w:w="648" w:type="pct"/>
                  <w:tcBorders>
                    <w:top w:val="single" w:color="auto" w:sz="4" w:space="0"/>
                    <w:left w:val="single" w:color="auto" w:sz="4" w:space="0"/>
                    <w:bottom w:val="single" w:color="auto" w:sz="4" w:space="0"/>
                    <w:right w:val="single" w:color="auto" w:sz="4" w:space="0"/>
                  </w:tcBorders>
                  <w:vAlign w:val="center"/>
                </w:tcPr>
                <w:p w14:paraId="34DCB4AB">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7FA06C46">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0.1L</w:t>
                  </w:r>
                </w:p>
              </w:tc>
              <w:tc>
                <w:tcPr>
                  <w:tcW w:w="986" w:type="pct"/>
                  <w:tcBorders>
                    <w:top w:val="single" w:color="auto" w:sz="4" w:space="0"/>
                    <w:left w:val="single" w:color="auto" w:sz="4" w:space="0"/>
                    <w:bottom w:val="single" w:color="auto" w:sz="4" w:space="0"/>
                    <w:right w:val="single" w:color="auto" w:sz="4" w:space="0"/>
                  </w:tcBorders>
                  <w:vAlign w:val="center"/>
                </w:tcPr>
                <w:p w14:paraId="4F2D4305">
                  <w:pPr>
                    <w:jc w:val="center"/>
                    <w:rPr>
                      <w:rFonts w:ascii="Times New Roman" w:hAnsi="Times New Roman" w:eastAsia="宋体" w:cs="Times New Roman"/>
                      <w:color w:val="auto"/>
                      <w:sz w:val="21"/>
                      <w:szCs w:val="21"/>
                      <w:lang w:val="en-US" w:eastAsia="zh-CN" w:bidi="ar-SA"/>
                    </w:rPr>
                  </w:pPr>
                  <w:r>
                    <w:rPr>
                      <w:color w:val="auto"/>
                      <w:sz w:val="21"/>
                      <w:szCs w:val="21"/>
                    </w:rPr>
                    <w:t>0.005</w:t>
                  </w:r>
                </w:p>
              </w:tc>
              <w:tc>
                <w:tcPr>
                  <w:tcW w:w="635" w:type="pct"/>
                  <w:tcBorders>
                    <w:top w:val="single" w:color="auto" w:sz="4" w:space="0"/>
                    <w:left w:val="single" w:color="auto" w:sz="4" w:space="0"/>
                    <w:bottom w:val="single" w:color="auto" w:sz="4" w:space="0"/>
                    <w:right w:val="single" w:color="auto" w:sz="4" w:space="0"/>
                  </w:tcBorders>
                  <w:vAlign w:val="center"/>
                </w:tcPr>
                <w:p w14:paraId="7F66A773">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0125C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5A0A7DFA">
                  <w:pPr>
                    <w:jc w:val="center"/>
                    <w:rPr>
                      <w:rFonts w:hint="eastAsia" w:eastAsia="宋体"/>
                      <w:color w:val="auto"/>
                      <w:sz w:val="21"/>
                      <w:szCs w:val="21"/>
                      <w:lang w:val="en-US" w:eastAsia="zh-CN"/>
                    </w:rPr>
                  </w:pPr>
                  <w:r>
                    <w:rPr>
                      <w:rFonts w:hint="eastAsia"/>
                      <w:color w:val="auto"/>
                      <w:sz w:val="21"/>
                      <w:szCs w:val="21"/>
                      <w:lang w:val="en-US" w:eastAsia="zh-CN"/>
                    </w:rPr>
                    <w:t>铅</w:t>
                  </w:r>
                  <w:r>
                    <w:rPr>
                      <w:rFonts w:hint="eastAsia"/>
                      <w:color w:val="auto"/>
                      <w:sz w:val="21"/>
                      <w:szCs w:val="21"/>
                      <w:lang w:eastAsia="zh-CN"/>
                    </w:rPr>
                    <w:t>（</w:t>
                  </w:r>
                  <w:r>
                    <w:rPr>
                      <w:rFonts w:hint="default" w:ascii="Times New Roman" w:hAnsi="Times New Roman" w:cs="Times New Roman"/>
                      <w:color w:val="auto"/>
                      <w:sz w:val="21"/>
                      <w:szCs w:val="21"/>
                      <w:lang w:eastAsia="zh-CN"/>
                    </w:rPr>
                    <w:t>μ</w:t>
                  </w:r>
                  <w:r>
                    <w:rPr>
                      <w:rFonts w:hint="eastAsia"/>
                      <w:color w:val="auto"/>
                      <w:sz w:val="21"/>
                      <w:szCs w:val="21"/>
                      <w:lang w:val="en-US" w:eastAsia="zh-CN"/>
                    </w:rPr>
                    <w:t>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2776461B">
                  <w:pPr>
                    <w:jc w:val="center"/>
                    <w:rPr>
                      <w:rFonts w:hint="default" w:cs="Times New Roman"/>
                      <w:color w:val="auto"/>
                      <w:sz w:val="21"/>
                      <w:szCs w:val="21"/>
                      <w:lang w:val="en-US" w:eastAsia="zh-CN" w:bidi="ar-SA"/>
                    </w:rPr>
                  </w:pPr>
                  <w:r>
                    <w:rPr>
                      <w:rFonts w:hint="eastAsia" w:cs="Times New Roman"/>
                      <w:color w:val="auto"/>
                      <w:sz w:val="21"/>
                      <w:szCs w:val="21"/>
                      <w:lang w:val="en-US" w:eastAsia="zh-CN" w:bidi="ar-SA"/>
                    </w:rPr>
                    <w:t>0.9L</w:t>
                  </w:r>
                </w:p>
              </w:tc>
              <w:tc>
                <w:tcPr>
                  <w:tcW w:w="775" w:type="pct"/>
                  <w:tcBorders>
                    <w:top w:val="single" w:color="auto" w:sz="4" w:space="0"/>
                    <w:left w:val="single" w:color="auto" w:sz="4" w:space="0"/>
                    <w:bottom w:val="single" w:color="auto" w:sz="4" w:space="0"/>
                    <w:right w:val="single" w:color="auto" w:sz="4" w:space="0"/>
                  </w:tcBorders>
                  <w:vAlign w:val="center"/>
                </w:tcPr>
                <w:p w14:paraId="7981D1CA">
                  <w:pPr>
                    <w:jc w:val="center"/>
                    <w:rPr>
                      <w:rFonts w:ascii="Times New Roman" w:hAnsi="Times New Roman" w:eastAsia="宋体" w:cs="Times New Roman"/>
                      <w:color w:val="auto"/>
                      <w:sz w:val="21"/>
                      <w:szCs w:val="21"/>
                      <w:lang w:val="en-US" w:eastAsia="zh-CN" w:bidi="ar-SA"/>
                    </w:rPr>
                  </w:pPr>
                  <w:r>
                    <w:rPr>
                      <w:color w:val="auto"/>
                      <w:sz w:val="21"/>
                      <w:szCs w:val="21"/>
                    </w:rPr>
                    <w:t>5</w:t>
                  </w:r>
                </w:p>
              </w:tc>
              <w:tc>
                <w:tcPr>
                  <w:tcW w:w="648" w:type="pct"/>
                  <w:tcBorders>
                    <w:top w:val="single" w:color="auto" w:sz="4" w:space="0"/>
                    <w:left w:val="single" w:color="auto" w:sz="4" w:space="0"/>
                    <w:bottom w:val="single" w:color="auto" w:sz="4" w:space="0"/>
                    <w:right w:val="single" w:color="auto" w:sz="4" w:space="0"/>
                  </w:tcBorders>
                  <w:vAlign w:val="center"/>
                </w:tcPr>
                <w:p w14:paraId="55FE0ACD">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6E1DD4DB">
                  <w:pPr>
                    <w:jc w:val="center"/>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0.9L</w:t>
                  </w:r>
                </w:p>
              </w:tc>
              <w:tc>
                <w:tcPr>
                  <w:tcW w:w="986" w:type="pct"/>
                  <w:tcBorders>
                    <w:top w:val="single" w:color="auto" w:sz="4" w:space="0"/>
                    <w:left w:val="single" w:color="auto" w:sz="4" w:space="0"/>
                    <w:bottom w:val="single" w:color="auto" w:sz="4" w:space="0"/>
                    <w:right w:val="single" w:color="auto" w:sz="4" w:space="0"/>
                  </w:tcBorders>
                  <w:vAlign w:val="center"/>
                </w:tcPr>
                <w:p w14:paraId="07052F0C">
                  <w:pPr>
                    <w:jc w:val="center"/>
                    <w:rPr>
                      <w:rFonts w:ascii="Times New Roman" w:hAnsi="Times New Roman" w:eastAsia="宋体" w:cs="Times New Roman"/>
                      <w:color w:val="auto"/>
                      <w:sz w:val="21"/>
                      <w:szCs w:val="21"/>
                      <w:lang w:val="en-US" w:eastAsia="zh-CN" w:bidi="ar-SA"/>
                    </w:rPr>
                  </w:pPr>
                  <w:r>
                    <w:rPr>
                      <w:color w:val="auto"/>
                      <w:sz w:val="21"/>
                      <w:szCs w:val="21"/>
                    </w:rPr>
                    <w:t>1.0</w:t>
                  </w:r>
                </w:p>
              </w:tc>
              <w:tc>
                <w:tcPr>
                  <w:tcW w:w="635" w:type="pct"/>
                  <w:tcBorders>
                    <w:top w:val="single" w:color="auto" w:sz="4" w:space="0"/>
                    <w:left w:val="single" w:color="auto" w:sz="4" w:space="0"/>
                    <w:bottom w:val="single" w:color="auto" w:sz="4" w:space="0"/>
                    <w:right w:val="single" w:color="auto" w:sz="4" w:space="0"/>
                  </w:tcBorders>
                  <w:vAlign w:val="center"/>
                </w:tcPr>
                <w:p w14:paraId="4D681C62">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0495F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35237681">
                  <w:pPr>
                    <w:jc w:val="center"/>
                    <w:rPr>
                      <w:rFonts w:ascii="Times New Roman" w:hAnsi="Times New Roman" w:eastAsia="宋体" w:cs="Times New Roman"/>
                      <w:color w:val="auto"/>
                      <w:sz w:val="21"/>
                      <w:szCs w:val="21"/>
                      <w:lang w:val="en-US" w:eastAsia="zh-CN" w:bidi="ar-SA"/>
                    </w:rPr>
                  </w:pPr>
                  <w:r>
                    <w:rPr>
                      <w:color w:val="auto"/>
                      <w:sz w:val="21"/>
                      <w:szCs w:val="21"/>
                    </w:rPr>
                    <w:t>总铬</w:t>
                  </w:r>
                  <w:r>
                    <w:rPr>
                      <w:rFonts w:hint="eastAsia"/>
                      <w:color w:val="auto"/>
                      <w:sz w:val="21"/>
                      <w:szCs w:val="21"/>
                      <w:lang w:eastAsia="zh-CN"/>
                    </w:rPr>
                    <w:t>（</w:t>
                  </w:r>
                  <w:r>
                    <w:rPr>
                      <w:rFonts w:hint="eastAsia"/>
                      <w:color w:val="auto"/>
                      <w:sz w:val="21"/>
                      <w:szCs w:val="21"/>
                      <w:lang w:val="en-US" w:eastAsia="zh-CN"/>
                    </w:rPr>
                    <w:t>mg/L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1C50AE3B">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0.03L</w:t>
                  </w:r>
                </w:p>
              </w:tc>
              <w:tc>
                <w:tcPr>
                  <w:tcW w:w="775" w:type="pct"/>
                  <w:tcBorders>
                    <w:top w:val="single" w:color="auto" w:sz="4" w:space="0"/>
                    <w:left w:val="single" w:color="auto" w:sz="4" w:space="0"/>
                    <w:bottom w:val="single" w:color="auto" w:sz="4" w:space="0"/>
                    <w:right w:val="single" w:color="auto" w:sz="4" w:space="0"/>
                  </w:tcBorders>
                  <w:vAlign w:val="center"/>
                </w:tcPr>
                <w:p w14:paraId="64069B70">
                  <w:pPr>
                    <w:jc w:val="center"/>
                    <w:rPr>
                      <w:rFonts w:ascii="Times New Roman" w:hAnsi="Times New Roman" w:eastAsia="宋体" w:cs="Times New Roman"/>
                      <w:color w:val="auto"/>
                      <w:sz w:val="21"/>
                      <w:szCs w:val="21"/>
                      <w:lang w:val="en-US" w:eastAsia="zh-CN" w:bidi="ar-SA"/>
                    </w:rPr>
                  </w:pPr>
                  <w:r>
                    <w:rPr>
                      <w:color w:val="auto"/>
                      <w:sz w:val="21"/>
                      <w:szCs w:val="21"/>
                    </w:rPr>
                    <w:t>15</w:t>
                  </w:r>
                </w:p>
              </w:tc>
              <w:tc>
                <w:tcPr>
                  <w:tcW w:w="648" w:type="pct"/>
                  <w:tcBorders>
                    <w:top w:val="single" w:color="auto" w:sz="4" w:space="0"/>
                    <w:left w:val="single" w:color="auto" w:sz="4" w:space="0"/>
                    <w:bottom w:val="single" w:color="auto" w:sz="4" w:space="0"/>
                    <w:right w:val="single" w:color="auto" w:sz="4" w:space="0"/>
                  </w:tcBorders>
                  <w:vAlign w:val="center"/>
                </w:tcPr>
                <w:p w14:paraId="5057ABB4">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32689467">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0.03L</w:t>
                  </w:r>
                </w:p>
              </w:tc>
              <w:tc>
                <w:tcPr>
                  <w:tcW w:w="986" w:type="pct"/>
                  <w:tcBorders>
                    <w:top w:val="single" w:color="auto" w:sz="4" w:space="0"/>
                    <w:left w:val="single" w:color="auto" w:sz="4" w:space="0"/>
                    <w:bottom w:val="single" w:color="auto" w:sz="4" w:space="0"/>
                    <w:right w:val="single" w:color="auto" w:sz="4" w:space="0"/>
                  </w:tcBorders>
                  <w:vAlign w:val="center"/>
                </w:tcPr>
                <w:p w14:paraId="7B311402">
                  <w:pPr>
                    <w:jc w:val="center"/>
                    <w:rPr>
                      <w:rFonts w:ascii="Times New Roman" w:hAnsi="Times New Roman" w:eastAsia="宋体" w:cs="Times New Roman"/>
                      <w:color w:val="auto"/>
                      <w:sz w:val="21"/>
                      <w:szCs w:val="21"/>
                      <w:lang w:val="en-US" w:eastAsia="zh-CN" w:bidi="ar-SA"/>
                    </w:rPr>
                  </w:pPr>
                  <w:r>
                    <w:rPr>
                      <w:color w:val="auto"/>
                      <w:sz w:val="21"/>
                      <w:szCs w:val="21"/>
                    </w:rPr>
                    <w:t>1.5</w:t>
                  </w:r>
                </w:p>
              </w:tc>
              <w:tc>
                <w:tcPr>
                  <w:tcW w:w="635" w:type="pct"/>
                  <w:tcBorders>
                    <w:top w:val="single" w:color="auto" w:sz="4" w:space="0"/>
                    <w:left w:val="single" w:color="auto" w:sz="4" w:space="0"/>
                    <w:bottom w:val="single" w:color="auto" w:sz="4" w:space="0"/>
                    <w:right w:val="single" w:color="auto" w:sz="4" w:space="0"/>
                  </w:tcBorders>
                  <w:vAlign w:val="center"/>
                </w:tcPr>
                <w:p w14:paraId="6EF342E9">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6AD08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6B9EEFB6">
                  <w:pPr>
                    <w:jc w:val="center"/>
                    <w:rPr>
                      <w:rFonts w:ascii="Times New Roman" w:hAnsi="Times New Roman" w:eastAsia="宋体" w:cs="Times New Roman"/>
                      <w:color w:val="auto"/>
                      <w:sz w:val="21"/>
                      <w:szCs w:val="21"/>
                      <w:lang w:val="en-US" w:eastAsia="zh-CN" w:bidi="ar-SA"/>
                    </w:rPr>
                  </w:pPr>
                  <w:r>
                    <w:rPr>
                      <w:color w:val="auto"/>
                      <w:sz w:val="21"/>
                      <w:szCs w:val="21"/>
                    </w:rPr>
                    <w:t>锌</w:t>
                  </w:r>
                  <w:r>
                    <w:rPr>
                      <w:rFonts w:hint="eastAsia"/>
                      <w:color w:val="auto"/>
                      <w:sz w:val="21"/>
                      <w:szCs w:val="21"/>
                      <w:lang w:eastAsia="zh-CN"/>
                    </w:rPr>
                    <w:t>（</w:t>
                  </w:r>
                  <w:r>
                    <w:rPr>
                      <w:rFonts w:hint="eastAsia"/>
                      <w:color w:val="auto"/>
                      <w:sz w:val="21"/>
                      <w:szCs w:val="21"/>
                      <w:lang w:val="en-US" w:eastAsia="zh-CN"/>
                    </w:rPr>
                    <w:t>mg/L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34C962E0">
                  <w:pPr>
                    <w:jc w:val="center"/>
                    <w:rPr>
                      <w:rFonts w:ascii="Times New Roman" w:hAnsi="Times New Roman" w:eastAsia="宋体" w:cs="Times New Roman"/>
                      <w:color w:val="auto"/>
                      <w:sz w:val="21"/>
                      <w:szCs w:val="21"/>
                      <w:lang w:val="en-US" w:eastAsia="zh-CN" w:bidi="ar-SA"/>
                    </w:rPr>
                  </w:pPr>
                  <w:r>
                    <w:rPr>
                      <w:rFonts w:hint="eastAsia"/>
                      <w:color w:val="auto"/>
                      <w:sz w:val="21"/>
                      <w:szCs w:val="21"/>
                      <w:lang w:val="en-US" w:eastAsia="zh-CN"/>
                    </w:rPr>
                    <w:t>0.06L</w:t>
                  </w:r>
                </w:p>
              </w:tc>
              <w:tc>
                <w:tcPr>
                  <w:tcW w:w="775" w:type="pct"/>
                  <w:tcBorders>
                    <w:top w:val="single" w:color="auto" w:sz="4" w:space="0"/>
                    <w:left w:val="single" w:color="auto" w:sz="4" w:space="0"/>
                    <w:bottom w:val="single" w:color="auto" w:sz="4" w:space="0"/>
                    <w:right w:val="single" w:color="auto" w:sz="4" w:space="0"/>
                  </w:tcBorders>
                  <w:vAlign w:val="center"/>
                </w:tcPr>
                <w:p w14:paraId="4136BE86">
                  <w:pPr>
                    <w:jc w:val="center"/>
                    <w:rPr>
                      <w:rFonts w:ascii="Times New Roman" w:hAnsi="Times New Roman" w:eastAsia="宋体" w:cs="Times New Roman"/>
                      <w:color w:val="auto"/>
                      <w:sz w:val="21"/>
                      <w:szCs w:val="21"/>
                      <w:lang w:val="en-US" w:eastAsia="zh-CN" w:bidi="ar-SA"/>
                    </w:rPr>
                  </w:pPr>
                  <w:r>
                    <w:rPr>
                      <w:color w:val="auto"/>
                      <w:sz w:val="21"/>
                      <w:szCs w:val="21"/>
                    </w:rPr>
                    <w:t>100</w:t>
                  </w:r>
                </w:p>
              </w:tc>
              <w:tc>
                <w:tcPr>
                  <w:tcW w:w="648" w:type="pct"/>
                  <w:tcBorders>
                    <w:top w:val="single" w:color="auto" w:sz="4" w:space="0"/>
                    <w:left w:val="single" w:color="auto" w:sz="4" w:space="0"/>
                    <w:bottom w:val="single" w:color="auto" w:sz="4" w:space="0"/>
                    <w:right w:val="single" w:color="auto" w:sz="4" w:space="0"/>
                  </w:tcBorders>
                  <w:vAlign w:val="center"/>
                </w:tcPr>
                <w:p w14:paraId="53F0F0AD">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6A33E0C2">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0.06L</w:t>
                  </w:r>
                </w:p>
              </w:tc>
              <w:tc>
                <w:tcPr>
                  <w:tcW w:w="986" w:type="pct"/>
                  <w:tcBorders>
                    <w:top w:val="single" w:color="auto" w:sz="4" w:space="0"/>
                    <w:left w:val="single" w:color="auto" w:sz="4" w:space="0"/>
                    <w:bottom w:val="single" w:color="auto" w:sz="4" w:space="0"/>
                    <w:right w:val="single" w:color="auto" w:sz="4" w:space="0"/>
                  </w:tcBorders>
                  <w:vAlign w:val="center"/>
                </w:tcPr>
                <w:p w14:paraId="673B1BD1">
                  <w:pPr>
                    <w:jc w:val="center"/>
                    <w:rPr>
                      <w:rFonts w:ascii="Times New Roman" w:hAnsi="Times New Roman" w:eastAsia="宋体" w:cs="Times New Roman"/>
                      <w:color w:val="auto"/>
                      <w:sz w:val="21"/>
                      <w:szCs w:val="21"/>
                      <w:lang w:val="en-US" w:eastAsia="zh-CN" w:bidi="ar-SA"/>
                    </w:rPr>
                  </w:pPr>
                  <w:r>
                    <w:rPr>
                      <w:color w:val="auto"/>
                      <w:sz w:val="21"/>
                      <w:szCs w:val="21"/>
                    </w:rPr>
                    <w:t>2.0</w:t>
                  </w:r>
                </w:p>
              </w:tc>
              <w:tc>
                <w:tcPr>
                  <w:tcW w:w="635" w:type="pct"/>
                  <w:tcBorders>
                    <w:top w:val="single" w:color="auto" w:sz="4" w:space="0"/>
                    <w:left w:val="single" w:color="auto" w:sz="4" w:space="0"/>
                    <w:bottom w:val="single" w:color="auto" w:sz="4" w:space="0"/>
                    <w:right w:val="single" w:color="auto" w:sz="4" w:space="0"/>
                  </w:tcBorders>
                  <w:vAlign w:val="center"/>
                </w:tcPr>
                <w:p w14:paraId="6C3CE219">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3A881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7A9B87F9">
                  <w:pPr>
                    <w:jc w:val="center"/>
                    <w:rPr>
                      <w:rFonts w:ascii="Times New Roman" w:hAnsi="Times New Roman" w:eastAsia="宋体" w:cs="Times New Roman"/>
                      <w:color w:val="auto"/>
                      <w:sz w:val="21"/>
                      <w:szCs w:val="21"/>
                      <w:lang w:val="en-US" w:eastAsia="zh-CN" w:bidi="ar-SA"/>
                    </w:rPr>
                  </w:pPr>
                  <w:r>
                    <w:rPr>
                      <w:color w:val="auto"/>
                      <w:sz w:val="21"/>
                      <w:szCs w:val="21"/>
                    </w:rPr>
                    <w:t>汞</w:t>
                  </w:r>
                  <w:r>
                    <w:rPr>
                      <w:rFonts w:hint="eastAsia"/>
                      <w:color w:val="auto"/>
                      <w:sz w:val="21"/>
                      <w:szCs w:val="21"/>
                      <w:lang w:eastAsia="zh-CN"/>
                    </w:rPr>
                    <w:t>（</w:t>
                  </w:r>
                  <w:r>
                    <w:rPr>
                      <w:rFonts w:hint="default" w:ascii="Times New Roman" w:hAnsi="Times New Roman" w:cs="Times New Roman"/>
                      <w:color w:val="auto"/>
                      <w:sz w:val="21"/>
                      <w:szCs w:val="21"/>
                      <w:lang w:eastAsia="zh-CN"/>
                    </w:rPr>
                    <w:t>μ</w:t>
                  </w:r>
                  <w:r>
                    <w:rPr>
                      <w:rFonts w:hint="eastAsia"/>
                      <w:color w:val="auto"/>
                      <w:sz w:val="21"/>
                      <w:szCs w:val="21"/>
                      <w:lang w:val="en-US" w:eastAsia="zh-CN"/>
                    </w:rPr>
                    <w:t>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3255D3AB">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0.931</w:t>
                  </w:r>
                </w:p>
              </w:tc>
              <w:tc>
                <w:tcPr>
                  <w:tcW w:w="775" w:type="pct"/>
                  <w:tcBorders>
                    <w:top w:val="single" w:color="auto" w:sz="4" w:space="0"/>
                    <w:left w:val="single" w:color="auto" w:sz="4" w:space="0"/>
                    <w:bottom w:val="single" w:color="auto" w:sz="4" w:space="0"/>
                    <w:right w:val="single" w:color="auto" w:sz="4" w:space="0"/>
                  </w:tcBorders>
                  <w:vAlign w:val="center"/>
                </w:tcPr>
                <w:p w14:paraId="7989D4D4">
                  <w:pPr>
                    <w:jc w:val="center"/>
                    <w:rPr>
                      <w:rFonts w:ascii="Times New Roman" w:hAnsi="Times New Roman" w:eastAsia="宋体" w:cs="Times New Roman"/>
                      <w:color w:val="auto"/>
                      <w:sz w:val="21"/>
                      <w:szCs w:val="21"/>
                      <w:lang w:val="en-US" w:eastAsia="zh-CN" w:bidi="ar-SA"/>
                    </w:rPr>
                  </w:pPr>
                  <w:r>
                    <w:rPr>
                      <w:color w:val="auto"/>
                      <w:sz w:val="21"/>
                      <w:szCs w:val="21"/>
                    </w:rPr>
                    <w:t>0.1</w:t>
                  </w:r>
                </w:p>
              </w:tc>
              <w:tc>
                <w:tcPr>
                  <w:tcW w:w="648" w:type="pct"/>
                  <w:tcBorders>
                    <w:top w:val="single" w:color="auto" w:sz="4" w:space="0"/>
                    <w:left w:val="single" w:color="auto" w:sz="4" w:space="0"/>
                    <w:bottom w:val="single" w:color="auto" w:sz="4" w:space="0"/>
                    <w:right w:val="single" w:color="auto" w:sz="4" w:space="0"/>
                  </w:tcBorders>
                  <w:vAlign w:val="center"/>
                </w:tcPr>
                <w:p w14:paraId="52BD2690">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55EC7F31">
                  <w:pPr>
                    <w:jc w:val="center"/>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0.900</w:t>
                  </w:r>
                </w:p>
              </w:tc>
              <w:tc>
                <w:tcPr>
                  <w:tcW w:w="986" w:type="pct"/>
                  <w:tcBorders>
                    <w:top w:val="single" w:color="auto" w:sz="4" w:space="0"/>
                    <w:left w:val="single" w:color="auto" w:sz="4" w:space="0"/>
                    <w:bottom w:val="single" w:color="auto" w:sz="4" w:space="0"/>
                    <w:right w:val="single" w:color="auto" w:sz="4" w:space="0"/>
                  </w:tcBorders>
                  <w:vAlign w:val="center"/>
                </w:tcPr>
                <w:p w14:paraId="6E50FA2A">
                  <w:pPr>
                    <w:jc w:val="center"/>
                    <w:rPr>
                      <w:rFonts w:ascii="Times New Roman" w:hAnsi="Times New Roman" w:eastAsia="宋体" w:cs="Times New Roman"/>
                      <w:color w:val="auto"/>
                      <w:sz w:val="21"/>
                      <w:szCs w:val="21"/>
                      <w:lang w:val="en-US" w:eastAsia="zh-CN" w:bidi="ar-SA"/>
                    </w:rPr>
                  </w:pPr>
                  <w:r>
                    <w:rPr>
                      <w:color w:val="auto"/>
                      <w:sz w:val="21"/>
                      <w:szCs w:val="21"/>
                    </w:rPr>
                    <w:t>0.05</w:t>
                  </w:r>
                </w:p>
              </w:tc>
              <w:tc>
                <w:tcPr>
                  <w:tcW w:w="635" w:type="pct"/>
                  <w:tcBorders>
                    <w:top w:val="single" w:color="auto" w:sz="4" w:space="0"/>
                    <w:left w:val="single" w:color="auto" w:sz="4" w:space="0"/>
                    <w:bottom w:val="single" w:color="auto" w:sz="4" w:space="0"/>
                    <w:right w:val="single" w:color="auto" w:sz="4" w:space="0"/>
                  </w:tcBorders>
                  <w:vAlign w:val="center"/>
                </w:tcPr>
                <w:p w14:paraId="5E1F9603">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57797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0E5C2CBF">
                  <w:pPr>
                    <w:jc w:val="center"/>
                    <w:rPr>
                      <w:rFonts w:ascii="Times New Roman" w:hAnsi="Times New Roman" w:eastAsia="宋体" w:cs="Times New Roman"/>
                      <w:color w:val="auto"/>
                      <w:sz w:val="21"/>
                      <w:szCs w:val="21"/>
                      <w:lang w:val="en-US" w:eastAsia="zh-CN" w:bidi="ar-SA"/>
                    </w:rPr>
                  </w:pPr>
                  <w:r>
                    <w:rPr>
                      <w:color w:val="auto"/>
                      <w:sz w:val="21"/>
                      <w:szCs w:val="21"/>
                    </w:rPr>
                    <w:t>砷</w:t>
                  </w:r>
                  <w:r>
                    <w:rPr>
                      <w:rFonts w:hint="eastAsia"/>
                      <w:color w:val="auto"/>
                      <w:sz w:val="21"/>
                      <w:szCs w:val="21"/>
                      <w:lang w:eastAsia="zh-CN"/>
                    </w:rPr>
                    <w:t>（</w:t>
                  </w:r>
                  <w:r>
                    <w:rPr>
                      <w:rFonts w:hint="default" w:ascii="Times New Roman" w:hAnsi="Times New Roman" w:cs="Times New Roman"/>
                      <w:color w:val="auto"/>
                      <w:sz w:val="21"/>
                      <w:szCs w:val="21"/>
                      <w:lang w:eastAsia="zh-CN"/>
                    </w:rPr>
                    <w:t>μ</w:t>
                  </w:r>
                  <w:r>
                    <w:rPr>
                      <w:rFonts w:hint="eastAsia"/>
                      <w:color w:val="auto"/>
                      <w:sz w:val="21"/>
                      <w:szCs w:val="21"/>
                      <w:lang w:val="en-US" w:eastAsia="zh-CN"/>
                    </w:rPr>
                    <w:t>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3A0390E0">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22.3</w:t>
                  </w:r>
                </w:p>
              </w:tc>
              <w:tc>
                <w:tcPr>
                  <w:tcW w:w="775" w:type="pct"/>
                  <w:tcBorders>
                    <w:top w:val="single" w:color="auto" w:sz="4" w:space="0"/>
                    <w:left w:val="single" w:color="auto" w:sz="4" w:space="0"/>
                    <w:bottom w:val="single" w:color="auto" w:sz="4" w:space="0"/>
                    <w:right w:val="single" w:color="auto" w:sz="4" w:space="0"/>
                  </w:tcBorders>
                  <w:vAlign w:val="center"/>
                </w:tcPr>
                <w:p w14:paraId="023C0B4E">
                  <w:pPr>
                    <w:jc w:val="center"/>
                    <w:rPr>
                      <w:rFonts w:ascii="Times New Roman" w:hAnsi="Times New Roman" w:eastAsia="宋体" w:cs="Times New Roman"/>
                      <w:color w:val="auto"/>
                      <w:sz w:val="21"/>
                      <w:szCs w:val="21"/>
                      <w:lang w:val="en-US" w:eastAsia="zh-CN" w:bidi="ar-SA"/>
                    </w:rPr>
                  </w:pPr>
                  <w:r>
                    <w:rPr>
                      <w:color w:val="auto"/>
                      <w:sz w:val="21"/>
                      <w:szCs w:val="21"/>
                    </w:rPr>
                    <w:t>5</w:t>
                  </w:r>
                </w:p>
              </w:tc>
              <w:tc>
                <w:tcPr>
                  <w:tcW w:w="648" w:type="pct"/>
                  <w:tcBorders>
                    <w:top w:val="single" w:color="auto" w:sz="4" w:space="0"/>
                    <w:left w:val="single" w:color="auto" w:sz="4" w:space="0"/>
                    <w:bottom w:val="single" w:color="auto" w:sz="4" w:space="0"/>
                    <w:right w:val="single" w:color="auto" w:sz="4" w:space="0"/>
                  </w:tcBorders>
                  <w:vAlign w:val="center"/>
                </w:tcPr>
                <w:p w14:paraId="715D1C12">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18BAC405">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18.7</w:t>
                  </w:r>
                </w:p>
              </w:tc>
              <w:tc>
                <w:tcPr>
                  <w:tcW w:w="986" w:type="pct"/>
                  <w:tcBorders>
                    <w:top w:val="single" w:color="auto" w:sz="4" w:space="0"/>
                    <w:left w:val="single" w:color="auto" w:sz="4" w:space="0"/>
                    <w:bottom w:val="single" w:color="auto" w:sz="4" w:space="0"/>
                    <w:right w:val="single" w:color="auto" w:sz="4" w:space="0"/>
                  </w:tcBorders>
                  <w:vAlign w:val="center"/>
                </w:tcPr>
                <w:p w14:paraId="09647359">
                  <w:pPr>
                    <w:jc w:val="center"/>
                    <w:rPr>
                      <w:rFonts w:ascii="Times New Roman" w:hAnsi="Times New Roman" w:eastAsia="宋体" w:cs="Times New Roman"/>
                      <w:color w:val="auto"/>
                      <w:sz w:val="21"/>
                      <w:szCs w:val="21"/>
                      <w:lang w:val="en-US" w:eastAsia="zh-CN" w:bidi="ar-SA"/>
                    </w:rPr>
                  </w:pPr>
                  <w:r>
                    <w:rPr>
                      <w:color w:val="auto"/>
                      <w:sz w:val="21"/>
                      <w:szCs w:val="21"/>
                    </w:rPr>
                    <w:t>0.5</w:t>
                  </w:r>
                </w:p>
              </w:tc>
              <w:tc>
                <w:tcPr>
                  <w:tcW w:w="635" w:type="pct"/>
                  <w:tcBorders>
                    <w:top w:val="single" w:color="auto" w:sz="4" w:space="0"/>
                    <w:left w:val="single" w:color="auto" w:sz="4" w:space="0"/>
                    <w:bottom w:val="single" w:color="auto" w:sz="4" w:space="0"/>
                    <w:right w:val="single" w:color="auto" w:sz="4" w:space="0"/>
                  </w:tcBorders>
                  <w:vAlign w:val="center"/>
                </w:tcPr>
                <w:p w14:paraId="01C7650C">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07EBE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7C12B2AB">
                  <w:pPr>
                    <w:jc w:val="center"/>
                    <w:rPr>
                      <w:rFonts w:ascii="Times New Roman" w:hAnsi="Times New Roman" w:eastAsia="宋体" w:cs="Times New Roman"/>
                      <w:color w:val="auto"/>
                      <w:sz w:val="21"/>
                      <w:szCs w:val="21"/>
                      <w:lang w:val="en-US" w:eastAsia="zh-CN" w:bidi="ar-SA"/>
                    </w:rPr>
                  </w:pPr>
                  <w:r>
                    <w:rPr>
                      <w:color w:val="auto"/>
                      <w:sz w:val="21"/>
                      <w:szCs w:val="21"/>
                    </w:rPr>
                    <w:t>六价铬</w:t>
                  </w:r>
                  <w:r>
                    <w:rPr>
                      <w:rFonts w:hint="eastAsia"/>
                      <w:color w:val="auto"/>
                      <w:sz w:val="21"/>
                      <w:szCs w:val="21"/>
                      <w:lang w:eastAsia="zh-CN"/>
                    </w:rPr>
                    <w:t>（</w:t>
                  </w:r>
                  <w:r>
                    <w:rPr>
                      <w:rFonts w:hint="eastAsia"/>
                      <w:color w:val="auto"/>
                      <w:sz w:val="21"/>
                      <w:szCs w:val="21"/>
                      <w:lang w:val="en-US" w:eastAsia="zh-CN"/>
                    </w:rPr>
                    <w:t>mg/L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0408B00A">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0.004L</w:t>
                  </w:r>
                </w:p>
              </w:tc>
              <w:tc>
                <w:tcPr>
                  <w:tcW w:w="775" w:type="pct"/>
                  <w:tcBorders>
                    <w:top w:val="single" w:color="auto" w:sz="4" w:space="0"/>
                    <w:left w:val="single" w:color="auto" w:sz="4" w:space="0"/>
                    <w:bottom w:val="single" w:color="auto" w:sz="4" w:space="0"/>
                    <w:right w:val="single" w:color="auto" w:sz="4" w:space="0"/>
                  </w:tcBorders>
                  <w:vAlign w:val="center"/>
                </w:tcPr>
                <w:p w14:paraId="45AB0905">
                  <w:pPr>
                    <w:jc w:val="center"/>
                    <w:rPr>
                      <w:rFonts w:ascii="Times New Roman" w:hAnsi="Times New Roman" w:eastAsia="宋体" w:cs="Times New Roman"/>
                      <w:color w:val="auto"/>
                      <w:sz w:val="21"/>
                      <w:szCs w:val="21"/>
                      <w:lang w:val="en-US" w:eastAsia="zh-CN" w:bidi="ar-SA"/>
                    </w:rPr>
                  </w:pPr>
                  <w:r>
                    <w:rPr>
                      <w:color w:val="auto"/>
                      <w:sz w:val="21"/>
                      <w:szCs w:val="21"/>
                    </w:rPr>
                    <w:t>5</w:t>
                  </w:r>
                </w:p>
              </w:tc>
              <w:tc>
                <w:tcPr>
                  <w:tcW w:w="648" w:type="pct"/>
                  <w:tcBorders>
                    <w:top w:val="single" w:color="auto" w:sz="4" w:space="0"/>
                    <w:left w:val="single" w:color="auto" w:sz="4" w:space="0"/>
                    <w:bottom w:val="single" w:color="auto" w:sz="4" w:space="0"/>
                    <w:right w:val="single" w:color="auto" w:sz="4" w:space="0"/>
                  </w:tcBorders>
                  <w:vAlign w:val="center"/>
                </w:tcPr>
                <w:p w14:paraId="5628BC17">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07" w:type="pct"/>
                  <w:tcBorders>
                    <w:top w:val="single" w:color="auto" w:sz="4" w:space="0"/>
                    <w:left w:val="single" w:color="auto" w:sz="4" w:space="0"/>
                    <w:bottom w:val="single" w:color="auto" w:sz="4" w:space="0"/>
                    <w:right w:val="single" w:color="auto" w:sz="4" w:space="0"/>
                  </w:tcBorders>
                  <w:vAlign w:val="center"/>
                </w:tcPr>
                <w:p w14:paraId="6910D133">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0.004L</w:t>
                  </w:r>
                </w:p>
              </w:tc>
              <w:tc>
                <w:tcPr>
                  <w:tcW w:w="986" w:type="pct"/>
                  <w:tcBorders>
                    <w:top w:val="single" w:color="auto" w:sz="4" w:space="0"/>
                    <w:left w:val="single" w:color="auto" w:sz="4" w:space="0"/>
                    <w:bottom w:val="single" w:color="auto" w:sz="4" w:space="0"/>
                    <w:right w:val="single" w:color="auto" w:sz="4" w:space="0"/>
                  </w:tcBorders>
                  <w:vAlign w:val="center"/>
                </w:tcPr>
                <w:p w14:paraId="752A5D92">
                  <w:pPr>
                    <w:jc w:val="center"/>
                    <w:rPr>
                      <w:rFonts w:ascii="Times New Roman" w:hAnsi="Times New Roman" w:eastAsia="宋体" w:cs="Times New Roman"/>
                      <w:color w:val="auto"/>
                      <w:sz w:val="21"/>
                      <w:szCs w:val="21"/>
                      <w:lang w:val="en-US" w:eastAsia="zh-CN" w:bidi="ar-SA"/>
                    </w:rPr>
                  </w:pPr>
                  <w:r>
                    <w:rPr>
                      <w:color w:val="auto"/>
                      <w:sz w:val="21"/>
                      <w:szCs w:val="21"/>
                    </w:rPr>
                    <w:t>0.5</w:t>
                  </w:r>
                </w:p>
              </w:tc>
              <w:tc>
                <w:tcPr>
                  <w:tcW w:w="635" w:type="pct"/>
                  <w:tcBorders>
                    <w:top w:val="single" w:color="auto" w:sz="4" w:space="0"/>
                    <w:left w:val="single" w:color="auto" w:sz="4" w:space="0"/>
                    <w:bottom w:val="single" w:color="auto" w:sz="4" w:space="0"/>
                    <w:right w:val="single" w:color="auto" w:sz="4" w:space="0"/>
                  </w:tcBorders>
                  <w:vAlign w:val="center"/>
                </w:tcPr>
                <w:p w14:paraId="423005D9">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bl>
          <w:p w14:paraId="2AAB961E">
            <w:pPr>
              <w:spacing w:before="120" w:beforeLines="50"/>
              <w:jc w:val="center"/>
              <w:rPr>
                <w:b/>
                <w:color w:val="auto"/>
                <w:sz w:val="24"/>
                <w:highlight w:val="yellow"/>
              </w:rPr>
            </w:pPr>
            <w:r>
              <w:rPr>
                <w:b/>
                <w:color w:val="auto"/>
                <w:sz w:val="24"/>
              </w:rPr>
              <w:t>表2-</w:t>
            </w:r>
            <w:r>
              <w:rPr>
                <w:rFonts w:hint="eastAsia"/>
                <w:b/>
                <w:color w:val="auto"/>
                <w:sz w:val="24"/>
                <w:lang w:val="en-US" w:eastAsia="zh-CN"/>
              </w:rPr>
              <w:t>16</w:t>
            </w:r>
            <w:r>
              <w:rPr>
                <w:b/>
                <w:color w:val="auto"/>
                <w:sz w:val="24"/>
              </w:rPr>
              <w:t xml:space="preserve">   磷石膏腐蚀性鉴别检测结果</w:t>
            </w:r>
          </w:p>
          <w:tbl>
            <w:tblPr>
              <w:tblStyle w:val="45"/>
              <w:tblW w:w="8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6"/>
              <w:gridCol w:w="835"/>
              <w:gridCol w:w="835"/>
              <w:gridCol w:w="2902"/>
              <w:gridCol w:w="1881"/>
            </w:tblGrid>
            <w:tr w14:paraId="01ADF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36" w:type="dxa"/>
                  <w:tcBorders>
                    <w:top w:val="single" w:color="auto" w:sz="4" w:space="0"/>
                    <w:left w:val="single" w:color="auto" w:sz="4" w:space="0"/>
                    <w:bottom w:val="single" w:color="auto" w:sz="4" w:space="0"/>
                    <w:right w:val="single" w:color="auto" w:sz="4" w:space="0"/>
                  </w:tcBorders>
                  <w:vAlign w:val="center"/>
                </w:tcPr>
                <w:p w14:paraId="7EAB0DE9">
                  <w:pPr>
                    <w:jc w:val="center"/>
                    <w:rPr>
                      <w:color w:val="auto"/>
                      <w:sz w:val="21"/>
                      <w:szCs w:val="21"/>
                    </w:rPr>
                  </w:pPr>
                  <w:r>
                    <w:rPr>
                      <w:color w:val="auto"/>
                      <w:sz w:val="21"/>
                      <w:szCs w:val="21"/>
                    </w:rPr>
                    <w:t>项目</w:t>
                  </w:r>
                </w:p>
              </w:tc>
              <w:tc>
                <w:tcPr>
                  <w:tcW w:w="1670" w:type="dxa"/>
                  <w:gridSpan w:val="2"/>
                  <w:tcBorders>
                    <w:top w:val="single" w:color="auto" w:sz="4" w:space="0"/>
                    <w:left w:val="single" w:color="auto" w:sz="4" w:space="0"/>
                    <w:bottom w:val="single" w:color="auto" w:sz="4" w:space="0"/>
                    <w:right w:val="single" w:color="auto" w:sz="4" w:space="0"/>
                  </w:tcBorders>
                  <w:vAlign w:val="center"/>
                </w:tcPr>
                <w:p w14:paraId="3DCFA91A">
                  <w:pPr>
                    <w:jc w:val="center"/>
                    <w:rPr>
                      <w:color w:val="auto"/>
                      <w:sz w:val="21"/>
                      <w:szCs w:val="21"/>
                    </w:rPr>
                  </w:pPr>
                  <w:r>
                    <w:rPr>
                      <w:color w:val="auto"/>
                      <w:sz w:val="21"/>
                      <w:szCs w:val="21"/>
                    </w:rPr>
                    <w:t>磷石膏</w:t>
                  </w:r>
                </w:p>
              </w:tc>
              <w:tc>
                <w:tcPr>
                  <w:tcW w:w="2902" w:type="dxa"/>
                  <w:tcBorders>
                    <w:top w:val="single" w:color="auto" w:sz="4" w:space="0"/>
                    <w:left w:val="single" w:color="auto" w:sz="4" w:space="0"/>
                    <w:bottom w:val="single" w:color="auto" w:sz="4" w:space="0"/>
                    <w:right w:val="single" w:color="auto" w:sz="4" w:space="0"/>
                  </w:tcBorders>
                  <w:vAlign w:val="center"/>
                </w:tcPr>
                <w:p w14:paraId="02315418">
                  <w:pPr>
                    <w:jc w:val="center"/>
                    <w:rPr>
                      <w:color w:val="auto"/>
                      <w:sz w:val="21"/>
                      <w:szCs w:val="21"/>
                    </w:rPr>
                  </w:pPr>
                  <w:r>
                    <w:rPr>
                      <w:color w:val="auto"/>
                      <w:sz w:val="21"/>
                      <w:szCs w:val="21"/>
                    </w:rPr>
                    <w:t>《危险废物鉴别标准—浸出毒性鉴别》（GB5085.3-2007）标准值</w:t>
                  </w:r>
                </w:p>
              </w:tc>
              <w:tc>
                <w:tcPr>
                  <w:tcW w:w="1881" w:type="dxa"/>
                  <w:tcBorders>
                    <w:top w:val="single" w:color="auto" w:sz="4" w:space="0"/>
                    <w:left w:val="single" w:color="auto" w:sz="4" w:space="0"/>
                    <w:bottom w:val="single" w:color="auto" w:sz="4" w:space="0"/>
                    <w:right w:val="single" w:color="auto" w:sz="4" w:space="0"/>
                  </w:tcBorders>
                  <w:vAlign w:val="center"/>
                </w:tcPr>
                <w:p w14:paraId="16D5FE7F">
                  <w:pPr>
                    <w:jc w:val="center"/>
                    <w:rPr>
                      <w:color w:val="auto"/>
                      <w:sz w:val="21"/>
                      <w:szCs w:val="21"/>
                    </w:rPr>
                  </w:pPr>
                  <w:r>
                    <w:rPr>
                      <w:color w:val="auto"/>
                      <w:sz w:val="21"/>
                      <w:szCs w:val="21"/>
                    </w:rPr>
                    <w:t>《污水综合排放标准》中最高允许排放浓度</w:t>
                  </w:r>
                </w:p>
              </w:tc>
            </w:tr>
            <w:tr w14:paraId="7EFF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36" w:type="dxa"/>
                  <w:tcBorders>
                    <w:top w:val="single" w:color="auto" w:sz="4" w:space="0"/>
                    <w:left w:val="single" w:color="auto" w:sz="4" w:space="0"/>
                    <w:bottom w:val="single" w:color="auto" w:sz="4" w:space="0"/>
                    <w:right w:val="single" w:color="auto" w:sz="4" w:space="0"/>
                  </w:tcBorders>
                  <w:vAlign w:val="center"/>
                </w:tcPr>
                <w:p w14:paraId="447EF48B">
                  <w:pPr>
                    <w:jc w:val="center"/>
                    <w:rPr>
                      <w:color w:val="auto"/>
                      <w:sz w:val="21"/>
                      <w:szCs w:val="21"/>
                    </w:rPr>
                  </w:pPr>
                  <w:r>
                    <w:rPr>
                      <w:color w:val="auto"/>
                      <w:sz w:val="21"/>
                      <w:szCs w:val="21"/>
                    </w:rPr>
                    <w:t>pH（无量纲）</w:t>
                  </w:r>
                </w:p>
              </w:tc>
              <w:tc>
                <w:tcPr>
                  <w:tcW w:w="835" w:type="dxa"/>
                  <w:tcBorders>
                    <w:top w:val="single" w:color="auto" w:sz="4" w:space="0"/>
                    <w:left w:val="single" w:color="auto" w:sz="4" w:space="0"/>
                    <w:bottom w:val="single" w:color="auto" w:sz="4" w:space="0"/>
                    <w:right w:val="single" w:color="auto" w:sz="4" w:space="0"/>
                  </w:tcBorders>
                  <w:vAlign w:val="center"/>
                </w:tcPr>
                <w:p w14:paraId="2C72F7A7">
                  <w:pPr>
                    <w:jc w:val="center"/>
                    <w:rPr>
                      <w:rFonts w:hint="default" w:eastAsia="宋体"/>
                      <w:color w:val="auto"/>
                      <w:sz w:val="21"/>
                      <w:szCs w:val="21"/>
                      <w:lang w:val="en-US" w:eastAsia="zh-CN"/>
                    </w:rPr>
                  </w:pPr>
                  <w:r>
                    <w:rPr>
                      <w:rFonts w:hint="eastAsia"/>
                      <w:color w:val="auto"/>
                      <w:sz w:val="21"/>
                      <w:szCs w:val="21"/>
                      <w:lang w:val="en-US" w:eastAsia="zh-CN"/>
                    </w:rPr>
                    <w:t>7.7</w:t>
                  </w:r>
                </w:p>
              </w:tc>
              <w:tc>
                <w:tcPr>
                  <w:tcW w:w="835" w:type="dxa"/>
                  <w:tcBorders>
                    <w:top w:val="single" w:color="auto" w:sz="4" w:space="0"/>
                    <w:left w:val="single" w:color="auto" w:sz="4" w:space="0"/>
                    <w:bottom w:val="single" w:color="auto" w:sz="4" w:space="0"/>
                    <w:right w:val="single" w:color="auto" w:sz="4" w:space="0"/>
                  </w:tcBorders>
                  <w:vAlign w:val="center"/>
                </w:tcPr>
                <w:p w14:paraId="72EEDC29">
                  <w:pPr>
                    <w:jc w:val="center"/>
                    <w:rPr>
                      <w:rFonts w:hint="default" w:eastAsia="宋体"/>
                      <w:color w:val="auto"/>
                      <w:sz w:val="21"/>
                      <w:szCs w:val="21"/>
                      <w:lang w:val="en-US" w:eastAsia="zh-CN"/>
                    </w:rPr>
                  </w:pPr>
                  <w:r>
                    <w:rPr>
                      <w:rFonts w:hint="eastAsia"/>
                      <w:color w:val="auto"/>
                      <w:sz w:val="21"/>
                      <w:szCs w:val="21"/>
                      <w:lang w:val="en-US" w:eastAsia="zh-CN"/>
                    </w:rPr>
                    <w:t>5.6</w:t>
                  </w:r>
                </w:p>
              </w:tc>
              <w:tc>
                <w:tcPr>
                  <w:tcW w:w="2902" w:type="dxa"/>
                  <w:tcBorders>
                    <w:top w:val="single" w:color="auto" w:sz="4" w:space="0"/>
                    <w:left w:val="single" w:color="auto" w:sz="4" w:space="0"/>
                    <w:bottom w:val="single" w:color="auto" w:sz="4" w:space="0"/>
                    <w:right w:val="single" w:color="auto" w:sz="4" w:space="0"/>
                  </w:tcBorders>
                  <w:vAlign w:val="center"/>
                </w:tcPr>
                <w:p w14:paraId="7AC9F19E">
                  <w:pPr>
                    <w:jc w:val="center"/>
                    <w:rPr>
                      <w:color w:val="auto"/>
                      <w:sz w:val="21"/>
                      <w:szCs w:val="21"/>
                    </w:rPr>
                  </w:pPr>
                  <w:r>
                    <w:rPr>
                      <w:color w:val="auto"/>
                      <w:sz w:val="21"/>
                      <w:szCs w:val="21"/>
                    </w:rPr>
                    <w:t>2≤</w:t>
                  </w:r>
                  <w:r>
                    <w:rPr>
                      <w:bCs/>
                      <w:color w:val="auto"/>
                      <w:sz w:val="21"/>
                      <w:szCs w:val="21"/>
                    </w:rPr>
                    <w:t>pH</w:t>
                  </w:r>
                  <w:r>
                    <w:rPr>
                      <w:color w:val="auto"/>
                      <w:sz w:val="21"/>
                      <w:szCs w:val="21"/>
                    </w:rPr>
                    <w:t>≤12.5</w:t>
                  </w:r>
                </w:p>
              </w:tc>
              <w:tc>
                <w:tcPr>
                  <w:tcW w:w="1881" w:type="dxa"/>
                  <w:tcBorders>
                    <w:top w:val="single" w:color="auto" w:sz="4" w:space="0"/>
                    <w:left w:val="single" w:color="auto" w:sz="4" w:space="0"/>
                    <w:bottom w:val="single" w:color="auto" w:sz="4" w:space="0"/>
                    <w:right w:val="single" w:color="auto" w:sz="4" w:space="0"/>
                  </w:tcBorders>
                  <w:vAlign w:val="center"/>
                </w:tcPr>
                <w:p w14:paraId="3F6B338D">
                  <w:pPr>
                    <w:jc w:val="center"/>
                    <w:rPr>
                      <w:color w:val="auto"/>
                      <w:sz w:val="21"/>
                      <w:szCs w:val="21"/>
                    </w:rPr>
                  </w:pPr>
                  <w:r>
                    <w:rPr>
                      <w:color w:val="auto"/>
                      <w:sz w:val="21"/>
                      <w:szCs w:val="21"/>
                    </w:rPr>
                    <w:t>6~9</w:t>
                  </w:r>
                </w:p>
              </w:tc>
            </w:tr>
          </w:tbl>
          <w:p w14:paraId="1FD628CB">
            <w:pPr>
              <w:spacing w:line="360" w:lineRule="auto"/>
              <w:ind w:firstLine="480" w:firstLineChars="200"/>
              <w:rPr>
                <w:color w:val="auto"/>
                <w:sz w:val="24"/>
                <w:highlight w:val="yellow"/>
                <w:lang w:bidi="ar"/>
              </w:rPr>
            </w:pPr>
            <w:r>
              <w:rPr>
                <w:color w:val="auto"/>
                <w:sz w:val="24"/>
                <w:szCs w:val="22"/>
              </w:rPr>
              <w:t>根据上</w:t>
            </w:r>
            <w:r>
              <w:rPr>
                <w:rFonts w:hint="eastAsia"/>
                <w:color w:val="auto"/>
                <w:sz w:val="24"/>
                <w:szCs w:val="22"/>
              </w:rPr>
              <w:t>列</w:t>
            </w:r>
            <w:r>
              <w:rPr>
                <w:color w:val="auto"/>
                <w:sz w:val="24"/>
                <w:szCs w:val="22"/>
              </w:rPr>
              <w:t>结果，</w:t>
            </w:r>
            <w:r>
              <w:rPr>
                <w:rFonts w:hint="eastAsia"/>
                <w:color w:val="auto"/>
                <w:sz w:val="24"/>
                <w:szCs w:val="22"/>
              </w:rPr>
              <w:t>磷石膏按照HJ/T 299制备的浸出液中，磷石膏</w:t>
            </w:r>
            <w:r>
              <w:rPr>
                <w:color w:val="auto"/>
                <w:sz w:val="24"/>
                <w:szCs w:val="22"/>
              </w:rPr>
              <w:t>的腐蚀性并未超过《危险废物鉴别标准 腐蚀性鉴别》（GB 5085.1-2007）中的限值，各检测指标未超过《危险废物鉴别标准 浸出毒性鉴别》（GB 5085.3-2007）中的限值，因此从浸出毒性判断</w:t>
            </w:r>
            <w:r>
              <w:rPr>
                <w:rFonts w:hint="eastAsia"/>
                <w:color w:val="auto"/>
                <w:sz w:val="24"/>
                <w:szCs w:val="22"/>
              </w:rPr>
              <w:t>磷石膏</w:t>
            </w:r>
            <w:r>
              <w:rPr>
                <w:color w:val="auto"/>
                <w:sz w:val="24"/>
                <w:szCs w:val="22"/>
              </w:rPr>
              <w:t>不是危险废物</w:t>
            </w:r>
            <w:r>
              <w:rPr>
                <w:color w:val="auto"/>
                <w:sz w:val="24"/>
                <w:szCs w:val="22"/>
                <w:highlight w:val="none"/>
              </w:rPr>
              <w:t>。</w:t>
            </w:r>
            <w:r>
              <w:rPr>
                <w:color w:val="auto"/>
                <w:sz w:val="24"/>
                <w:highlight w:val="none"/>
              </w:rPr>
              <w:t>pH值不能满足《污水综合排放标准》（GB8978-1996）中一级标准限值，因此，本项目使用磷石膏属于第Ⅱ类一般工业固</w:t>
            </w:r>
            <w:r>
              <w:rPr>
                <w:rFonts w:ascii="宋体" w:hAnsi="宋体"/>
                <w:color w:val="auto"/>
                <w:sz w:val="24"/>
                <w:highlight w:val="none"/>
              </w:rPr>
              <w:t>体废</w:t>
            </w:r>
            <w:r>
              <w:rPr>
                <w:color w:val="auto"/>
                <w:sz w:val="24"/>
                <w:highlight w:val="none"/>
              </w:rPr>
              <w:t>物。</w:t>
            </w:r>
          </w:p>
          <w:p w14:paraId="6D5F9F3B">
            <w:pPr>
              <w:spacing w:line="360" w:lineRule="auto"/>
              <w:ind w:firstLine="480" w:firstLineChars="200"/>
              <w:rPr>
                <w:color w:val="auto"/>
                <w:sz w:val="24"/>
              </w:rPr>
            </w:pPr>
            <w:r>
              <w:rPr>
                <w:color w:val="auto"/>
                <w:sz w:val="24"/>
              </w:rPr>
              <w:t>（2）改性剂</w:t>
            </w:r>
          </w:p>
          <w:p w14:paraId="1F539383">
            <w:pPr>
              <w:spacing w:line="360" w:lineRule="auto"/>
              <w:ind w:firstLine="480" w:firstLineChars="200"/>
              <w:rPr>
                <w:color w:val="auto"/>
                <w:sz w:val="24"/>
              </w:rPr>
            </w:pPr>
            <w:r>
              <w:rPr>
                <w:color w:val="auto"/>
                <w:sz w:val="24"/>
              </w:rPr>
              <w:t>本项目使用的改性剂主要为生石灰与电石渣两种。</w:t>
            </w:r>
          </w:p>
          <w:p w14:paraId="7F23F458">
            <w:pPr>
              <w:spacing w:line="360" w:lineRule="auto"/>
              <w:ind w:firstLine="480" w:firstLineChars="200"/>
              <w:rPr>
                <w:bCs/>
                <w:color w:val="auto"/>
                <w:sz w:val="24"/>
              </w:rPr>
            </w:pPr>
            <w:r>
              <w:rPr>
                <w:rFonts w:hint="eastAsia" w:ascii="宋体" w:hAnsi="宋体" w:cs="宋体"/>
                <w:bCs/>
                <w:color w:val="auto"/>
                <w:sz w:val="24"/>
              </w:rPr>
              <w:t>①</w:t>
            </w:r>
            <w:r>
              <w:rPr>
                <w:bCs/>
                <w:color w:val="auto"/>
                <w:sz w:val="24"/>
              </w:rPr>
              <w:t>电石渣</w:t>
            </w:r>
          </w:p>
          <w:p w14:paraId="282A1DC7">
            <w:pPr>
              <w:spacing w:line="360" w:lineRule="auto"/>
              <w:ind w:firstLine="480" w:firstLineChars="200"/>
              <w:rPr>
                <w:rFonts w:hint="eastAsia" w:eastAsia="宋体"/>
                <w:color w:val="auto"/>
                <w:sz w:val="24"/>
                <w:lang w:eastAsia="zh-CN"/>
              </w:rPr>
            </w:pPr>
            <w:r>
              <w:rPr>
                <w:color w:val="auto"/>
                <w:sz w:val="24"/>
              </w:rPr>
              <w:t>主要来自于</w:t>
            </w:r>
            <w:r>
              <w:rPr>
                <w:color w:val="auto"/>
                <w:sz w:val="24"/>
                <w:highlight w:val="none"/>
              </w:rPr>
              <w:t>南磷集</w:t>
            </w:r>
            <w:r>
              <w:rPr>
                <w:color w:val="auto"/>
                <w:sz w:val="24"/>
              </w:rPr>
              <w:t>团电石渣堆场，其电石渣的主要成分是氧化钙CaO</w:t>
            </w:r>
            <w:r>
              <w:rPr>
                <w:rFonts w:hint="eastAsia"/>
                <w:color w:val="auto"/>
                <w:sz w:val="24"/>
              </w:rPr>
              <w:t>≧60%</w:t>
            </w:r>
            <w:r>
              <w:rPr>
                <w:color w:val="auto"/>
                <w:sz w:val="24"/>
              </w:rPr>
              <w:t>，水分含量在</w:t>
            </w:r>
            <w:r>
              <w:rPr>
                <w:rFonts w:hint="eastAsia"/>
                <w:color w:val="auto"/>
                <w:sz w:val="24"/>
              </w:rPr>
              <w:t>≦25</w:t>
            </w:r>
            <w:r>
              <w:rPr>
                <w:color w:val="auto"/>
                <w:sz w:val="24"/>
              </w:rPr>
              <w:t>%，粒度</w:t>
            </w:r>
            <w:r>
              <w:rPr>
                <w:rFonts w:hint="eastAsia"/>
                <w:color w:val="auto"/>
                <w:sz w:val="24"/>
              </w:rPr>
              <w:t>≦3cm，</w:t>
            </w:r>
            <w:r>
              <w:rPr>
                <w:color w:val="auto"/>
                <w:sz w:val="24"/>
              </w:rPr>
              <w:t>呈碱性，电石渣由</w:t>
            </w:r>
            <w:r>
              <w:rPr>
                <w:rFonts w:hint="eastAsia"/>
                <w:color w:val="auto"/>
                <w:sz w:val="24"/>
              </w:rPr>
              <w:t>车辆</w:t>
            </w:r>
            <w:r>
              <w:rPr>
                <w:color w:val="auto"/>
                <w:sz w:val="24"/>
              </w:rPr>
              <w:t>运至项目</w:t>
            </w:r>
            <w:r>
              <w:rPr>
                <w:rFonts w:hint="eastAsia"/>
                <w:color w:val="auto"/>
                <w:sz w:val="24"/>
                <w:lang w:val="en-US" w:eastAsia="zh-CN"/>
              </w:rPr>
              <w:t>电石渣堆存区</w:t>
            </w:r>
            <w:r>
              <w:rPr>
                <w:color w:val="auto"/>
                <w:sz w:val="24"/>
              </w:rPr>
              <w:t>后</w:t>
            </w:r>
            <w:r>
              <w:rPr>
                <w:rFonts w:hint="eastAsia"/>
                <w:color w:val="auto"/>
                <w:sz w:val="24"/>
                <w:lang w:val="en-US" w:eastAsia="zh-CN"/>
              </w:rPr>
              <w:t>采用装载机</w:t>
            </w:r>
            <w:r>
              <w:rPr>
                <w:color w:val="auto"/>
                <w:sz w:val="24"/>
              </w:rPr>
              <w:t>进行</w:t>
            </w:r>
            <w:r>
              <w:rPr>
                <w:rFonts w:hint="eastAsia"/>
                <w:color w:val="auto"/>
                <w:sz w:val="24"/>
                <w:lang w:val="en-US" w:eastAsia="zh-CN"/>
              </w:rPr>
              <w:t>压碎</w:t>
            </w:r>
            <w:r>
              <w:rPr>
                <w:color w:val="auto"/>
                <w:sz w:val="24"/>
              </w:rPr>
              <w:t>，</w:t>
            </w:r>
            <w:r>
              <w:rPr>
                <w:rFonts w:hint="eastAsia"/>
                <w:color w:val="auto"/>
                <w:sz w:val="24"/>
                <w:lang w:val="en-US" w:eastAsia="zh-CN"/>
              </w:rPr>
              <w:t>压碎后进行筛分用于生产。</w:t>
            </w:r>
            <w:r>
              <w:rPr>
                <w:color w:val="auto"/>
                <w:sz w:val="24"/>
              </w:rPr>
              <w:t>根据建设单位提供的资料，电石渣成分见下表2-</w:t>
            </w:r>
            <w:r>
              <w:rPr>
                <w:rFonts w:hint="eastAsia"/>
                <w:color w:val="auto"/>
                <w:sz w:val="24"/>
                <w:lang w:val="en-US" w:eastAsia="zh-CN"/>
              </w:rPr>
              <w:t>17</w:t>
            </w:r>
            <w:r>
              <w:rPr>
                <w:rFonts w:hint="eastAsia"/>
                <w:color w:val="auto"/>
                <w:sz w:val="24"/>
                <w:lang w:eastAsia="zh-CN"/>
              </w:rPr>
              <w:t>。</w:t>
            </w:r>
          </w:p>
          <w:p w14:paraId="62035927">
            <w:pPr>
              <w:jc w:val="center"/>
              <w:rPr>
                <w:b/>
                <w:color w:val="auto"/>
                <w:sz w:val="24"/>
              </w:rPr>
            </w:pPr>
            <w:r>
              <w:rPr>
                <w:b/>
                <w:color w:val="auto"/>
                <w:sz w:val="24"/>
              </w:rPr>
              <w:t>表2-</w:t>
            </w:r>
            <w:r>
              <w:rPr>
                <w:rFonts w:hint="eastAsia"/>
                <w:b/>
                <w:color w:val="auto"/>
                <w:sz w:val="24"/>
                <w:lang w:val="en-US" w:eastAsia="zh-CN"/>
              </w:rPr>
              <w:t>17</w:t>
            </w:r>
            <w:r>
              <w:rPr>
                <w:b/>
                <w:color w:val="auto"/>
                <w:sz w:val="24"/>
              </w:rPr>
              <w:t xml:space="preserve">  电石渣成分表  单位：%</w:t>
            </w:r>
          </w:p>
          <w:tbl>
            <w:tblPr>
              <w:tblStyle w:val="4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3"/>
              <w:gridCol w:w="1204"/>
              <w:gridCol w:w="632"/>
              <w:gridCol w:w="632"/>
              <w:gridCol w:w="783"/>
              <w:gridCol w:w="783"/>
              <w:gridCol w:w="717"/>
              <w:gridCol w:w="665"/>
              <w:gridCol w:w="746"/>
              <w:gridCol w:w="640"/>
              <w:gridCol w:w="753"/>
            </w:tblGrid>
            <w:tr w14:paraId="53F8E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1" w:type="pct"/>
                  <w:tcBorders>
                    <w:top w:val="single" w:color="000000" w:sz="4" w:space="0"/>
                    <w:left w:val="single" w:color="000000" w:sz="4" w:space="0"/>
                    <w:bottom w:val="single" w:color="000000" w:sz="4" w:space="0"/>
                    <w:right w:val="single" w:color="000000" w:sz="4" w:space="0"/>
                  </w:tcBorders>
                  <w:vAlign w:val="center"/>
                </w:tcPr>
                <w:p w14:paraId="4FFF278E">
                  <w:pPr>
                    <w:pStyle w:val="87"/>
                    <w:adjustRightInd/>
                    <w:snapToGrid/>
                    <w:spacing w:beforeLines="0" w:afterLines="0" w:line="240" w:lineRule="auto"/>
                    <w:rPr>
                      <w:rFonts w:ascii="Times New Roman"/>
                      <w:color w:val="auto"/>
                      <w:kern w:val="2"/>
                      <w:szCs w:val="21"/>
                    </w:rPr>
                  </w:pPr>
                  <w:r>
                    <w:rPr>
                      <w:rFonts w:ascii="Times New Roman"/>
                      <w:color w:val="auto"/>
                      <w:kern w:val="2"/>
                      <w:szCs w:val="21"/>
                    </w:rPr>
                    <w:t>成分</w:t>
                  </w:r>
                </w:p>
              </w:tc>
              <w:tc>
                <w:tcPr>
                  <w:tcW w:w="718" w:type="pct"/>
                  <w:tcBorders>
                    <w:top w:val="single" w:color="000000" w:sz="4" w:space="0"/>
                    <w:left w:val="single" w:color="000000" w:sz="4" w:space="0"/>
                    <w:bottom w:val="single" w:color="000000" w:sz="4" w:space="0"/>
                    <w:right w:val="single" w:color="000000" w:sz="4" w:space="0"/>
                  </w:tcBorders>
                  <w:vAlign w:val="center"/>
                </w:tcPr>
                <w:p w14:paraId="47B4C215">
                  <w:pPr>
                    <w:pStyle w:val="87"/>
                    <w:adjustRightInd/>
                    <w:snapToGrid/>
                    <w:spacing w:beforeLines="0" w:afterLines="0" w:line="240" w:lineRule="auto"/>
                    <w:rPr>
                      <w:rFonts w:ascii="Times New Roman"/>
                      <w:color w:val="auto"/>
                      <w:kern w:val="2"/>
                      <w:szCs w:val="21"/>
                    </w:rPr>
                  </w:pPr>
                  <w:r>
                    <w:rPr>
                      <w:rFonts w:ascii="Times New Roman"/>
                      <w:color w:val="auto"/>
                      <w:kern w:val="2"/>
                      <w:szCs w:val="21"/>
                    </w:rPr>
                    <w:t>Ca（O</w:t>
                  </w:r>
                  <w:r>
                    <w:rPr>
                      <w:rFonts w:hint="eastAsia" w:ascii="Times New Roman"/>
                      <w:color w:val="auto"/>
                      <w:kern w:val="2"/>
                      <w:szCs w:val="21"/>
                    </w:rPr>
                    <w:t>H</w:t>
                  </w:r>
                  <w:r>
                    <w:rPr>
                      <w:rFonts w:ascii="Times New Roman"/>
                      <w:color w:val="auto"/>
                      <w:kern w:val="2"/>
                      <w:szCs w:val="21"/>
                    </w:rPr>
                    <w:t>）</w:t>
                  </w:r>
                  <w:r>
                    <w:rPr>
                      <w:rFonts w:ascii="Times New Roman"/>
                      <w:color w:val="auto"/>
                      <w:kern w:val="2"/>
                      <w:szCs w:val="21"/>
                      <w:vertAlign w:val="subscript"/>
                    </w:rPr>
                    <w:t>2</w:t>
                  </w:r>
                </w:p>
              </w:tc>
              <w:tc>
                <w:tcPr>
                  <w:tcW w:w="377" w:type="pct"/>
                  <w:tcBorders>
                    <w:top w:val="single" w:color="000000" w:sz="4" w:space="0"/>
                    <w:left w:val="single" w:color="000000" w:sz="4" w:space="0"/>
                    <w:bottom w:val="single" w:color="000000" w:sz="4" w:space="0"/>
                    <w:right w:val="single" w:color="000000" w:sz="4" w:space="0"/>
                  </w:tcBorders>
                  <w:vAlign w:val="center"/>
                </w:tcPr>
                <w:p w14:paraId="5C879FB3">
                  <w:pPr>
                    <w:pStyle w:val="87"/>
                    <w:adjustRightInd/>
                    <w:snapToGrid/>
                    <w:spacing w:beforeLines="0" w:afterLines="0" w:line="240" w:lineRule="auto"/>
                    <w:rPr>
                      <w:rFonts w:ascii="Times New Roman"/>
                      <w:color w:val="auto"/>
                      <w:kern w:val="2"/>
                      <w:szCs w:val="21"/>
                    </w:rPr>
                  </w:pPr>
                  <w:r>
                    <w:rPr>
                      <w:rFonts w:ascii="Times New Roman"/>
                      <w:color w:val="auto"/>
                      <w:kern w:val="2"/>
                      <w:szCs w:val="21"/>
                    </w:rPr>
                    <w:t>SO</w:t>
                  </w:r>
                  <w:r>
                    <w:rPr>
                      <w:rFonts w:hint="eastAsia" w:ascii="Times New Roman"/>
                      <w:color w:val="auto"/>
                      <w:kern w:val="2"/>
                      <w:szCs w:val="21"/>
                      <w:vertAlign w:val="subscript"/>
                    </w:rPr>
                    <w:t>3</w:t>
                  </w:r>
                </w:p>
              </w:tc>
              <w:tc>
                <w:tcPr>
                  <w:tcW w:w="377" w:type="pct"/>
                  <w:tcBorders>
                    <w:top w:val="single" w:color="000000" w:sz="4" w:space="0"/>
                    <w:left w:val="single" w:color="000000" w:sz="4" w:space="0"/>
                    <w:bottom w:val="single" w:color="000000" w:sz="4" w:space="0"/>
                    <w:right w:val="single" w:color="000000" w:sz="4" w:space="0"/>
                  </w:tcBorders>
                  <w:vAlign w:val="center"/>
                </w:tcPr>
                <w:p w14:paraId="3DFF34B1">
                  <w:pPr>
                    <w:pStyle w:val="87"/>
                    <w:adjustRightInd/>
                    <w:snapToGrid/>
                    <w:spacing w:beforeLines="0" w:afterLines="0" w:line="240" w:lineRule="auto"/>
                    <w:rPr>
                      <w:rFonts w:ascii="Times New Roman"/>
                      <w:color w:val="auto"/>
                      <w:kern w:val="2"/>
                      <w:szCs w:val="21"/>
                    </w:rPr>
                  </w:pPr>
                  <w:r>
                    <w:rPr>
                      <w:rFonts w:hint="eastAsia" w:ascii="Times New Roman"/>
                      <w:color w:val="auto"/>
                      <w:kern w:val="2"/>
                      <w:szCs w:val="21"/>
                    </w:rPr>
                    <w:t>Cl</w:t>
                  </w:r>
                  <w:r>
                    <w:rPr>
                      <w:rFonts w:hint="eastAsia" w:ascii="Times New Roman"/>
                      <w:color w:val="auto"/>
                      <w:kern w:val="2"/>
                      <w:szCs w:val="21"/>
                      <w:vertAlign w:val="superscript"/>
                    </w:rPr>
                    <w:t>-</w:t>
                  </w:r>
                </w:p>
              </w:tc>
              <w:tc>
                <w:tcPr>
                  <w:tcW w:w="467" w:type="pct"/>
                  <w:tcBorders>
                    <w:top w:val="single" w:color="000000" w:sz="4" w:space="0"/>
                    <w:left w:val="single" w:color="000000" w:sz="4" w:space="0"/>
                    <w:bottom w:val="single" w:color="000000" w:sz="4" w:space="0"/>
                    <w:right w:val="single" w:color="000000" w:sz="4" w:space="0"/>
                  </w:tcBorders>
                  <w:vAlign w:val="center"/>
                </w:tcPr>
                <w:p w14:paraId="21774030">
                  <w:pPr>
                    <w:pStyle w:val="87"/>
                    <w:adjustRightInd/>
                    <w:snapToGrid/>
                    <w:spacing w:beforeLines="0" w:afterLines="0" w:line="240" w:lineRule="auto"/>
                    <w:rPr>
                      <w:rFonts w:ascii="Times New Roman"/>
                      <w:color w:val="auto"/>
                      <w:kern w:val="2"/>
                      <w:szCs w:val="21"/>
                    </w:rPr>
                  </w:pPr>
                  <w:r>
                    <w:rPr>
                      <w:rFonts w:ascii="Times New Roman"/>
                      <w:color w:val="auto"/>
                      <w:kern w:val="2"/>
                      <w:szCs w:val="21"/>
                    </w:rPr>
                    <w:t>Fe</w:t>
                  </w:r>
                  <w:r>
                    <w:rPr>
                      <w:rFonts w:hint="eastAsia" w:ascii="Times New Roman"/>
                      <w:color w:val="auto"/>
                      <w:kern w:val="2"/>
                      <w:szCs w:val="21"/>
                      <w:vertAlign w:val="subscript"/>
                    </w:rPr>
                    <w:t>3</w:t>
                  </w:r>
                  <w:r>
                    <w:rPr>
                      <w:rFonts w:ascii="Times New Roman"/>
                      <w:color w:val="auto"/>
                      <w:kern w:val="2"/>
                      <w:szCs w:val="21"/>
                    </w:rPr>
                    <w:t>O</w:t>
                  </w:r>
                  <w:r>
                    <w:rPr>
                      <w:rFonts w:hint="eastAsia" w:ascii="Times New Roman"/>
                      <w:color w:val="auto"/>
                      <w:kern w:val="2"/>
                      <w:szCs w:val="21"/>
                      <w:vertAlign w:val="subscript"/>
                    </w:rPr>
                    <w:t>4</w:t>
                  </w:r>
                </w:p>
              </w:tc>
              <w:tc>
                <w:tcPr>
                  <w:tcW w:w="467" w:type="pct"/>
                  <w:tcBorders>
                    <w:top w:val="single" w:color="000000" w:sz="4" w:space="0"/>
                    <w:left w:val="single" w:color="000000" w:sz="4" w:space="0"/>
                    <w:bottom w:val="single" w:color="000000" w:sz="4" w:space="0"/>
                    <w:right w:val="single" w:color="000000" w:sz="4" w:space="0"/>
                  </w:tcBorders>
                  <w:vAlign w:val="center"/>
                </w:tcPr>
                <w:p w14:paraId="26E0AC5C">
                  <w:pPr>
                    <w:pStyle w:val="87"/>
                    <w:adjustRightInd/>
                    <w:snapToGrid/>
                    <w:spacing w:beforeLines="0" w:afterLines="0" w:line="240" w:lineRule="auto"/>
                    <w:rPr>
                      <w:rFonts w:ascii="Times New Roman"/>
                      <w:color w:val="auto"/>
                      <w:kern w:val="2"/>
                      <w:szCs w:val="21"/>
                    </w:rPr>
                  </w:pPr>
                  <w:r>
                    <w:rPr>
                      <w:rFonts w:ascii="Times New Roman"/>
                      <w:color w:val="auto"/>
                      <w:kern w:val="2"/>
                      <w:szCs w:val="21"/>
                    </w:rPr>
                    <w:t>Al</w:t>
                  </w:r>
                  <w:r>
                    <w:rPr>
                      <w:rFonts w:ascii="Times New Roman"/>
                      <w:color w:val="auto"/>
                      <w:kern w:val="2"/>
                      <w:szCs w:val="21"/>
                      <w:vertAlign w:val="subscript"/>
                    </w:rPr>
                    <w:t>2</w:t>
                  </w:r>
                  <w:r>
                    <w:rPr>
                      <w:rFonts w:ascii="Times New Roman"/>
                      <w:color w:val="auto"/>
                      <w:kern w:val="2"/>
                      <w:szCs w:val="21"/>
                    </w:rPr>
                    <w:t>O</w:t>
                  </w:r>
                  <w:r>
                    <w:rPr>
                      <w:rFonts w:ascii="Times New Roman"/>
                      <w:color w:val="auto"/>
                      <w:kern w:val="2"/>
                      <w:szCs w:val="21"/>
                      <w:vertAlign w:val="subscript"/>
                    </w:rPr>
                    <w:t>3</w:t>
                  </w:r>
                </w:p>
              </w:tc>
              <w:tc>
                <w:tcPr>
                  <w:tcW w:w="428" w:type="pct"/>
                  <w:tcBorders>
                    <w:top w:val="single" w:color="000000" w:sz="4" w:space="0"/>
                    <w:left w:val="single" w:color="000000" w:sz="4" w:space="0"/>
                    <w:bottom w:val="single" w:color="000000" w:sz="4" w:space="0"/>
                    <w:right w:val="single" w:color="000000" w:sz="4" w:space="0"/>
                  </w:tcBorders>
                  <w:vAlign w:val="center"/>
                </w:tcPr>
                <w:p w14:paraId="3CD57AFC">
                  <w:pPr>
                    <w:pStyle w:val="87"/>
                    <w:adjustRightInd/>
                    <w:snapToGrid/>
                    <w:spacing w:beforeLines="0" w:afterLines="0" w:line="240" w:lineRule="auto"/>
                    <w:rPr>
                      <w:rFonts w:ascii="Times New Roman"/>
                      <w:color w:val="auto"/>
                      <w:kern w:val="2"/>
                      <w:szCs w:val="21"/>
                    </w:rPr>
                  </w:pPr>
                  <w:r>
                    <w:rPr>
                      <w:rFonts w:ascii="Times New Roman"/>
                      <w:color w:val="auto"/>
                      <w:kern w:val="2"/>
                      <w:szCs w:val="21"/>
                    </w:rPr>
                    <w:t>MgO</w:t>
                  </w:r>
                </w:p>
              </w:tc>
              <w:tc>
                <w:tcPr>
                  <w:tcW w:w="397" w:type="pct"/>
                  <w:tcBorders>
                    <w:top w:val="single" w:color="000000" w:sz="4" w:space="0"/>
                    <w:left w:val="single" w:color="000000" w:sz="4" w:space="0"/>
                    <w:bottom w:val="single" w:color="000000" w:sz="4" w:space="0"/>
                    <w:right w:val="single" w:color="000000" w:sz="4" w:space="0"/>
                  </w:tcBorders>
                  <w:vAlign w:val="center"/>
                </w:tcPr>
                <w:p w14:paraId="6E04717A">
                  <w:pPr>
                    <w:pStyle w:val="87"/>
                    <w:adjustRightInd/>
                    <w:snapToGrid/>
                    <w:spacing w:beforeLines="0" w:afterLines="0" w:line="240" w:lineRule="auto"/>
                    <w:rPr>
                      <w:rFonts w:ascii="Times New Roman"/>
                      <w:color w:val="auto"/>
                      <w:kern w:val="2"/>
                      <w:szCs w:val="21"/>
                    </w:rPr>
                  </w:pPr>
                  <w:r>
                    <w:rPr>
                      <w:rFonts w:ascii="Times New Roman"/>
                      <w:color w:val="auto"/>
                      <w:kern w:val="2"/>
                      <w:szCs w:val="21"/>
                    </w:rPr>
                    <w:t>SiO</w:t>
                  </w:r>
                  <w:r>
                    <w:rPr>
                      <w:rFonts w:ascii="Times New Roman"/>
                      <w:color w:val="auto"/>
                      <w:kern w:val="2"/>
                      <w:szCs w:val="21"/>
                      <w:vertAlign w:val="subscript"/>
                    </w:rPr>
                    <w:t>2</w:t>
                  </w:r>
                </w:p>
              </w:tc>
              <w:tc>
                <w:tcPr>
                  <w:tcW w:w="445" w:type="pct"/>
                  <w:tcBorders>
                    <w:top w:val="single" w:color="000000" w:sz="4" w:space="0"/>
                    <w:left w:val="single" w:color="000000" w:sz="4" w:space="0"/>
                    <w:bottom w:val="single" w:color="000000" w:sz="4" w:space="0"/>
                    <w:right w:val="single" w:color="000000" w:sz="4" w:space="0"/>
                  </w:tcBorders>
                  <w:vAlign w:val="center"/>
                </w:tcPr>
                <w:p w14:paraId="31269A2A">
                  <w:pPr>
                    <w:pStyle w:val="87"/>
                    <w:adjustRightInd/>
                    <w:snapToGrid/>
                    <w:spacing w:beforeLines="0" w:afterLines="0" w:line="240" w:lineRule="auto"/>
                    <w:rPr>
                      <w:rFonts w:ascii="Times New Roman"/>
                      <w:color w:val="auto"/>
                      <w:kern w:val="2"/>
                      <w:szCs w:val="21"/>
                    </w:rPr>
                  </w:pPr>
                  <w:r>
                    <w:rPr>
                      <w:rFonts w:ascii="Times New Roman"/>
                      <w:color w:val="auto"/>
                      <w:kern w:val="2"/>
                      <w:szCs w:val="21"/>
                    </w:rPr>
                    <w:t>Na</w:t>
                  </w:r>
                  <w:r>
                    <w:rPr>
                      <w:rFonts w:ascii="Times New Roman"/>
                      <w:color w:val="auto"/>
                      <w:kern w:val="2"/>
                      <w:szCs w:val="21"/>
                      <w:vertAlign w:val="subscript"/>
                    </w:rPr>
                    <w:t>2</w:t>
                  </w:r>
                  <w:r>
                    <w:rPr>
                      <w:rFonts w:ascii="Times New Roman"/>
                      <w:color w:val="auto"/>
                      <w:kern w:val="2"/>
                      <w:szCs w:val="21"/>
                    </w:rPr>
                    <w:t>O</w:t>
                  </w:r>
                </w:p>
              </w:tc>
              <w:tc>
                <w:tcPr>
                  <w:tcW w:w="382" w:type="pct"/>
                  <w:tcBorders>
                    <w:top w:val="single" w:color="000000" w:sz="4" w:space="0"/>
                    <w:left w:val="single" w:color="000000" w:sz="4" w:space="0"/>
                    <w:bottom w:val="single" w:color="000000" w:sz="4" w:space="0"/>
                    <w:right w:val="single" w:color="000000" w:sz="4" w:space="0"/>
                  </w:tcBorders>
                  <w:vAlign w:val="center"/>
                </w:tcPr>
                <w:p w14:paraId="36687433">
                  <w:pPr>
                    <w:pStyle w:val="87"/>
                    <w:adjustRightInd/>
                    <w:snapToGrid/>
                    <w:spacing w:beforeLines="0" w:afterLines="0" w:line="240" w:lineRule="auto"/>
                    <w:rPr>
                      <w:rFonts w:ascii="Times New Roman"/>
                      <w:color w:val="auto"/>
                      <w:kern w:val="2"/>
                      <w:szCs w:val="21"/>
                    </w:rPr>
                  </w:pPr>
                  <w:r>
                    <w:rPr>
                      <w:rFonts w:ascii="Times New Roman"/>
                      <w:color w:val="auto"/>
                      <w:kern w:val="2"/>
                      <w:szCs w:val="21"/>
                    </w:rPr>
                    <w:t>K</w:t>
                  </w:r>
                  <w:r>
                    <w:rPr>
                      <w:rFonts w:ascii="Times New Roman"/>
                      <w:color w:val="auto"/>
                      <w:kern w:val="2"/>
                      <w:szCs w:val="21"/>
                      <w:vertAlign w:val="subscript"/>
                    </w:rPr>
                    <w:t>2</w:t>
                  </w:r>
                  <w:r>
                    <w:rPr>
                      <w:rFonts w:ascii="Times New Roman"/>
                      <w:color w:val="auto"/>
                      <w:kern w:val="2"/>
                      <w:szCs w:val="21"/>
                    </w:rPr>
                    <w:t>O</w:t>
                  </w:r>
                </w:p>
              </w:tc>
              <w:tc>
                <w:tcPr>
                  <w:tcW w:w="449" w:type="pct"/>
                  <w:tcBorders>
                    <w:top w:val="single" w:color="000000" w:sz="4" w:space="0"/>
                    <w:left w:val="single" w:color="000000" w:sz="4" w:space="0"/>
                    <w:bottom w:val="single" w:color="000000" w:sz="4" w:space="0"/>
                    <w:right w:val="single" w:color="000000" w:sz="4" w:space="0"/>
                  </w:tcBorders>
                  <w:vAlign w:val="center"/>
                </w:tcPr>
                <w:p w14:paraId="188752A8">
                  <w:pPr>
                    <w:pStyle w:val="87"/>
                    <w:adjustRightInd/>
                    <w:snapToGrid/>
                    <w:spacing w:beforeLines="0" w:afterLines="0" w:line="240" w:lineRule="auto"/>
                    <w:rPr>
                      <w:rFonts w:ascii="Times New Roman"/>
                      <w:color w:val="auto"/>
                      <w:kern w:val="2"/>
                      <w:szCs w:val="21"/>
                    </w:rPr>
                  </w:pPr>
                  <w:r>
                    <w:rPr>
                      <w:rFonts w:hint="eastAsia" w:ascii="Times New Roman"/>
                      <w:color w:val="auto"/>
                      <w:kern w:val="2"/>
                      <w:szCs w:val="21"/>
                    </w:rPr>
                    <w:t>Loss</w:t>
                  </w:r>
                </w:p>
              </w:tc>
            </w:tr>
            <w:tr w14:paraId="2C971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1" w:type="pct"/>
                  <w:tcBorders>
                    <w:top w:val="single" w:color="000000" w:sz="4" w:space="0"/>
                    <w:left w:val="single" w:color="000000" w:sz="4" w:space="0"/>
                    <w:right w:val="single" w:color="000000" w:sz="4" w:space="0"/>
                  </w:tcBorders>
                  <w:vAlign w:val="center"/>
                </w:tcPr>
                <w:p w14:paraId="53D9414B">
                  <w:pPr>
                    <w:pStyle w:val="87"/>
                    <w:adjustRightInd/>
                    <w:snapToGrid/>
                    <w:spacing w:beforeLines="0" w:afterLines="0" w:line="240" w:lineRule="auto"/>
                    <w:rPr>
                      <w:rFonts w:ascii="Times New Roman"/>
                      <w:color w:val="auto"/>
                      <w:kern w:val="2"/>
                      <w:szCs w:val="21"/>
                    </w:rPr>
                  </w:pPr>
                  <w:r>
                    <w:rPr>
                      <w:rFonts w:ascii="Times New Roman"/>
                      <w:color w:val="auto"/>
                      <w:kern w:val="2"/>
                      <w:szCs w:val="21"/>
                    </w:rPr>
                    <w:t>组成（wt%）</w:t>
                  </w:r>
                </w:p>
              </w:tc>
              <w:tc>
                <w:tcPr>
                  <w:tcW w:w="718" w:type="pct"/>
                  <w:tcBorders>
                    <w:top w:val="single" w:color="000000" w:sz="4" w:space="0"/>
                    <w:left w:val="single" w:color="000000" w:sz="4" w:space="0"/>
                    <w:bottom w:val="single" w:color="000000" w:sz="4" w:space="0"/>
                    <w:right w:val="single" w:color="000000" w:sz="4" w:space="0"/>
                  </w:tcBorders>
                  <w:vAlign w:val="center"/>
                </w:tcPr>
                <w:p w14:paraId="503693D2">
                  <w:pPr>
                    <w:pStyle w:val="87"/>
                    <w:adjustRightInd/>
                    <w:snapToGrid/>
                    <w:spacing w:beforeLines="0" w:afterLines="0" w:line="240" w:lineRule="auto"/>
                    <w:rPr>
                      <w:rFonts w:ascii="Times New Roman"/>
                      <w:color w:val="auto"/>
                      <w:kern w:val="2"/>
                      <w:szCs w:val="21"/>
                    </w:rPr>
                  </w:pPr>
                  <w:r>
                    <w:rPr>
                      <w:rFonts w:hint="eastAsia" w:ascii="Times New Roman"/>
                      <w:color w:val="auto"/>
                      <w:kern w:val="2"/>
                      <w:szCs w:val="21"/>
                    </w:rPr>
                    <w:t>92.19</w:t>
                  </w:r>
                </w:p>
              </w:tc>
              <w:tc>
                <w:tcPr>
                  <w:tcW w:w="377" w:type="pct"/>
                  <w:tcBorders>
                    <w:top w:val="single" w:color="000000" w:sz="4" w:space="0"/>
                    <w:left w:val="single" w:color="000000" w:sz="4" w:space="0"/>
                    <w:bottom w:val="single" w:color="000000" w:sz="4" w:space="0"/>
                    <w:right w:val="single" w:color="000000" w:sz="4" w:space="0"/>
                  </w:tcBorders>
                  <w:vAlign w:val="center"/>
                </w:tcPr>
                <w:p w14:paraId="5370E037">
                  <w:pPr>
                    <w:pStyle w:val="87"/>
                    <w:adjustRightInd/>
                    <w:snapToGrid/>
                    <w:spacing w:beforeLines="0" w:afterLines="0" w:line="240" w:lineRule="auto"/>
                    <w:rPr>
                      <w:rFonts w:ascii="Times New Roman"/>
                      <w:color w:val="auto"/>
                      <w:kern w:val="2"/>
                      <w:szCs w:val="21"/>
                    </w:rPr>
                  </w:pPr>
                  <w:r>
                    <w:rPr>
                      <w:rFonts w:hint="eastAsia" w:ascii="Times New Roman"/>
                      <w:color w:val="auto"/>
                      <w:kern w:val="2"/>
                      <w:szCs w:val="21"/>
                    </w:rPr>
                    <w:t>0.27</w:t>
                  </w:r>
                </w:p>
              </w:tc>
              <w:tc>
                <w:tcPr>
                  <w:tcW w:w="377" w:type="pct"/>
                  <w:tcBorders>
                    <w:top w:val="single" w:color="000000" w:sz="4" w:space="0"/>
                    <w:left w:val="single" w:color="000000" w:sz="4" w:space="0"/>
                    <w:bottom w:val="single" w:color="000000" w:sz="4" w:space="0"/>
                    <w:right w:val="single" w:color="000000" w:sz="4" w:space="0"/>
                  </w:tcBorders>
                  <w:vAlign w:val="center"/>
                </w:tcPr>
                <w:p w14:paraId="1CE7DFE9">
                  <w:pPr>
                    <w:pStyle w:val="87"/>
                    <w:adjustRightInd/>
                    <w:snapToGrid/>
                    <w:spacing w:beforeLines="0" w:afterLines="0" w:line="240" w:lineRule="auto"/>
                    <w:rPr>
                      <w:rFonts w:ascii="Times New Roman"/>
                      <w:color w:val="auto"/>
                      <w:kern w:val="2"/>
                      <w:szCs w:val="21"/>
                    </w:rPr>
                  </w:pPr>
                  <w:r>
                    <w:rPr>
                      <w:rFonts w:hint="eastAsia" w:ascii="Times New Roman"/>
                      <w:color w:val="auto"/>
                      <w:kern w:val="2"/>
                      <w:szCs w:val="21"/>
                    </w:rPr>
                    <w:t>0.03</w:t>
                  </w:r>
                </w:p>
              </w:tc>
              <w:tc>
                <w:tcPr>
                  <w:tcW w:w="467" w:type="pct"/>
                  <w:tcBorders>
                    <w:top w:val="single" w:color="000000" w:sz="4" w:space="0"/>
                    <w:left w:val="single" w:color="000000" w:sz="4" w:space="0"/>
                    <w:bottom w:val="single" w:color="000000" w:sz="4" w:space="0"/>
                    <w:right w:val="single" w:color="000000" w:sz="4" w:space="0"/>
                  </w:tcBorders>
                  <w:vAlign w:val="center"/>
                </w:tcPr>
                <w:p w14:paraId="3A9CF412">
                  <w:pPr>
                    <w:pStyle w:val="87"/>
                    <w:adjustRightInd/>
                    <w:snapToGrid/>
                    <w:spacing w:beforeLines="0" w:afterLines="0" w:line="240" w:lineRule="auto"/>
                    <w:rPr>
                      <w:rFonts w:ascii="Times New Roman"/>
                      <w:color w:val="auto"/>
                      <w:kern w:val="2"/>
                      <w:szCs w:val="21"/>
                    </w:rPr>
                  </w:pPr>
                  <w:r>
                    <w:rPr>
                      <w:rFonts w:hint="eastAsia" w:ascii="Times New Roman"/>
                      <w:color w:val="auto"/>
                      <w:kern w:val="2"/>
                      <w:szCs w:val="21"/>
                    </w:rPr>
                    <w:t>0.29</w:t>
                  </w:r>
                </w:p>
              </w:tc>
              <w:tc>
                <w:tcPr>
                  <w:tcW w:w="467" w:type="pct"/>
                  <w:tcBorders>
                    <w:top w:val="single" w:color="000000" w:sz="4" w:space="0"/>
                    <w:left w:val="single" w:color="000000" w:sz="4" w:space="0"/>
                    <w:bottom w:val="single" w:color="000000" w:sz="4" w:space="0"/>
                    <w:right w:val="single" w:color="000000" w:sz="4" w:space="0"/>
                  </w:tcBorders>
                  <w:vAlign w:val="center"/>
                </w:tcPr>
                <w:p w14:paraId="046A7173">
                  <w:pPr>
                    <w:pStyle w:val="87"/>
                    <w:adjustRightInd/>
                    <w:snapToGrid/>
                    <w:spacing w:beforeLines="0" w:afterLines="0" w:line="240" w:lineRule="auto"/>
                    <w:rPr>
                      <w:rFonts w:ascii="Times New Roman"/>
                      <w:color w:val="auto"/>
                      <w:kern w:val="2"/>
                      <w:szCs w:val="21"/>
                    </w:rPr>
                  </w:pPr>
                  <w:r>
                    <w:rPr>
                      <w:rFonts w:hint="eastAsia" w:ascii="Times New Roman"/>
                      <w:color w:val="auto"/>
                      <w:kern w:val="2"/>
                      <w:szCs w:val="21"/>
                    </w:rPr>
                    <w:t>1.47</w:t>
                  </w:r>
                </w:p>
              </w:tc>
              <w:tc>
                <w:tcPr>
                  <w:tcW w:w="428" w:type="pct"/>
                  <w:tcBorders>
                    <w:top w:val="single" w:color="000000" w:sz="4" w:space="0"/>
                    <w:left w:val="single" w:color="000000" w:sz="4" w:space="0"/>
                    <w:bottom w:val="single" w:color="000000" w:sz="4" w:space="0"/>
                    <w:right w:val="single" w:color="000000" w:sz="4" w:space="0"/>
                  </w:tcBorders>
                  <w:vAlign w:val="center"/>
                </w:tcPr>
                <w:p w14:paraId="3E2EB29E">
                  <w:pPr>
                    <w:pStyle w:val="87"/>
                    <w:adjustRightInd/>
                    <w:snapToGrid/>
                    <w:spacing w:beforeLines="0" w:afterLines="0" w:line="240" w:lineRule="auto"/>
                    <w:rPr>
                      <w:rFonts w:ascii="Times New Roman"/>
                      <w:color w:val="auto"/>
                      <w:kern w:val="2"/>
                      <w:szCs w:val="21"/>
                    </w:rPr>
                  </w:pPr>
                  <w:r>
                    <w:rPr>
                      <w:rFonts w:ascii="Times New Roman"/>
                      <w:color w:val="auto"/>
                      <w:kern w:val="2"/>
                      <w:szCs w:val="21"/>
                    </w:rPr>
                    <w:t>0.</w:t>
                  </w:r>
                  <w:r>
                    <w:rPr>
                      <w:rFonts w:hint="eastAsia" w:ascii="Times New Roman"/>
                      <w:color w:val="auto"/>
                      <w:kern w:val="2"/>
                      <w:szCs w:val="21"/>
                    </w:rPr>
                    <w:t>06</w:t>
                  </w:r>
                </w:p>
              </w:tc>
              <w:tc>
                <w:tcPr>
                  <w:tcW w:w="397" w:type="pct"/>
                  <w:tcBorders>
                    <w:top w:val="single" w:color="000000" w:sz="4" w:space="0"/>
                    <w:left w:val="single" w:color="000000" w:sz="4" w:space="0"/>
                    <w:bottom w:val="single" w:color="000000" w:sz="4" w:space="0"/>
                    <w:right w:val="single" w:color="000000" w:sz="4" w:space="0"/>
                  </w:tcBorders>
                  <w:vAlign w:val="center"/>
                </w:tcPr>
                <w:p w14:paraId="58622E01">
                  <w:pPr>
                    <w:pStyle w:val="87"/>
                    <w:adjustRightInd/>
                    <w:snapToGrid/>
                    <w:spacing w:beforeLines="0" w:afterLines="0" w:line="240" w:lineRule="auto"/>
                    <w:rPr>
                      <w:rFonts w:ascii="Times New Roman"/>
                      <w:color w:val="auto"/>
                      <w:kern w:val="2"/>
                      <w:szCs w:val="21"/>
                    </w:rPr>
                  </w:pPr>
                  <w:r>
                    <w:rPr>
                      <w:rFonts w:hint="eastAsia" w:ascii="Times New Roman"/>
                      <w:color w:val="auto"/>
                      <w:kern w:val="2"/>
                      <w:szCs w:val="21"/>
                    </w:rPr>
                    <w:t>3.88</w:t>
                  </w:r>
                </w:p>
              </w:tc>
              <w:tc>
                <w:tcPr>
                  <w:tcW w:w="445" w:type="pct"/>
                  <w:tcBorders>
                    <w:top w:val="single" w:color="000000" w:sz="4" w:space="0"/>
                    <w:left w:val="single" w:color="000000" w:sz="4" w:space="0"/>
                    <w:bottom w:val="single" w:color="000000" w:sz="4" w:space="0"/>
                    <w:right w:val="single" w:color="000000" w:sz="4" w:space="0"/>
                  </w:tcBorders>
                  <w:vAlign w:val="center"/>
                </w:tcPr>
                <w:p w14:paraId="650B2057">
                  <w:pPr>
                    <w:pStyle w:val="87"/>
                    <w:adjustRightInd/>
                    <w:snapToGrid/>
                    <w:spacing w:beforeLines="0" w:afterLines="0" w:line="240" w:lineRule="auto"/>
                    <w:rPr>
                      <w:rFonts w:ascii="Times New Roman"/>
                      <w:color w:val="auto"/>
                      <w:kern w:val="2"/>
                      <w:szCs w:val="21"/>
                    </w:rPr>
                  </w:pPr>
                  <w:r>
                    <w:rPr>
                      <w:rFonts w:ascii="Times New Roman"/>
                      <w:color w:val="auto"/>
                      <w:kern w:val="2"/>
                      <w:szCs w:val="21"/>
                    </w:rPr>
                    <w:t>0.0</w:t>
                  </w:r>
                  <w:r>
                    <w:rPr>
                      <w:rFonts w:hint="eastAsia" w:ascii="Times New Roman"/>
                      <w:color w:val="auto"/>
                      <w:kern w:val="2"/>
                      <w:szCs w:val="21"/>
                    </w:rPr>
                    <w:t>4</w:t>
                  </w:r>
                </w:p>
              </w:tc>
              <w:tc>
                <w:tcPr>
                  <w:tcW w:w="382" w:type="pct"/>
                  <w:tcBorders>
                    <w:top w:val="single" w:color="000000" w:sz="4" w:space="0"/>
                    <w:left w:val="single" w:color="000000" w:sz="4" w:space="0"/>
                    <w:bottom w:val="single" w:color="000000" w:sz="4" w:space="0"/>
                    <w:right w:val="single" w:color="000000" w:sz="4" w:space="0"/>
                  </w:tcBorders>
                  <w:vAlign w:val="center"/>
                </w:tcPr>
                <w:p w14:paraId="42C71BE4">
                  <w:pPr>
                    <w:pStyle w:val="87"/>
                    <w:adjustRightInd/>
                    <w:snapToGrid/>
                    <w:spacing w:beforeLines="0" w:afterLines="0" w:line="240" w:lineRule="auto"/>
                    <w:rPr>
                      <w:rFonts w:ascii="Times New Roman"/>
                      <w:color w:val="auto"/>
                      <w:kern w:val="2"/>
                      <w:szCs w:val="21"/>
                    </w:rPr>
                  </w:pPr>
                  <w:r>
                    <w:rPr>
                      <w:rFonts w:ascii="Times New Roman"/>
                      <w:color w:val="auto"/>
                      <w:kern w:val="2"/>
                      <w:szCs w:val="21"/>
                    </w:rPr>
                    <w:t>0.</w:t>
                  </w:r>
                  <w:r>
                    <w:rPr>
                      <w:rFonts w:hint="eastAsia" w:ascii="Times New Roman"/>
                      <w:color w:val="auto"/>
                      <w:kern w:val="2"/>
                      <w:szCs w:val="21"/>
                    </w:rPr>
                    <w:t>10</w:t>
                  </w:r>
                </w:p>
              </w:tc>
              <w:tc>
                <w:tcPr>
                  <w:tcW w:w="449" w:type="pct"/>
                  <w:tcBorders>
                    <w:top w:val="single" w:color="000000" w:sz="4" w:space="0"/>
                    <w:left w:val="single" w:color="000000" w:sz="4" w:space="0"/>
                    <w:bottom w:val="single" w:color="000000" w:sz="4" w:space="0"/>
                    <w:right w:val="single" w:color="000000" w:sz="4" w:space="0"/>
                  </w:tcBorders>
                  <w:vAlign w:val="center"/>
                </w:tcPr>
                <w:p w14:paraId="6D2EF506">
                  <w:pPr>
                    <w:pStyle w:val="87"/>
                    <w:adjustRightInd/>
                    <w:snapToGrid/>
                    <w:spacing w:beforeLines="0" w:afterLines="0" w:line="240" w:lineRule="auto"/>
                    <w:rPr>
                      <w:rFonts w:ascii="Times New Roman"/>
                      <w:color w:val="auto"/>
                      <w:kern w:val="2"/>
                      <w:szCs w:val="21"/>
                    </w:rPr>
                  </w:pPr>
                  <w:r>
                    <w:rPr>
                      <w:rFonts w:hint="eastAsia" w:ascii="Times New Roman"/>
                      <w:color w:val="auto"/>
                      <w:kern w:val="2"/>
                      <w:szCs w:val="21"/>
                    </w:rPr>
                    <w:t>23.37</w:t>
                  </w:r>
                </w:p>
              </w:tc>
            </w:tr>
          </w:tbl>
          <w:p w14:paraId="383D10C0">
            <w:pPr>
              <w:spacing w:line="360" w:lineRule="auto"/>
              <w:ind w:firstLine="482" w:firstLineChars="200"/>
              <w:rPr>
                <w:b/>
                <w:color w:val="auto"/>
                <w:sz w:val="24"/>
              </w:rPr>
            </w:pPr>
          </w:p>
          <w:p w14:paraId="324B8AFA">
            <w:pPr>
              <w:spacing w:line="360" w:lineRule="auto"/>
              <w:ind w:firstLine="482" w:firstLineChars="200"/>
              <w:rPr>
                <w:b/>
                <w:color w:val="auto"/>
                <w:sz w:val="24"/>
              </w:rPr>
            </w:pPr>
          </w:p>
          <w:p w14:paraId="1DE69C1A">
            <w:pPr>
              <w:spacing w:line="360" w:lineRule="auto"/>
              <w:ind w:firstLine="482" w:firstLineChars="200"/>
              <w:rPr>
                <w:b/>
                <w:color w:val="auto"/>
                <w:sz w:val="24"/>
              </w:rPr>
            </w:pPr>
            <w:r>
              <w:rPr>
                <w:b/>
                <w:color w:val="auto"/>
                <w:sz w:val="24"/>
              </w:rPr>
              <w:t>电石渣浸出毒性鉴别：</w:t>
            </w:r>
          </w:p>
          <w:p w14:paraId="3318F1DB">
            <w:pPr>
              <w:spacing w:line="360" w:lineRule="auto"/>
              <w:ind w:firstLine="480" w:firstLineChars="200"/>
              <w:rPr>
                <w:color w:val="auto"/>
                <w:sz w:val="24"/>
              </w:rPr>
            </w:pPr>
            <w:r>
              <w:rPr>
                <w:color w:val="auto"/>
                <w:sz w:val="24"/>
              </w:rPr>
              <w:t>为了鉴别</w:t>
            </w:r>
            <w:r>
              <w:rPr>
                <w:rFonts w:hint="eastAsia"/>
                <w:color w:val="auto"/>
                <w:sz w:val="24"/>
                <w:lang w:val="en-US" w:eastAsia="zh-CN"/>
              </w:rPr>
              <w:t>电石渣</w:t>
            </w:r>
            <w:r>
              <w:rPr>
                <w:color w:val="auto"/>
                <w:sz w:val="24"/>
              </w:rPr>
              <w:t>的属性，建设单位于</w:t>
            </w:r>
            <w:r>
              <w:rPr>
                <w:color w:val="auto"/>
                <w:sz w:val="24"/>
                <w:highlight w:val="none"/>
              </w:rPr>
              <w:t>202</w:t>
            </w:r>
            <w:r>
              <w:rPr>
                <w:rFonts w:hint="eastAsia"/>
                <w:color w:val="auto"/>
                <w:sz w:val="24"/>
                <w:highlight w:val="none"/>
                <w:lang w:val="en-US" w:eastAsia="zh-CN"/>
              </w:rPr>
              <w:t>4</w:t>
            </w:r>
            <w:r>
              <w:rPr>
                <w:color w:val="auto"/>
                <w:sz w:val="24"/>
                <w:highlight w:val="none"/>
              </w:rPr>
              <w:t>年</w:t>
            </w:r>
            <w:r>
              <w:rPr>
                <w:rFonts w:hint="eastAsia"/>
                <w:color w:val="auto"/>
                <w:sz w:val="24"/>
                <w:highlight w:val="none"/>
                <w:lang w:val="en-US" w:eastAsia="zh-CN"/>
              </w:rPr>
              <w:t>3</w:t>
            </w:r>
            <w:r>
              <w:rPr>
                <w:color w:val="auto"/>
                <w:sz w:val="24"/>
                <w:highlight w:val="none"/>
              </w:rPr>
              <w:t>月</w:t>
            </w:r>
            <w:r>
              <w:rPr>
                <w:rFonts w:hint="eastAsia"/>
                <w:color w:val="auto"/>
                <w:sz w:val="24"/>
                <w:highlight w:val="none"/>
                <w:lang w:val="en-US" w:eastAsia="zh-CN"/>
              </w:rPr>
              <w:t>18</w:t>
            </w:r>
            <w:r>
              <w:rPr>
                <w:color w:val="auto"/>
                <w:sz w:val="24"/>
                <w:highlight w:val="none"/>
              </w:rPr>
              <w:t>日委托</w:t>
            </w:r>
            <w:r>
              <w:rPr>
                <w:rFonts w:hint="eastAsia"/>
                <w:color w:val="auto"/>
                <w:sz w:val="24"/>
                <w:highlight w:val="none"/>
                <w:lang w:val="en-US" w:eastAsia="zh-CN"/>
              </w:rPr>
              <w:t>云南华都生态环境监测有限公司</w:t>
            </w:r>
            <w:r>
              <w:rPr>
                <w:color w:val="auto"/>
                <w:sz w:val="24"/>
                <w:highlight w:val="none"/>
              </w:rPr>
              <w:t>对</w:t>
            </w:r>
            <w:r>
              <w:rPr>
                <w:rFonts w:hint="eastAsia"/>
                <w:color w:val="auto"/>
                <w:sz w:val="24"/>
                <w:lang w:val="en-US" w:eastAsia="zh-CN"/>
              </w:rPr>
              <w:t>电石渣</w:t>
            </w:r>
            <w:r>
              <w:rPr>
                <w:color w:val="auto"/>
                <w:sz w:val="24"/>
              </w:rPr>
              <w:t>进行了属性鉴别，采用《</w:t>
            </w:r>
            <w:r>
              <w:rPr>
                <w:rFonts w:hint="eastAsia"/>
                <w:color w:val="auto"/>
                <w:sz w:val="24"/>
              </w:rPr>
              <w:t>固体废物浸出毒性浸出方法硫酸硝酸法》（HJ/T 299-2007）和</w:t>
            </w:r>
            <w:r>
              <w:rPr>
                <w:color w:val="auto"/>
                <w:sz w:val="24"/>
              </w:rPr>
              <w:t>《</w:t>
            </w:r>
            <w:r>
              <w:rPr>
                <w:rFonts w:hint="eastAsia"/>
                <w:color w:val="auto"/>
                <w:sz w:val="24"/>
              </w:rPr>
              <w:t>固体废物浸出毒性浸出方法 水平振荡法</w:t>
            </w:r>
            <w:r>
              <w:rPr>
                <w:color w:val="auto"/>
                <w:sz w:val="24"/>
              </w:rPr>
              <w:t>》</w:t>
            </w:r>
            <w:r>
              <w:rPr>
                <w:rFonts w:hint="eastAsia"/>
                <w:color w:val="auto"/>
                <w:sz w:val="24"/>
              </w:rPr>
              <w:t>（HJ 557—2010）</w:t>
            </w:r>
            <w:r>
              <w:rPr>
                <w:color w:val="auto"/>
                <w:sz w:val="24"/>
              </w:rPr>
              <w:t>进行浸出液的制备。具体监测结果见</w:t>
            </w:r>
            <w:r>
              <w:rPr>
                <w:rFonts w:hint="eastAsia"/>
                <w:color w:val="auto"/>
                <w:sz w:val="24"/>
                <w:lang w:val="en-US" w:eastAsia="zh-CN"/>
              </w:rPr>
              <w:t>下</w:t>
            </w:r>
            <w:r>
              <w:rPr>
                <w:color w:val="auto"/>
                <w:sz w:val="24"/>
              </w:rPr>
              <w:t>表。</w:t>
            </w:r>
          </w:p>
          <w:p w14:paraId="2FEAB887">
            <w:pPr>
              <w:ind w:firstLine="361" w:firstLineChars="150"/>
              <w:jc w:val="center"/>
              <w:rPr>
                <w:b/>
                <w:color w:val="auto"/>
                <w:sz w:val="24"/>
                <w:highlight w:val="yellow"/>
              </w:rPr>
            </w:pPr>
            <w:r>
              <w:rPr>
                <w:b/>
                <w:color w:val="auto"/>
                <w:sz w:val="24"/>
              </w:rPr>
              <w:t>表2-1</w:t>
            </w:r>
            <w:r>
              <w:rPr>
                <w:rFonts w:hint="eastAsia"/>
                <w:b/>
                <w:color w:val="auto"/>
                <w:sz w:val="24"/>
                <w:lang w:val="en-US" w:eastAsia="zh-CN"/>
              </w:rPr>
              <w:t>8</w:t>
            </w:r>
            <w:r>
              <w:rPr>
                <w:b/>
                <w:color w:val="auto"/>
                <w:sz w:val="24"/>
              </w:rPr>
              <w:t xml:space="preserve">  </w:t>
            </w:r>
            <w:r>
              <w:rPr>
                <w:rFonts w:hint="eastAsia"/>
                <w:b/>
                <w:color w:val="auto"/>
                <w:sz w:val="24"/>
                <w:lang w:val="en-US" w:eastAsia="zh-CN"/>
              </w:rPr>
              <w:t>电石渣</w:t>
            </w:r>
            <w:r>
              <w:rPr>
                <w:b/>
                <w:color w:val="auto"/>
                <w:sz w:val="24"/>
              </w:rPr>
              <w:t>浸出毒性试验检测结果</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1111"/>
              <w:gridCol w:w="1300"/>
              <w:gridCol w:w="1087"/>
              <w:gridCol w:w="963"/>
              <w:gridCol w:w="1540"/>
              <w:gridCol w:w="1065"/>
            </w:tblGrid>
            <w:tr w14:paraId="221CC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83" w:type="pct"/>
                  <w:vMerge w:val="restart"/>
                  <w:tcBorders>
                    <w:top w:val="single" w:color="auto" w:sz="4" w:space="0"/>
                    <w:left w:val="single" w:color="auto" w:sz="4" w:space="0"/>
                    <w:right w:val="single" w:color="auto" w:sz="4" w:space="0"/>
                  </w:tcBorders>
                  <w:vAlign w:val="center"/>
                </w:tcPr>
                <w:p w14:paraId="1EF92A96">
                  <w:pPr>
                    <w:jc w:val="center"/>
                    <w:rPr>
                      <w:color w:val="auto"/>
                      <w:sz w:val="21"/>
                      <w:szCs w:val="21"/>
                    </w:rPr>
                  </w:pPr>
                  <w:r>
                    <w:rPr>
                      <w:color w:val="auto"/>
                      <w:sz w:val="21"/>
                      <w:szCs w:val="21"/>
                    </w:rPr>
                    <w:t>分析项目</w:t>
                  </w:r>
                </w:p>
              </w:tc>
              <w:tc>
                <w:tcPr>
                  <w:tcW w:w="2087" w:type="pct"/>
                  <w:gridSpan w:val="3"/>
                  <w:tcBorders>
                    <w:top w:val="single" w:color="auto" w:sz="4" w:space="0"/>
                    <w:left w:val="single" w:color="auto" w:sz="4" w:space="0"/>
                    <w:bottom w:val="single" w:color="auto" w:sz="4" w:space="0"/>
                    <w:right w:val="single" w:color="auto" w:sz="4" w:space="0"/>
                  </w:tcBorders>
                  <w:vAlign w:val="center"/>
                </w:tcPr>
                <w:p w14:paraId="759CD56B">
                  <w:pPr>
                    <w:jc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硫酸硝酸法</w:t>
                  </w:r>
                </w:p>
              </w:tc>
              <w:tc>
                <w:tcPr>
                  <w:tcW w:w="2129" w:type="pct"/>
                  <w:gridSpan w:val="3"/>
                  <w:tcBorders>
                    <w:top w:val="single" w:color="auto" w:sz="4" w:space="0"/>
                    <w:left w:val="single" w:color="auto" w:sz="4" w:space="0"/>
                    <w:right w:val="single" w:color="auto" w:sz="4" w:space="0"/>
                  </w:tcBorders>
                  <w:vAlign w:val="center"/>
                </w:tcPr>
                <w:p w14:paraId="022E7FAA">
                  <w:pPr>
                    <w:jc w:val="center"/>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水平振荡</w:t>
                  </w:r>
                  <w:r>
                    <w:rPr>
                      <w:rFonts w:ascii="Times New Roman" w:hAnsi="Times New Roman" w:eastAsia="宋体" w:cs="Times New Roman"/>
                      <w:color w:val="auto"/>
                      <w:sz w:val="21"/>
                      <w:szCs w:val="21"/>
                      <w:lang w:val="en-US" w:eastAsia="zh-CN" w:bidi="ar-SA"/>
                    </w:rPr>
                    <w:t>法</w:t>
                  </w:r>
                </w:p>
              </w:tc>
            </w:tr>
            <w:tr w14:paraId="46965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83" w:type="pct"/>
                  <w:vMerge w:val="continue"/>
                  <w:tcBorders>
                    <w:left w:val="single" w:color="auto" w:sz="4" w:space="0"/>
                    <w:bottom w:val="single" w:color="auto" w:sz="4" w:space="0"/>
                    <w:right w:val="single" w:color="auto" w:sz="4" w:space="0"/>
                  </w:tcBorders>
                  <w:vAlign w:val="center"/>
                </w:tcPr>
                <w:p w14:paraId="14BAC16F">
                  <w:pPr>
                    <w:jc w:val="center"/>
                    <w:rPr>
                      <w:color w:val="auto"/>
                    </w:rPr>
                  </w:pPr>
                </w:p>
              </w:tc>
              <w:tc>
                <w:tcPr>
                  <w:tcW w:w="663" w:type="pct"/>
                  <w:tcBorders>
                    <w:top w:val="single" w:color="auto" w:sz="4" w:space="0"/>
                    <w:left w:val="single" w:color="auto" w:sz="4" w:space="0"/>
                    <w:bottom w:val="single" w:color="auto" w:sz="4" w:space="0"/>
                    <w:right w:val="single" w:color="auto" w:sz="4" w:space="0"/>
                  </w:tcBorders>
                  <w:vAlign w:val="center"/>
                </w:tcPr>
                <w:p w14:paraId="1FB7AE58">
                  <w:pPr>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电石渣</w:t>
                  </w:r>
                </w:p>
              </w:tc>
              <w:tc>
                <w:tcPr>
                  <w:tcW w:w="775" w:type="pct"/>
                  <w:tcBorders>
                    <w:left w:val="single" w:color="auto" w:sz="4" w:space="0"/>
                    <w:bottom w:val="single" w:color="auto" w:sz="4" w:space="0"/>
                    <w:right w:val="single" w:color="auto" w:sz="4" w:space="0"/>
                  </w:tcBorders>
                  <w:vAlign w:val="center"/>
                </w:tcPr>
                <w:p w14:paraId="40A4D006">
                  <w:pPr>
                    <w:jc w:val="center"/>
                    <w:rPr>
                      <w:rFonts w:hint="eastAsia" w:ascii="Times New Roman" w:hAnsi="Times New Roman" w:eastAsia="宋体" w:cs="Times New Roman"/>
                      <w:color w:val="auto"/>
                      <w:sz w:val="21"/>
                      <w:szCs w:val="21"/>
                      <w:lang w:val="en-US" w:eastAsia="zh-CN" w:bidi="ar-SA"/>
                    </w:rPr>
                  </w:pPr>
                  <w:r>
                    <w:rPr>
                      <w:color w:val="auto"/>
                      <w:sz w:val="21"/>
                      <w:szCs w:val="21"/>
                    </w:rPr>
                    <w:t>GB5085.3-2007</w:t>
                  </w:r>
                  <w:r>
                    <w:rPr>
                      <w:rFonts w:hint="eastAsia"/>
                      <w:color w:val="auto"/>
                      <w:sz w:val="21"/>
                      <w:szCs w:val="21"/>
                      <w:lang w:eastAsia="zh-CN"/>
                    </w:rPr>
                    <w:t>（</w:t>
                  </w:r>
                  <w:r>
                    <w:rPr>
                      <w:rFonts w:hint="eastAsia"/>
                      <w:color w:val="auto"/>
                      <w:sz w:val="21"/>
                      <w:szCs w:val="21"/>
                      <w:lang w:val="en-US" w:eastAsia="zh-CN"/>
                    </w:rPr>
                    <w:t>mg/L</w:t>
                  </w:r>
                  <w:r>
                    <w:rPr>
                      <w:rFonts w:hint="eastAsia"/>
                      <w:color w:val="auto"/>
                      <w:sz w:val="21"/>
                      <w:szCs w:val="21"/>
                      <w:lang w:eastAsia="zh-CN"/>
                    </w:rPr>
                    <w:t>）</w:t>
                  </w:r>
                </w:p>
              </w:tc>
              <w:tc>
                <w:tcPr>
                  <w:tcW w:w="648" w:type="pct"/>
                  <w:tcBorders>
                    <w:left w:val="single" w:color="auto" w:sz="4" w:space="0"/>
                    <w:bottom w:val="single" w:color="auto" w:sz="4" w:space="0"/>
                    <w:right w:val="single" w:color="auto" w:sz="4" w:space="0"/>
                  </w:tcBorders>
                  <w:vAlign w:val="center"/>
                </w:tcPr>
                <w:p w14:paraId="6B1768CA">
                  <w:pPr>
                    <w:jc w:val="center"/>
                    <w:rPr>
                      <w:color w:val="auto"/>
                      <w:sz w:val="21"/>
                      <w:szCs w:val="21"/>
                    </w:rPr>
                  </w:pPr>
                  <w:r>
                    <w:rPr>
                      <w:color w:val="auto"/>
                      <w:sz w:val="21"/>
                      <w:szCs w:val="21"/>
                    </w:rPr>
                    <w:t>达标情况</w:t>
                  </w:r>
                </w:p>
              </w:tc>
              <w:tc>
                <w:tcPr>
                  <w:tcW w:w="574" w:type="pct"/>
                  <w:tcBorders>
                    <w:left w:val="single" w:color="auto" w:sz="4" w:space="0"/>
                    <w:bottom w:val="single" w:color="auto" w:sz="4" w:space="0"/>
                    <w:right w:val="single" w:color="auto" w:sz="4" w:space="0"/>
                  </w:tcBorders>
                  <w:vAlign w:val="center"/>
                </w:tcPr>
                <w:p w14:paraId="6EFA462B">
                  <w:pPr>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电石渣</w:t>
                  </w:r>
                </w:p>
              </w:tc>
              <w:tc>
                <w:tcPr>
                  <w:tcW w:w="919" w:type="pct"/>
                  <w:tcBorders>
                    <w:left w:val="single" w:color="auto" w:sz="4" w:space="0"/>
                    <w:bottom w:val="single" w:color="auto" w:sz="4" w:space="0"/>
                    <w:right w:val="single" w:color="auto" w:sz="4" w:space="0"/>
                  </w:tcBorders>
                  <w:vAlign w:val="center"/>
                </w:tcPr>
                <w:p w14:paraId="18BFF4D6">
                  <w:pPr>
                    <w:jc w:val="center"/>
                    <w:rPr>
                      <w:rFonts w:ascii="Times New Roman" w:hAnsi="Times New Roman" w:eastAsia="宋体" w:cs="Times New Roman"/>
                      <w:color w:val="auto"/>
                      <w:sz w:val="21"/>
                      <w:szCs w:val="21"/>
                      <w:lang w:val="en-US" w:eastAsia="zh-CN" w:bidi="ar-SA"/>
                    </w:rPr>
                  </w:pPr>
                  <w:r>
                    <w:rPr>
                      <w:color w:val="auto"/>
                      <w:sz w:val="21"/>
                      <w:szCs w:val="21"/>
                    </w:rPr>
                    <w:t>GB</w:t>
                  </w:r>
                  <w:r>
                    <w:rPr>
                      <w:rFonts w:hint="eastAsia"/>
                      <w:color w:val="auto"/>
                      <w:sz w:val="21"/>
                      <w:szCs w:val="21"/>
                    </w:rPr>
                    <w:t xml:space="preserve"> </w:t>
                  </w:r>
                  <w:r>
                    <w:rPr>
                      <w:color w:val="auto"/>
                      <w:sz w:val="21"/>
                      <w:szCs w:val="21"/>
                    </w:rPr>
                    <w:t>8978-1996（</w:t>
                  </w:r>
                  <w:r>
                    <w:rPr>
                      <w:color w:val="auto"/>
                      <w:sz w:val="21"/>
                      <w:szCs w:val="21"/>
                      <w:lang w:bidi="en-US"/>
                    </w:rPr>
                    <w:t>mg/L</w:t>
                  </w:r>
                  <w:r>
                    <w:rPr>
                      <w:color w:val="auto"/>
                      <w:sz w:val="21"/>
                      <w:szCs w:val="21"/>
                    </w:rPr>
                    <w:t>）</w:t>
                  </w:r>
                </w:p>
              </w:tc>
              <w:tc>
                <w:tcPr>
                  <w:tcW w:w="635" w:type="pct"/>
                  <w:tcBorders>
                    <w:left w:val="single" w:color="auto" w:sz="4" w:space="0"/>
                    <w:bottom w:val="single" w:color="auto" w:sz="4" w:space="0"/>
                    <w:right w:val="single" w:color="auto" w:sz="4" w:space="0"/>
                  </w:tcBorders>
                  <w:vAlign w:val="center"/>
                </w:tcPr>
                <w:p w14:paraId="30A29195">
                  <w:pPr>
                    <w:jc w:val="center"/>
                    <w:rPr>
                      <w:rFonts w:ascii="Times New Roman" w:hAnsi="Times New Roman" w:eastAsia="宋体" w:cs="Times New Roman"/>
                      <w:b/>
                      <w:color w:val="auto"/>
                      <w:sz w:val="21"/>
                      <w:szCs w:val="21"/>
                      <w:lang w:val="en-US" w:eastAsia="zh-CN" w:bidi="ar-SA"/>
                    </w:rPr>
                  </w:pPr>
                  <w:r>
                    <w:rPr>
                      <w:b/>
                      <w:color w:val="auto"/>
                      <w:sz w:val="21"/>
                      <w:szCs w:val="21"/>
                    </w:rPr>
                    <w:t>达标情况</w:t>
                  </w:r>
                </w:p>
              </w:tc>
            </w:tr>
            <w:tr w14:paraId="1DA87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73D5653D">
                  <w:pPr>
                    <w:jc w:val="center"/>
                    <w:rPr>
                      <w:rFonts w:hint="eastAsia" w:ascii="Times New Roman" w:hAnsi="Times New Roman" w:eastAsia="宋体" w:cs="Times New Roman"/>
                      <w:color w:val="auto"/>
                      <w:sz w:val="21"/>
                      <w:szCs w:val="21"/>
                      <w:lang w:val="en-US" w:eastAsia="zh-CN" w:bidi="ar-SA"/>
                    </w:rPr>
                  </w:pPr>
                  <w:r>
                    <w:rPr>
                      <w:color w:val="auto"/>
                      <w:sz w:val="21"/>
                      <w:szCs w:val="21"/>
                    </w:rPr>
                    <w:t>镉</w:t>
                  </w:r>
                  <w:r>
                    <w:rPr>
                      <w:rFonts w:hint="eastAsia"/>
                      <w:color w:val="auto"/>
                      <w:sz w:val="21"/>
                      <w:szCs w:val="21"/>
                      <w:lang w:eastAsia="zh-CN"/>
                    </w:rPr>
                    <w:t>（</w:t>
                  </w:r>
                  <w:r>
                    <w:rPr>
                      <w:rFonts w:hint="default" w:ascii="Times New Roman" w:hAnsi="Times New Roman" w:cs="Times New Roman"/>
                      <w:color w:val="auto"/>
                      <w:sz w:val="21"/>
                      <w:szCs w:val="21"/>
                      <w:lang w:eastAsia="zh-CN"/>
                    </w:rPr>
                    <w:t>μ</w:t>
                  </w:r>
                  <w:r>
                    <w:rPr>
                      <w:rFonts w:hint="eastAsia"/>
                      <w:color w:val="auto"/>
                      <w:sz w:val="21"/>
                      <w:szCs w:val="21"/>
                      <w:lang w:val="en-US" w:eastAsia="zh-CN"/>
                    </w:rPr>
                    <w:t>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16B4964D">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0.6L</w:t>
                  </w:r>
                </w:p>
              </w:tc>
              <w:tc>
                <w:tcPr>
                  <w:tcW w:w="775" w:type="pct"/>
                  <w:tcBorders>
                    <w:top w:val="single" w:color="auto" w:sz="4" w:space="0"/>
                    <w:left w:val="single" w:color="auto" w:sz="4" w:space="0"/>
                    <w:bottom w:val="single" w:color="auto" w:sz="4" w:space="0"/>
                    <w:right w:val="single" w:color="auto" w:sz="4" w:space="0"/>
                  </w:tcBorders>
                  <w:vAlign w:val="center"/>
                </w:tcPr>
                <w:p w14:paraId="5044F5C7">
                  <w:pPr>
                    <w:jc w:val="center"/>
                    <w:rPr>
                      <w:rFonts w:hint="eastAsia" w:ascii="Times New Roman" w:hAnsi="Times New Roman" w:eastAsia="宋体" w:cs="Times New Roman"/>
                      <w:color w:val="auto"/>
                      <w:sz w:val="21"/>
                      <w:szCs w:val="21"/>
                      <w:lang w:val="en-US" w:eastAsia="zh-CN" w:bidi="ar-SA"/>
                    </w:rPr>
                  </w:pPr>
                  <w:r>
                    <w:rPr>
                      <w:color w:val="auto"/>
                      <w:sz w:val="21"/>
                      <w:szCs w:val="21"/>
                    </w:rPr>
                    <w:t>1</w:t>
                  </w:r>
                </w:p>
              </w:tc>
              <w:tc>
                <w:tcPr>
                  <w:tcW w:w="648" w:type="pct"/>
                  <w:tcBorders>
                    <w:top w:val="single" w:color="auto" w:sz="4" w:space="0"/>
                    <w:left w:val="single" w:color="auto" w:sz="4" w:space="0"/>
                    <w:bottom w:val="single" w:color="auto" w:sz="4" w:space="0"/>
                    <w:right w:val="single" w:color="auto" w:sz="4" w:space="0"/>
                  </w:tcBorders>
                  <w:vAlign w:val="center"/>
                </w:tcPr>
                <w:p w14:paraId="26C6A788">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74" w:type="pct"/>
                  <w:tcBorders>
                    <w:top w:val="single" w:color="auto" w:sz="4" w:space="0"/>
                    <w:left w:val="single" w:color="auto" w:sz="4" w:space="0"/>
                    <w:bottom w:val="single" w:color="auto" w:sz="4" w:space="0"/>
                    <w:right w:val="single" w:color="auto" w:sz="4" w:space="0"/>
                  </w:tcBorders>
                  <w:vAlign w:val="center"/>
                </w:tcPr>
                <w:p w14:paraId="769803CF">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0.6L</w:t>
                  </w:r>
                </w:p>
              </w:tc>
              <w:tc>
                <w:tcPr>
                  <w:tcW w:w="919" w:type="pct"/>
                  <w:tcBorders>
                    <w:top w:val="single" w:color="auto" w:sz="4" w:space="0"/>
                    <w:left w:val="single" w:color="auto" w:sz="4" w:space="0"/>
                    <w:bottom w:val="single" w:color="auto" w:sz="4" w:space="0"/>
                    <w:right w:val="single" w:color="auto" w:sz="4" w:space="0"/>
                  </w:tcBorders>
                  <w:vAlign w:val="center"/>
                </w:tcPr>
                <w:p w14:paraId="5D462F7B">
                  <w:pPr>
                    <w:jc w:val="center"/>
                    <w:rPr>
                      <w:rFonts w:ascii="Times New Roman" w:hAnsi="Times New Roman" w:eastAsia="宋体" w:cs="Times New Roman"/>
                      <w:color w:val="auto"/>
                      <w:sz w:val="21"/>
                      <w:szCs w:val="21"/>
                      <w:lang w:val="en-US" w:eastAsia="zh-CN" w:bidi="ar-SA"/>
                    </w:rPr>
                  </w:pPr>
                  <w:r>
                    <w:rPr>
                      <w:color w:val="auto"/>
                      <w:sz w:val="21"/>
                      <w:szCs w:val="21"/>
                    </w:rPr>
                    <w:t>0.1</w:t>
                  </w:r>
                </w:p>
              </w:tc>
              <w:tc>
                <w:tcPr>
                  <w:tcW w:w="635" w:type="pct"/>
                  <w:tcBorders>
                    <w:top w:val="single" w:color="auto" w:sz="4" w:space="0"/>
                    <w:left w:val="single" w:color="auto" w:sz="4" w:space="0"/>
                    <w:bottom w:val="single" w:color="auto" w:sz="4" w:space="0"/>
                    <w:right w:val="single" w:color="auto" w:sz="4" w:space="0"/>
                  </w:tcBorders>
                  <w:vAlign w:val="center"/>
                </w:tcPr>
                <w:p w14:paraId="53F1E731">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01542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52E94B11">
                  <w:pPr>
                    <w:jc w:val="center"/>
                    <w:rPr>
                      <w:rFonts w:hint="eastAsia" w:ascii="Times New Roman" w:hAnsi="Times New Roman" w:eastAsia="宋体" w:cs="Times New Roman"/>
                      <w:color w:val="auto"/>
                      <w:sz w:val="21"/>
                      <w:szCs w:val="21"/>
                      <w:lang w:val="en-US" w:eastAsia="zh-CN" w:bidi="ar-SA"/>
                    </w:rPr>
                  </w:pPr>
                  <w:r>
                    <w:rPr>
                      <w:color w:val="auto"/>
                      <w:sz w:val="21"/>
                      <w:szCs w:val="21"/>
                    </w:rPr>
                    <w:t>银</w:t>
                  </w:r>
                  <w:r>
                    <w:rPr>
                      <w:rFonts w:hint="eastAsia"/>
                      <w:color w:val="auto"/>
                      <w:sz w:val="21"/>
                      <w:szCs w:val="21"/>
                      <w:lang w:eastAsia="zh-CN"/>
                    </w:rPr>
                    <w:t>（</w:t>
                  </w:r>
                  <w:r>
                    <w:rPr>
                      <w:rFonts w:hint="eastAsia"/>
                      <w:color w:val="auto"/>
                      <w:sz w:val="21"/>
                      <w:szCs w:val="21"/>
                      <w:lang w:val="en-US" w:eastAsia="zh-CN"/>
                    </w:rPr>
                    <w:t>mg/L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36BA643F">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0.10</w:t>
                  </w:r>
                </w:p>
              </w:tc>
              <w:tc>
                <w:tcPr>
                  <w:tcW w:w="775" w:type="pct"/>
                  <w:tcBorders>
                    <w:top w:val="single" w:color="auto" w:sz="4" w:space="0"/>
                    <w:left w:val="single" w:color="auto" w:sz="4" w:space="0"/>
                    <w:bottom w:val="single" w:color="auto" w:sz="4" w:space="0"/>
                    <w:right w:val="single" w:color="auto" w:sz="4" w:space="0"/>
                  </w:tcBorders>
                  <w:vAlign w:val="center"/>
                </w:tcPr>
                <w:p w14:paraId="68A2133D">
                  <w:pPr>
                    <w:jc w:val="center"/>
                    <w:rPr>
                      <w:rFonts w:ascii="Times New Roman" w:hAnsi="Times New Roman" w:eastAsia="宋体" w:cs="Times New Roman"/>
                      <w:color w:val="auto"/>
                      <w:sz w:val="21"/>
                      <w:szCs w:val="21"/>
                      <w:lang w:val="en-US" w:eastAsia="zh-CN" w:bidi="ar-SA"/>
                    </w:rPr>
                  </w:pPr>
                  <w:r>
                    <w:rPr>
                      <w:color w:val="auto"/>
                      <w:sz w:val="21"/>
                      <w:szCs w:val="21"/>
                    </w:rPr>
                    <w:t>5</w:t>
                  </w:r>
                </w:p>
              </w:tc>
              <w:tc>
                <w:tcPr>
                  <w:tcW w:w="648" w:type="pct"/>
                  <w:tcBorders>
                    <w:top w:val="single" w:color="auto" w:sz="4" w:space="0"/>
                    <w:left w:val="single" w:color="auto" w:sz="4" w:space="0"/>
                    <w:bottom w:val="single" w:color="auto" w:sz="4" w:space="0"/>
                    <w:right w:val="single" w:color="auto" w:sz="4" w:space="0"/>
                  </w:tcBorders>
                  <w:vAlign w:val="center"/>
                </w:tcPr>
                <w:p w14:paraId="3620B481">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74" w:type="pct"/>
                  <w:tcBorders>
                    <w:top w:val="single" w:color="auto" w:sz="4" w:space="0"/>
                    <w:left w:val="single" w:color="auto" w:sz="4" w:space="0"/>
                    <w:bottom w:val="single" w:color="auto" w:sz="4" w:space="0"/>
                    <w:right w:val="single" w:color="auto" w:sz="4" w:space="0"/>
                  </w:tcBorders>
                  <w:vAlign w:val="center"/>
                </w:tcPr>
                <w:p w14:paraId="7DE097FD">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0.04</w:t>
                  </w:r>
                </w:p>
              </w:tc>
              <w:tc>
                <w:tcPr>
                  <w:tcW w:w="919" w:type="pct"/>
                  <w:tcBorders>
                    <w:top w:val="single" w:color="auto" w:sz="4" w:space="0"/>
                    <w:left w:val="single" w:color="auto" w:sz="4" w:space="0"/>
                    <w:bottom w:val="single" w:color="auto" w:sz="4" w:space="0"/>
                    <w:right w:val="single" w:color="auto" w:sz="4" w:space="0"/>
                  </w:tcBorders>
                  <w:vAlign w:val="center"/>
                </w:tcPr>
                <w:p w14:paraId="5AEA8FE6">
                  <w:pPr>
                    <w:jc w:val="center"/>
                    <w:rPr>
                      <w:rFonts w:ascii="Times New Roman" w:hAnsi="Times New Roman" w:eastAsia="宋体" w:cs="Times New Roman"/>
                      <w:color w:val="auto"/>
                      <w:sz w:val="21"/>
                      <w:szCs w:val="21"/>
                      <w:lang w:val="en-US" w:eastAsia="zh-CN" w:bidi="ar-SA"/>
                    </w:rPr>
                  </w:pPr>
                  <w:r>
                    <w:rPr>
                      <w:color w:val="auto"/>
                      <w:sz w:val="21"/>
                      <w:szCs w:val="21"/>
                    </w:rPr>
                    <w:t>0.5</w:t>
                  </w:r>
                </w:p>
              </w:tc>
              <w:tc>
                <w:tcPr>
                  <w:tcW w:w="635" w:type="pct"/>
                  <w:tcBorders>
                    <w:top w:val="single" w:color="auto" w:sz="4" w:space="0"/>
                    <w:left w:val="single" w:color="auto" w:sz="4" w:space="0"/>
                    <w:bottom w:val="single" w:color="auto" w:sz="4" w:space="0"/>
                    <w:right w:val="single" w:color="auto" w:sz="4" w:space="0"/>
                  </w:tcBorders>
                  <w:vAlign w:val="center"/>
                </w:tcPr>
                <w:p w14:paraId="27B9C992">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424FE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10A7A49A">
                  <w:pPr>
                    <w:jc w:val="center"/>
                    <w:rPr>
                      <w:rFonts w:ascii="Times New Roman" w:hAnsi="Times New Roman" w:eastAsia="宋体" w:cs="Times New Roman"/>
                      <w:color w:val="auto"/>
                      <w:sz w:val="21"/>
                      <w:szCs w:val="21"/>
                      <w:lang w:val="en-US" w:eastAsia="zh-CN" w:bidi="ar-SA"/>
                    </w:rPr>
                  </w:pPr>
                  <w:r>
                    <w:rPr>
                      <w:color w:val="auto"/>
                      <w:sz w:val="21"/>
                      <w:szCs w:val="21"/>
                    </w:rPr>
                    <w:t>镍</w:t>
                  </w:r>
                  <w:r>
                    <w:rPr>
                      <w:rFonts w:hint="eastAsia"/>
                      <w:color w:val="auto"/>
                      <w:sz w:val="21"/>
                      <w:szCs w:val="21"/>
                      <w:lang w:eastAsia="zh-CN"/>
                    </w:rPr>
                    <w:t>（</w:t>
                  </w:r>
                  <w:r>
                    <w:rPr>
                      <w:rFonts w:hint="eastAsia"/>
                      <w:color w:val="auto"/>
                      <w:sz w:val="21"/>
                      <w:szCs w:val="21"/>
                      <w:lang w:val="en-US" w:eastAsia="zh-CN"/>
                    </w:rPr>
                    <w:t>mg/L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267152A5">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0.03L</w:t>
                  </w:r>
                </w:p>
              </w:tc>
              <w:tc>
                <w:tcPr>
                  <w:tcW w:w="775" w:type="pct"/>
                  <w:tcBorders>
                    <w:top w:val="single" w:color="auto" w:sz="4" w:space="0"/>
                    <w:left w:val="single" w:color="auto" w:sz="4" w:space="0"/>
                    <w:bottom w:val="single" w:color="auto" w:sz="4" w:space="0"/>
                    <w:right w:val="single" w:color="auto" w:sz="4" w:space="0"/>
                  </w:tcBorders>
                  <w:vAlign w:val="center"/>
                </w:tcPr>
                <w:p w14:paraId="5BDA7DEB">
                  <w:pPr>
                    <w:jc w:val="center"/>
                    <w:rPr>
                      <w:rFonts w:ascii="Times New Roman" w:hAnsi="Times New Roman" w:eastAsia="宋体" w:cs="Times New Roman"/>
                      <w:color w:val="auto"/>
                      <w:sz w:val="21"/>
                      <w:szCs w:val="21"/>
                      <w:lang w:val="en-US" w:eastAsia="zh-CN" w:bidi="ar-SA"/>
                    </w:rPr>
                  </w:pPr>
                  <w:r>
                    <w:rPr>
                      <w:color w:val="auto"/>
                      <w:sz w:val="21"/>
                      <w:szCs w:val="21"/>
                    </w:rPr>
                    <w:t>5</w:t>
                  </w:r>
                </w:p>
              </w:tc>
              <w:tc>
                <w:tcPr>
                  <w:tcW w:w="648" w:type="pct"/>
                  <w:tcBorders>
                    <w:top w:val="single" w:color="auto" w:sz="4" w:space="0"/>
                    <w:left w:val="single" w:color="auto" w:sz="4" w:space="0"/>
                    <w:bottom w:val="single" w:color="auto" w:sz="4" w:space="0"/>
                    <w:right w:val="single" w:color="auto" w:sz="4" w:space="0"/>
                  </w:tcBorders>
                  <w:vAlign w:val="center"/>
                </w:tcPr>
                <w:p w14:paraId="09D9324D">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74" w:type="pct"/>
                  <w:tcBorders>
                    <w:top w:val="single" w:color="auto" w:sz="4" w:space="0"/>
                    <w:left w:val="single" w:color="auto" w:sz="4" w:space="0"/>
                    <w:bottom w:val="single" w:color="auto" w:sz="4" w:space="0"/>
                    <w:right w:val="single" w:color="auto" w:sz="4" w:space="0"/>
                  </w:tcBorders>
                  <w:vAlign w:val="center"/>
                </w:tcPr>
                <w:p w14:paraId="39B6619C">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0.03L</w:t>
                  </w:r>
                </w:p>
              </w:tc>
              <w:tc>
                <w:tcPr>
                  <w:tcW w:w="919" w:type="pct"/>
                  <w:tcBorders>
                    <w:top w:val="single" w:color="auto" w:sz="4" w:space="0"/>
                    <w:left w:val="single" w:color="auto" w:sz="4" w:space="0"/>
                    <w:bottom w:val="single" w:color="auto" w:sz="4" w:space="0"/>
                    <w:right w:val="single" w:color="auto" w:sz="4" w:space="0"/>
                  </w:tcBorders>
                  <w:vAlign w:val="center"/>
                </w:tcPr>
                <w:p w14:paraId="77F0AD5A">
                  <w:pPr>
                    <w:jc w:val="center"/>
                    <w:rPr>
                      <w:rFonts w:ascii="Times New Roman" w:hAnsi="Times New Roman" w:eastAsia="宋体" w:cs="Times New Roman"/>
                      <w:color w:val="auto"/>
                      <w:sz w:val="21"/>
                      <w:szCs w:val="21"/>
                      <w:lang w:val="en-US" w:eastAsia="zh-CN" w:bidi="ar-SA"/>
                    </w:rPr>
                  </w:pPr>
                  <w:r>
                    <w:rPr>
                      <w:color w:val="auto"/>
                      <w:sz w:val="21"/>
                      <w:szCs w:val="21"/>
                    </w:rPr>
                    <w:t>1.0</w:t>
                  </w:r>
                </w:p>
              </w:tc>
              <w:tc>
                <w:tcPr>
                  <w:tcW w:w="635" w:type="pct"/>
                  <w:tcBorders>
                    <w:top w:val="single" w:color="auto" w:sz="4" w:space="0"/>
                    <w:left w:val="single" w:color="auto" w:sz="4" w:space="0"/>
                    <w:bottom w:val="single" w:color="auto" w:sz="4" w:space="0"/>
                    <w:right w:val="single" w:color="auto" w:sz="4" w:space="0"/>
                  </w:tcBorders>
                  <w:vAlign w:val="center"/>
                </w:tcPr>
                <w:p w14:paraId="7A42509B">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46A6D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0399BA1A">
                  <w:pPr>
                    <w:jc w:val="center"/>
                    <w:rPr>
                      <w:color w:val="auto"/>
                      <w:sz w:val="21"/>
                      <w:szCs w:val="21"/>
                    </w:rPr>
                  </w:pPr>
                  <w:r>
                    <w:rPr>
                      <w:color w:val="auto"/>
                      <w:sz w:val="21"/>
                      <w:szCs w:val="21"/>
                    </w:rPr>
                    <w:t>铜</w:t>
                  </w:r>
                  <w:r>
                    <w:rPr>
                      <w:rFonts w:hint="eastAsia"/>
                      <w:color w:val="auto"/>
                      <w:sz w:val="21"/>
                      <w:szCs w:val="21"/>
                      <w:lang w:eastAsia="zh-CN"/>
                    </w:rPr>
                    <w:t>（</w:t>
                  </w:r>
                  <w:r>
                    <w:rPr>
                      <w:rFonts w:hint="eastAsia"/>
                      <w:color w:val="auto"/>
                      <w:sz w:val="21"/>
                      <w:szCs w:val="21"/>
                      <w:lang w:val="en-US" w:eastAsia="zh-CN"/>
                    </w:rPr>
                    <w:t>mg/L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168EA5B3">
                  <w:pPr>
                    <w:jc w:val="center"/>
                    <w:rPr>
                      <w:rFonts w:hint="default" w:eastAsia="宋体"/>
                      <w:color w:val="auto"/>
                      <w:sz w:val="21"/>
                      <w:szCs w:val="21"/>
                      <w:lang w:val="en-US" w:eastAsia="zh-CN"/>
                    </w:rPr>
                  </w:pPr>
                  <w:r>
                    <w:rPr>
                      <w:rFonts w:hint="eastAsia"/>
                      <w:color w:val="auto"/>
                      <w:sz w:val="21"/>
                      <w:szCs w:val="21"/>
                      <w:lang w:val="en-US" w:eastAsia="zh-CN"/>
                    </w:rPr>
                    <w:t>0.02L</w:t>
                  </w:r>
                </w:p>
              </w:tc>
              <w:tc>
                <w:tcPr>
                  <w:tcW w:w="775" w:type="pct"/>
                  <w:tcBorders>
                    <w:top w:val="single" w:color="auto" w:sz="4" w:space="0"/>
                    <w:left w:val="single" w:color="auto" w:sz="4" w:space="0"/>
                    <w:bottom w:val="single" w:color="auto" w:sz="4" w:space="0"/>
                    <w:right w:val="single" w:color="auto" w:sz="4" w:space="0"/>
                  </w:tcBorders>
                  <w:vAlign w:val="center"/>
                </w:tcPr>
                <w:p w14:paraId="750B6CF8">
                  <w:pPr>
                    <w:jc w:val="center"/>
                    <w:rPr>
                      <w:color w:val="auto"/>
                      <w:sz w:val="21"/>
                      <w:szCs w:val="21"/>
                    </w:rPr>
                  </w:pPr>
                  <w:r>
                    <w:rPr>
                      <w:color w:val="auto"/>
                      <w:sz w:val="21"/>
                      <w:szCs w:val="21"/>
                    </w:rPr>
                    <w:t>100</w:t>
                  </w:r>
                </w:p>
              </w:tc>
              <w:tc>
                <w:tcPr>
                  <w:tcW w:w="648" w:type="pct"/>
                  <w:tcBorders>
                    <w:top w:val="single" w:color="auto" w:sz="4" w:space="0"/>
                    <w:left w:val="single" w:color="auto" w:sz="4" w:space="0"/>
                    <w:bottom w:val="single" w:color="auto" w:sz="4" w:space="0"/>
                    <w:right w:val="single" w:color="auto" w:sz="4" w:space="0"/>
                  </w:tcBorders>
                  <w:vAlign w:val="center"/>
                </w:tcPr>
                <w:p w14:paraId="08E237E2">
                  <w:pPr>
                    <w:jc w:val="center"/>
                    <w:rPr>
                      <w:color w:val="auto"/>
                      <w:sz w:val="21"/>
                      <w:szCs w:val="21"/>
                    </w:rPr>
                  </w:pPr>
                  <w:r>
                    <w:rPr>
                      <w:color w:val="auto"/>
                      <w:sz w:val="21"/>
                      <w:szCs w:val="21"/>
                    </w:rPr>
                    <w:t>达标</w:t>
                  </w:r>
                </w:p>
              </w:tc>
              <w:tc>
                <w:tcPr>
                  <w:tcW w:w="574" w:type="pct"/>
                  <w:tcBorders>
                    <w:top w:val="single" w:color="auto" w:sz="4" w:space="0"/>
                    <w:left w:val="single" w:color="auto" w:sz="4" w:space="0"/>
                    <w:bottom w:val="single" w:color="auto" w:sz="4" w:space="0"/>
                    <w:right w:val="single" w:color="auto" w:sz="4" w:space="0"/>
                  </w:tcBorders>
                  <w:vAlign w:val="center"/>
                </w:tcPr>
                <w:p w14:paraId="7B6285A8">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0.02L</w:t>
                  </w:r>
                </w:p>
              </w:tc>
              <w:tc>
                <w:tcPr>
                  <w:tcW w:w="919" w:type="pct"/>
                  <w:tcBorders>
                    <w:top w:val="single" w:color="auto" w:sz="4" w:space="0"/>
                    <w:left w:val="single" w:color="auto" w:sz="4" w:space="0"/>
                    <w:bottom w:val="single" w:color="auto" w:sz="4" w:space="0"/>
                    <w:right w:val="single" w:color="auto" w:sz="4" w:space="0"/>
                  </w:tcBorders>
                  <w:vAlign w:val="center"/>
                </w:tcPr>
                <w:p w14:paraId="3897220D">
                  <w:pPr>
                    <w:jc w:val="center"/>
                    <w:rPr>
                      <w:rFonts w:ascii="Times New Roman" w:hAnsi="Times New Roman" w:eastAsia="宋体" w:cs="Times New Roman"/>
                      <w:color w:val="auto"/>
                      <w:sz w:val="21"/>
                      <w:szCs w:val="21"/>
                      <w:lang w:val="en-US" w:eastAsia="zh-CN" w:bidi="ar-SA"/>
                    </w:rPr>
                  </w:pPr>
                  <w:r>
                    <w:rPr>
                      <w:color w:val="auto"/>
                      <w:sz w:val="21"/>
                      <w:szCs w:val="21"/>
                    </w:rPr>
                    <w:t>0.5</w:t>
                  </w:r>
                </w:p>
              </w:tc>
              <w:tc>
                <w:tcPr>
                  <w:tcW w:w="635" w:type="pct"/>
                  <w:tcBorders>
                    <w:top w:val="single" w:color="auto" w:sz="4" w:space="0"/>
                    <w:left w:val="single" w:color="auto" w:sz="4" w:space="0"/>
                    <w:bottom w:val="single" w:color="auto" w:sz="4" w:space="0"/>
                    <w:right w:val="single" w:color="auto" w:sz="4" w:space="0"/>
                  </w:tcBorders>
                  <w:vAlign w:val="center"/>
                </w:tcPr>
                <w:p w14:paraId="5EC59476">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42C59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7EFE2E68">
                  <w:pPr>
                    <w:jc w:val="center"/>
                    <w:rPr>
                      <w:rFonts w:ascii="Times New Roman" w:hAnsi="Times New Roman" w:eastAsia="宋体" w:cs="Times New Roman"/>
                      <w:color w:val="auto"/>
                      <w:sz w:val="21"/>
                      <w:szCs w:val="21"/>
                      <w:lang w:val="en-US" w:eastAsia="zh-CN" w:bidi="ar-SA"/>
                    </w:rPr>
                  </w:pPr>
                  <w:r>
                    <w:rPr>
                      <w:color w:val="auto"/>
                      <w:sz w:val="21"/>
                      <w:szCs w:val="21"/>
                    </w:rPr>
                    <w:t>铍</w:t>
                  </w:r>
                  <w:r>
                    <w:rPr>
                      <w:rFonts w:hint="eastAsia"/>
                      <w:color w:val="auto"/>
                      <w:sz w:val="21"/>
                      <w:szCs w:val="21"/>
                      <w:lang w:eastAsia="zh-CN"/>
                    </w:rPr>
                    <w:t>（</w:t>
                  </w:r>
                  <w:r>
                    <w:rPr>
                      <w:rFonts w:hint="default" w:ascii="Times New Roman" w:hAnsi="Times New Roman" w:cs="Times New Roman"/>
                      <w:color w:val="auto"/>
                      <w:sz w:val="21"/>
                      <w:szCs w:val="21"/>
                      <w:lang w:eastAsia="zh-CN"/>
                    </w:rPr>
                    <w:t>μ</w:t>
                  </w:r>
                  <w:r>
                    <w:rPr>
                      <w:rFonts w:hint="eastAsia"/>
                      <w:color w:val="auto"/>
                      <w:sz w:val="21"/>
                      <w:szCs w:val="21"/>
                      <w:lang w:val="en-US" w:eastAsia="zh-CN"/>
                    </w:rPr>
                    <w:t>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3272AF57">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0.1L</w:t>
                  </w:r>
                </w:p>
              </w:tc>
              <w:tc>
                <w:tcPr>
                  <w:tcW w:w="775" w:type="pct"/>
                  <w:tcBorders>
                    <w:top w:val="single" w:color="auto" w:sz="4" w:space="0"/>
                    <w:left w:val="single" w:color="auto" w:sz="4" w:space="0"/>
                    <w:bottom w:val="single" w:color="auto" w:sz="4" w:space="0"/>
                    <w:right w:val="single" w:color="auto" w:sz="4" w:space="0"/>
                  </w:tcBorders>
                  <w:vAlign w:val="center"/>
                </w:tcPr>
                <w:p w14:paraId="4672D24C">
                  <w:pPr>
                    <w:jc w:val="center"/>
                    <w:rPr>
                      <w:rFonts w:ascii="Times New Roman" w:hAnsi="Times New Roman" w:eastAsia="宋体" w:cs="Times New Roman"/>
                      <w:color w:val="auto"/>
                      <w:sz w:val="21"/>
                      <w:szCs w:val="21"/>
                      <w:lang w:val="en-US" w:eastAsia="zh-CN" w:bidi="ar-SA"/>
                    </w:rPr>
                  </w:pPr>
                  <w:r>
                    <w:rPr>
                      <w:color w:val="auto"/>
                      <w:sz w:val="21"/>
                      <w:szCs w:val="21"/>
                    </w:rPr>
                    <w:t>0.02</w:t>
                  </w:r>
                </w:p>
              </w:tc>
              <w:tc>
                <w:tcPr>
                  <w:tcW w:w="648" w:type="pct"/>
                  <w:tcBorders>
                    <w:top w:val="single" w:color="auto" w:sz="4" w:space="0"/>
                    <w:left w:val="single" w:color="auto" w:sz="4" w:space="0"/>
                    <w:bottom w:val="single" w:color="auto" w:sz="4" w:space="0"/>
                    <w:right w:val="single" w:color="auto" w:sz="4" w:space="0"/>
                  </w:tcBorders>
                  <w:vAlign w:val="center"/>
                </w:tcPr>
                <w:p w14:paraId="5E8F7033">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74" w:type="pct"/>
                  <w:tcBorders>
                    <w:top w:val="single" w:color="auto" w:sz="4" w:space="0"/>
                    <w:left w:val="single" w:color="auto" w:sz="4" w:space="0"/>
                    <w:bottom w:val="single" w:color="auto" w:sz="4" w:space="0"/>
                    <w:right w:val="single" w:color="auto" w:sz="4" w:space="0"/>
                  </w:tcBorders>
                  <w:vAlign w:val="center"/>
                </w:tcPr>
                <w:p w14:paraId="7D23D0AF">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0.1L</w:t>
                  </w:r>
                </w:p>
              </w:tc>
              <w:tc>
                <w:tcPr>
                  <w:tcW w:w="919" w:type="pct"/>
                  <w:tcBorders>
                    <w:top w:val="single" w:color="auto" w:sz="4" w:space="0"/>
                    <w:left w:val="single" w:color="auto" w:sz="4" w:space="0"/>
                    <w:bottom w:val="single" w:color="auto" w:sz="4" w:space="0"/>
                    <w:right w:val="single" w:color="auto" w:sz="4" w:space="0"/>
                  </w:tcBorders>
                  <w:vAlign w:val="center"/>
                </w:tcPr>
                <w:p w14:paraId="305B742D">
                  <w:pPr>
                    <w:jc w:val="center"/>
                    <w:rPr>
                      <w:rFonts w:ascii="Times New Roman" w:hAnsi="Times New Roman" w:eastAsia="宋体" w:cs="Times New Roman"/>
                      <w:color w:val="auto"/>
                      <w:sz w:val="21"/>
                      <w:szCs w:val="21"/>
                      <w:lang w:val="en-US" w:eastAsia="zh-CN" w:bidi="ar-SA"/>
                    </w:rPr>
                  </w:pPr>
                  <w:r>
                    <w:rPr>
                      <w:color w:val="auto"/>
                      <w:sz w:val="21"/>
                      <w:szCs w:val="21"/>
                    </w:rPr>
                    <w:t>0.005</w:t>
                  </w:r>
                </w:p>
              </w:tc>
              <w:tc>
                <w:tcPr>
                  <w:tcW w:w="635" w:type="pct"/>
                  <w:tcBorders>
                    <w:top w:val="single" w:color="auto" w:sz="4" w:space="0"/>
                    <w:left w:val="single" w:color="auto" w:sz="4" w:space="0"/>
                    <w:bottom w:val="single" w:color="auto" w:sz="4" w:space="0"/>
                    <w:right w:val="single" w:color="auto" w:sz="4" w:space="0"/>
                  </w:tcBorders>
                  <w:vAlign w:val="center"/>
                </w:tcPr>
                <w:p w14:paraId="555FC3AB">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6A97A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34992058">
                  <w:pPr>
                    <w:jc w:val="center"/>
                    <w:rPr>
                      <w:rFonts w:hint="eastAsia" w:eastAsia="宋体"/>
                      <w:color w:val="auto"/>
                      <w:sz w:val="21"/>
                      <w:szCs w:val="21"/>
                      <w:lang w:val="en-US" w:eastAsia="zh-CN"/>
                    </w:rPr>
                  </w:pPr>
                  <w:r>
                    <w:rPr>
                      <w:rFonts w:hint="eastAsia"/>
                      <w:color w:val="auto"/>
                      <w:sz w:val="21"/>
                      <w:szCs w:val="21"/>
                      <w:lang w:val="en-US" w:eastAsia="zh-CN"/>
                    </w:rPr>
                    <w:t>铅</w:t>
                  </w:r>
                  <w:r>
                    <w:rPr>
                      <w:rFonts w:hint="eastAsia"/>
                      <w:color w:val="auto"/>
                      <w:sz w:val="21"/>
                      <w:szCs w:val="21"/>
                      <w:lang w:eastAsia="zh-CN"/>
                    </w:rPr>
                    <w:t>（</w:t>
                  </w:r>
                  <w:r>
                    <w:rPr>
                      <w:rFonts w:hint="default" w:ascii="Times New Roman" w:hAnsi="Times New Roman" w:cs="Times New Roman"/>
                      <w:color w:val="auto"/>
                      <w:sz w:val="21"/>
                      <w:szCs w:val="21"/>
                      <w:lang w:eastAsia="zh-CN"/>
                    </w:rPr>
                    <w:t>μ</w:t>
                  </w:r>
                  <w:r>
                    <w:rPr>
                      <w:rFonts w:hint="eastAsia"/>
                      <w:color w:val="auto"/>
                      <w:sz w:val="21"/>
                      <w:szCs w:val="21"/>
                      <w:lang w:val="en-US" w:eastAsia="zh-CN"/>
                    </w:rPr>
                    <w:t>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0ABF2B59">
                  <w:pPr>
                    <w:jc w:val="center"/>
                    <w:rPr>
                      <w:rFonts w:hint="default" w:cs="Times New Roman"/>
                      <w:color w:val="auto"/>
                      <w:sz w:val="21"/>
                      <w:szCs w:val="21"/>
                      <w:lang w:val="en-US" w:eastAsia="zh-CN" w:bidi="ar-SA"/>
                    </w:rPr>
                  </w:pPr>
                  <w:r>
                    <w:rPr>
                      <w:rFonts w:hint="eastAsia" w:cs="Times New Roman"/>
                      <w:color w:val="auto"/>
                      <w:sz w:val="21"/>
                      <w:szCs w:val="21"/>
                      <w:lang w:val="en-US" w:eastAsia="zh-CN" w:bidi="ar-SA"/>
                    </w:rPr>
                    <w:t>4.0</w:t>
                  </w:r>
                </w:p>
              </w:tc>
              <w:tc>
                <w:tcPr>
                  <w:tcW w:w="775" w:type="pct"/>
                  <w:tcBorders>
                    <w:top w:val="single" w:color="auto" w:sz="4" w:space="0"/>
                    <w:left w:val="single" w:color="auto" w:sz="4" w:space="0"/>
                    <w:bottom w:val="single" w:color="auto" w:sz="4" w:space="0"/>
                    <w:right w:val="single" w:color="auto" w:sz="4" w:space="0"/>
                  </w:tcBorders>
                  <w:vAlign w:val="center"/>
                </w:tcPr>
                <w:p w14:paraId="5CF3A2BB">
                  <w:pPr>
                    <w:jc w:val="center"/>
                    <w:rPr>
                      <w:rFonts w:ascii="Times New Roman" w:hAnsi="Times New Roman" w:eastAsia="宋体" w:cs="Times New Roman"/>
                      <w:color w:val="auto"/>
                      <w:sz w:val="21"/>
                      <w:szCs w:val="21"/>
                      <w:lang w:val="en-US" w:eastAsia="zh-CN" w:bidi="ar-SA"/>
                    </w:rPr>
                  </w:pPr>
                  <w:r>
                    <w:rPr>
                      <w:color w:val="auto"/>
                      <w:sz w:val="21"/>
                      <w:szCs w:val="21"/>
                    </w:rPr>
                    <w:t>5</w:t>
                  </w:r>
                </w:p>
              </w:tc>
              <w:tc>
                <w:tcPr>
                  <w:tcW w:w="648" w:type="pct"/>
                  <w:tcBorders>
                    <w:top w:val="single" w:color="auto" w:sz="4" w:space="0"/>
                    <w:left w:val="single" w:color="auto" w:sz="4" w:space="0"/>
                    <w:bottom w:val="single" w:color="auto" w:sz="4" w:space="0"/>
                    <w:right w:val="single" w:color="auto" w:sz="4" w:space="0"/>
                  </w:tcBorders>
                  <w:vAlign w:val="center"/>
                </w:tcPr>
                <w:p w14:paraId="4E2ECD7B">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74" w:type="pct"/>
                  <w:tcBorders>
                    <w:top w:val="single" w:color="auto" w:sz="4" w:space="0"/>
                    <w:left w:val="single" w:color="auto" w:sz="4" w:space="0"/>
                    <w:bottom w:val="single" w:color="auto" w:sz="4" w:space="0"/>
                    <w:right w:val="single" w:color="auto" w:sz="4" w:space="0"/>
                  </w:tcBorders>
                  <w:vAlign w:val="center"/>
                </w:tcPr>
                <w:p w14:paraId="52D62879">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0.9L</w:t>
                  </w:r>
                </w:p>
              </w:tc>
              <w:tc>
                <w:tcPr>
                  <w:tcW w:w="919" w:type="pct"/>
                  <w:tcBorders>
                    <w:top w:val="single" w:color="auto" w:sz="4" w:space="0"/>
                    <w:left w:val="single" w:color="auto" w:sz="4" w:space="0"/>
                    <w:bottom w:val="single" w:color="auto" w:sz="4" w:space="0"/>
                    <w:right w:val="single" w:color="auto" w:sz="4" w:space="0"/>
                  </w:tcBorders>
                  <w:vAlign w:val="center"/>
                </w:tcPr>
                <w:p w14:paraId="44A4B735">
                  <w:pPr>
                    <w:jc w:val="center"/>
                    <w:rPr>
                      <w:rFonts w:ascii="Times New Roman" w:hAnsi="Times New Roman" w:eastAsia="宋体" w:cs="Times New Roman"/>
                      <w:color w:val="auto"/>
                      <w:sz w:val="21"/>
                      <w:szCs w:val="21"/>
                      <w:lang w:val="en-US" w:eastAsia="zh-CN" w:bidi="ar-SA"/>
                    </w:rPr>
                  </w:pPr>
                  <w:r>
                    <w:rPr>
                      <w:color w:val="auto"/>
                      <w:sz w:val="21"/>
                      <w:szCs w:val="21"/>
                    </w:rPr>
                    <w:t>1.0</w:t>
                  </w:r>
                </w:p>
              </w:tc>
              <w:tc>
                <w:tcPr>
                  <w:tcW w:w="635" w:type="pct"/>
                  <w:tcBorders>
                    <w:top w:val="single" w:color="auto" w:sz="4" w:space="0"/>
                    <w:left w:val="single" w:color="auto" w:sz="4" w:space="0"/>
                    <w:bottom w:val="single" w:color="auto" w:sz="4" w:space="0"/>
                    <w:right w:val="single" w:color="auto" w:sz="4" w:space="0"/>
                  </w:tcBorders>
                  <w:vAlign w:val="center"/>
                </w:tcPr>
                <w:p w14:paraId="5310A2B0">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615DE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48E96EB1">
                  <w:pPr>
                    <w:jc w:val="center"/>
                    <w:rPr>
                      <w:rFonts w:ascii="Times New Roman" w:hAnsi="Times New Roman" w:eastAsia="宋体" w:cs="Times New Roman"/>
                      <w:color w:val="auto"/>
                      <w:sz w:val="21"/>
                      <w:szCs w:val="21"/>
                      <w:lang w:val="en-US" w:eastAsia="zh-CN" w:bidi="ar-SA"/>
                    </w:rPr>
                  </w:pPr>
                  <w:r>
                    <w:rPr>
                      <w:color w:val="auto"/>
                      <w:sz w:val="21"/>
                      <w:szCs w:val="21"/>
                    </w:rPr>
                    <w:t>总铬</w:t>
                  </w:r>
                  <w:r>
                    <w:rPr>
                      <w:rFonts w:hint="eastAsia"/>
                      <w:color w:val="auto"/>
                      <w:sz w:val="21"/>
                      <w:szCs w:val="21"/>
                      <w:lang w:eastAsia="zh-CN"/>
                    </w:rPr>
                    <w:t>（</w:t>
                  </w:r>
                  <w:r>
                    <w:rPr>
                      <w:rFonts w:hint="eastAsia"/>
                      <w:color w:val="auto"/>
                      <w:sz w:val="21"/>
                      <w:szCs w:val="21"/>
                      <w:lang w:val="en-US" w:eastAsia="zh-CN"/>
                    </w:rPr>
                    <w:t>mg/L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7B1A7304">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0.03L</w:t>
                  </w:r>
                </w:p>
              </w:tc>
              <w:tc>
                <w:tcPr>
                  <w:tcW w:w="775" w:type="pct"/>
                  <w:tcBorders>
                    <w:top w:val="single" w:color="auto" w:sz="4" w:space="0"/>
                    <w:left w:val="single" w:color="auto" w:sz="4" w:space="0"/>
                    <w:bottom w:val="single" w:color="auto" w:sz="4" w:space="0"/>
                    <w:right w:val="single" w:color="auto" w:sz="4" w:space="0"/>
                  </w:tcBorders>
                  <w:vAlign w:val="center"/>
                </w:tcPr>
                <w:p w14:paraId="65831F7A">
                  <w:pPr>
                    <w:jc w:val="center"/>
                    <w:rPr>
                      <w:rFonts w:ascii="Times New Roman" w:hAnsi="Times New Roman" w:eastAsia="宋体" w:cs="Times New Roman"/>
                      <w:color w:val="auto"/>
                      <w:sz w:val="21"/>
                      <w:szCs w:val="21"/>
                      <w:lang w:val="en-US" w:eastAsia="zh-CN" w:bidi="ar-SA"/>
                    </w:rPr>
                  </w:pPr>
                  <w:r>
                    <w:rPr>
                      <w:color w:val="auto"/>
                      <w:sz w:val="21"/>
                      <w:szCs w:val="21"/>
                    </w:rPr>
                    <w:t>15</w:t>
                  </w:r>
                </w:p>
              </w:tc>
              <w:tc>
                <w:tcPr>
                  <w:tcW w:w="648" w:type="pct"/>
                  <w:tcBorders>
                    <w:top w:val="single" w:color="auto" w:sz="4" w:space="0"/>
                    <w:left w:val="single" w:color="auto" w:sz="4" w:space="0"/>
                    <w:bottom w:val="single" w:color="auto" w:sz="4" w:space="0"/>
                    <w:right w:val="single" w:color="auto" w:sz="4" w:space="0"/>
                  </w:tcBorders>
                  <w:vAlign w:val="center"/>
                </w:tcPr>
                <w:p w14:paraId="72AE3944">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74" w:type="pct"/>
                  <w:tcBorders>
                    <w:top w:val="single" w:color="auto" w:sz="4" w:space="0"/>
                    <w:left w:val="single" w:color="auto" w:sz="4" w:space="0"/>
                    <w:bottom w:val="single" w:color="auto" w:sz="4" w:space="0"/>
                    <w:right w:val="single" w:color="auto" w:sz="4" w:space="0"/>
                  </w:tcBorders>
                  <w:vAlign w:val="center"/>
                </w:tcPr>
                <w:p w14:paraId="39718234">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0.03L</w:t>
                  </w:r>
                </w:p>
              </w:tc>
              <w:tc>
                <w:tcPr>
                  <w:tcW w:w="919" w:type="pct"/>
                  <w:tcBorders>
                    <w:top w:val="single" w:color="auto" w:sz="4" w:space="0"/>
                    <w:left w:val="single" w:color="auto" w:sz="4" w:space="0"/>
                    <w:bottom w:val="single" w:color="auto" w:sz="4" w:space="0"/>
                    <w:right w:val="single" w:color="auto" w:sz="4" w:space="0"/>
                  </w:tcBorders>
                  <w:vAlign w:val="center"/>
                </w:tcPr>
                <w:p w14:paraId="3457EE84">
                  <w:pPr>
                    <w:jc w:val="center"/>
                    <w:rPr>
                      <w:rFonts w:ascii="Times New Roman" w:hAnsi="Times New Roman" w:eastAsia="宋体" w:cs="Times New Roman"/>
                      <w:color w:val="auto"/>
                      <w:sz w:val="21"/>
                      <w:szCs w:val="21"/>
                      <w:lang w:val="en-US" w:eastAsia="zh-CN" w:bidi="ar-SA"/>
                    </w:rPr>
                  </w:pPr>
                  <w:r>
                    <w:rPr>
                      <w:color w:val="auto"/>
                      <w:sz w:val="21"/>
                      <w:szCs w:val="21"/>
                    </w:rPr>
                    <w:t>1.5</w:t>
                  </w:r>
                </w:p>
              </w:tc>
              <w:tc>
                <w:tcPr>
                  <w:tcW w:w="635" w:type="pct"/>
                  <w:tcBorders>
                    <w:top w:val="single" w:color="auto" w:sz="4" w:space="0"/>
                    <w:left w:val="single" w:color="auto" w:sz="4" w:space="0"/>
                    <w:bottom w:val="single" w:color="auto" w:sz="4" w:space="0"/>
                    <w:right w:val="single" w:color="auto" w:sz="4" w:space="0"/>
                  </w:tcBorders>
                  <w:vAlign w:val="center"/>
                </w:tcPr>
                <w:p w14:paraId="4946F4E9">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5C28D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63324154">
                  <w:pPr>
                    <w:jc w:val="center"/>
                    <w:rPr>
                      <w:rFonts w:ascii="Times New Roman" w:hAnsi="Times New Roman" w:eastAsia="宋体" w:cs="Times New Roman"/>
                      <w:color w:val="auto"/>
                      <w:sz w:val="21"/>
                      <w:szCs w:val="21"/>
                      <w:lang w:val="en-US" w:eastAsia="zh-CN" w:bidi="ar-SA"/>
                    </w:rPr>
                  </w:pPr>
                  <w:r>
                    <w:rPr>
                      <w:color w:val="auto"/>
                      <w:sz w:val="21"/>
                      <w:szCs w:val="21"/>
                    </w:rPr>
                    <w:t>锌</w:t>
                  </w:r>
                  <w:r>
                    <w:rPr>
                      <w:rFonts w:hint="eastAsia"/>
                      <w:color w:val="auto"/>
                      <w:sz w:val="21"/>
                      <w:szCs w:val="21"/>
                      <w:lang w:eastAsia="zh-CN"/>
                    </w:rPr>
                    <w:t>（</w:t>
                  </w:r>
                  <w:r>
                    <w:rPr>
                      <w:rFonts w:hint="eastAsia"/>
                      <w:color w:val="auto"/>
                      <w:sz w:val="21"/>
                      <w:szCs w:val="21"/>
                      <w:lang w:val="en-US" w:eastAsia="zh-CN"/>
                    </w:rPr>
                    <w:t>mg/L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415B098B">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0.06</w:t>
                  </w:r>
                </w:p>
              </w:tc>
              <w:tc>
                <w:tcPr>
                  <w:tcW w:w="775" w:type="pct"/>
                  <w:tcBorders>
                    <w:top w:val="single" w:color="auto" w:sz="4" w:space="0"/>
                    <w:left w:val="single" w:color="auto" w:sz="4" w:space="0"/>
                    <w:bottom w:val="single" w:color="auto" w:sz="4" w:space="0"/>
                    <w:right w:val="single" w:color="auto" w:sz="4" w:space="0"/>
                  </w:tcBorders>
                  <w:vAlign w:val="center"/>
                </w:tcPr>
                <w:p w14:paraId="42D4911C">
                  <w:pPr>
                    <w:jc w:val="center"/>
                    <w:rPr>
                      <w:rFonts w:ascii="Times New Roman" w:hAnsi="Times New Roman" w:eastAsia="宋体" w:cs="Times New Roman"/>
                      <w:color w:val="auto"/>
                      <w:sz w:val="21"/>
                      <w:szCs w:val="21"/>
                      <w:lang w:val="en-US" w:eastAsia="zh-CN" w:bidi="ar-SA"/>
                    </w:rPr>
                  </w:pPr>
                  <w:r>
                    <w:rPr>
                      <w:color w:val="auto"/>
                      <w:sz w:val="21"/>
                      <w:szCs w:val="21"/>
                    </w:rPr>
                    <w:t>100</w:t>
                  </w:r>
                </w:p>
              </w:tc>
              <w:tc>
                <w:tcPr>
                  <w:tcW w:w="648" w:type="pct"/>
                  <w:tcBorders>
                    <w:top w:val="single" w:color="auto" w:sz="4" w:space="0"/>
                    <w:left w:val="single" w:color="auto" w:sz="4" w:space="0"/>
                    <w:bottom w:val="single" w:color="auto" w:sz="4" w:space="0"/>
                    <w:right w:val="single" w:color="auto" w:sz="4" w:space="0"/>
                  </w:tcBorders>
                  <w:vAlign w:val="center"/>
                </w:tcPr>
                <w:p w14:paraId="2C87F5EB">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74" w:type="pct"/>
                  <w:tcBorders>
                    <w:top w:val="single" w:color="auto" w:sz="4" w:space="0"/>
                    <w:left w:val="single" w:color="auto" w:sz="4" w:space="0"/>
                    <w:bottom w:val="single" w:color="auto" w:sz="4" w:space="0"/>
                    <w:right w:val="single" w:color="auto" w:sz="4" w:space="0"/>
                  </w:tcBorders>
                  <w:vAlign w:val="center"/>
                </w:tcPr>
                <w:p w14:paraId="78D32604">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0.06L</w:t>
                  </w:r>
                </w:p>
              </w:tc>
              <w:tc>
                <w:tcPr>
                  <w:tcW w:w="919" w:type="pct"/>
                  <w:tcBorders>
                    <w:top w:val="single" w:color="auto" w:sz="4" w:space="0"/>
                    <w:left w:val="single" w:color="auto" w:sz="4" w:space="0"/>
                    <w:bottom w:val="single" w:color="auto" w:sz="4" w:space="0"/>
                    <w:right w:val="single" w:color="auto" w:sz="4" w:space="0"/>
                  </w:tcBorders>
                  <w:vAlign w:val="center"/>
                </w:tcPr>
                <w:p w14:paraId="1FD2FB10">
                  <w:pPr>
                    <w:jc w:val="center"/>
                    <w:rPr>
                      <w:rFonts w:ascii="Times New Roman" w:hAnsi="Times New Roman" w:eastAsia="宋体" w:cs="Times New Roman"/>
                      <w:color w:val="auto"/>
                      <w:sz w:val="21"/>
                      <w:szCs w:val="21"/>
                      <w:lang w:val="en-US" w:eastAsia="zh-CN" w:bidi="ar-SA"/>
                    </w:rPr>
                  </w:pPr>
                  <w:r>
                    <w:rPr>
                      <w:color w:val="auto"/>
                      <w:sz w:val="21"/>
                      <w:szCs w:val="21"/>
                    </w:rPr>
                    <w:t>2.0</w:t>
                  </w:r>
                </w:p>
              </w:tc>
              <w:tc>
                <w:tcPr>
                  <w:tcW w:w="635" w:type="pct"/>
                  <w:tcBorders>
                    <w:top w:val="single" w:color="auto" w:sz="4" w:space="0"/>
                    <w:left w:val="single" w:color="auto" w:sz="4" w:space="0"/>
                    <w:bottom w:val="single" w:color="auto" w:sz="4" w:space="0"/>
                    <w:right w:val="single" w:color="auto" w:sz="4" w:space="0"/>
                  </w:tcBorders>
                  <w:vAlign w:val="center"/>
                </w:tcPr>
                <w:p w14:paraId="1098C950">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27552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1222C6DF">
                  <w:pPr>
                    <w:jc w:val="center"/>
                    <w:rPr>
                      <w:rFonts w:ascii="Times New Roman" w:hAnsi="Times New Roman" w:eastAsia="宋体" w:cs="Times New Roman"/>
                      <w:color w:val="auto"/>
                      <w:sz w:val="21"/>
                      <w:szCs w:val="21"/>
                      <w:lang w:val="en-US" w:eastAsia="zh-CN" w:bidi="ar-SA"/>
                    </w:rPr>
                  </w:pPr>
                  <w:r>
                    <w:rPr>
                      <w:color w:val="auto"/>
                      <w:sz w:val="21"/>
                      <w:szCs w:val="21"/>
                    </w:rPr>
                    <w:t>汞</w:t>
                  </w:r>
                  <w:r>
                    <w:rPr>
                      <w:rFonts w:hint="eastAsia"/>
                      <w:color w:val="auto"/>
                      <w:sz w:val="21"/>
                      <w:szCs w:val="21"/>
                      <w:lang w:eastAsia="zh-CN"/>
                    </w:rPr>
                    <w:t>（</w:t>
                  </w:r>
                  <w:r>
                    <w:rPr>
                      <w:rFonts w:hint="default" w:ascii="Times New Roman" w:hAnsi="Times New Roman" w:cs="Times New Roman"/>
                      <w:color w:val="auto"/>
                      <w:sz w:val="21"/>
                      <w:szCs w:val="21"/>
                      <w:lang w:eastAsia="zh-CN"/>
                    </w:rPr>
                    <w:t>μ</w:t>
                  </w:r>
                  <w:r>
                    <w:rPr>
                      <w:rFonts w:hint="eastAsia"/>
                      <w:color w:val="auto"/>
                      <w:sz w:val="21"/>
                      <w:szCs w:val="21"/>
                      <w:lang w:val="en-US" w:eastAsia="zh-CN"/>
                    </w:rPr>
                    <w:t>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23D2E5C1">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0.613</w:t>
                  </w:r>
                </w:p>
              </w:tc>
              <w:tc>
                <w:tcPr>
                  <w:tcW w:w="775" w:type="pct"/>
                  <w:tcBorders>
                    <w:top w:val="single" w:color="auto" w:sz="4" w:space="0"/>
                    <w:left w:val="single" w:color="auto" w:sz="4" w:space="0"/>
                    <w:bottom w:val="single" w:color="auto" w:sz="4" w:space="0"/>
                    <w:right w:val="single" w:color="auto" w:sz="4" w:space="0"/>
                  </w:tcBorders>
                  <w:vAlign w:val="center"/>
                </w:tcPr>
                <w:p w14:paraId="3C5E8A80">
                  <w:pPr>
                    <w:jc w:val="center"/>
                    <w:rPr>
                      <w:rFonts w:ascii="Times New Roman" w:hAnsi="Times New Roman" w:eastAsia="宋体" w:cs="Times New Roman"/>
                      <w:color w:val="auto"/>
                      <w:sz w:val="21"/>
                      <w:szCs w:val="21"/>
                      <w:lang w:val="en-US" w:eastAsia="zh-CN" w:bidi="ar-SA"/>
                    </w:rPr>
                  </w:pPr>
                  <w:r>
                    <w:rPr>
                      <w:color w:val="auto"/>
                      <w:sz w:val="21"/>
                      <w:szCs w:val="21"/>
                    </w:rPr>
                    <w:t>0.1</w:t>
                  </w:r>
                </w:p>
              </w:tc>
              <w:tc>
                <w:tcPr>
                  <w:tcW w:w="648" w:type="pct"/>
                  <w:tcBorders>
                    <w:top w:val="single" w:color="auto" w:sz="4" w:space="0"/>
                    <w:left w:val="single" w:color="auto" w:sz="4" w:space="0"/>
                    <w:bottom w:val="single" w:color="auto" w:sz="4" w:space="0"/>
                    <w:right w:val="single" w:color="auto" w:sz="4" w:space="0"/>
                  </w:tcBorders>
                  <w:vAlign w:val="center"/>
                </w:tcPr>
                <w:p w14:paraId="42A1898B">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74" w:type="pct"/>
                  <w:tcBorders>
                    <w:top w:val="single" w:color="auto" w:sz="4" w:space="0"/>
                    <w:left w:val="single" w:color="auto" w:sz="4" w:space="0"/>
                    <w:bottom w:val="single" w:color="auto" w:sz="4" w:space="0"/>
                    <w:right w:val="single" w:color="auto" w:sz="4" w:space="0"/>
                  </w:tcBorders>
                  <w:vAlign w:val="center"/>
                </w:tcPr>
                <w:p w14:paraId="4CFD5AF1">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0.581</w:t>
                  </w:r>
                </w:p>
              </w:tc>
              <w:tc>
                <w:tcPr>
                  <w:tcW w:w="919" w:type="pct"/>
                  <w:tcBorders>
                    <w:top w:val="single" w:color="auto" w:sz="4" w:space="0"/>
                    <w:left w:val="single" w:color="auto" w:sz="4" w:space="0"/>
                    <w:bottom w:val="single" w:color="auto" w:sz="4" w:space="0"/>
                    <w:right w:val="single" w:color="auto" w:sz="4" w:space="0"/>
                  </w:tcBorders>
                  <w:vAlign w:val="center"/>
                </w:tcPr>
                <w:p w14:paraId="394FEE7A">
                  <w:pPr>
                    <w:jc w:val="center"/>
                    <w:rPr>
                      <w:rFonts w:ascii="Times New Roman" w:hAnsi="Times New Roman" w:eastAsia="宋体" w:cs="Times New Roman"/>
                      <w:color w:val="auto"/>
                      <w:sz w:val="21"/>
                      <w:szCs w:val="21"/>
                      <w:lang w:val="en-US" w:eastAsia="zh-CN" w:bidi="ar-SA"/>
                    </w:rPr>
                  </w:pPr>
                  <w:r>
                    <w:rPr>
                      <w:color w:val="auto"/>
                      <w:sz w:val="21"/>
                      <w:szCs w:val="21"/>
                    </w:rPr>
                    <w:t>0.05</w:t>
                  </w:r>
                </w:p>
              </w:tc>
              <w:tc>
                <w:tcPr>
                  <w:tcW w:w="635" w:type="pct"/>
                  <w:tcBorders>
                    <w:top w:val="single" w:color="auto" w:sz="4" w:space="0"/>
                    <w:left w:val="single" w:color="auto" w:sz="4" w:space="0"/>
                    <w:bottom w:val="single" w:color="auto" w:sz="4" w:space="0"/>
                    <w:right w:val="single" w:color="auto" w:sz="4" w:space="0"/>
                  </w:tcBorders>
                  <w:vAlign w:val="center"/>
                </w:tcPr>
                <w:p w14:paraId="0FFB7F89">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6C739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0253072D">
                  <w:pPr>
                    <w:jc w:val="center"/>
                    <w:rPr>
                      <w:rFonts w:ascii="Times New Roman" w:hAnsi="Times New Roman" w:eastAsia="宋体" w:cs="Times New Roman"/>
                      <w:color w:val="auto"/>
                      <w:sz w:val="21"/>
                      <w:szCs w:val="21"/>
                      <w:lang w:val="en-US" w:eastAsia="zh-CN" w:bidi="ar-SA"/>
                    </w:rPr>
                  </w:pPr>
                  <w:r>
                    <w:rPr>
                      <w:color w:val="auto"/>
                      <w:sz w:val="21"/>
                      <w:szCs w:val="21"/>
                    </w:rPr>
                    <w:t>砷</w:t>
                  </w:r>
                  <w:r>
                    <w:rPr>
                      <w:rFonts w:hint="eastAsia"/>
                      <w:color w:val="auto"/>
                      <w:sz w:val="21"/>
                      <w:szCs w:val="21"/>
                      <w:lang w:eastAsia="zh-CN"/>
                    </w:rPr>
                    <w:t>（</w:t>
                  </w:r>
                  <w:r>
                    <w:rPr>
                      <w:rFonts w:hint="default" w:ascii="Times New Roman" w:hAnsi="Times New Roman" w:cs="Times New Roman"/>
                      <w:color w:val="auto"/>
                      <w:sz w:val="21"/>
                      <w:szCs w:val="21"/>
                      <w:lang w:eastAsia="zh-CN"/>
                    </w:rPr>
                    <w:t>μ</w:t>
                  </w:r>
                  <w:r>
                    <w:rPr>
                      <w:rFonts w:hint="eastAsia"/>
                      <w:color w:val="auto"/>
                      <w:sz w:val="21"/>
                      <w:szCs w:val="21"/>
                      <w:lang w:val="en-US" w:eastAsia="zh-CN"/>
                    </w:rPr>
                    <w:t>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52472FFB">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1.68</w:t>
                  </w:r>
                </w:p>
              </w:tc>
              <w:tc>
                <w:tcPr>
                  <w:tcW w:w="775" w:type="pct"/>
                  <w:tcBorders>
                    <w:top w:val="single" w:color="auto" w:sz="4" w:space="0"/>
                    <w:left w:val="single" w:color="auto" w:sz="4" w:space="0"/>
                    <w:bottom w:val="single" w:color="auto" w:sz="4" w:space="0"/>
                    <w:right w:val="single" w:color="auto" w:sz="4" w:space="0"/>
                  </w:tcBorders>
                  <w:vAlign w:val="center"/>
                </w:tcPr>
                <w:p w14:paraId="790A68A0">
                  <w:pPr>
                    <w:jc w:val="center"/>
                    <w:rPr>
                      <w:rFonts w:ascii="Times New Roman" w:hAnsi="Times New Roman" w:eastAsia="宋体" w:cs="Times New Roman"/>
                      <w:color w:val="auto"/>
                      <w:sz w:val="21"/>
                      <w:szCs w:val="21"/>
                      <w:lang w:val="en-US" w:eastAsia="zh-CN" w:bidi="ar-SA"/>
                    </w:rPr>
                  </w:pPr>
                  <w:r>
                    <w:rPr>
                      <w:color w:val="auto"/>
                      <w:sz w:val="21"/>
                      <w:szCs w:val="21"/>
                    </w:rPr>
                    <w:t>5</w:t>
                  </w:r>
                </w:p>
              </w:tc>
              <w:tc>
                <w:tcPr>
                  <w:tcW w:w="648" w:type="pct"/>
                  <w:tcBorders>
                    <w:top w:val="single" w:color="auto" w:sz="4" w:space="0"/>
                    <w:left w:val="single" w:color="auto" w:sz="4" w:space="0"/>
                    <w:bottom w:val="single" w:color="auto" w:sz="4" w:space="0"/>
                    <w:right w:val="single" w:color="auto" w:sz="4" w:space="0"/>
                  </w:tcBorders>
                  <w:vAlign w:val="center"/>
                </w:tcPr>
                <w:p w14:paraId="347EDB55">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74" w:type="pct"/>
                  <w:tcBorders>
                    <w:top w:val="single" w:color="auto" w:sz="4" w:space="0"/>
                    <w:left w:val="single" w:color="auto" w:sz="4" w:space="0"/>
                    <w:bottom w:val="single" w:color="auto" w:sz="4" w:space="0"/>
                    <w:right w:val="single" w:color="auto" w:sz="4" w:space="0"/>
                  </w:tcBorders>
                  <w:vAlign w:val="center"/>
                </w:tcPr>
                <w:p w14:paraId="6F514245">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1.38</w:t>
                  </w:r>
                </w:p>
              </w:tc>
              <w:tc>
                <w:tcPr>
                  <w:tcW w:w="919" w:type="pct"/>
                  <w:tcBorders>
                    <w:top w:val="single" w:color="auto" w:sz="4" w:space="0"/>
                    <w:left w:val="single" w:color="auto" w:sz="4" w:space="0"/>
                    <w:bottom w:val="single" w:color="auto" w:sz="4" w:space="0"/>
                    <w:right w:val="single" w:color="auto" w:sz="4" w:space="0"/>
                  </w:tcBorders>
                  <w:vAlign w:val="center"/>
                </w:tcPr>
                <w:p w14:paraId="734C22EA">
                  <w:pPr>
                    <w:jc w:val="center"/>
                    <w:rPr>
                      <w:rFonts w:ascii="Times New Roman" w:hAnsi="Times New Roman" w:eastAsia="宋体" w:cs="Times New Roman"/>
                      <w:color w:val="auto"/>
                      <w:sz w:val="21"/>
                      <w:szCs w:val="21"/>
                      <w:lang w:val="en-US" w:eastAsia="zh-CN" w:bidi="ar-SA"/>
                    </w:rPr>
                  </w:pPr>
                  <w:r>
                    <w:rPr>
                      <w:color w:val="auto"/>
                      <w:sz w:val="21"/>
                      <w:szCs w:val="21"/>
                    </w:rPr>
                    <w:t>0.5</w:t>
                  </w:r>
                </w:p>
              </w:tc>
              <w:tc>
                <w:tcPr>
                  <w:tcW w:w="635" w:type="pct"/>
                  <w:tcBorders>
                    <w:top w:val="single" w:color="auto" w:sz="4" w:space="0"/>
                    <w:left w:val="single" w:color="auto" w:sz="4" w:space="0"/>
                    <w:bottom w:val="single" w:color="auto" w:sz="4" w:space="0"/>
                    <w:right w:val="single" w:color="auto" w:sz="4" w:space="0"/>
                  </w:tcBorders>
                  <w:vAlign w:val="center"/>
                </w:tcPr>
                <w:p w14:paraId="69F64650">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r w14:paraId="5CA5F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pct"/>
                  <w:tcBorders>
                    <w:top w:val="single" w:color="auto" w:sz="4" w:space="0"/>
                    <w:left w:val="single" w:color="auto" w:sz="4" w:space="0"/>
                    <w:bottom w:val="single" w:color="auto" w:sz="4" w:space="0"/>
                    <w:right w:val="single" w:color="auto" w:sz="4" w:space="0"/>
                  </w:tcBorders>
                  <w:vAlign w:val="center"/>
                </w:tcPr>
                <w:p w14:paraId="651E58AF">
                  <w:pPr>
                    <w:jc w:val="center"/>
                    <w:rPr>
                      <w:rFonts w:ascii="Times New Roman" w:hAnsi="Times New Roman" w:eastAsia="宋体" w:cs="Times New Roman"/>
                      <w:color w:val="auto"/>
                      <w:sz w:val="21"/>
                      <w:szCs w:val="21"/>
                      <w:lang w:val="en-US" w:eastAsia="zh-CN" w:bidi="ar-SA"/>
                    </w:rPr>
                  </w:pPr>
                  <w:r>
                    <w:rPr>
                      <w:color w:val="auto"/>
                      <w:sz w:val="21"/>
                      <w:szCs w:val="21"/>
                    </w:rPr>
                    <w:t>六价铬</w:t>
                  </w:r>
                  <w:r>
                    <w:rPr>
                      <w:rFonts w:hint="eastAsia"/>
                      <w:color w:val="auto"/>
                      <w:sz w:val="21"/>
                      <w:szCs w:val="21"/>
                      <w:lang w:eastAsia="zh-CN"/>
                    </w:rPr>
                    <w:t>（</w:t>
                  </w:r>
                  <w:r>
                    <w:rPr>
                      <w:rFonts w:hint="eastAsia"/>
                      <w:color w:val="auto"/>
                      <w:sz w:val="21"/>
                      <w:szCs w:val="21"/>
                      <w:lang w:val="en-US" w:eastAsia="zh-CN"/>
                    </w:rPr>
                    <w:t>mg/L</w:t>
                  </w:r>
                  <w:r>
                    <w:rPr>
                      <w:rFonts w:hint="eastAsia"/>
                      <w:color w:val="auto"/>
                      <w:sz w:val="21"/>
                      <w:szCs w:val="21"/>
                      <w:lang w:eastAsia="zh-CN"/>
                    </w:rPr>
                    <w:t>）</w:t>
                  </w:r>
                </w:p>
              </w:tc>
              <w:tc>
                <w:tcPr>
                  <w:tcW w:w="663" w:type="pct"/>
                  <w:tcBorders>
                    <w:top w:val="single" w:color="auto" w:sz="4" w:space="0"/>
                    <w:left w:val="single" w:color="auto" w:sz="4" w:space="0"/>
                    <w:bottom w:val="single" w:color="auto" w:sz="4" w:space="0"/>
                    <w:right w:val="single" w:color="auto" w:sz="4" w:space="0"/>
                  </w:tcBorders>
                  <w:vAlign w:val="center"/>
                </w:tcPr>
                <w:p w14:paraId="7F117642">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0.004L</w:t>
                  </w:r>
                </w:p>
              </w:tc>
              <w:tc>
                <w:tcPr>
                  <w:tcW w:w="775" w:type="pct"/>
                  <w:tcBorders>
                    <w:top w:val="single" w:color="auto" w:sz="4" w:space="0"/>
                    <w:left w:val="single" w:color="auto" w:sz="4" w:space="0"/>
                    <w:bottom w:val="single" w:color="auto" w:sz="4" w:space="0"/>
                    <w:right w:val="single" w:color="auto" w:sz="4" w:space="0"/>
                  </w:tcBorders>
                  <w:vAlign w:val="center"/>
                </w:tcPr>
                <w:p w14:paraId="7987CCE8">
                  <w:pPr>
                    <w:jc w:val="center"/>
                    <w:rPr>
                      <w:rFonts w:ascii="Times New Roman" w:hAnsi="Times New Roman" w:eastAsia="宋体" w:cs="Times New Roman"/>
                      <w:color w:val="auto"/>
                      <w:sz w:val="21"/>
                      <w:szCs w:val="21"/>
                      <w:lang w:val="en-US" w:eastAsia="zh-CN" w:bidi="ar-SA"/>
                    </w:rPr>
                  </w:pPr>
                  <w:r>
                    <w:rPr>
                      <w:color w:val="auto"/>
                      <w:sz w:val="21"/>
                      <w:szCs w:val="21"/>
                    </w:rPr>
                    <w:t>5</w:t>
                  </w:r>
                </w:p>
              </w:tc>
              <w:tc>
                <w:tcPr>
                  <w:tcW w:w="648" w:type="pct"/>
                  <w:tcBorders>
                    <w:top w:val="single" w:color="auto" w:sz="4" w:space="0"/>
                    <w:left w:val="single" w:color="auto" w:sz="4" w:space="0"/>
                    <w:bottom w:val="single" w:color="auto" w:sz="4" w:space="0"/>
                    <w:right w:val="single" w:color="auto" w:sz="4" w:space="0"/>
                  </w:tcBorders>
                  <w:vAlign w:val="center"/>
                </w:tcPr>
                <w:p w14:paraId="5D9D8669">
                  <w:pPr>
                    <w:jc w:val="center"/>
                    <w:rPr>
                      <w:rFonts w:ascii="Times New Roman" w:hAnsi="Times New Roman" w:eastAsia="宋体" w:cs="Times New Roman"/>
                      <w:color w:val="auto"/>
                      <w:sz w:val="21"/>
                      <w:szCs w:val="21"/>
                      <w:lang w:val="en-US" w:eastAsia="zh-CN" w:bidi="ar-SA"/>
                    </w:rPr>
                  </w:pPr>
                  <w:r>
                    <w:rPr>
                      <w:color w:val="auto"/>
                      <w:sz w:val="21"/>
                      <w:szCs w:val="21"/>
                    </w:rPr>
                    <w:t>达标</w:t>
                  </w:r>
                </w:p>
              </w:tc>
              <w:tc>
                <w:tcPr>
                  <w:tcW w:w="574" w:type="pct"/>
                  <w:tcBorders>
                    <w:top w:val="single" w:color="auto" w:sz="4" w:space="0"/>
                    <w:left w:val="single" w:color="auto" w:sz="4" w:space="0"/>
                    <w:bottom w:val="single" w:color="auto" w:sz="4" w:space="0"/>
                    <w:right w:val="single" w:color="auto" w:sz="4" w:space="0"/>
                  </w:tcBorders>
                  <w:vAlign w:val="center"/>
                </w:tcPr>
                <w:p w14:paraId="09ABC4C7">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0.004L</w:t>
                  </w:r>
                </w:p>
              </w:tc>
              <w:tc>
                <w:tcPr>
                  <w:tcW w:w="919" w:type="pct"/>
                  <w:tcBorders>
                    <w:top w:val="single" w:color="auto" w:sz="4" w:space="0"/>
                    <w:left w:val="single" w:color="auto" w:sz="4" w:space="0"/>
                    <w:bottom w:val="single" w:color="auto" w:sz="4" w:space="0"/>
                    <w:right w:val="single" w:color="auto" w:sz="4" w:space="0"/>
                  </w:tcBorders>
                  <w:vAlign w:val="center"/>
                </w:tcPr>
                <w:p w14:paraId="0662599E">
                  <w:pPr>
                    <w:jc w:val="center"/>
                    <w:rPr>
                      <w:rFonts w:ascii="Times New Roman" w:hAnsi="Times New Roman" w:eastAsia="宋体" w:cs="Times New Roman"/>
                      <w:color w:val="auto"/>
                      <w:sz w:val="21"/>
                      <w:szCs w:val="21"/>
                      <w:lang w:val="en-US" w:eastAsia="zh-CN" w:bidi="ar-SA"/>
                    </w:rPr>
                  </w:pPr>
                  <w:r>
                    <w:rPr>
                      <w:color w:val="auto"/>
                      <w:sz w:val="21"/>
                      <w:szCs w:val="21"/>
                    </w:rPr>
                    <w:t>0.5</w:t>
                  </w:r>
                </w:p>
              </w:tc>
              <w:tc>
                <w:tcPr>
                  <w:tcW w:w="635" w:type="pct"/>
                  <w:tcBorders>
                    <w:top w:val="single" w:color="auto" w:sz="4" w:space="0"/>
                    <w:left w:val="single" w:color="auto" w:sz="4" w:space="0"/>
                    <w:bottom w:val="single" w:color="auto" w:sz="4" w:space="0"/>
                    <w:right w:val="single" w:color="auto" w:sz="4" w:space="0"/>
                  </w:tcBorders>
                  <w:vAlign w:val="center"/>
                </w:tcPr>
                <w:p w14:paraId="287DC41A">
                  <w:pPr>
                    <w:jc w:val="center"/>
                    <w:rPr>
                      <w:rFonts w:ascii="Times New Roman" w:hAnsi="Times New Roman" w:eastAsia="宋体" w:cs="Times New Roman"/>
                      <w:b w:val="0"/>
                      <w:bCs/>
                      <w:color w:val="auto"/>
                      <w:sz w:val="21"/>
                      <w:szCs w:val="21"/>
                      <w:lang w:val="en-US" w:eastAsia="zh-CN" w:bidi="ar-SA"/>
                    </w:rPr>
                  </w:pPr>
                  <w:r>
                    <w:rPr>
                      <w:b w:val="0"/>
                      <w:bCs/>
                      <w:color w:val="auto"/>
                      <w:sz w:val="21"/>
                      <w:szCs w:val="21"/>
                    </w:rPr>
                    <w:t>达标</w:t>
                  </w:r>
                </w:p>
              </w:tc>
            </w:tr>
          </w:tbl>
          <w:p w14:paraId="727CBBD1">
            <w:pPr>
              <w:spacing w:before="120" w:beforeLines="50"/>
              <w:jc w:val="center"/>
              <w:rPr>
                <w:b/>
                <w:color w:val="auto"/>
                <w:sz w:val="24"/>
                <w:highlight w:val="yellow"/>
              </w:rPr>
            </w:pPr>
            <w:r>
              <w:rPr>
                <w:b/>
                <w:color w:val="auto"/>
                <w:sz w:val="24"/>
              </w:rPr>
              <w:t>表2-</w:t>
            </w:r>
            <w:r>
              <w:rPr>
                <w:rFonts w:hint="eastAsia"/>
                <w:b/>
                <w:color w:val="auto"/>
                <w:sz w:val="24"/>
              </w:rPr>
              <w:t>1</w:t>
            </w:r>
            <w:r>
              <w:rPr>
                <w:rFonts w:hint="eastAsia"/>
                <w:b/>
                <w:color w:val="auto"/>
                <w:sz w:val="24"/>
                <w:lang w:val="en-US" w:eastAsia="zh-CN"/>
              </w:rPr>
              <w:t>9</w:t>
            </w:r>
            <w:r>
              <w:rPr>
                <w:b/>
                <w:color w:val="auto"/>
                <w:sz w:val="24"/>
              </w:rPr>
              <w:t xml:space="preserve">   </w:t>
            </w:r>
            <w:r>
              <w:rPr>
                <w:rFonts w:hint="eastAsia"/>
                <w:b/>
                <w:color w:val="auto"/>
                <w:sz w:val="24"/>
                <w:lang w:val="en-US" w:eastAsia="zh-CN"/>
              </w:rPr>
              <w:t>电石渣</w:t>
            </w:r>
            <w:r>
              <w:rPr>
                <w:b/>
                <w:color w:val="auto"/>
                <w:sz w:val="24"/>
              </w:rPr>
              <w:t>腐蚀性鉴别检测结果</w:t>
            </w:r>
          </w:p>
          <w:tbl>
            <w:tblPr>
              <w:tblStyle w:val="45"/>
              <w:tblW w:w="8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6"/>
              <w:gridCol w:w="835"/>
              <w:gridCol w:w="835"/>
              <w:gridCol w:w="2902"/>
              <w:gridCol w:w="1881"/>
            </w:tblGrid>
            <w:tr w14:paraId="4B2BC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36" w:type="dxa"/>
                  <w:tcBorders>
                    <w:top w:val="single" w:color="auto" w:sz="4" w:space="0"/>
                    <w:left w:val="single" w:color="auto" w:sz="4" w:space="0"/>
                    <w:bottom w:val="single" w:color="auto" w:sz="4" w:space="0"/>
                    <w:right w:val="single" w:color="auto" w:sz="4" w:space="0"/>
                  </w:tcBorders>
                  <w:vAlign w:val="center"/>
                </w:tcPr>
                <w:p w14:paraId="655D8D6F">
                  <w:pPr>
                    <w:jc w:val="center"/>
                    <w:rPr>
                      <w:color w:val="auto"/>
                      <w:sz w:val="21"/>
                      <w:szCs w:val="21"/>
                    </w:rPr>
                  </w:pPr>
                  <w:r>
                    <w:rPr>
                      <w:color w:val="auto"/>
                      <w:sz w:val="21"/>
                      <w:szCs w:val="21"/>
                    </w:rPr>
                    <w:t>项目</w:t>
                  </w:r>
                </w:p>
              </w:tc>
              <w:tc>
                <w:tcPr>
                  <w:tcW w:w="1670" w:type="dxa"/>
                  <w:gridSpan w:val="2"/>
                  <w:tcBorders>
                    <w:top w:val="single" w:color="auto" w:sz="4" w:space="0"/>
                    <w:left w:val="single" w:color="auto" w:sz="4" w:space="0"/>
                    <w:bottom w:val="single" w:color="auto" w:sz="4" w:space="0"/>
                    <w:right w:val="single" w:color="auto" w:sz="4" w:space="0"/>
                  </w:tcBorders>
                  <w:vAlign w:val="center"/>
                </w:tcPr>
                <w:p w14:paraId="5325B30B">
                  <w:pPr>
                    <w:jc w:val="center"/>
                    <w:rPr>
                      <w:rFonts w:hint="default" w:eastAsia="宋体"/>
                      <w:color w:val="auto"/>
                      <w:sz w:val="21"/>
                      <w:szCs w:val="21"/>
                      <w:lang w:val="en-US" w:eastAsia="zh-CN"/>
                    </w:rPr>
                  </w:pPr>
                  <w:r>
                    <w:rPr>
                      <w:rFonts w:hint="eastAsia"/>
                      <w:color w:val="auto"/>
                      <w:sz w:val="21"/>
                      <w:szCs w:val="21"/>
                      <w:lang w:val="en-US" w:eastAsia="zh-CN"/>
                    </w:rPr>
                    <w:t>电石渣</w:t>
                  </w:r>
                </w:p>
              </w:tc>
              <w:tc>
                <w:tcPr>
                  <w:tcW w:w="2902" w:type="dxa"/>
                  <w:tcBorders>
                    <w:top w:val="single" w:color="auto" w:sz="4" w:space="0"/>
                    <w:left w:val="single" w:color="auto" w:sz="4" w:space="0"/>
                    <w:bottom w:val="single" w:color="auto" w:sz="4" w:space="0"/>
                    <w:right w:val="single" w:color="auto" w:sz="4" w:space="0"/>
                  </w:tcBorders>
                  <w:vAlign w:val="center"/>
                </w:tcPr>
                <w:p w14:paraId="2589D1BD">
                  <w:pPr>
                    <w:jc w:val="center"/>
                    <w:rPr>
                      <w:color w:val="auto"/>
                      <w:sz w:val="21"/>
                      <w:szCs w:val="21"/>
                    </w:rPr>
                  </w:pPr>
                  <w:r>
                    <w:rPr>
                      <w:color w:val="auto"/>
                      <w:sz w:val="21"/>
                      <w:szCs w:val="21"/>
                    </w:rPr>
                    <w:t>《危险废物鉴别标准—浸出毒性鉴别》（GB5085.3-2007）标准值</w:t>
                  </w:r>
                </w:p>
              </w:tc>
              <w:tc>
                <w:tcPr>
                  <w:tcW w:w="1881" w:type="dxa"/>
                  <w:tcBorders>
                    <w:top w:val="single" w:color="auto" w:sz="4" w:space="0"/>
                    <w:left w:val="single" w:color="auto" w:sz="4" w:space="0"/>
                    <w:bottom w:val="single" w:color="auto" w:sz="4" w:space="0"/>
                    <w:right w:val="single" w:color="auto" w:sz="4" w:space="0"/>
                  </w:tcBorders>
                  <w:vAlign w:val="center"/>
                </w:tcPr>
                <w:p w14:paraId="6D68E49D">
                  <w:pPr>
                    <w:jc w:val="center"/>
                    <w:rPr>
                      <w:color w:val="auto"/>
                      <w:sz w:val="21"/>
                      <w:szCs w:val="21"/>
                    </w:rPr>
                  </w:pPr>
                  <w:r>
                    <w:rPr>
                      <w:color w:val="auto"/>
                      <w:sz w:val="21"/>
                      <w:szCs w:val="21"/>
                    </w:rPr>
                    <w:t>《污水综合排放标准》中最高允许排放浓度</w:t>
                  </w:r>
                </w:p>
              </w:tc>
            </w:tr>
            <w:tr w14:paraId="18FB5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36" w:type="dxa"/>
                  <w:tcBorders>
                    <w:top w:val="single" w:color="auto" w:sz="4" w:space="0"/>
                    <w:left w:val="single" w:color="auto" w:sz="4" w:space="0"/>
                    <w:bottom w:val="single" w:color="auto" w:sz="4" w:space="0"/>
                    <w:right w:val="single" w:color="auto" w:sz="4" w:space="0"/>
                  </w:tcBorders>
                  <w:vAlign w:val="center"/>
                </w:tcPr>
                <w:p w14:paraId="4D237B77">
                  <w:pPr>
                    <w:jc w:val="center"/>
                    <w:rPr>
                      <w:color w:val="auto"/>
                      <w:sz w:val="21"/>
                      <w:szCs w:val="21"/>
                    </w:rPr>
                  </w:pPr>
                  <w:r>
                    <w:rPr>
                      <w:color w:val="auto"/>
                      <w:sz w:val="21"/>
                      <w:szCs w:val="21"/>
                    </w:rPr>
                    <w:t>pH（无量纲）</w:t>
                  </w:r>
                </w:p>
              </w:tc>
              <w:tc>
                <w:tcPr>
                  <w:tcW w:w="835" w:type="dxa"/>
                  <w:tcBorders>
                    <w:top w:val="single" w:color="auto" w:sz="4" w:space="0"/>
                    <w:left w:val="single" w:color="auto" w:sz="4" w:space="0"/>
                    <w:bottom w:val="single" w:color="auto" w:sz="4" w:space="0"/>
                    <w:right w:val="single" w:color="auto" w:sz="4" w:space="0"/>
                  </w:tcBorders>
                  <w:vAlign w:val="center"/>
                </w:tcPr>
                <w:p w14:paraId="657B5085">
                  <w:pPr>
                    <w:jc w:val="center"/>
                    <w:rPr>
                      <w:rFonts w:hint="default" w:eastAsia="宋体"/>
                      <w:color w:val="auto"/>
                      <w:sz w:val="21"/>
                      <w:szCs w:val="21"/>
                      <w:lang w:val="en-US" w:eastAsia="zh-CN"/>
                    </w:rPr>
                  </w:pPr>
                  <w:r>
                    <w:rPr>
                      <w:rFonts w:hint="eastAsia"/>
                      <w:color w:val="auto"/>
                      <w:sz w:val="21"/>
                      <w:szCs w:val="21"/>
                      <w:lang w:val="en-US" w:eastAsia="zh-CN"/>
                    </w:rPr>
                    <w:t>9.2</w:t>
                  </w:r>
                </w:p>
              </w:tc>
              <w:tc>
                <w:tcPr>
                  <w:tcW w:w="835" w:type="dxa"/>
                  <w:tcBorders>
                    <w:top w:val="single" w:color="auto" w:sz="4" w:space="0"/>
                    <w:left w:val="single" w:color="auto" w:sz="4" w:space="0"/>
                    <w:bottom w:val="single" w:color="auto" w:sz="4" w:space="0"/>
                    <w:right w:val="single" w:color="auto" w:sz="4" w:space="0"/>
                  </w:tcBorders>
                  <w:vAlign w:val="center"/>
                </w:tcPr>
                <w:p w14:paraId="64B9405A">
                  <w:pPr>
                    <w:jc w:val="center"/>
                    <w:rPr>
                      <w:rFonts w:hint="default" w:eastAsia="宋体"/>
                      <w:color w:val="auto"/>
                      <w:sz w:val="21"/>
                      <w:szCs w:val="21"/>
                      <w:lang w:val="en-US" w:eastAsia="zh-CN"/>
                    </w:rPr>
                  </w:pPr>
                  <w:r>
                    <w:rPr>
                      <w:rFonts w:hint="eastAsia"/>
                      <w:color w:val="auto"/>
                      <w:sz w:val="21"/>
                      <w:szCs w:val="21"/>
                      <w:lang w:val="en-US" w:eastAsia="zh-CN"/>
                    </w:rPr>
                    <w:t>5.2</w:t>
                  </w:r>
                </w:p>
              </w:tc>
              <w:tc>
                <w:tcPr>
                  <w:tcW w:w="2902" w:type="dxa"/>
                  <w:tcBorders>
                    <w:top w:val="single" w:color="auto" w:sz="4" w:space="0"/>
                    <w:left w:val="single" w:color="auto" w:sz="4" w:space="0"/>
                    <w:bottom w:val="single" w:color="auto" w:sz="4" w:space="0"/>
                    <w:right w:val="single" w:color="auto" w:sz="4" w:space="0"/>
                  </w:tcBorders>
                  <w:vAlign w:val="center"/>
                </w:tcPr>
                <w:p w14:paraId="39713A2C">
                  <w:pPr>
                    <w:jc w:val="center"/>
                    <w:rPr>
                      <w:color w:val="auto"/>
                      <w:sz w:val="21"/>
                      <w:szCs w:val="21"/>
                    </w:rPr>
                  </w:pPr>
                  <w:r>
                    <w:rPr>
                      <w:color w:val="auto"/>
                      <w:sz w:val="21"/>
                      <w:szCs w:val="21"/>
                    </w:rPr>
                    <w:t>2≤</w:t>
                  </w:r>
                  <w:r>
                    <w:rPr>
                      <w:bCs/>
                      <w:color w:val="auto"/>
                      <w:sz w:val="21"/>
                      <w:szCs w:val="21"/>
                    </w:rPr>
                    <w:t>pH</w:t>
                  </w:r>
                  <w:r>
                    <w:rPr>
                      <w:color w:val="auto"/>
                      <w:sz w:val="21"/>
                      <w:szCs w:val="21"/>
                    </w:rPr>
                    <w:t>≤12.5</w:t>
                  </w:r>
                </w:p>
              </w:tc>
              <w:tc>
                <w:tcPr>
                  <w:tcW w:w="1881" w:type="dxa"/>
                  <w:tcBorders>
                    <w:top w:val="single" w:color="auto" w:sz="4" w:space="0"/>
                    <w:left w:val="single" w:color="auto" w:sz="4" w:space="0"/>
                    <w:bottom w:val="single" w:color="auto" w:sz="4" w:space="0"/>
                    <w:right w:val="single" w:color="auto" w:sz="4" w:space="0"/>
                  </w:tcBorders>
                  <w:vAlign w:val="center"/>
                </w:tcPr>
                <w:p w14:paraId="446F8E68">
                  <w:pPr>
                    <w:jc w:val="center"/>
                    <w:rPr>
                      <w:color w:val="auto"/>
                      <w:sz w:val="21"/>
                      <w:szCs w:val="21"/>
                    </w:rPr>
                  </w:pPr>
                  <w:r>
                    <w:rPr>
                      <w:color w:val="auto"/>
                      <w:sz w:val="21"/>
                      <w:szCs w:val="21"/>
                    </w:rPr>
                    <w:t>6~9</w:t>
                  </w:r>
                </w:p>
              </w:tc>
            </w:tr>
          </w:tbl>
          <w:p w14:paraId="3765634E">
            <w:pPr>
              <w:spacing w:line="360" w:lineRule="auto"/>
              <w:ind w:firstLine="480" w:firstLineChars="200"/>
              <w:rPr>
                <w:color w:val="auto"/>
                <w:sz w:val="24"/>
                <w:highlight w:val="yellow"/>
              </w:rPr>
            </w:pPr>
            <w:r>
              <w:rPr>
                <w:color w:val="auto"/>
                <w:sz w:val="24"/>
                <w:highlight w:val="none"/>
              </w:rPr>
              <w:t>根据上表检测结果，电石渣</w:t>
            </w:r>
            <w:r>
              <w:rPr>
                <w:rFonts w:hint="eastAsia"/>
                <w:color w:val="auto"/>
                <w:sz w:val="24"/>
                <w:szCs w:val="22"/>
              </w:rPr>
              <w:t>按照HJ/T 299制备的浸出液中</w:t>
            </w:r>
            <w:r>
              <w:rPr>
                <w:rFonts w:hint="eastAsia"/>
                <w:color w:val="auto"/>
                <w:sz w:val="24"/>
                <w:szCs w:val="22"/>
                <w:lang w:val="en-US" w:eastAsia="zh-CN"/>
              </w:rPr>
              <w:t>各指标</w:t>
            </w:r>
            <w:r>
              <w:rPr>
                <w:color w:val="auto"/>
                <w:sz w:val="24"/>
                <w:szCs w:val="22"/>
              </w:rPr>
              <w:t>未超过《危险废物鉴别标准 浸出毒性鉴别》（GB 5085.3-2007）中的限值</w:t>
            </w:r>
            <w:r>
              <w:rPr>
                <w:color w:val="auto"/>
                <w:sz w:val="24"/>
                <w:highlight w:val="none"/>
              </w:rPr>
              <w:t>。因此，电石渣不属于危险废物，pH值不能满足《污水综合排放标准》（GB8978-1996）中一级标准限值，故本项目使用电石渣属Ⅱ类一般工业固体废物。</w:t>
            </w:r>
          </w:p>
          <w:p w14:paraId="6B2EA5E9">
            <w:pPr>
              <w:spacing w:line="360" w:lineRule="auto"/>
              <w:ind w:firstLine="480" w:firstLineChars="200"/>
              <w:rPr>
                <w:bCs/>
                <w:color w:val="auto"/>
                <w:sz w:val="24"/>
              </w:rPr>
            </w:pPr>
            <w:r>
              <w:rPr>
                <w:rFonts w:hint="eastAsia" w:ascii="宋体" w:hAnsi="宋体" w:cs="宋体"/>
                <w:bCs/>
                <w:color w:val="auto"/>
                <w:sz w:val="24"/>
              </w:rPr>
              <w:t>②</w:t>
            </w:r>
            <w:r>
              <w:rPr>
                <w:bCs/>
                <w:color w:val="auto"/>
                <w:sz w:val="24"/>
              </w:rPr>
              <w:t>生石灰</w:t>
            </w:r>
          </w:p>
          <w:p w14:paraId="72150D53">
            <w:pPr>
              <w:spacing w:line="360" w:lineRule="auto"/>
              <w:ind w:firstLine="480" w:firstLineChars="200"/>
              <w:rPr>
                <w:bCs/>
                <w:color w:val="auto"/>
                <w:sz w:val="24"/>
              </w:rPr>
            </w:pPr>
            <w:r>
              <w:rPr>
                <w:color w:val="auto"/>
                <w:sz w:val="24"/>
              </w:rPr>
              <w:t>生石灰的主要成分是氧化钙，密度3.1至3.4g/cm³，外形为白色（或灰色、棕白），无定形，在空气中吸收水和二氧化碳。氧化钙与水作用生成氢氧化钙，并放出热量。溶于酸水、甘油，不溶于醇。系属无机碱性蚀物品。加入的</w:t>
            </w:r>
            <w:r>
              <w:rPr>
                <w:bCs/>
                <w:color w:val="auto"/>
                <w:sz w:val="24"/>
              </w:rPr>
              <w:t>生石灰还可以与磷石膏中的可溶性物质反应生成惰性的难溶物质，化学方程式为：2H</w:t>
            </w:r>
            <w:r>
              <w:rPr>
                <w:bCs/>
                <w:color w:val="auto"/>
                <w:sz w:val="24"/>
                <w:vertAlign w:val="subscript"/>
              </w:rPr>
              <w:t>3</w:t>
            </w:r>
            <w:r>
              <w:rPr>
                <w:bCs/>
                <w:color w:val="auto"/>
                <w:sz w:val="24"/>
              </w:rPr>
              <w:t>PO</w:t>
            </w:r>
            <w:r>
              <w:rPr>
                <w:bCs/>
                <w:color w:val="auto"/>
                <w:sz w:val="24"/>
                <w:vertAlign w:val="subscript"/>
              </w:rPr>
              <w:t>4</w:t>
            </w:r>
            <w:r>
              <w:rPr>
                <w:bCs/>
                <w:color w:val="auto"/>
                <w:sz w:val="24"/>
              </w:rPr>
              <w:t>+3Ca(OH)</w:t>
            </w:r>
            <w:r>
              <w:rPr>
                <w:bCs/>
                <w:color w:val="auto"/>
                <w:sz w:val="24"/>
                <w:vertAlign w:val="subscript"/>
              </w:rPr>
              <w:t>2</w:t>
            </w:r>
            <w:r>
              <w:rPr>
                <w:bCs/>
                <w:color w:val="auto"/>
                <w:sz w:val="24"/>
              </w:rPr>
              <w:t>=Ca</w:t>
            </w:r>
            <w:r>
              <w:rPr>
                <w:bCs/>
                <w:color w:val="auto"/>
                <w:sz w:val="24"/>
                <w:vertAlign w:val="subscript"/>
              </w:rPr>
              <w:t>3</w:t>
            </w:r>
            <w:r>
              <w:rPr>
                <w:bCs/>
                <w:color w:val="auto"/>
                <w:sz w:val="24"/>
              </w:rPr>
              <w:t>(PO</w:t>
            </w:r>
            <w:r>
              <w:rPr>
                <w:bCs/>
                <w:color w:val="auto"/>
                <w:sz w:val="24"/>
                <w:vertAlign w:val="subscript"/>
              </w:rPr>
              <w:t>4</w:t>
            </w:r>
            <w:r>
              <w:rPr>
                <w:bCs/>
                <w:color w:val="auto"/>
                <w:sz w:val="24"/>
              </w:rPr>
              <w:t>)</w:t>
            </w:r>
            <w:r>
              <w:rPr>
                <w:bCs/>
                <w:color w:val="auto"/>
                <w:sz w:val="24"/>
                <w:vertAlign w:val="subscript"/>
              </w:rPr>
              <w:t>2</w:t>
            </w:r>
            <w:r>
              <w:rPr>
                <w:bCs/>
                <w:color w:val="auto"/>
                <w:sz w:val="24"/>
              </w:rPr>
              <w:t>+6H</w:t>
            </w:r>
            <w:r>
              <w:rPr>
                <w:bCs/>
                <w:color w:val="auto"/>
                <w:sz w:val="24"/>
                <w:vertAlign w:val="subscript"/>
              </w:rPr>
              <w:t>2</w:t>
            </w:r>
            <w:r>
              <w:rPr>
                <w:bCs/>
                <w:color w:val="auto"/>
                <w:sz w:val="24"/>
              </w:rPr>
              <w:t>O，生成的难溶性沉淀能增加水泥的强度。</w:t>
            </w:r>
            <w:r>
              <w:rPr>
                <w:color w:val="auto"/>
                <w:sz w:val="24"/>
              </w:rPr>
              <w:t>改变</w:t>
            </w:r>
            <w:r>
              <w:rPr>
                <w:bCs/>
                <w:color w:val="auto"/>
                <w:sz w:val="24"/>
              </w:rPr>
              <w:t>磷石膏</w:t>
            </w:r>
            <w:r>
              <w:rPr>
                <w:color w:val="auto"/>
                <w:sz w:val="24"/>
              </w:rPr>
              <w:t>体系内的酸碱度，消除残留酸对其性能的影响，同时与可溶的P</w:t>
            </w:r>
            <w:r>
              <w:rPr>
                <w:color w:val="auto"/>
                <w:sz w:val="24"/>
                <w:vertAlign w:val="subscript"/>
              </w:rPr>
              <w:t>2</w:t>
            </w:r>
            <w:r>
              <w:rPr>
                <w:color w:val="auto"/>
                <w:sz w:val="24"/>
              </w:rPr>
              <w:t>O</w:t>
            </w:r>
            <w:r>
              <w:rPr>
                <w:color w:val="auto"/>
                <w:sz w:val="24"/>
                <w:vertAlign w:val="subscript"/>
              </w:rPr>
              <w:t>5</w:t>
            </w:r>
            <w:r>
              <w:rPr>
                <w:color w:val="auto"/>
                <w:sz w:val="24"/>
              </w:rPr>
              <w:t>生成难溶物，使可溶物变成惰性物，降低对</w:t>
            </w:r>
            <w:r>
              <w:rPr>
                <w:bCs/>
                <w:color w:val="auto"/>
                <w:sz w:val="24"/>
              </w:rPr>
              <w:t>磷石膏</w:t>
            </w:r>
            <w:r>
              <w:rPr>
                <w:color w:val="auto"/>
                <w:sz w:val="24"/>
              </w:rPr>
              <w:t>性能的不利影响。</w:t>
            </w:r>
            <w:r>
              <w:rPr>
                <w:bCs/>
                <w:color w:val="auto"/>
                <w:sz w:val="24"/>
              </w:rPr>
              <w:t>可以中和磷石膏内的酸，调节其pH，消除残留酸对磷石膏及其制品性能的不利影响。此外，加入的电石渣还可以与磷石膏中的可溶性物质反应生成惰性的难溶物质，化学方程式为：2H</w:t>
            </w:r>
            <w:r>
              <w:rPr>
                <w:bCs/>
                <w:color w:val="auto"/>
                <w:sz w:val="24"/>
                <w:vertAlign w:val="subscript"/>
              </w:rPr>
              <w:t>3</w:t>
            </w:r>
            <w:r>
              <w:rPr>
                <w:bCs/>
                <w:color w:val="auto"/>
                <w:sz w:val="24"/>
              </w:rPr>
              <w:t>PO</w:t>
            </w:r>
            <w:r>
              <w:rPr>
                <w:bCs/>
                <w:color w:val="auto"/>
                <w:sz w:val="24"/>
                <w:vertAlign w:val="subscript"/>
              </w:rPr>
              <w:t>4</w:t>
            </w:r>
            <w:r>
              <w:rPr>
                <w:bCs/>
                <w:color w:val="auto"/>
                <w:sz w:val="24"/>
              </w:rPr>
              <w:t>+3Ca(OH)</w:t>
            </w:r>
            <w:r>
              <w:rPr>
                <w:bCs/>
                <w:color w:val="auto"/>
                <w:sz w:val="24"/>
                <w:vertAlign w:val="subscript"/>
              </w:rPr>
              <w:t>2</w:t>
            </w:r>
            <w:r>
              <w:rPr>
                <w:bCs/>
                <w:color w:val="auto"/>
                <w:sz w:val="24"/>
              </w:rPr>
              <w:t>=Ca</w:t>
            </w:r>
            <w:r>
              <w:rPr>
                <w:bCs/>
                <w:color w:val="auto"/>
                <w:sz w:val="24"/>
                <w:vertAlign w:val="subscript"/>
              </w:rPr>
              <w:t>3</w:t>
            </w:r>
            <w:r>
              <w:rPr>
                <w:bCs/>
                <w:color w:val="auto"/>
                <w:sz w:val="24"/>
              </w:rPr>
              <w:t>(PO</w:t>
            </w:r>
            <w:r>
              <w:rPr>
                <w:bCs/>
                <w:color w:val="auto"/>
                <w:sz w:val="24"/>
                <w:vertAlign w:val="subscript"/>
              </w:rPr>
              <w:t>4</w:t>
            </w:r>
            <w:r>
              <w:rPr>
                <w:bCs/>
                <w:color w:val="auto"/>
                <w:sz w:val="24"/>
              </w:rPr>
              <w:t>)</w:t>
            </w:r>
            <w:r>
              <w:rPr>
                <w:bCs/>
                <w:color w:val="auto"/>
                <w:sz w:val="24"/>
                <w:vertAlign w:val="subscript"/>
              </w:rPr>
              <w:t>2</w:t>
            </w:r>
            <w:r>
              <w:rPr>
                <w:bCs/>
                <w:color w:val="auto"/>
                <w:sz w:val="24"/>
              </w:rPr>
              <w:t>+6H</w:t>
            </w:r>
            <w:r>
              <w:rPr>
                <w:bCs/>
                <w:color w:val="auto"/>
                <w:sz w:val="24"/>
                <w:vertAlign w:val="subscript"/>
              </w:rPr>
              <w:t>2</w:t>
            </w:r>
            <w:r>
              <w:rPr>
                <w:bCs/>
                <w:color w:val="auto"/>
                <w:sz w:val="24"/>
              </w:rPr>
              <w:t>O，生成的难溶性沉淀能增加水泥的强度。</w:t>
            </w:r>
          </w:p>
          <w:p w14:paraId="7F2396CF">
            <w:pPr>
              <w:spacing w:line="360" w:lineRule="auto"/>
              <w:ind w:firstLine="480" w:firstLineChars="200"/>
              <w:rPr>
                <w:color w:val="auto"/>
                <w:sz w:val="24"/>
              </w:rPr>
            </w:pPr>
            <w:r>
              <w:rPr>
                <w:rFonts w:hint="eastAsia"/>
                <w:color w:val="auto"/>
                <w:sz w:val="24"/>
                <w:lang w:val="en-US" w:eastAsia="zh-CN"/>
              </w:rPr>
              <w:t>本次改扩建工程</w:t>
            </w:r>
            <w:r>
              <w:rPr>
                <w:color w:val="auto"/>
                <w:sz w:val="24"/>
              </w:rPr>
              <w:t>原辅料及能源消耗见表2-</w:t>
            </w:r>
            <w:r>
              <w:rPr>
                <w:rFonts w:hint="eastAsia"/>
                <w:color w:val="auto"/>
                <w:sz w:val="24"/>
              </w:rPr>
              <w:t>2</w:t>
            </w:r>
            <w:r>
              <w:rPr>
                <w:rFonts w:hint="eastAsia"/>
                <w:color w:val="auto"/>
                <w:sz w:val="24"/>
                <w:lang w:val="en-US" w:eastAsia="zh-CN"/>
              </w:rPr>
              <w:t>0</w:t>
            </w:r>
            <w:r>
              <w:rPr>
                <w:color w:val="auto"/>
                <w:sz w:val="24"/>
              </w:rPr>
              <w:t>。</w:t>
            </w:r>
          </w:p>
          <w:p w14:paraId="65AAFD74">
            <w:pPr>
              <w:jc w:val="center"/>
              <w:rPr>
                <w:b/>
                <w:color w:val="auto"/>
                <w:sz w:val="24"/>
              </w:rPr>
            </w:pPr>
            <w:r>
              <w:rPr>
                <w:b/>
                <w:color w:val="auto"/>
                <w:sz w:val="24"/>
              </w:rPr>
              <w:t>表2-</w:t>
            </w:r>
            <w:r>
              <w:rPr>
                <w:rFonts w:hint="eastAsia"/>
                <w:b/>
                <w:color w:val="auto"/>
                <w:sz w:val="24"/>
              </w:rPr>
              <w:t>2</w:t>
            </w:r>
            <w:r>
              <w:rPr>
                <w:rFonts w:hint="eastAsia"/>
                <w:b/>
                <w:color w:val="auto"/>
                <w:sz w:val="24"/>
                <w:lang w:val="en-US" w:eastAsia="zh-CN"/>
              </w:rPr>
              <w:t>0</w:t>
            </w:r>
            <w:r>
              <w:rPr>
                <w:b/>
                <w:color w:val="auto"/>
                <w:sz w:val="24"/>
              </w:rPr>
              <w:t xml:space="preserve">  </w:t>
            </w:r>
            <w:r>
              <w:rPr>
                <w:rFonts w:hint="eastAsia"/>
                <w:b/>
                <w:color w:val="auto"/>
                <w:sz w:val="24"/>
                <w:lang w:val="en-US" w:eastAsia="zh-CN"/>
              </w:rPr>
              <w:t>本次改扩建工程</w:t>
            </w:r>
            <w:r>
              <w:rPr>
                <w:b/>
                <w:color w:val="auto"/>
                <w:sz w:val="24"/>
              </w:rPr>
              <w:t>主要原辅料及能源消耗一览表</w:t>
            </w:r>
          </w:p>
          <w:tbl>
            <w:tblPr>
              <w:tblStyle w:val="45"/>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14"/>
              <w:gridCol w:w="883"/>
              <w:gridCol w:w="1579"/>
              <w:gridCol w:w="1718"/>
              <w:gridCol w:w="3410"/>
            </w:tblGrid>
            <w:tr w14:paraId="06FD9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14" w:type="dxa"/>
                  <w:tcBorders>
                    <w:top w:val="single" w:color="000000" w:sz="4" w:space="0"/>
                    <w:left w:val="single" w:color="000000" w:sz="4" w:space="0"/>
                    <w:bottom w:val="single" w:color="000000" w:sz="4" w:space="0"/>
                    <w:right w:val="single" w:color="000000" w:sz="4" w:space="0"/>
                  </w:tcBorders>
                  <w:vAlign w:val="center"/>
                </w:tcPr>
                <w:p w14:paraId="78D4FDFC">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产品</w:t>
                  </w:r>
                </w:p>
              </w:tc>
              <w:tc>
                <w:tcPr>
                  <w:tcW w:w="883" w:type="dxa"/>
                  <w:tcBorders>
                    <w:top w:val="single" w:color="000000" w:sz="4" w:space="0"/>
                    <w:left w:val="single" w:color="000000" w:sz="4" w:space="0"/>
                    <w:bottom w:val="single" w:color="000000" w:sz="4" w:space="0"/>
                    <w:right w:val="single" w:color="000000" w:sz="4" w:space="0"/>
                  </w:tcBorders>
                  <w:vAlign w:val="center"/>
                </w:tcPr>
                <w:p w14:paraId="7B9F1B7F">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类别</w:t>
                  </w:r>
                </w:p>
              </w:tc>
              <w:tc>
                <w:tcPr>
                  <w:tcW w:w="1579" w:type="dxa"/>
                  <w:tcBorders>
                    <w:top w:val="single" w:color="000000" w:sz="4" w:space="0"/>
                    <w:left w:val="single" w:color="000000" w:sz="4" w:space="0"/>
                    <w:bottom w:val="single" w:color="000000" w:sz="4" w:space="0"/>
                    <w:right w:val="single" w:color="000000" w:sz="4" w:space="0"/>
                  </w:tcBorders>
                  <w:vAlign w:val="center"/>
                </w:tcPr>
                <w:p w14:paraId="15BC0199">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名称</w:t>
                  </w:r>
                </w:p>
              </w:tc>
              <w:tc>
                <w:tcPr>
                  <w:tcW w:w="1718" w:type="dxa"/>
                  <w:tcBorders>
                    <w:top w:val="single" w:color="000000" w:sz="4" w:space="0"/>
                    <w:left w:val="single" w:color="000000" w:sz="4" w:space="0"/>
                    <w:bottom w:val="single" w:color="000000" w:sz="4" w:space="0"/>
                    <w:right w:val="single" w:color="000000" w:sz="4" w:space="0"/>
                  </w:tcBorders>
                  <w:vAlign w:val="center"/>
                </w:tcPr>
                <w:p w14:paraId="5D706F33">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年耗量</w:t>
                  </w:r>
                </w:p>
              </w:tc>
              <w:tc>
                <w:tcPr>
                  <w:tcW w:w="3410" w:type="dxa"/>
                  <w:tcBorders>
                    <w:top w:val="single" w:color="000000" w:sz="4" w:space="0"/>
                    <w:left w:val="single" w:color="000000" w:sz="4" w:space="0"/>
                    <w:bottom w:val="single" w:color="000000" w:sz="4" w:space="0"/>
                    <w:right w:val="single" w:color="000000" w:sz="4" w:space="0"/>
                  </w:tcBorders>
                  <w:vAlign w:val="center"/>
                </w:tcPr>
                <w:p w14:paraId="7CCA0D55">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备注</w:t>
                  </w:r>
                </w:p>
              </w:tc>
            </w:tr>
            <w:tr w14:paraId="67DEF6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14" w:type="dxa"/>
                  <w:vMerge w:val="restart"/>
                  <w:tcBorders>
                    <w:top w:val="single" w:color="000000" w:sz="4" w:space="0"/>
                    <w:left w:val="single" w:color="000000" w:sz="4" w:space="0"/>
                    <w:right w:val="single" w:color="000000" w:sz="4" w:space="0"/>
                  </w:tcBorders>
                  <w:vAlign w:val="center"/>
                </w:tcPr>
                <w:p w14:paraId="581054BC">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土壤</w:t>
                  </w:r>
                  <w:r>
                    <w:rPr>
                      <w:rFonts w:hint="eastAsia" w:ascii="Times New Roman" w:hAnsi="Times New Roman"/>
                      <w:color w:val="auto"/>
                      <w:kern w:val="2"/>
                      <w:sz w:val="21"/>
                      <w:szCs w:val="21"/>
                      <w:lang w:val="en-US" w:eastAsia="zh-CN"/>
                    </w:rPr>
                    <w:t>改良</w:t>
                  </w:r>
                  <w:r>
                    <w:rPr>
                      <w:rFonts w:ascii="Times New Roman"/>
                      <w:color w:val="auto"/>
                      <w:kern w:val="2"/>
                      <w:sz w:val="21"/>
                      <w:szCs w:val="21"/>
                    </w:rPr>
                    <w:t>剂</w:t>
                  </w:r>
                </w:p>
              </w:tc>
              <w:tc>
                <w:tcPr>
                  <w:tcW w:w="883" w:type="dxa"/>
                  <w:tcBorders>
                    <w:top w:val="single" w:color="000000" w:sz="4" w:space="0"/>
                    <w:left w:val="single" w:color="000000" w:sz="4" w:space="0"/>
                    <w:right w:val="single" w:color="000000" w:sz="4" w:space="0"/>
                  </w:tcBorders>
                  <w:vAlign w:val="center"/>
                </w:tcPr>
                <w:p w14:paraId="40BBA20B">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原料</w:t>
                  </w:r>
                </w:p>
              </w:tc>
              <w:tc>
                <w:tcPr>
                  <w:tcW w:w="1579" w:type="dxa"/>
                  <w:tcBorders>
                    <w:top w:val="single" w:color="000000" w:sz="4" w:space="0"/>
                    <w:left w:val="single" w:color="000000" w:sz="4" w:space="0"/>
                    <w:bottom w:val="single" w:color="000000" w:sz="4" w:space="0"/>
                    <w:right w:val="single" w:color="000000" w:sz="4" w:space="0"/>
                  </w:tcBorders>
                  <w:vAlign w:val="center"/>
                </w:tcPr>
                <w:p w14:paraId="5819BAD3">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磷石膏</w:t>
                  </w:r>
                </w:p>
              </w:tc>
              <w:tc>
                <w:tcPr>
                  <w:tcW w:w="1718" w:type="dxa"/>
                  <w:tcBorders>
                    <w:top w:val="single" w:color="000000" w:sz="4" w:space="0"/>
                    <w:left w:val="single" w:color="000000" w:sz="4" w:space="0"/>
                    <w:bottom w:val="single" w:color="000000" w:sz="4" w:space="0"/>
                    <w:right w:val="single" w:color="000000" w:sz="4" w:space="0"/>
                  </w:tcBorders>
                  <w:vAlign w:val="center"/>
                </w:tcPr>
                <w:p w14:paraId="3628ADC0">
                  <w:pPr>
                    <w:pStyle w:val="87"/>
                    <w:adjustRightInd/>
                    <w:snapToGrid/>
                    <w:spacing w:beforeLines="0" w:afterLines="0" w:line="240" w:lineRule="auto"/>
                    <w:rPr>
                      <w:rFonts w:ascii="Times New Roman"/>
                      <w:color w:val="auto"/>
                      <w:szCs w:val="21"/>
                    </w:rPr>
                  </w:pPr>
                  <w:r>
                    <w:rPr>
                      <w:rFonts w:hint="eastAsia" w:ascii="Times New Roman"/>
                      <w:color w:val="auto"/>
                      <w:szCs w:val="21"/>
                      <w:lang w:val="en-US" w:eastAsia="zh-CN"/>
                    </w:rPr>
                    <w:t>210282.35</w:t>
                  </w:r>
                  <w:r>
                    <w:rPr>
                      <w:rFonts w:hint="eastAsia" w:ascii="Times New Roman"/>
                      <w:color w:val="auto"/>
                      <w:szCs w:val="21"/>
                    </w:rPr>
                    <w:t>t</w:t>
                  </w:r>
                </w:p>
              </w:tc>
              <w:tc>
                <w:tcPr>
                  <w:tcW w:w="3410" w:type="dxa"/>
                  <w:tcBorders>
                    <w:top w:val="single" w:color="000000" w:sz="4" w:space="0"/>
                    <w:left w:val="single" w:color="000000" w:sz="4" w:space="0"/>
                    <w:bottom w:val="single" w:color="000000" w:sz="4" w:space="0"/>
                    <w:right w:val="single" w:color="000000" w:sz="4" w:space="0"/>
                  </w:tcBorders>
                  <w:vAlign w:val="center"/>
                </w:tcPr>
                <w:p w14:paraId="1E56A9E8">
                  <w:pPr>
                    <w:pStyle w:val="87"/>
                    <w:adjustRightInd/>
                    <w:snapToGrid/>
                    <w:spacing w:beforeLines="0" w:afterLines="0" w:line="240" w:lineRule="auto"/>
                    <w:rPr>
                      <w:rFonts w:ascii="Times New Roman"/>
                      <w:color w:val="auto"/>
                      <w:kern w:val="2"/>
                      <w:sz w:val="21"/>
                      <w:szCs w:val="21"/>
                    </w:rPr>
                  </w:pPr>
                  <w:r>
                    <w:rPr>
                      <w:rFonts w:hint="eastAsia" w:asciiTheme="minorEastAsia" w:hAnsiTheme="minorEastAsia" w:cstheme="minorEastAsia"/>
                      <w:color w:val="auto"/>
                      <w:kern w:val="2"/>
                      <w:sz w:val="21"/>
                      <w:szCs w:val="21"/>
                    </w:rPr>
                    <w:t>来源于</w:t>
                  </w:r>
                  <w:r>
                    <w:rPr>
                      <w:rFonts w:hint="eastAsia" w:asciiTheme="minorEastAsia" w:hAnsiTheme="minorEastAsia" w:cstheme="minorEastAsia"/>
                      <w:color w:val="auto"/>
                      <w:kern w:val="2"/>
                      <w:sz w:val="21"/>
                      <w:szCs w:val="21"/>
                      <w:lang w:eastAsia="zh-CN"/>
                    </w:rPr>
                    <w:t>云南常青树化工有限公司</w:t>
                  </w:r>
                  <w:r>
                    <w:rPr>
                      <w:rFonts w:hint="eastAsia" w:asciiTheme="minorEastAsia" w:hAnsiTheme="minorEastAsia" w:cstheme="minorEastAsia"/>
                      <w:color w:val="auto"/>
                      <w:sz w:val="21"/>
                      <w:szCs w:val="21"/>
                    </w:rPr>
                    <w:t>磷石膏</w:t>
                  </w:r>
                  <w:r>
                    <w:rPr>
                      <w:rFonts w:hint="eastAsia" w:asciiTheme="minorEastAsia" w:hAnsiTheme="minorEastAsia" w:cstheme="minorEastAsia"/>
                      <w:color w:val="auto"/>
                      <w:sz w:val="21"/>
                      <w:szCs w:val="21"/>
                      <w:lang w:val="en-US" w:eastAsia="zh-CN"/>
                    </w:rPr>
                    <w:t>渣场</w:t>
                  </w:r>
                </w:p>
              </w:tc>
            </w:tr>
            <w:tr w14:paraId="70965F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14" w:type="dxa"/>
                  <w:vMerge w:val="continue"/>
                  <w:tcBorders>
                    <w:left w:val="single" w:color="000000" w:sz="4" w:space="0"/>
                    <w:right w:val="single" w:color="000000" w:sz="4" w:space="0"/>
                  </w:tcBorders>
                  <w:vAlign w:val="center"/>
                </w:tcPr>
                <w:p w14:paraId="2C072A58">
                  <w:pPr>
                    <w:pStyle w:val="87"/>
                    <w:adjustRightInd/>
                    <w:snapToGrid/>
                    <w:spacing w:beforeLines="0" w:afterLines="0" w:line="240" w:lineRule="auto"/>
                    <w:rPr>
                      <w:rFonts w:ascii="Times New Roman"/>
                      <w:color w:val="auto"/>
                      <w:kern w:val="2"/>
                      <w:sz w:val="21"/>
                      <w:szCs w:val="21"/>
                    </w:rPr>
                  </w:pPr>
                </w:p>
              </w:tc>
              <w:tc>
                <w:tcPr>
                  <w:tcW w:w="883" w:type="dxa"/>
                  <w:tcBorders>
                    <w:left w:val="single" w:color="000000" w:sz="4" w:space="0"/>
                    <w:right w:val="single" w:color="000000" w:sz="4" w:space="0"/>
                  </w:tcBorders>
                  <w:vAlign w:val="center"/>
                </w:tcPr>
                <w:p w14:paraId="0439FC37">
                  <w:pPr>
                    <w:pStyle w:val="87"/>
                    <w:adjustRightInd/>
                    <w:snapToGrid/>
                    <w:spacing w:beforeLines="0" w:afterLines="0" w:line="240" w:lineRule="auto"/>
                    <w:rPr>
                      <w:rFonts w:ascii="Times New Roman"/>
                      <w:color w:val="auto"/>
                      <w:kern w:val="2"/>
                      <w:sz w:val="21"/>
                      <w:szCs w:val="21"/>
                    </w:rPr>
                  </w:pPr>
                  <w:r>
                    <w:rPr>
                      <w:rFonts w:hint="eastAsia" w:ascii="Times New Roman"/>
                      <w:color w:val="auto"/>
                      <w:kern w:val="2"/>
                      <w:sz w:val="21"/>
                      <w:szCs w:val="21"/>
                    </w:rPr>
                    <w:t>辅料</w:t>
                  </w:r>
                </w:p>
              </w:tc>
              <w:tc>
                <w:tcPr>
                  <w:tcW w:w="1579" w:type="dxa"/>
                  <w:tcBorders>
                    <w:top w:val="single" w:color="000000" w:sz="4" w:space="0"/>
                    <w:left w:val="single" w:color="000000" w:sz="4" w:space="0"/>
                    <w:bottom w:val="single" w:color="000000" w:sz="4" w:space="0"/>
                    <w:right w:val="single" w:color="000000" w:sz="4" w:space="0"/>
                  </w:tcBorders>
                  <w:vAlign w:val="center"/>
                </w:tcPr>
                <w:p w14:paraId="2384EA32">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生石灰</w:t>
                  </w:r>
                </w:p>
              </w:tc>
              <w:tc>
                <w:tcPr>
                  <w:tcW w:w="1718" w:type="dxa"/>
                  <w:tcBorders>
                    <w:top w:val="single" w:color="000000" w:sz="4" w:space="0"/>
                    <w:left w:val="single" w:color="000000" w:sz="4" w:space="0"/>
                    <w:bottom w:val="single" w:color="000000" w:sz="4" w:space="0"/>
                    <w:right w:val="single" w:color="000000" w:sz="4" w:space="0"/>
                  </w:tcBorders>
                  <w:vAlign w:val="center"/>
                </w:tcPr>
                <w:p w14:paraId="7A568C11">
                  <w:pPr>
                    <w:pStyle w:val="87"/>
                    <w:adjustRightInd/>
                    <w:snapToGrid/>
                    <w:spacing w:beforeLines="0" w:afterLines="0" w:line="240" w:lineRule="auto"/>
                    <w:rPr>
                      <w:rFonts w:ascii="Times New Roman"/>
                      <w:color w:val="auto"/>
                      <w:szCs w:val="21"/>
                    </w:rPr>
                  </w:pPr>
                  <w:r>
                    <w:rPr>
                      <w:rFonts w:hint="eastAsia" w:ascii="Times New Roman"/>
                      <w:color w:val="auto"/>
                      <w:szCs w:val="21"/>
                      <w:lang w:val="en-US" w:eastAsia="zh-CN"/>
                    </w:rPr>
                    <w:t>1400</w:t>
                  </w:r>
                  <w:r>
                    <w:rPr>
                      <w:rFonts w:hint="eastAsia" w:ascii="Times New Roman"/>
                      <w:color w:val="auto"/>
                      <w:szCs w:val="21"/>
                    </w:rPr>
                    <w:t>t</w:t>
                  </w:r>
                </w:p>
              </w:tc>
              <w:tc>
                <w:tcPr>
                  <w:tcW w:w="3410" w:type="dxa"/>
                  <w:tcBorders>
                    <w:top w:val="single" w:color="000000" w:sz="4" w:space="0"/>
                    <w:left w:val="single" w:color="000000" w:sz="4" w:space="0"/>
                    <w:bottom w:val="single" w:color="000000" w:sz="4" w:space="0"/>
                    <w:right w:val="single" w:color="000000" w:sz="4" w:space="0"/>
                  </w:tcBorders>
                  <w:vAlign w:val="center"/>
                </w:tcPr>
                <w:p w14:paraId="3535E59F">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外购，槽罐车运送</w:t>
                  </w:r>
                </w:p>
              </w:tc>
            </w:tr>
            <w:tr w14:paraId="4B583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14" w:type="dxa"/>
                  <w:vMerge w:val="restart"/>
                  <w:tcBorders>
                    <w:top w:val="single" w:color="000000" w:sz="4" w:space="0"/>
                    <w:left w:val="single" w:color="000000" w:sz="4" w:space="0"/>
                    <w:right w:val="single" w:color="000000" w:sz="4" w:space="0"/>
                  </w:tcBorders>
                  <w:vAlign w:val="center"/>
                </w:tcPr>
                <w:p w14:paraId="353817BE">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路基材料</w:t>
                  </w:r>
                </w:p>
              </w:tc>
              <w:tc>
                <w:tcPr>
                  <w:tcW w:w="883" w:type="dxa"/>
                  <w:tcBorders>
                    <w:top w:val="single" w:color="000000" w:sz="4" w:space="0"/>
                    <w:left w:val="single" w:color="000000" w:sz="4" w:space="0"/>
                    <w:right w:val="single" w:color="000000" w:sz="4" w:space="0"/>
                  </w:tcBorders>
                  <w:vAlign w:val="center"/>
                </w:tcPr>
                <w:p w14:paraId="6EC9389C">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原料</w:t>
                  </w:r>
                </w:p>
              </w:tc>
              <w:tc>
                <w:tcPr>
                  <w:tcW w:w="1579" w:type="dxa"/>
                  <w:tcBorders>
                    <w:top w:val="single" w:color="000000" w:sz="4" w:space="0"/>
                    <w:left w:val="single" w:color="000000" w:sz="4" w:space="0"/>
                    <w:bottom w:val="single" w:color="000000" w:sz="4" w:space="0"/>
                    <w:right w:val="single" w:color="000000" w:sz="4" w:space="0"/>
                  </w:tcBorders>
                  <w:vAlign w:val="center"/>
                </w:tcPr>
                <w:p w14:paraId="7A6178B2">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磷石膏</w:t>
                  </w:r>
                </w:p>
              </w:tc>
              <w:tc>
                <w:tcPr>
                  <w:tcW w:w="1718" w:type="dxa"/>
                  <w:tcBorders>
                    <w:top w:val="single" w:color="000000" w:sz="4" w:space="0"/>
                    <w:left w:val="single" w:color="000000" w:sz="4" w:space="0"/>
                    <w:bottom w:val="single" w:color="000000" w:sz="4" w:space="0"/>
                    <w:right w:val="single" w:color="000000" w:sz="4" w:space="0"/>
                  </w:tcBorders>
                  <w:vAlign w:val="center"/>
                </w:tcPr>
                <w:p w14:paraId="586B9D7A">
                  <w:pPr>
                    <w:pStyle w:val="87"/>
                    <w:adjustRightInd/>
                    <w:snapToGrid/>
                    <w:spacing w:beforeLines="0" w:afterLines="0" w:line="240" w:lineRule="auto"/>
                    <w:rPr>
                      <w:rFonts w:ascii="Times New Roman"/>
                      <w:color w:val="auto"/>
                      <w:szCs w:val="21"/>
                    </w:rPr>
                  </w:pPr>
                  <w:r>
                    <w:rPr>
                      <w:rFonts w:hint="eastAsia" w:ascii="Times New Roman"/>
                      <w:color w:val="auto"/>
                      <w:szCs w:val="21"/>
                      <w:lang w:val="en-US" w:eastAsia="zh-CN"/>
                    </w:rPr>
                    <w:t>157235.29</w:t>
                  </w:r>
                  <w:r>
                    <w:rPr>
                      <w:rFonts w:hint="eastAsia" w:ascii="Times New Roman"/>
                      <w:color w:val="auto"/>
                      <w:szCs w:val="21"/>
                    </w:rPr>
                    <w:t>t</w:t>
                  </w:r>
                </w:p>
              </w:tc>
              <w:tc>
                <w:tcPr>
                  <w:tcW w:w="3410" w:type="dxa"/>
                  <w:tcBorders>
                    <w:top w:val="single" w:color="000000" w:sz="4" w:space="0"/>
                    <w:left w:val="single" w:color="000000" w:sz="4" w:space="0"/>
                    <w:bottom w:val="single" w:color="000000" w:sz="4" w:space="0"/>
                    <w:right w:val="single" w:color="000000" w:sz="4" w:space="0"/>
                  </w:tcBorders>
                  <w:vAlign w:val="center"/>
                </w:tcPr>
                <w:p w14:paraId="59E75FBF">
                  <w:pPr>
                    <w:pStyle w:val="87"/>
                    <w:adjustRightInd/>
                    <w:snapToGrid/>
                    <w:spacing w:beforeLines="0" w:afterLines="0" w:line="240" w:lineRule="auto"/>
                    <w:rPr>
                      <w:rFonts w:ascii="Times New Roman"/>
                      <w:color w:val="auto"/>
                      <w:kern w:val="2"/>
                      <w:sz w:val="21"/>
                      <w:szCs w:val="21"/>
                    </w:rPr>
                  </w:pPr>
                  <w:r>
                    <w:rPr>
                      <w:rFonts w:hint="eastAsia" w:asciiTheme="minorEastAsia" w:hAnsiTheme="minorEastAsia" w:cstheme="minorEastAsia"/>
                      <w:color w:val="auto"/>
                      <w:kern w:val="2"/>
                      <w:sz w:val="21"/>
                      <w:szCs w:val="21"/>
                    </w:rPr>
                    <w:t>来源于</w:t>
                  </w:r>
                  <w:r>
                    <w:rPr>
                      <w:rFonts w:hint="eastAsia" w:asciiTheme="minorEastAsia" w:hAnsiTheme="minorEastAsia" w:cstheme="minorEastAsia"/>
                      <w:color w:val="auto"/>
                      <w:kern w:val="2"/>
                      <w:sz w:val="21"/>
                      <w:szCs w:val="21"/>
                      <w:lang w:eastAsia="zh-CN"/>
                    </w:rPr>
                    <w:t>云南常青树化工有限公司</w:t>
                  </w:r>
                  <w:r>
                    <w:rPr>
                      <w:rFonts w:hint="eastAsia" w:asciiTheme="minorEastAsia" w:hAnsiTheme="minorEastAsia" w:cstheme="minorEastAsia"/>
                      <w:color w:val="auto"/>
                      <w:sz w:val="21"/>
                      <w:szCs w:val="21"/>
                    </w:rPr>
                    <w:t>磷石膏</w:t>
                  </w:r>
                  <w:r>
                    <w:rPr>
                      <w:rFonts w:hint="eastAsia" w:asciiTheme="minorEastAsia" w:hAnsiTheme="minorEastAsia" w:cstheme="minorEastAsia"/>
                      <w:color w:val="auto"/>
                      <w:sz w:val="21"/>
                      <w:szCs w:val="21"/>
                      <w:lang w:val="en-US" w:eastAsia="zh-CN"/>
                    </w:rPr>
                    <w:t>渣场</w:t>
                  </w:r>
                </w:p>
              </w:tc>
            </w:tr>
            <w:tr w14:paraId="1294E6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14" w:type="dxa"/>
                  <w:vMerge w:val="continue"/>
                  <w:tcBorders>
                    <w:left w:val="single" w:color="000000" w:sz="4" w:space="0"/>
                    <w:right w:val="single" w:color="000000" w:sz="4" w:space="0"/>
                  </w:tcBorders>
                  <w:vAlign w:val="center"/>
                </w:tcPr>
                <w:p w14:paraId="485982CA">
                  <w:pPr>
                    <w:pStyle w:val="87"/>
                    <w:adjustRightInd/>
                    <w:snapToGrid/>
                    <w:spacing w:beforeLines="0" w:afterLines="0" w:line="240" w:lineRule="auto"/>
                    <w:rPr>
                      <w:rFonts w:ascii="Times New Roman"/>
                      <w:color w:val="auto"/>
                      <w:kern w:val="2"/>
                      <w:sz w:val="21"/>
                      <w:szCs w:val="21"/>
                    </w:rPr>
                  </w:pPr>
                </w:p>
              </w:tc>
              <w:tc>
                <w:tcPr>
                  <w:tcW w:w="883" w:type="dxa"/>
                  <w:vMerge w:val="restart"/>
                  <w:tcBorders>
                    <w:top w:val="single" w:color="000000" w:sz="4" w:space="0"/>
                    <w:left w:val="single" w:color="000000" w:sz="4" w:space="0"/>
                    <w:right w:val="single" w:color="000000" w:sz="4" w:space="0"/>
                  </w:tcBorders>
                  <w:vAlign w:val="center"/>
                </w:tcPr>
                <w:p w14:paraId="3F2AE141">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辅料</w:t>
                  </w:r>
                </w:p>
              </w:tc>
              <w:tc>
                <w:tcPr>
                  <w:tcW w:w="1579" w:type="dxa"/>
                  <w:tcBorders>
                    <w:top w:val="single" w:color="000000" w:sz="4" w:space="0"/>
                    <w:left w:val="single" w:color="000000" w:sz="4" w:space="0"/>
                    <w:bottom w:val="single" w:color="000000" w:sz="4" w:space="0"/>
                    <w:right w:val="single" w:color="000000" w:sz="4" w:space="0"/>
                  </w:tcBorders>
                  <w:vAlign w:val="center"/>
                </w:tcPr>
                <w:p w14:paraId="5E2F6A4C">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电石渣</w:t>
                  </w:r>
                </w:p>
              </w:tc>
              <w:tc>
                <w:tcPr>
                  <w:tcW w:w="1718" w:type="dxa"/>
                  <w:tcBorders>
                    <w:top w:val="single" w:color="000000" w:sz="4" w:space="0"/>
                    <w:left w:val="single" w:color="000000" w:sz="4" w:space="0"/>
                    <w:bottom w:val="single" w:color="000000" w:sz="4" w:space="0"/>
                    <w:right w:val="single" w:color="000000" w:sz="4" w:space="0"/>
                  </w:tcBorders>
                  <w:vAlign w:val="center"/>
                </w:tcPr>
                <w:p w14:paraId="08127B5D">
                  <w:pPr>
                    <w:pStyle w:val="87"/>
                    <w:adjustRightInd/>
                    <w:snapToGrid/>
                    <w:spacing w:beforeLines="0" w:afterLines="0" w:line="240" w:lineRule="auto"/>
                    <w:rPr>
                      <w:rFonts w:ascii="Times New Roman"/>
                      <w:color w:val="auto"/>
                      <w:szCs w:val="21"/>
                    </w:rPr>
                  </w:pPr>
                  <w:r>
                    <w:rPr>
                      <w:rFonts w:hint="eastAsia" w:ascii="Times New Roman"/>
                      <w:color w:val="auto"/>
                      <w:szCs w:val="21"/>
                      <w:lang w:val="en-US" w:eastAsia="zh-CN"/>
                    </w:rPr>
                    <w:t>750</w:t>
                  </w:r>
                  <w:r>
                    <w:rPr>
                      <w:rFonts w:hint="eastAsia" w:ascii="Times New Roman"/>
                      <w:color w:val="auto"/>
                      <w:szCs w:val="21"/>
                    </w:rPr>
                    <w:t>t</w:t>
                  </w:r>
                </w:p>
              </w:tc>
              <w:tc>
                <w:tcPr>
                  <w:tcW w:w="3410" w:type="dxa"/>
                  <w:tcBorders>
                    <w:top w:val="single" w:color="000000" w:sz="4" w:space="0"/>
                    <w:left w:val="single" w:color="000000" w:sz="4" w:space="0"/>
                    <w:bottom w:val="single" w:color="000000" w:sz="4" w:space="0"/>
                    <w:right w:val="single" w:color="000000" w:sz="4" w:space="0"/>
                  </w:tcBorders>
                  <w:vAlign w:val="center"/>
                </w:tcPr>
                <w:p w14:paraId="5DBA104A">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外购于</w:t>
                  </w:r>
                  <w:r>
                    <w:rPr>
                      <w:rFonts w:ascii="Times New Roman"/>
                      <w:color w:val="auto"/>
                      <w:kern w:val="2"/>
                      <w:sz w:val="21"/>
                      <w:szCs w:val="21"/>
                      <w:highlight w:val="none"/>
                    </w:rPr>
                    <w:t>南磷集团</w:t>
                  </w:r>
                </w:p>
              </w:tc>
            </w:tr>
            <w:tr w14:paraId="37EA98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14" w:type="dxa"/>
                  <w:vMerge w:val="continue"/>
                  <w:tcBorders>
                    <w:left w:val="single" w:color="000000" w:sz="4" w:space="0"/>
                    <w:right w:val="single" w:color="000000" w:sz="4" w:space="0"/>
                  </w:tcBorders>
                  <w:vAlign w:val="center"/>
                </w:tcPr>
                <w:p w14:paraId="1142E7D2">
                  <w:pPr>
                    <w:pStyle w:val="87"/>
                    <w:adjustRightInd/>
                    <w:snapToGrid/>
                    <w:spacing w:beforeLines="0" w:afterLines="0" w:line="240" w:lineRule="auto"/>
                    <w:rPr>
                      <w:rFonts w:ascii="Times New Roman"/>
                      <w:color w:val="auto"/>
                      <w:kern w:val="2"/>
                      <w:sz w:val="21"/>
                      <w:szCs w:val="21"/>
                    </w:rPr>
                  </w:pPr>
                </w:p>
              </w:tc>
              <w:tc>
                <w:tcPr>
                  <w:tcW w:w="883" w:type="dxa"/>
                  <w:vMerge w:val="continue"/>
                  <w:tcBorders>
                    <w:left w:val="single" w:color="000000" w:sz="4" w:space="0"/>
                    <w:right w:val="single" w:color="000000" w:sz="4" w:space="0"/>
                  </w:tcBorders>
                  <w:vAlign w:val="center"/>
                </w:tcPr>
                <w:p w14:paraId="0F1BBE1F">
                  <w:pPr>
                    <w:pStyle w:val="87"/>
                    <w:adjustRightInd/>
                    <w:snapToGrid/>
                    <w:spacing w:beforeLines="0" w:afterLines="0" w:line="240" w:lineRule="auto"/>
                    <w:rPr>
                      <w:rFonts w:ascii="Times New Roman"/>
                      <w:color w:val="auto"/>
                      <w:kern w:val="2"/>
                      <w:sz w:val="21"/>
                      <w:szCs w:val="21"/>
                    </w:rPr>
                  </w:pPr>
                </w:p>
              </w:tc>
              <w:tc>
                <w:tcPr>
                  <w:tcW w:w="1579" w:type="dxa"/>
                  <w:tcBorders>
                    <w:top w:val="single" w:color="000000" w:sz="4" w:space="0"/>
                    <w:left w:val="single" w:color="000000" w:sz="4" w:space="0"/>
                    <w:bottom w:val="single" w:color="000000" w:sz="4" w:space="0"/>
                    <w:right w:val="single" w:color="000000" w:sz="4" w:space="0"/>
                  </w:tcBorders>
                  <w:vAlign w:val="center"/>
                </w:tcPr>
                <w:p w14:paraId="5F077910">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生石灰</w:t>
                  </w:r>
                </w:p>
              </w:tc>
              <w:tc>
                <w:tcPr>
                  <w:tcW w:w="1718" w:type="dxa"/>
                  <w:tcBorders>
                    <w:top w:val="single" w:color="000000" w:sz="4" w:space="0"/>
                    <w:left w:val="single" w:color="000000" w:sz="4" w:space="0"/>
                    <w:bottom w:val="single" w:color="000000" w:sz="4" w:space="0"/>
                    <w:right w:val="single" w:color="000000" w:sz="4" w:space="0"/>
                  </w:tcBorders>
                  <w:vAlign w:val="center"/>
                </w:tcPr>
                <w:p w14:paraId="46F6CAB2">
                  <w:pPr>
                    <w:pStyle w:val="87"/>
                    <w:adjustRightInd/>
                    <w:snapToGrid/>
                    <w:spacing w:beforeLines="0" w:afterLines="0" w:line="240" w:lineRule="auto"/>
                    <w:rPr>
                      <w:rFonts w:ascii="Times New Roman"/>
                      <w:color w:val="auto"/>
                      <w:szCs w:val="21"/>
                    </w:rPr>
                  </w:pPr>
                  <w:r>
                    <w:rPr>
                      <w:rFonts w:hint="eastAsia" w:ascii="Times New Roman"/>
                      <w:color w:val="auto"/>
                      <w:szCs w:val="21"/>
                      <w:lang w:val="en-US" w:eastAsia="zh-CN"/>
                    </w:rPr>
                    <w:t>750</w:t>
                  </w:r>
                  <w:r>
                    <w:rPr>
                      <w:rFonts w:hint="eastAsia" w:ascii="Times New Roman"/>
                      <w:color w:val="auto"/>
                      <w:szCs w:val="21"/>
                    </w:rPr>
                    <w:t>t</w:t>
                  </w:r>
                </w:p>
              </w:tc>
              <w:tc>
                <w:tcPr>
                  <w:tcW w:w="3410" w:type="dxa"/>
                  <w:tcBorders>
                    <w:top w:val="single" w:color="000000" w:sz="4" w:space="0"/>
                    <w:left w:val="single" w:color="000000" w:sz="4" w:space="0"/>
                    <w:bottom w:val="single" w:color="000000" w:sz="4" w:space="0"/>
                    <w:right w:val="single" w:color="000000" w:sz="4" w:space="0"/>
                  </w:tcBorders>
                  <w:vAlign w:val="center"/>
                </w:tcPr>
                <w:p w14:paraId="44C2F27A">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外购，槽罐车运送</w:t>
                  </w:r>
                </w:p>
              </w:tc>
            </w:tr>
            <w:tr w14:paraId="1E5EA1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14" w:type="dxa"/>
                  <w:vMerge w:val="restart"/>
                  <w:tcBorders>
                    <w:top w:val="single" w:color="000000" w:sz="4" w:space="0"/>
                    <w:left w:val="single" w:color="000000" w:sz="4" w:space="0"/>
                    <w:right w:val="single" w:color="000000" w:sz="4" w:space="0"/>
                  </w:tcBorders>
                  <w:vAlign w:val="center"/>
                </w:tcPr>
                <w:p w14:paraId="5389BB69">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生态修复材料</w:t>
                  </w:r>
                </w:p>
              </w:tc>
              <w:tc>
                <w:tcPr>
                  <w:tcW w:w="883" w:type="dxa"/>
                  <w:tcBorders>
                    <w:top w:val="single" w:color="000000" w:sz="4" w:space="0"/>
                    <w:left w:val="single" w:color="000000" w:sz="4" w:space="0"/>
                    <w:right w:val="single" w:color="000000" w:sz="4" w:space="0"/>
                  </w:tcBorders>
                  <w:vAlign w:val="center"/>
                </w:tcPr>
                <w:p w14:paraId="4127A167">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原料</w:t>
                  </w:r>
                </w:p>
              </w:tc>
              <w:tc>
                <w:tcPr>
                  <w:tcW w:w="1579" w:type="dxa"/>
                  <w:tcBorders>
                    <w:top w:val="single" w:color="000000" w:sz="4" w:space="0"/>
                    <w:left w:val="single" w:color="000000" w:sz="4" w:space="0"/>
                    <w:bottom w:val="single" w:color="000000" w:sz="4" w:space="0"/>
                    <w:right w:val="single" w:color="000000" w:sz="4" w:space="0"/>
                  </w:tcBorders>
                  <w:vAlign w:val="center"/>
                </w:tcPr>
                <w:p w14:paraId="1E8456A5">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磷石膏</w:t>
                  </w:r>
                </w:p>
              </w:tc>
              <w:tc>
                <w:tcPr>
                  <w:tcW w:w="1718" w:type="dxa"/>
                  <w:tcBorders>
                    <w:top w:val="single" w:color="000000" w:sz="4" w:space="0"/>
                    <w:left w:val="single" w:color="000000" w:sz="4" w:space="0"/>
                    <w:bottom w:val="single" w:color="000000" w:sz="4" w:space="0"/>
                    <w:right w:val="single" w:color="000000" w:sz="4" w:space="0"/>
                  </w:tcBorders>
                  <w:vAlign w:val="center"/>
                </w:tcPr>
                <w:p w14:paraId="07B08861">
                  <w:pPr>
                    <w:pStyle w:val="87"/>
                    <w:adjustRightInd/>
                    <w:snapToGrid/>
                    <w:spacing w:beforeLines="0" w:afterLines="0" w:line="240" w:lineRule="auto"/>
                    <w:rPr>
                      <w:rFonts w:ascii="Times New Roman"/>
                      <w:color w:val="auto"/>
                      <w:szCs w:val="21"/>
                    </w:rPr>
                  </w:pPr>
                  <w:r>
                    <w:rPr>
                      <w:rFonts w:hint="eastAsia" w:ascii="Times New Roman"/>
                      <w:color w:val="auto"/>
                      <w:szCs w:val="21"/>
                      <w:lang w:val="en-US" w:eastAsia="zh-CN"/>
                    </w:rPr>
                    <w:t>156441.18</w:t>
                  </w:r>
                  <w:r>
                    <w:rPr>
                      <w:rFonts w:hint="eastAsia" w:ascii="Times New Roman"/>
                      <w:color w:val="auto"/>
                      <w:szCs w:val="21"/>
                    </w:rPr>
                    <w:t>t</w:t>
                  </w:r>
                </w:p>
              </w:tc>
              <w:tc>
                <w:tcPr>
                  <w:tcW w:w="3410" w:type="dxa"/>
                  <w:tcBorders>
                    <w:top w:val="single" w:color="000000" w:sz="4" w:space="0"/>
                    <w:left w:val="single" w:color="000000" w:sz="4" w:space="0"/>
                    <w:bottom w:val="single" w:color="000000" w:sz="4" w:space="0"/>
                    <w:right w:val="single" w:color="000000" w:sz="4" w:space="0"/>
                  </w:tcBorders>
                  <w:vAlign w:val="center"/>
                </w:tcPr>
                <w:p w14:paraId="396EEEBE">
                  <w:pPr>
                    <w:pStyle w:val="87"/>
                    <w:adjustRightInd/>
                    <w:snapToGrid/>
                    <w:spacing w:beforeLines="0" w:afterLines="0" w:line="240" w:lineRule="auto"/>
                    <w:rPr>
                      <w:rFonts w:ascii="Times New Roman"/>
                      <w:color w:val="auto"/>
                      <w:kern w:val="2"/>
                      <w:sz w:val="21"/>
                      <w:szCs w:val="21"/>
                    </w:rPr>
                  </w:pPr>
                  <w:r>
                    <w:rPr>
                      <w:rFonts w:hint="eastAsia" w:asciiTheme="minorEastAsia" w:hAnsiTheme="minorEastAsia" w:cstheme="minorEastAsia"/>
                      <w:color w:val="auto"/>
                      <w:kern w:val="2"/>
                      <w:sz w:val="21"/>
                      <w:szCs w:val="21"/>
                    </w:rPr>
                    <w:t>来源于</w:t>
                  </w:r>
                  <w:r>
                    <w:rPr>
                      <w:rFonts w:hint="eastAsia" w:asciiTheme="minorEastAsia" w:hAnsiTheme="minorEastAsia" w:cstheme="minorEastAsia"/>
                      <w:color w:val="auto"/>
                      <w:kern w:val="2"/>
                      <w:sz w:val="21"/>
                      <w:szCs w:val="21"/>
                      <w:lang w:eastAsia="zh-CN"/>
                    </w:rPr>
                    <w:t>云南常青树化工有限公司</w:t>
                  </w:r>
                  <w:r>
                    <w:rPr>
                      <w:rFonts w:hint="eastAsia" w:asciiTheme="minorEastAsia" w:hAnsiTheme="minorEastAsia" w:cstheme="minorEastAsia"/>
                      <w:color w:val="auto"/>
                      <w:sz w:val="21"/>
                      <w:szCs w:val="21"/>
                    </w:rPr>
                    <w:t>磷石膏</w:t>
                  </w:r>
                  <w:r>
                    <w:rPr>
                      <w:rFonts w:hint="eastAsia" w:asciiTheme="minorEastAsia" w:hAnsiTheme="minorEastAsia" w:cstheme="minorEastAsia"/>
                      <w:color w:val="auto"/>
                      <w:sz w:val="21"/>
                      <w:szCs w:val="21"/>
                      <w:lang w:val="en-US" w:eastAsia="zh-CN"/>
                    </w:rPr>
                    <w:t>渣场</w:t>
                  </w:r>
                </w:p>
              </w:tc>
            </w:tr>
            <w:tr w14:paraId="04FCCF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14" w:type="dxa"/>
                  <w:vMerge w:val="continue"/>
                  <w:tcBorders>
                    <w:left w:val="single" w:color="000000" w:sz="4" w:space="0"/>
                    <w:right w:val="single" w:color="000000" w:sz="4" w:space="0"/>
                  </w:tcBorders>
                  <w:vAlign w:val="center"/>
                </w:tcPr>
                <w:p w14:paraId="4ED67422">
                  <w:pPr>
                    <w:pStyle w:val="87"/>
                    <w:adjustRightInd/>
                    <w:snapToGrid/>
                    <w:spacing w:beforeLines="0" w:afterLines="0" w:line="240" w:lineRule="auto"/>
                    <w:rPr>
                      <w:rFonts w:ascii="Times New Roman"/>
                      <w:color w:val="auto"/>
                      <w:kern w:val="2"/>
                      <w:sz w:val="21"/>
                      <w:szCs w:val="21"/>
                    </w:rPr>
                  </w:pPr>
                </w:p>
              </w:tc>
              <w:tc>
                <w:tcPr>
                  <w:tcW w:w="883" w:type="dxa"/>
                  <w:tcBorders>
                    <w:top w:val="single" w:color="000000" w:sz="4" w:space="0"/>
                    <w:left w:val="single" w:color="000000" w:sz="4" w:space="0"/>
                    <w:right w:val="single" w:color="000000" w:sz="4" w:space="0"/>
                  </w:tcBorders>
                  <w:vAlign w:val="center"/>
                </w:tcPr>
                <w:p w14:paraId="47403F45">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辅料</w:t>
                  </w:r>
                </w:p>
              </w:tc>
              <w:tc>
                <w:tcPr>
                  <w:tcW w:w="1579" w:type="dxa"/>
                  <w:tcBorders>
                    <w:top w:val="single" w:color="000000" w:sz="4" w:space="0"/>
                    <w:left w:val="single" w:color="000000" w:sz="4" w:space="0"/>
                    <w:bottom w:val="single" w:color="000000" w:sz="4" w:space="0"/>
                    <w:right w:val="single" w:color="000000" w:sz="4" w:space="0"/>
                  </w:tcBorders>
                  <w:vAlign w:val="center"/>
                </w:tcPr>
                <w:p w14:paraId="7A2DAECE">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电石渣</w:t>
                  </w:r>
                </w:p>
              </w:tc>
              <w:tc>
                <w:tcPr>
                  <w:tcW w:w="1718" w:type="dxa"/>
                  <w:tcBorders>
                    <w:top w:val="single" w:color="000000" w:sz="4" w:space="0"/>
                    <w:left w:val="single" w:color="000000" w:sz="4" w:space="0"/>
                    <w:bottom w:val="single" w:color="000000" w:sz="4" w:space="0"/>
                    <w:right w:val="single" w:color="000000" w:sz="4" w:space="0"/>
                  </w:tcBorders>
                  <w:vAlign w:val="center"/>
                </w:tcPr>
                <w:p w14:paraId="1B0993D7">
                  <w:pPr>
                    <w:pStyle w:val="87"/>
                    <w:adjustRightInd/>
                    <w:snapToGrid/>
                    <w:spacing w:beforeLines="0" w:afterLines="0" w:line="240" w:lineRule="auto"/>
                    <w:rPr>
                      <w:rFonts w:ascii="Times New Roman"/>
                      <w:color w:val="auto"/>
                      <w:szCs w:val="21"/>
                    </w:rPr>
                  </w:pPr>
                  <w:r>
                    <w:rPr>
                      <w:rFonts w:hint="eastAsia" w:ascii="Times New Roman"/>
                      <w:color w:val="auto"/>
                      <w:szCs w:val="21"/>
                      <w:lang w:val="en-US" w:eastAsia="zh-CN"/>
                    </w:rPr>
                    <w:t>2250</w:t>
                  </w:r>
                  <w:r>
                    <w:rPr>
                      <w:rFonts w:hint="eastAsia" w:ascii="Times New Roman"/>
                      <w:color w:val="auto"/>
                      <w:szCs w:val="21"/>
                    </w:rPr>
                    <w:t>t</w:t>
                  </w:r>
                </w:p>
              </w:tc>
              <w:tc>
                <w:tcPr>
                  <w:tcW w:w="3410" w:type="dxa"/>
                  <w:tcBorders>
                    <w:top w:val="single" w:color="000000" w:sz="4" w:space="0"/>
                    <w:left w:val="single" w:color="000000" w:sz="4" w:space="0"/>
                    <w:bottom w:val="single" w:color="000000" w:sz="4" w:space="0"/>
                    <w:right w:val="single" w:color="000000" w:sz="4" w:space="0"/>
                  </w:tcBorders>
                  <w:vAlign w:val="center"/>
                </w:tcPr>
                <w:p w14:paraId="4C6F9242">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外购于</w:t>
                  </w:r>
                  <w:r>
                    <w:rPr>
                      <w:rFonts w:ascii="Times New Roman"/>
                      <w:color w:val="auto"/>
                      <w:kern w:val="2"/>
                      <w:sz w:val="21"/>
                      <w:szCs w:val="21"/>
                      <w:highlight w:val="none"/>
                    </w:rPr>
                    <w:t>南磷集团</w:t>
                  </w:r>
                </w:p>
              </w:tc>
            </w:tr>
            <w:tr w14:paraId="540F2D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97" w:type="dxa"/>
                  <w:gridSpan w:val="2"/>
                  <w:tcBorders>
                    <w:top w:val="single" w:color="000000" w:sz="4" w:space="0"/>
                    <w:left w:val="single" w:color="000000" w:sz="4" w:space="0"/>
                    <w:right w:val="single" w:color="000000" w:sz="4" w:space="0"/>
                  </w:tcBorders>
                  <w:vAlign w:val="center"/>
                </w:tcPr>
                <w:p w14:paraId="265FD916">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能源</w:t>
                  </w:r>
                </w:p>
              </w:tc>
              <w:tc>
                <w:tcPr>
                  <w:tcW w:w="1579" w:type="dxa"/>
                  <w:tcBorders>
                    <w:top w:val="single" w:color="000000" w:sz="4" w:space="0"/>
                    <w:left w:val="single" w:color="000000" w:sz="4" w:space="0"/>
                    <w:bottom w:val="single" w:color="000000" w:sz="4" w:space="0"/>
                    <w:right w:val="single" w:color="000000" w:sz="4" w:space="0"/>
                  </w:tcBorders>
                  <w:vAlign w:val="center"/>
                </w:tcPr>
                <w:p w14:paraId="5E01FCF7">
                  <w:pPr>
                    <w:jc w:val="center"/>
                    <w:rPr>
                      <w:color w:val="auto"/>
                      <w:sz w:val="21"/>
                      <w:szCs w:val="21"/>
                    </w:rPr>
                  </w:pPr>
                  <w:r>
                    <w:rPr>
                      <w:color w:val="auto"/>
                      <w:sz w:val="21"/>
                      <w:szCs w:val="21"/>
                      <w:highlight w:val="none"/>
                    </w:rPr>
                    <w:t>电</w:t>
                  </w:r>
                </w:p>
              </w:tc>
              <w:tc>
                <w:tcPr>
                  <w:tcW w:w="1718" w:type="dxa"/>
                  <w:tcBorders>
                    <w:top w:val="single" w:color="000000" w:sz="4" w:space="0"/>
                    <w:left w:val="single" w:color="000000" w:sz="4" w:space="0"/>
                    <w:bottom w:val="single" w:color="000000" w:sz="4" w:space="0"/>
                    <w:right w:val="single" w:color="000000" w:sz="4" w:space="0"/>
                  </w:tcBorders>
                  <w:vAlign w:val="center"/>
                </w:tcPr>
                <w:p w14:paraId="0D83B303">
                  <w:pPr>
                    <w:pStyle w:val="87"/>
                    <w:adjustRightInd/>
                    <w:snapToGrid/>
                    <w:spacing w:beforeLines="0" w:afterLines="0" w:line="240" w:lineRule="auto"/>
                    <w:rPr>
                      <w:rFonts w:ascii="Times New Roman"/>
                      <w:color w:val="auto"/>
                      <w:kern w:val="2"/>
                      <w:sz w:val="21"/>
                      <w:szCs w:val="21"/>
                    </w:rPr>
                  </w:pPr>
                  <w:r>
                    <w:rPr>
                      <w:rFonts w:hint="eastAsia" w:ascii="Times New Roman"/>
                      <w:color w:val="auto"/>
                      <w:kern w:val="2"/>
                      <w:sz w:val="21"/>
                      <w:szCs w:val="21"/>
                      <w:lang w:val="en-US" w:eastAsia="zh-CN"/>
                    </w:rPr>
                    <w:t>23</w:t>
                  </w:r>
                  <w:r>
                    <w:rPr>
                      <w:rFonts w:ascii="Times New Roman"/>
                      <w:color w:val="auto"/>
                      <w:kern w:val="2"/>
                      <w:sz w:val="21"/>
                      <w:szCs w:val="21"/>
                    </w:rPr>
                    <w:t>万度</w:t>
                  </w:r>
                </w:p>
              </w:tc>
              <w:tc>
                <w:tcPr>
                  <w:tcW w:w="3410" w:type="dxa"/>
                  <w:tcBorders>
                    <w:top w:val="single" w:color="000000" w:sz="4" w:space="0"/>
                    <w:left w:val="single" w:color="000000" w:sz="4" w:space="0"/>
                    <w:bottom w:val="single" w:color="000000" w:sz="4" w:space="0"/>
                    <w:right w:val="single" w:color="000000" w:sz="4" w:space="0"/>
                  </w:tcBorders>
                  <w:vAlign w:val="center"/>
                </w:tcPr>
                <w:p w14:paraId="200BA6D0">
                  <w:pPr>
                    <w:pStyle w:val="87"/>
                    <w:adjustRightInd/>
                    <w:snapToGrid/>
                    <w:spacing w:beforeLines="0" w:afterLines="0" w:line="240" w:lineRule="auto"/>
                    <w:rPr>
                      <w:rFonts w:hint="eastAsia" w:ascii="Times New Roman" w:eastAsia="宋体"/>
                      <w:color w:val="auto"/>
                      <w:kern w:val="2"/>
                      <w:sz w:val="21"/>
                      <w:szCs w:val="21"/>
                      <w:lang w:eastAsia="zh-CN"/>
                    </w:rPr>
                  </w:pPr>
                  <w:r>
                    <w:rPr>
                      <w:rFonts w:ascii="Times New Roman"/>
                      <w:color w:val="auto"/>
                      <w:kern w:val="2"/>
                      <w:sz w:val="21"/>
                      <w:szCs w:val="21"/>
                    </w:rPr>
                    <w:t>依托</w:t>
                  </w:r>
                  <w:r>
                    <w:rPr>
                      <w:rFonts w:hint="eastAsia" w:ascii="Times New Roman"/>
                      <w:color w:val="auto"/>
                      <w:kern w:val="2"/>
                      <w:sz w:val="21"/>
                      <w:szCs w:val="21"/>
                      <w:lang w:eastAsia="zh-CN"/>
                    </w:rPr>
                    <w:t>云南常青树化工有限公司</w:t>
                  </w:r>
                </w:p>
              </w:tc>
            </w:tr>
          </w:tbl>
          <w:p w14:paraId="4926D1C5">
            <w:pPr>
              <w:spacing w:before="120" w:beforeLines="50" w:line="360" w:lineRule="auto"/>
              <w:ind w:firstLine="562" w:firstLineChars="200"/>
              <w:rPr>
                <w:b/>
                <w:bCs/>
                <w:color w:val="auto"/>
                <w:sz w:val="28"/>
                <w:szCs w:val="28"/>
              </w:rPr>
            </w:pPr>
            <w:r>
              <w:rPr>
                <w:b/>
                <w:bCs/>
                <w:color w:val="auto"/>
                <w:sz w:val="28"/>
                <w:szCs w:val="28"/>
              </w:rPr>
              <w:t>6、工作制度及劳动定员</w:t>
            </w:r>
          </w:p>
          <w:p w14:paraId="3B1CA48D">
            <w:pPr>
              <w:spacing w:line="360" w:lineRule="auto"/>
              <w:ind w:firstLine="480" w:firstLineChars="200"/>
              <w:rPr>
                <w:color w:val="auto"/>
                <w:sz w:val="24"/>
              </w:rPr>
            </w:pPr>
            <w:r>
              <w:rPr>
                <w:rFonts w:hint="eastAsia"/>
                <w:color w:val="auto"/>
                <w:sz w:val="24"/>
              </w:rPr>
              <w:t>本项目预计202</w:t>
            </w:r>
            <w:r>
              <w:rPr>
                <w:rFonts w:hint="eastAsia"/>
                <w:color w:val="auto"/>
                <w:sz w:val="24"/>
                <w:lang w:val="en-US" w:eastAsia="zh-CN"/>
              </w:rPr>
              <w:t>4</w:t>
            </w:r>
            <w:r>
              <w:rPr>
                <w:rFonts w:hint="eastAsia"/>
                <w:color w:val="auto"/>
                <w:sz w:val="24"/>
              </w:rPr>
              <w:t>年</w:t>
            </w:r>
            <w:r>
              <w:rPr>
                <w:rFonts w:hint="eastAsia"/>
                <w:color w:val="auto"/>
                <w:sz w:val="24"/>
                <w:lang w:val="en-US" w:eastAsia="zh-CN"/>
              </w:rPr>
              <w:t>12</w:t>
            </w:r>
            <w:r>
              <w:rPr>
                <w:rFonts w:hint="eastAsia"/>
                <w:color w:val="auto"/>
                <w:sz w:val="24"/>
              </w:rPr>
              <w:t>月开工，202</w:t>
            </w:r>
            <w:r>
              <w:rPr>
                <w:rFonts w:hint="eastAsia"/>
                <w:color w:val="auto"/>
                <w:sz w:val="24"/>
                <w:lang w:val="en-US" w:eastAsia="zh-CN"/>
              </w:rPr>
              <w:t>5</w:t>
            </w:r>
            <w:r>
              <w:rPr>
                <w:rFonts w:hint="eastAsia"/>
                <w:color w:val="auto"/>
                <w:sz w:val="24"/>
              </w:rPr>
              <w:t>年</w:t>
            </w:r>
            <w:r>
              <w:rPr>
                <w:rFonts w:hint="eastAsia"/>
                <w:color w:val="auto"/>
                <w:sz w:val="24"/>
                <w:lang w:val="en-US" w:eastAsia="zh-CN"/>
              </w:rPr>
              <w:t>1</w:t>
            </w:r>
            <w:r>
              <w:rPr>
                <w:rFonts w:hint="eastAsia"/>
                <w:color w:val="auto"/>
                <w:sz w:val="24"/>
              </w:rPr>
              <w:t>月竣工，目前尚未动工建设。</w:t>
            </w:r>
          </w:p>
          <w:p w14:paraId="0BE67D79">
            <w:pPr>
              <w:spacing w:line="360" w:lineRule="auto"/>
              <w:ind w:firstLine="480" w:firstLineChars="200"/>
              <w:rPr>
                <w:color w:val="auto"/>
                <w:sz w:val="24"/>
              </w:rPr>
            </w:pPr>
            <w:r>
              <w:rPr>
                <w:color w:val="auto"/>
                <w:sz w:val="24"/>
              </w:rPr>
              <w:t>本项目采用三</w:t>
            </w:r>
            <w:r>
              <w:rPr>
                <w:rFonts w:hint="eastAsia"/>
                <w:color w:val="auto"/>
                <w:sz w:val="24"/>
              </w:rPr>
              <w:t>班</w:t>
            </w:r>
            <w:r>
              <w:rPr>
                <w:color w:val="auto"/>
                <w:sz w:val="24"/>
              </w:rPr>
              <w:t>倒连续运转</w:t>
            </w:r>
            <w:r>
              <w:rPr>
                <w:rFonts w:hint="eastAsia"/>
                <w:color w:val="auto"/>
                <w:sz w:val="24"/>
              </w:rPr>
              <w:t>工作</w:t>
            </w:r>
            <w:r>
              <w:rPr>
                <w:color w:val="auto"/>
                <w:sz w:val="24"/>
              </w:rPr>
              <w:t>制，每班工作8小时，年工作日300天</w:t>
            </w:r>
            <w:r>
              <w:rPr>
                <w:rFonts w:hint="eastAsia"/>
                <w:color w:val="auto"/>
                <w:sz w:val="24"/>
                <w:szCs w:val="21"/>
              </w:rPr>
              <w:t>。</w:t>
            </w:r>
            <w:r>
              <w:rPr>
                <w:rFonts w:hint="eastAsia"/>
                <w:color w:val="auto"/>
                <w:sz w:val="24"/>
                <w:szCs w:val="21"/>
                <w:lang w:val="en-US" w:eastAsia="zh-CN"/>
              </w:rPr>
              <w:t>本次改扩建工程不新增劳动人员，直接从厂内进行调配</w:t>
            </w:r>
            <w:r>
              <w:rPr>
                <w:color w:val="auto"/>
                <w:sz w:val="24"/>
                <w:szCs w:val="21"/>
              </w:rPr>
              <w:t>。</w:t>
            </w:r>
          </w:p>
          <w:p w14:paraId="4BEC43E0">
            <w:pPr>
              <w:spacing w:line="360" w:lineRule="auto"/>
              <w:ind w:firstLine="480" w:firstLineChars="200"/>
              <w:rPr>
                <w:color w:val="auto"/>
                <w:sz w:val="24"/>
              </w:rPr>
            </w:pPr>
          </w:p>
          <w:p w14:paraId="55DC2366">
            <w:pPr>
              <w:spacing w:line="360" w:lineRule="auto"/>
              <w:ind w:firstLine="480" w:firstLineChars="200"/>
              <w:rPr>
                <w:color w:val="auto"/>
                <w:sz w:val="24"/>
              </w:rPr>
            </w:pPr>
          </w:p>
          <w:p w14:paraId="5C08FA73">
            <w:pPr>
              <w:spacing w:line="360" w:lineRule="auto"/>
              <w:ind w:firstLine="480" w:firstLineChars="200"/>
              <w:rPr>
                <w:color w:val="auto"/>
                <w:sz w:val="24"/>
              </w:rPr>
            </w:pPr>
          </w:p>
          <w:p w14:paraId="24FFC04E">
            <w:pPr>
              <w:spacing w:line="360" w:lineRule="auto"/>
              <w:ind w:firstLine="480" w:firstLineChars="200"/>
              <w:rPr>
                <w:color w:val="auto"/>
                <w:sz w:val="24"/>
              </w:rPr>
            </w:pPr>
          </w:p>
          <w:p w14:paraId="7EBFDCCA">
            <w:pPr>
              <w:spacing w:line="360" w:lineRule="auto"/>
              <w:ind w:firstLine="480" w:firstLineChars="200"/>
              <w:rPr>
                <w:color w:val="auto"/>
                <w:sz w:val="24"/>
              </w:rPr>
            </w:pPr>
          </w:p>
          <w:p w14:paraId="7BF1A5A0">
            <w:pPr>
              <w:spacing w:line="360" w:lineRule="auto"/>
              <w:ind w:firstLine="480" w:firstLineChars="200"/>
              <w:rPr>
                <w:color w:val="auto"/>
                <w:sz w:val="24"/>
              </w:rPr>
            </w:pPr>
          </w:p>
          <w:p w14:paraId="5B05B734">
            <w:pPr>
              <w:spacing w:line="360" w:lineRule="auto"/>
              <w:ind w:firstLine="480" w:firstLineChars="200"/>
              <w:rPr>
                <w:color w:val="auto"/>
                <w:sz w:val="24"/>
              </w:rPr>
            </w:pPr>
          </w:p>
          <w:p w14:paraId="2759D230">
            <w:pPr>
              <w:spacing w:line="360" w:lineRule="auto"/>
              <w:ind w:firstLine="480" w:firstLineChars="200"/>
              <w:rPr>
                <w:color w:val="auto"/>
                <w:sz w:val="24"/>
              </w:rPr>
            </w:pPr>
          </w:p>
          <w:p w14:paraId="1A462769">
            <w:pPr>
              <w:spacing w:line="360" w:lineRule="auto"/>
              <w:ind w:firstLine="480" w:firstLineChars="200"/>
              <w:rPr>
                <w:color w:val="auto"/>
                <w:sz w:val="24"/>
              </w:rPr>
            </w:pPr>
          </w:p>
          <w:p w14:paraId="1AAA0C46">
            <w:pPr>
              <w:spacing w:line="360" w:lineRule="auto"/>
              <w:rPr>
                <w:rFonts w:eastAsia="黑体"/>
                <w:color w:val="auto"/>
                <w:sz w:val="30"/>
              </w:rPr>
            </w:pPr>
          </w:p>
        </w:tc>
      </w:tr>
    </w:tbl>
    <w:p w14:paraId="74A84D73">
      <w:pPr>
        <w:spacing w:line="360" w:lineRule="auto"/>
        <w:jc w:val="left"/>
        <w:rPr>
          <w:color w:val="auto"/>
          <w:sz w:val="24"/>
        </w:rPr>
      </w:pPr>
    </w:p>
    <w:p w14:paraId="261590CB">
      <w:pPr>
        <w:spacing w:line="360" w:lineRule="auto"/>
        <w:outlineLvl w:val="0"/>
        <w:rPr>
          <w:rFonts w:eastAsia="黑体"/>
          <w:color w:val="auto"/>
          <w:sz w:val="30"/>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2"/>
        <w:gridCol w:w="13260"/>
      </w:tblGrid>
      <w:tr w14:paraId="27F1A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dxa"/>
          </w:tcPr>
          <w:p w14:paraId="67EF4279">
            <w:pPr>
              <w:rPr>
                <w:color w:val="auto"/>
              </w:rPr>
            </w:pPr>
            <w:bookmarkStart w:id="6" w:name="_Toc69399388"/>
          </w:p>
        </w:tc>
        <w:tc>
          <w:tcPr>
            <w:tcW w:w="13260" w:type="dxa"/>
          </w:tcPr>
          <w:p w14:paraId="0DADCDD8">
            <w:pPr>
              <w:autoSpaceDE w:val="0"/>
              <w:autoSpaceDN w:val="0"/>
              <w:spacing w:line="360" w:lineRule="auto"/>
              <w:ind w:firstLine="562" w:firstLineChars="200"/>
              <w:jc w:val="left"/>
              <w:rPr>
                <w:b/>
                <w:color w:val="auto"/>
                <w:sz w:val="28"/>
                <w:szCs w:val="28"/>
              </w:rPr>
            </w:pPr>
            <w:r>
              <w:rPr>
                <w:b/>
                <w:color w:val="auto"/>
                <w:sz w:val="28"/>
                <w:szCs w:val="28"/>
              </w:rPr>
              <w:t>7、环保投资</w:t>
            </w:r>
          </w:p>
          <w:p w14:paraId="21F1481D">
            <w:pPr>
              <w:autoSpaceDE w:val="0"/>
              <w:autoSpaceDN w:val="0"/>
              <w:spacing w:line="360" w:lineRule="auto"/>
              <w:ind w:firstLine="480" w:firstLineChars="200"/>
              <w:jc w:val="left"/>
              <w:rPr>
                <w:color w:val="auto"/>
                <w:sz w:val="24"/>
              </w:rPr>
            </w:pPr>
            <w:r>
              <w:rPr>
                <w:color w:val="auto"/>
                <w:sz w:val="24"/>
              </w:rPr>
              <w:t>本工程总投资</w:t>
            </w:r>
            <w:r>
              <w:rPr>
                <w:rFonts w:hint="eastAsia"/>
                <w:color w:val="auto"/>
                <w:sz w:val="24"/>
                <w:lang w:val="en-US" w:eastAsia="zh-CN"/>
              </w:rPr>
              <w:t>503.61</w:t>
            </w:r>
            <w:r>
              <w:rPr>
                <w:color w:val="auto"/>
                <w:sz w:val="24"/>
              </w:rPr>
              <w:t>万元，其中环保投资</w:t>
            </w:r>
            <w:r>
              <w:rPr>
                <w:rFonts w:hint="eastAsia"/>
                <w:color w:val="auto"/>
                <w:sz w:val="24"/>
                <w:lang w:val="en-US" w:eastAsia="zh-CN"/>
              </w:rPr>
              <w:t>23.3</w:t>
            </w:r>
            <w:r>
              <w:rPr>
                <w:color w:val="auto"/>
                <w:sz w:val="24"/>
              </w:rPr>
              <w:t>万元，占总投资比例</w:t>
            </w:r>
            <w:r>
              <w:rPr>
                <w:rFonts w:hint="eastAsia"/>
                <w:color w:val="auto"/>
                <w:sz w:val="24"/>
                <w:lang w:val="en-US" w:eastAsia="zh-CN"/>
              </w:rPr>
              <w:t>4.63</w:t>
            </w:r>
            <w:r>
              <w:rPr>
                <w:color w:val="auto"/>
                <w:sz w:val="24"/>
              </w:rPr>
              <w:t>%。环保投资分项估算见表2-</w:t>
            </w:r>
            <w:r>
              <w:rPr>
                <w:rFonts w:hint="eastAsia"/>
                <w:color w:val="auto"/>
                <w:sz w:val="24"/>
              </w:rPr>
              <w:t>2</w:t>
            </w:r>
            <w:r>
              <w:rPr>
                <w:rFonts w:hint="eastAsia"/>
                <w:color w:val="auto"/>
                <w:sz w:val="24"/>
                <w:lang w:val="en-US" w:eastAsia="zh-CN"/>
              </w:rPr>
              <w:t>1</w:t>
            </w:r>
            <w:r>
              <w:rPr>
                <w:color w:val="auto"/>
                <w:sz w:val="24"/>
              </w:rPr>
              <w:t>。</w:t>
            </w:r>
          </w:p>
          <w:p w14:paraId="37AA5F34">
            <w:pPr>
              <w:autoSpaceDE w:val="0"/>
              <w:autoSpaceDN w:val="0"/>
              <w:jc w:val="center"/>
              <w:rPr>
                <w:b/>
                <w:bCs/>
                <w:color w:val="auto"/>
                <w:sz w:val="24"/>
              </w:rPr>
            </w:pPr>
            <w:r>
              <w:rPr>
                <w:b/>
                <w:bCs/>
                <w:color w:val="auto"/>
                <w:sz w:val="24"/>
              </w:rPr>
              <w:t>表2-</w:t>
            </w:r>
            <w:r>
              <w:rPr>
                <w:rFonts w:hint="eastAsia"/>
                <w:b/>
                <w:bCs/>
                <w:color w:val="auto"/>
                <w:sz w:val="24"/>
              </w:rPr>
              <w:t>2</w:t>
            </w:r>
            <w:r>
              <w:rPr>
                <w:rFonts w:hint="eastAsia"/>
                <w:b/>
                <w:bCs/>
                <w:color w:val="auto"/>
                <w:sz w:val="24"/>
                <w:lang w:val="en-US" w:eastAsia="zh-CN"/>
              </w:rPr>
              <w:t>1</w:t>
            </w:r>
            <w:r>
              <w:rPr>
                <w:b/>
                <w:bCs/>
                <w:color w:val="auto"/>
                <w:sz w:val="24"/>
              </w:rPr>
              <w:t xml:space="preserve"> 环保投资估算表</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1361"/>
              <w:gridCol w:w="3872"/>
              <w:gridCol w:w="3431"/>
              <w:gridCol w:w="1223"/>
              <w:gridCol w:w="2336"/>
            </w:tblGrid>
            <w:tr w14:paraId="5C7A1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18" w:type="pct"/>
                  <w:gridSpan w:val="3"/>
                  <w:vAlign w:val="center"/>
                </w:tcPr>
                <w:p w14:paraId="7C468049">
                  <w:pPr>
                    <w:jc w:val="center"/>
                    <w:rPr>
                      <w:bCs/>
                      <w:color w:val="auto"/>
                      <w:sz w:val="21"/>
                      <w:szCs w:val="21"/>
                    </w:rPr>
                  </w:pPr>
                  <w:r>
                    <w:rPr>
                      <w:bCs/>
                      <w:color w:val="auto"/>
                      <w:sz w:val="21"/>
                      <w:szCs w:val="21"/>
                    </w:rPr>
                    <w:t>项目</w:t>
                  </w:r>
                </w:p>
              </w:tc>
              <w:tc>
                <w:tcPr>
                  <w:tcW w:w="1316" w:type="pct"/>
                  <w:vAlign w:val="center"/>
                </w:tcPr>
                <w:p w14:paraId="2B7D8169">
                  <w:pPr>
                    <w:jc w:val="center"/>
                    <w:rPr>
                      <w:bCs/>
                      <w:color w:val="auto"/>
                      <w:sz w:val="21"/>
                      <w:szCs w:val="21"/>
                    </w:rPr>
                  </w:pPr>
                  <w:r>
                    <w:rPr>
                      <w:bCs/>
                      <w:color w:val="auto"/>
                      <w:sz w:val="21"/>
                      <w:szCs w:val="21"/>
                    </w:rPr>
                    <w:t>规模</w:t>
                  </w:r>
                </w:p>
              </w:tc>
              <w:tc>
                <w:tcPr>
                  <w:tcW w:w="469" w:type="pct"/>
                  <w:vAlign w:val="center"/>
                </w:tcPr>
                <w:p w14:paraId="25E9862B">
                  <w:pPr>
                    <w:jc w:val="center"/>
                    <w:rPr>
                      <w:bCs/>
                      <w:color w:val="auto"/>
                      <w:sz w:val="21"/>
                      <w:szCs w:val="21"/>
                    </w:rPr>
                  </w:pPr>
                  <w:r>
                    <w:rPr>
                      <w:bCs/>
                      <w:color w:val="auto"/>
                      <w:sz w:val="21"/>
                      <w:szCs w:val="21"/>
                    </w:rPr>
                    <w:t>金额（万元）</w:t>
                  </w:r>
                </w:p>
              </w:tc>
              <w:tc>
                <w:tcPr>
                  <w:tcW w:w="896" w:type="pct"/>
                  <w:vAlign w:val="center"/>
                </w:tcPr>
                <w:p w14:paraId="5751CF23">
                  <w:pPr>
                    <w:jc w:val="center"/>
                    <w:rPr>
                      <w:bCs/>
                      <w:color w:val="auto"/>
                      <w:sz w:val="21"/>
                      <w:szCs w:val="21"/>
                    </w:rPr>
                  </w:pPr>
                  <w:r>
                    <w:rPr>
                      <w:bCs/>
                      <w:color w:val="auto"/>
                      <w:sz w:val="21"/>
                      <w:szCs w:val="21"/>
                    </w:rPr>
                    <w:t>备注</w:t>
                  </w:r>
                </w:p>
              </w:tc>
            </w:tr>
            <w:tr w14:paraId="4791D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1" w:type="pct"/>
                  <w:vMerge w:val="restart"/>
                  <w:vAlign w:val="center"/>
                </w:tcPr>
                <w:p w14:paraId="394705E1">
                  <w:pPr>
                    <w:jc w:val="center"/>
                    <w:rPr>
                      <w:bCs/>
                      <w:color w:val="auto"/>
                      <w:sz w:val="21"/>
                      <w:szCs w:val="21"/>
                    </w:rPr>
                  </w:pPr>
                  <w:r>
                    <w:rPr>
                      <w:bCs/>
                      <w:color w:val="auto"/>
                      <w:sz w:val="21"/>
                      <w:szCs w:val="21"/>
                    </w:rPr>
                    <w:t>施工期</w:t>
                  </w:r>
                </w:p>
              </w:tc>
              <w:tc>
                <w:tcPr>
                  <w:tcW w:w="522" w:type="pct"/>
                  <w:vMerge w:val="restart"/>
                  <w:vAlign w:val="center"/>
                </w:tcPr>
                <w:p w14:paraId="1F9B75D4">
                  <w:pPr>
                    <w:jc w:val="center"/>
                    <w:rPr>
                      <w:bCs/>
                      <w:color w:val="auto"/>
                      <w:sz w:val="21"/>
                      <w:szCs w:val="21"/>
                    </w:rPr>
                  </w:pPr>
                  <w:r>
                    <w:rPr>
                      <w:bCs/>
                      <w:color w:val="auto"/>
                      <w:sz w:val="21"/>
                      <w:szCs w:val="21"/>
                    </w:rPr>
                    <w:t>大气防治措施</w:t>
                  </w:r>
                </w:p>
              </w:tc>
              <w:tc>
                <w:tcPr>
                  <w:tcW w:w="1485" w:type="pct"/>
                  <w:vAlign w:val="center"/>
                </w:tcPr>
                <w:p w14:paraId="19E0CE01">
                  <w:pPr>
                    <w:jc w:val="center"/>
                    <w:rPr>
                      <w:bCs/>
                      <w:color w:val="auto"/>
                      <w:sz w:val="21"/>
                      <w:szCs w:val="21"/>
                    </w:rPr>
                  </w:pPr>
                  <w:r>
                    <w:rPr>
                      <w:bCs/>
                      <w:color w:val="auto"/>
                      <w:sz w:val="21"/>
                      <w:szCs w:val="21"/>
                    </w:rPr>
                    <w:t>洒水降尘</w:t>
                  </w:r>
                </w:p>
              </w:tc>
              <w:tc>
                <w:tcPr>
                  <w:tcW w:w="1316" w:type="pct"/>
                  <w:vAlign w:val="center"/>
                </w:tcPr>
                <w:p w14:paraId="1B055626">
                  <w:pPr>
                    <w:jc w:val="center"/>
                    <w:rPr>
                      <w:bCs/>
                      <w:color w:val="auto"/>
                      <w:sz w:val="21"/>
                      <w:szCs w:val="21"/>
                    </w:rPr>
                  </w:pPr>
                  <w:r>
                    <w:rPr>
                      <w:bCs/>
                      <w:color w:val="auto"/>
                      <w:sz w:val="21"/>
                      <w:szCs w:val="21"/>
                    </w:rPr>
                    <w:t>/</w:t>
                  </w:r>
                </w:p>
              </w:tc>
              <w:tc>
                <w:tcPr>
                  <w:tcW w:w="469" w:type="pct"/>
                  <w:vAlign w:val="center"/>
                </w:tcPr>
                <w:p w14:paraId="0BBA9DB7">
                  <w:pPr>
                    <w:jc w:val="center"/>
                    <w:rPr>
                      <w:bCs/>
                      <w:color w:val="auto"/>
                      <w:sz w:val="21"/>
                      <w:szCs w:val="21"/>
                    </w:rPr>
                  </w:pPr>
                  <w:r>
                    <w:rPr>
                      <w:bCs/>
                      <w:color w:val="auto"/>
                      <w:sz w:val="21"/>
                      <w:szCs w:val="21"/>
                    </w:rPr>
                    <w:t>0.1</w:t>
                  </w:r>
                </w:p>
              </w:tc>
              <w:tc>
                <w:tcPr>
                  <w:tcW w:w="896" w:type="pct"/>
                  <w:vAlign w:val="center"/>
                </w:tcPr>
                <w:p w14:paraId="1B1D56AB">
                  <w:pPr>
                    <w:jc w:val="center"/>
                    <w:rPr>
                      <w:bCs/>
                      <w:color w:val="auto"/>
                      <w:sz w:val="21"/>
                      <w:szCs w:val="21"/>
                    </w:rPr>
                  </w:pPr>
                  <w:r>
                    <w:rPr>
                      <w:bCs/>
                      <w:color w:val="auto"/>
                      <w:sz w:val="21"/>
                      <w:szCs w:val="21"/>
                    </w:rPr>
                    <w:t>新增</w:t>
                  </w:r>
                </w:p>
              </w:tc>
            </w:tr>
            <w:tr w14:paraId="61232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1" w:type="pct"/>
                  <w:vMerge w:val="continue"/>
                  <w:vAlign w:val="center"/>
                </w:tcPr>
                <w:p w14:paraId="1D13E975">
                  <w:pPr>
                    <w:jc w:val="center"/>
                    <w:rPr>
                      <w:bCs/>
                      <w:color w:val="auto"/>
                      <w:sz w:val="21"/>
                      <w:szCs w:val="21"/>
                    </w:rPr>
                  </w:pPr>
                </w:p>
              </w:tc>
              <w:tc>
                <w:tcPr>
                  <w:tcW w:w="522" w:type="pct"/>
                  <w:vMerge w:val="continue"/>
                  <w:vAlign w:val="center"/>
                </w:tcPr>
                <w:p w14:paraId="703FE903">
                  <w:pPr>
                    <w:pStyle w:val="87"/>
                    <w:spacing w:before="24" w:after="24"/>
                    <w:rPr>
                      <w:rFonts w:ascii="Times New Roman"/>
                      <w:bCs/>
                      <w:color w:val="auto"/>
                      <w:kern w:val="2"/>
                      <w:sz w:val="21"/>
                      <w:szCs w:val="21"/>
                    </w:rPr>
                  </w:pPr>
                </w:p>
              </w:tc>
              <w:tc>
                <w:tcPr>
                  <w:tcW w:w="1485" w:type="pct"/>
                  <w:vAlign w:val="center"/>
                </w:tcPr>
                <w:p w14:paraId="11D3B138">
                  <w:pPr>
                    <w:pStyle w:val="87"/>
                    <w:spacing w:before="24" w:after="24"/>
                    <w:rPr>
                      <w:rFonts w:ascii="Times New Roman"/>
                      <w:color w:val="auto"/>
                      <w:kern w:val="2"/>
                      <w:sz w:val="21"/>
                      <w:szCs w:val="21"/>
                    </w:rPr>
                  </w:pPr>
                  <w:r>
                    <w:rPr>
                      <w:rFonts w:ascii="Times New Roman"/>
                      <w:bCs/>
                      <w:color w:val="auto"/>
                      <w:kern w:val="2"/>
                      <w:sz w:val="21"/>
                      <w:szCs w:val="21"/>
                    </w:rPr>
                    <w:t>施工材料覆盖</w:t>
                  </w:r>
                </w:p>
              </w:tc>
              <w:tc>
                <w:tcPr>
                  <w:tcW w:w="1316" w:type="pct"/>
                  <w:vAlign w:val="center"/>
                </w:tcPr>
                <w:p w14:paraId="190F4442">
                  <w:pPr>
                    <w:jc w:val="center"/>
                    <w:rPr>
                      <w:bCs/>
                      <w:color w:val="auto"/>
                      <w:sz w:val="21"/>
                      <w:szCs w:val="21"/>
                    </w:rPr>
                  </w:pPr>
                  <w:r>
                    <w:rPr>
                      <w:bCs/>
                      <w:color w:val="auto"/>
                      <w:sz w:val="21"/>
                      <w:szCs w:val="21"/>
                    </w:rPr>
                    <w:t>/</w:t>
                  </w:r>
                </w:p>
              </w:tc>
              <w:tc>
                <w:tcPr>
                  <w:tcW w:w="469" w:type="pct"/>
                  <w:vAlign w:val="center"/>
                </w:tcPr>
                <w:p w14:paraId="13A522CA">
                  <w:pPr>
                    <w:jc w:val="center"/>
                    <w:rPr>
                      <w:rFonts w:hint="default" w:eastAsia="宋体"/>
                      <w:bCs/>
                      <w:color w:val="auto"/>
                      <w:sz w:val="21"/>
                      <w:szCs w:val="21"/>
                      <w:lang w:val="en-US" w:eastAsia="zh-CN"/>
                    </w:rPr>
                  </w:pPr>
                  <w:r>
                    <w:rPr>
                      <w:rFonts w:hint="eastAsia"/>
                      <w:bCs/>
                      <w:color w:val="auto"/>
                      <w:sz w:val="21"/>
                      <w:szCs w:val="21"/>
                      <w:lang w:val="en-US" w:eastAsia="zh-CN"/>
                    </w:rPr>
                    <w:t>1.0</w:t>
                  </w:r>
                </w:p>
              </w:tc>
              <w:tc>
                <w:tcPr>
                  <w:tcW w:w="896" w:type="pct"/>
                  <w:vAlign w:val="center"/>
                </w:tcPr>
                <w:p w14:paraId="7667EF68">
                  <w:pPr>
                    <w:jc w:val="center"/>
                    <w:rPr>
                      <w:bCs/>
                      <w:color w:val="auto"/>
                      <w:sz w:val="21"/>
                      <w:szCs w:val="21"/>
                    </w:rPr>
                  </w:pPr>
                  <w:r>
                    <w:rPr>
                      <w:bCs/>
                      <w:color w:val="auto"/>
                      <w:sz w:val="21"/>
                      <w:szCs w:val="21"/>
                    </w:rPr>
                    <w:t>新增</w:t>
                  </w:r>
                </w:p>
              </w:tc>
            </w:tr>
            <w:tr w14:paraId="7687F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1" w:type="pct"/>
                  <w:vMerge w:val="restart"/>
                  <w:vAlign w:val="center"/>
                </w:tcPr>
                <w:p w14:paraId="18BB38DF">
                  <w:pPr>
                    <w:jc w:val="center"/>
                    <w:rPr>
                      <w:bCs/>
                      <w:color w:val="auto"/>
                      <w:sz w:val="21"/>
                      <w:szCs w:val="21"/>
                    </w:rPr>
                  </w:pPr>
                  <w:r>
                    <w:rPr>
                      <w:bCs/>
                      <w:color w:val="auto"/>
                      <w:sz w:val="21"/>
                      <w:szCs w:val="21"/>
                    </w:rPr>
                    <w:t>运营期</w:t>
                  </w:r>
                </w:p>
              </w:tc>
              <w:tc>
                <w:tcPr>
                  <w:tcW w:w="522" w:type="pct"/>
                  <w:vMerge w:val="restart"/>
                  <w:vAlign w:val="center"/>
                </w:tcPr>
                <w:p w14:paraId="6840EE4E">
                  <w:pPr>
                    <w:jc w:val="center"/>
                    <w:rPr>
                      <w:bCs/>
                      <w:color w:val="auto"/>
                      <w:sz w:val="21"/>
                      <w:szCs w:val="21"/>
                    </w:rPr>
                  </w:pPr>
                  <w:r>
                    <w:rPr>
                      <w:bCs/>
                      <w:color w:val="auto"/>
                      <w:sz w:val="21"/>
                      <w:szCs w:val="21"/>
                    </w:rPr>
                    <w:t>废气防治措施</w:t>
                  </w:r>
                </w:p>
              </w:tc>
              <w:tc>
                <w:tcPr>
                  <w:tcW w:w="1485" w:type="pct"/>
                  <w:shd w:val="clear" w:color="auto" w:fill="auto"/>
                  <w:vAlign w:val="center"/>
                </w:tcPr>
                <w:p w14:paraId="12BEF25F">
                  <w:pPr>
                    <w:jc w:val="center"/>
                    <w:rPr>
                      <w:rFonts w:ascii="Times New Roman" w:hAnsi="Times New Roman" w:eastAsia="宋体" w:cs="Times New Roman"/>
                      <w:bCs/>
                      <w:color w:val="auto"/>
                      <w:sz w:val="21"/>
                      <w:szCs w:val="21"/>
                      <w:lang w:val="en-US" w:eastAsia="zh-CN" w:bidi="ar-SA"/>
                    </w:rPr>
                  </w:pPr>
                  <w:r>
                    <w:rPr>
                      <w:rFonts w:hint="eastAsia" w:hAnsi="宋体"/>
                      <w:color w:val="auto"/>
                      <w:szCs w:val="21"/>
                      <w:lang w:val="en-US" w:eastAsia="zh-CN"/>
                    </w:rPr>
                    <w:t>1</w:t>
                  </w:r>
                  <w:r>
                    <w:rPr>
                      <w:rFonts w:hint="eastAsia" w:hAnsi="宋体"/>
                      <w:color w:val="auto"/>
                      <w:szCs w:val="21"/>
                    </w:rPr>
                    <w:t>个集气罩+布袋除尘器+15m排气筒（DA0</w:t>
                  </w:r>
                  <w:r>
                    <w:rPr>
                      <w:rFonts w:hint="eastAsia" w:hAnsi="宋体"/>
                      <w:color w:val="auto"/>
                      <w:szCs w:val="21"/>
                      <w:lang w:val="en-US" w:eastAsia="zh-CN"/>
                    </w:rPr>
                    <w:t>08</w:t>
                  </w:r>
                  <w:r>
                    <w:rPr>
                      <w:rFonts w:hint="eastAsia" w:hAnsi="宋体"/>
                      <w:color w:val="auto"/>
                      <w:szCs w:val="21"/>
                    </w:rPr>
                    <w:t>）</w:t>
                  </w:r>
                </w:p>
              </w:tc>
              <w:tc>
                <w:tcPr>
                  <w:tcW w:w="1316" w:type="pct"/>
                  <w:shd w:val="clear" w:color="auto" w:fill="auto"/>
                  <w:vAlign w:val="center"/>
                </w:tcPr>
                <w:p w14:paraId="10745080">
                  <w:pPr>
                    <w:jc w:val="center"/>
                    <w:rPr>
                      <w:rFonts w:ascii="Times New Roman" w:hAnsi="Times New Roman" w:eastAsia="宋体" w:cs="Times New Roman"/>
                      <w:color w:val="auto"/>
                      <w:sz w:val="21"/>
                      <w:szCs w:val="21"/>
                      <w:lang w:val="en-US" w:eastAsia="zh-CN" w:bidi="ar-SA"/>
                    </w:rPr>
                  </w:pPr>
                  <w:r>
                    <w:rPr>
                      <w:color w:val="auto"/>
                      <w:sz w:val="21"/>
                      <w:szCs w:val="21"/>
                    </w:rPr>
                    <w:t>1套</w:t>
                  </w:r>
                </w:p>
              </w:tc>
              <w:tc>
                <w:tcPr>
                  <w:tcW w:w="469" w:type="pct"/>
                  <w:shd w:val="clear" w:color="auto" w:fill="auto"/>
                  <w:vAlign w:val="center"/>
                </w:tcPr>
                <w:p w14:paraId="02CF3C43">
                  <w:pPr>
                    <w:jc w:val="center"/>
                    <w:rPr>
                      <w:rFonts w:hint="default" w:ascii="Times New Roman" w:hAnsi="Times New Roman" w:eastAsia="宋体" w:cs="Times New Roman"/>
                      <w:bCs/>
                      <w:color w:val="auto"/>
                      <w:sz w:val="21"/>
                      <w:szCs w:val="21"/>
                      <w:lang w:val="en-US" w:eastAsia="zh-CN" w:bidi="ar-SA"/>
                    </w:rPr>
                  </w:pPr>
                  <w:r>
                    <w:rPr>
                      <w:rFonts w:hint="eastAsia"/>
                      <w:bCs/>
                      <w:color w:val="auto"/>
                      <w:sz w:val="21"/>
                      <w:szCs w:val="21"/>
                    </w:rPr>
                    <w:t>20.0</w:t>
                  </w:r>
                </w:p>
              </w:tc>
              <w:tc>
                <w:tcPr>
                  <w:tcW w:w="896" w:type="pct"/>
                  <w:shd w:val="clear" w:color="auto" w:fill="auto"/>
                  <w:vAlign w:val="center"/>
                </w:tcPr>
                <w:p w14:paraId="45996D83">
                  <w:pPr>
                    <w:jc w:val="center"/>
                    <w:rPr>
                      <w:rFonts w:hint="default" w:ascii="Times New Roman" w:hAnsi="Times New Roman" w:eastAsia="宋体" w:cs="Times New Roman"/>
                      <w:bCs/>
                      <w:color w:val="auto"/>
                      <w:sz w:val="21"/>
                      <w:szCs w:val="21"/>
                      <w:lang w:val="en-US" w:eastAsia="zh-CN" w:bidi="ar-SA"/>
                    </w:rPr>
                  </w:pPr>
                  <w:r>
                    <w:rPr>
                      <w:bCs/>
                      <w:color w:val="auto"/>
                      <w:sz w:val="21"/>
                      <w:szCs w:val="21"/>
                    </w:rPr>
                    <w:t>新增</w:t>
                  </w:r>
                </w:p>
              </w:tc>
            </w:tr>
            <w:tr w14:paraId="4E049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1" w:type="pct"/>
                  <w:vMerge w:val="continue"/>
                  <w:vAlign w:val="center"/>
                </w:tcPr>
                <w:p w14:paraId="7C0ABE87">
                  <w:pPr>
                    <w:jc w:val="center"/>
                    <w:rPr>
                      <w:bCs/>
                      <w:color w:val="auto"/>
                      <w:sz w:val="21"/>
                      <w:szCs w:val="21"/>
                    </w:rPr>
                  </w:pPr>
                </w:p>
              </w:tc>
              <w:tc>
                <w:tcPr>
                  <w:tcW w:w="522" w:type="pct"/>
                  <w:vMerge w:val="continue"/>
                  <w:vAlign w:val="center"/>
                </w:tcPr>
                <w:p w14:paraId="235E5773">
                  <w:pPr>
                    <w:jc w:val="center"/>
                    <w:rPr>
                      <w:bCs/>
                      <w:color w:val="auto"/>
                      <w:sz w:val="21"/>
                      <w:szCs w:val="21"/>
                    </w:rPr>
                  </w:pPr>
                </w:p>
              </w:tc>
              <w:tc>
                <w:tcPr>
                  <w:tcW w:w="1485" w:type="pct"/>
                  <w:shd w:val="clear" w:color="auto" w:fill="auto"/>
                  <w:vAlign w:val="center"/>
                </w:tcPr>
                <w:p w14:paraId="34749993">
                  <w:pPr>
                    <w:jc w:val="center"/>
                    <w:rPr>
                      <w:rFonts w:ascii="Times New Roman" w:hAnsi="Times New Roman" w:eastAsia="宋体" w:cs="Times New Roman"/>
                      <w:color w:val="auto"/>
                      <w:sz w:val="21"/>
                      <w:szCs w:val="21"/>
                      <w:lang w:val="en-US" w:eastAsia="zh-CN" w:bidi="ar-SA"/>
                    </w:rPr>
                  </w:pPr>
                  <w:r>
                    <w:rPr>
                      <w:rFonts w:hint="eastAsia"/>
                      <w:color w:val="auto"/>
                      <w:sz w:val="21"/>
                      <w:szCs w:val="21"/>
                      <w:lang w:val="en-US" w:eastAsia="zh-CN"/>
                    </w:rPr>
                    <w:t>新增的</w:t>
                  </w:r>
                  <w:r>
                    <w:rPr>
                      <w:rFonts w:hint="eastAsia"/>
                      <w:color w:val="auto"/>
                      <w:sz w:val="21"/>
                      <w:szCs w:val="21"/>
                    </w:rPr>
                    <w:t>整套皮带运输、计量系统设备采取彩钢瓦全封闭状态</w:t>
                  </w:r>
                </w:p>
              </w:tc>
              <w:tc>
                <w:tcPr>
                  <w:tcW w:w="1316" w:type="pct"/>
                  <w:shd w:val="clear" w:color="auto" w:fill="auto"/>
                  <w:vAlign w:val="center"/>
                </w:tcPr>
                <w:p w14:paraId="361AA92C">
                  <w:pPr>
                    <w:jc w:val="center"/>
                    <w:rPr>
                      <w:rFonts w:ascii="Times New Roman" w:hAnsi="Times New Roman" w:eastAsia="宋体" w:cs="Times New Roman"/>
                      <w:color w:val="auto"/>
                      <w:sz w:val="21"/>
                      <w:szCs w:val="21"/>
                      <w:lang w:val="en-US" w:eastAsia="zh-CN" w:bidi="ar-SA"/>
                    </w:rPr>
                  </w:pPr>
                  <w:r>
                    <w:rPr>
                      <w:color w:val="auto"/>
                      <w:sz w:val="21"/>
                      <w:szCs w:val="21"/>
                    </w:rPr>
                    <w:t>1套</w:t>
                  </w:r>
                </w:p>
              </w:tc>
              <w:tc>
                <w:tcPr>
                  <w:tcW w:w="469" w:type="pct"/>
                  <w:shd w:val="clear" w:color="auto" w:fill="auto"/>
                  <w:vAlign w:val="center"/>
                </w:tcPr>
                <w:p w14:paraId="78D6E7FA">
                  <w:pPr>
                    <w:jc w:val="center"/>
                    <w:rPr>
                      <w:rFonts w:ascii="Times New Roman" w:hAnsi="Times New Roman" w:eastAsia="宋体" w:cs="Times New Roman"/>
                      <w:bCs/>
                      <w:color w:val="auto"/>
                      <w:sz w:val="21"/>
                      <w:szCs w:val="21"/>
                      <w:lang w:val="en-US" w:eastAsia="zh-CN" w:bidi="ar-SA"/>
                    </w:rPr>
                  </w:pPr>
                  <w:r>
                    <w:rPr>
                      <w:rFonts w:hint="eastAsia"/>
                      <w:bCs/>
                      <w:color w:val="auto"/>
                      <w:sz w:val="21"/>
                      <w:szCs w:val="21"/>
                    </w:rPr>
                    <w:t>2</w:t>
                  </w:r>
                  <w:r>
                    <w:rPr>
                      <w:bCs/>
                      <w:color w:val="auto"/>
                      <w:sz w:val="21"/>
                      <w:szCs w:val="21"/>
                    </w:rPr>
                    <w:t>.0</w:t>
                  </w:r>
                </w:p>
              </w:tc>
              <w:tc>
                <w:tcPr>
                  <w:tcW w:w="896" w:type="pct"/>
                  <w:shd w:val="clear" w:color="auto" w:fill="auto"/>
                  <w:vAlign w:val="center"/>
                </w:tcPr>
                <w:p w14:paraId="031B9882">
                  <w:pPr>
                    <w:jc w:val="center"/>
                    <w:rPr>
                      <w:rFonts w:ascii="Times New Roman" w:hAnsi="Times New Roman" w:eastAsia="宋体" w:cs="Times New Roman"/>
                      <w:bCs/>
                      <w:color w:val="auto"/>
                      <w:sz w:val="21"/>
                      <w:szCs w:val="21"/>
                      <w:lang w:val="en-US" w:eastAsia="zh-CN" w:bidi="ar-SA"/>
                    </w:rPr>
                  </w:pPr>
                  <w:r>
                    <w:rPr>
                      <w:bCs/>
                      <w:color w:val="auto"/>
                      <w:sz w:val="21"/>
                      <w:szCs w:val="21"/>
                    </w:rPr>
                    <w:t>新增</w:t>
                  </w:r>
                </w:p>
              </w:tc>
            </w:tr>
            <w:tr w14:paraId="6ECE3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1" w:type="pct"/>
                  <w:vMerge w:val="continue"/>
                  <w:vAlign w:val="center"/>
                </w:tcPr>
                <w:p w14:paraId="39993792">
                  <w:pPr>
                    <w:jc w:val="center"/>
                    <w:rPr>
                      <w:bCs/>
                      <w:color w:val="auto"/>
                      <w:sz w:val="21"/>
                      <w:szCs w:val="21"/>
                    </w:rPr>
                  </w:pPr>
                </w:p>
              </w:tc>
              <w:tc>
                <w:tcPr>
                  <w:tcW w:w="522" w:type="pct"/>
                  <w:vMerge w:val="continue"/>
                  <w:vAlign w:val="center"/>
                </w:tcPr>
                <w:p w14:paraId="0742AF48">
                  <w:pPr>
                    <w:jc w:val="center"/>
                    <w:rPr>
                      <w:bCs/>
                      <w:color w:val="auto"/>
                      <w:sz w:val="21"/>
                      <w:szCs w:val="21"/>
                    </w:rPr>
                  </w:pPr>
                </w:p>
              </w:tc>
              <w:tc>
                <w:tcPr>
                  <w:tcW w:w="1485" w:type="pct"/>
                  <w:shd w:val="clear" w:color="auto" w:fill="auto"/>
                  <w:vAlign w:val="center"/>
                </w:tcPr>
                <w:p w14:paraId="325E461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color w:val="auto"/>
                      <w:sz w:val="21"/>
                      <w:szCs w:val="21"/>
                      <w:highlight w:val="none"/>
                      <w:lang w:val="en-US" w:eastAsia="zh-CN"/>
                    </w:rPr>
                    <w:t>原料及成品库房三面封闭</w:t>
                  </w:r>
                </w:p>
              </w:tc>
              <w:tc>
                <w:tcPr>
                  <w:tcW w:w="1316" w:type="pct"/>
                  <w:shd w:val="clear" w:color="auto" w:fill="auto"/>
                  <w:vAlign w:val="center"/>
                </w:tcPr>
                <w:p w14:paraId="3F15DA03">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w:t>
                  </w:r>
                </w:p>
              </w:tc>
              <w:tc>
                <w:tcPr>
                  <w:tcW w:w="469" w:type="pct"/>
                  <w:shd w:val="clear" w:color="auto" w:fill="auto"/>
                  <w:vAlign w:val="center"/>
                </w:tcPr>
                <w:p w14:paraId="2CBFAD8D">
                  <w:pPr>
                    <w:jc w:val="center"/>
                    <w:rPr>
                      <w:rFonts w:hint="default" w:ascii="Times New Roman" w:hAnsi="Times New Roman" w:eastAsia="宋体" w:cs="Times New Roman"/>
                      <w:bCs/>
                      <w:color w:val="auto"/>
                      <w:sz w:val="21"/>
                      <w:szCs w:val="21"/>
                      <w:lang w:val="en-US" w:eastAsia="zh-CN" w:bidi="ar-SA"/>
                    </w:rPr>
                  </w:pPr>
                  <w:r>
                    <w:rPr>
                      <w:rFonts w:hint="eastAsia" w:cs="Times New Roman"/>
                      <w:bCs/>
                      <w:color w:val="auto"/>
                      <w:sz w:val="21"/>
                      <w:szCs w:val="21"/>
                      <w:lang w:val="en-US" w:eastAsia="zh-CN" w:bidi="ar-SA"/>
                    </w:rPr>
                    <w:t>/</w:t>
                  </w:r>
                </w:p>
              </w:tc>
              <w:tc>
                <w:tcPr>
                  <w:tcW w:w="896" w:type="pct"/>
                  <w:shd w:val="clear" w:color="auto" w:fill="auto"/>
                  <w:vAlign w:val="center"/>
                </w:tcPr>
                <w:p w14:paraId="6424C27E">
                  <w:pPr>
                    <w:jc w:val="center"/>
                    <w:rPr>
                      <w:rFonts w:hint="default" w:ascii="Times New Roman" w:hAnsi="Times New Roman" w:eastAsia="宋体" w:cs="Times New Roman"/>
                      <w:bCs/>
                      <w:color w:val="auto"/>
                      <w:sz w:val="21"/>
                      <w:szCs w:val="21"/>
                      <w:lang w:val="en-US" w:eastAsia="zh-CN" w:bidi="ar-SA"/>
                    </w:rPr>
                  </w:pPr>
                  <w:r>
                    <w:rPr>
                      <w:rFonts w:hint="eastAsia" w:cs="Times New Roman"/>
                      <w:bCs/>
                      <w:color w:val="auto"/>
                      <w:sz w:val="21"/>
                      <w:szCs w:val="21"/>
                      <w:lang w:val="en-US" w:eastAsia="zh-CN" w:bidi="ar-SA"/>
                    </w:rPr>
                    <w:t>已有</w:t>
                  </w:r>
                </w:p>
              </w:tc>
            </w:tr>
            <w:tr w14:paraId="31FE5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1" w:type="pct"/>
                  <w:vMerge w:val="continue"/>
                  <w:vAlign w:val="center"/>
                </w:tcPr>
                <w:p w14:paraId="5F885869">
                  <w:pPr>
                    <w:jc w:val="center"/>
                    <w:rPr>
                      <w:bCs/>
                      <w:color w:val="auto"/>
                      <w:sz w:val="21"/>
                      <w:szCs w:val="21"/>
                    </w:rPr>
                  </w:pPr>
                </w:p>
              </w:tc>
              <w:tc>
                <w:tcPr>
                  <w:tcW w:w="522" w:type="pct"/>
                  <w:vMerge w:val="continue"/>
                  <w:vAlign w:val="center"/>
                </w:tcPr>
                <w:p w14:paraId="415439BF">
                  <w:pPr>
                    <w:jc w:val="center"/>
                    <w:rPr>
                      <w:bCs/>
                      <w:color w:val="auto"/>
                      <w:sz w:val="21"/>
                      <w:szCs w:val="21"/>
                    </w:rPr>
                  </w:pPr>
                </w:p>
              </w:tc>
              <w:tc>
                <w:tcPr>
                  <w:tcW w:w="1485" w:type="pct"/>
                  <w:shd w:val="clear" w:color="auto" w:fill="auto"/>
                  <w:vAlign w:val="center"/>
                </w:tcPr>
                <w:p w14:paraId="5A466DA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rPr>
                    <w:t>整套双轴搅拌机设备机身为封闭式</w:t>
                  </w:r>
                </w:p>
              </w:tc>
              <w:tc>
                <w:tcPr>
                  <w:tcW w:w="1316" w:type="pct"/>
                  <w:shd w:val="clear" w:color="auto" w:fill="auto"/>
                  <w:vAlign w:val="center"/>
                </w:tcPr>
                <w:p w14:paraId="64CAACE2">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w:t>
                  </w:r>
                </w:p>
              </w:tc>
              <w:tc>
                <w:tcPr>
                  <w:tcW w:w="469" w:type="pct"/>
                  <w:shd w:val="clear" w:color="auto" w:fill="auto"/>
                  <w:vAlign w:val="center"/>
                </w:tcPr>
                <w:p w14:paraId="0CFEC070">
                  <w:pPr>
                    <w:jc w:val="center"/>
                    <w:rPr>
                      <w:rFonts w:hint="default" w:ascii="Times New Roman" w:hAnsi="Times New Roman" w:eastAsia="宋体" w:cs="Times New Roman"/>
                      <w:bCs/>
                      <w:color w:val="auto"/>
                      <w:sz w:val="21"/>
                      <w:szCs w:val="21"/>
                      <w:lang w:val="en-US" w:eastAsia="zh-CN" w:bidi="ar-SA"/>
                    </w:rPr>
                  </w:pPr>
                  <w:r>
                    <w:rPr>
                      <w:rFonts w:hint="eastAsia" w:cs="Times New Roman"/>
                      <w:bCs/>
                      <w:color w:val="auto"/>
                      <w:sz w:val="21"/>
                      <w:szCs w:val="21"/>
                      <w:lang w:val="en-US" w:eastAsia="zh-CN" w:bidi="ar-SA"/>
                    </w:rPr>
                    <w:t>/</w:t>
                  </w:r>
                </w:p>
              </w:tc>
              <w:tc>
                <w:tcPr>
                  <w:tcW w:w="896" w:type="pct"/>
                  <w:shd w:val="clear" w:color="auto" w:fill="auto"/>
                  <w:vAlign w:val="center"/>
                </w:tcPr>
                <w:p w14:paraId="007CB4F1">
                  <w:pPr>
                    <w:jc w:val="center"/>
                    <w:rPr>
                      <w:rFonts w:hint="default" w:ascii="Times New Roman" w:hAnsi="Times New Roman" w:eastAsia="宋体" w:cs="Times New Roman"/>
                      <w:bCs/>
                      <w:color w:val="auto"/>
                      <w:sz w:val="21"/>
                      <w:szCs w:val="21"/>
                      <w:lang w:val="en-US" w:eastAsia="zh-CN" w:bidi="ar-SA"/>
                    </w:rPr>
                  </w:pPr>
                  <w:r>
                    <w:rPr>
                      <w:rFonts w:hint="eastAsia" w:cs="Times New Roman"/>
                      <w:bCs/>
                      <w:color w:val="auto"/>
                      <w:sz w:val="21"/>
                      <w:szCs w:val="21"/>
                      <w:lang w:val="en-US" w:eastAsia="zh-CN" w:bidi="ar-SA"/>
                    </w:rPr>
                    <w:t>已有</w:t>
                  </w:r>
                </w:p>
              </w:tc>
            </w:tr>
            <w:tr w14:paraId="76B5A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1" w:type="pct"/>
                  <w:vMerge w:val="continue"/>
                  <w:vAlign w:val="center"/>
                </w:tcPr>
                <w:p w14:paraId="0A5912BA">
                  <w:pPr>
                    <w:jc w:val="center"/>
                    <w:rPr>
                      <w:bCs/>
                      <w:color w:val="auto"/>
                      <w:sz w:val="21"/>
                      <w:szCs w:val="21"/>
                    </w:rPr>
                  </w:pPr>
                </w:p>
              </w:tc>
              <w:tc>
                <w:tcPr>
                  <w:tcW w:w="522" w:type="pct"/>
                  <w:vMerge w:val="continue"/>
                  <w:vAlign w:val="center"/>
                </w:tcPr>
                <w:p w14:paraId="5C9088D3">
                  <w:pPr>
                    <w:jc w:val="center"/>
                    <w:rPr>
                      <w:bCs/>
                      <w:color w:val="auto"/>
                      <w:sz w:val="21"/>
                      <w:szCs w:val="21"/>
                    </w:rPr>
                  </w:pPr>
                </w:p>
              </w:tc>
              <w:tc>
                <w:tcPr>
                  <w:tcW w:w="1485" w:type="pct"/>
                  <w:shd w:val="clear" w:color="auto" w:fill="auto"/>
                  <w:vAlign w:val="center"/>
                </w:tcPr>
                <w:p w14:paraId="7FB8600C">
                  <w:pPr>
                    <w:jc w:val="center"/>
                    <w:rPr>
                      <w:rFonts w:hint="default" w:ascii="Times New Roman" w:hAnsi="Times New Roman" w:eastAsia="宋体" w:cs="Times New Roman"/>
                      <w:color w:val="auto"/>
                      <w:sz w:val="21"/>
                      <w:szCs w:val="21"/>
                      <w:lang w:val="en-US" w:eastAsia="zh-CN" w:bidi="ar-SA"/>
                    </w:rPr>
                  </w:pPr>
                  <w:r>
                    <w:rPr>
                      <w:color w:val="auto"/>
                      <w:sz w:val="21"/>
                      <w:szCs w:val="21"/>
                      <w:highlight w:val="none"/>
                    </w:rPr>
                    <w:t>道路硬化、覆盖运输、运输道路洒水降尘</w:t>
                  </w:r>
                </w:p>
              </w:tc>
              <w:tc>
                <w:tcPr>
                  <w:tcW w:w="1316" w:type="pct"/>
                  <w:shd w:val="clear" w:color="auto" w:fill="auto"/>
                  <w:vAlign w:val="center"/>
                </w:tcPr>
                <w:p w14:paraId="06087811">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w:t>
                  </w:r>
                </w:p>
              </w:tc>
              <w:tc>
                <w:tcPr>
                  <w:tcW w:w="469" w:type="pct"/>
                  <w:shd w:val="clear" w:color="auto" w:fill="auto"/>
                  <w:vAlign w:val="center"/>
                </w:tcPr>
                <w:p w14:paraId="1B8933A3">
                  <w:pPr>
                    <w:jc w:val="center"/>
                    <w:rPr>
                      <w:rFonts w:hint="default" w:ascii="Times New Roman" w:hAnsi="Times New Roman" w:eastAsia="宋体" w:cs="Times New Roman"/>
                      <w:bCs/>
                      <w:color w:val="auto"/>
                      <w:sz w:val="21"/>
                      <w:szCs w:val="21"/>
                      <w:lang w:val="en-US" w:eastAsia="zh-CN" w:bidi="ar-SA"/>
                    </w:rPr>
                  </w:pPr>
                  <w:r>
                    <w:rPr>
                      <w:rFonts w:hint="eastAsia" w:cs="Times New Roman"/>
                      <w:color w:val="auto"/>
                      <w:sz w:val="21"/>
                      <w:szCs w:val="21"/>
                      <w:lang w:val="en-US" w:eastAsia="zh-CN" w:bidi="ar-SA"/>
                    </w:rPr>
                    <w:t>/</w:t>
                  </w:r>
                </w:p>
              </w:tc>
              <w:tc>
                <w:tcPr>
                  <w:tcW w:w="896" w:type="pct"/>
                  <w:shd w:val="clear" w:color="auto" w:fill="auto"/>
                  <w:vAlign w:val="center"/>
                </w:tcPr>
                <w:p w14:paraId="764C4730">
                  <w:pPr>
                    <w:jc w:val="center"/>
                    <w:rPr>
                      <w:rFonts w:hint="default" w:ascii="Times New Roman" w:hAnsi="Times New Roman" w:eastAsia="宋体" w:cs="Times New Roman"/>
                      <w:bCs/>
                      <w:color w:val="auto"/>
                      <w:sz w:val="21"/>
                      <w:szCs w:val="21"/>
                      <w:lang w:val="en-US" w:eastAsia="zh-CN" w:bidi="ar-SA"/>
                    </w:rPr>
                  </w:pPr>
                  <w:r>
                    <w:rPr>
                      <w:rFonts w:hint="eastAsia" w:cs="Times New Roman"/>
                      <w:bCs/>
                      <w:color w:val="auto"/>
                      <w:sz w:val="21"/>
                      <w:szCs w:val="21"/>
                      <w:lang w:val="en-US" w:eastAsia="zh-CN" w:bidi="ar-SA"/>
                    </w:rPr>
                    <w:t>已有</w:t>
                  </w:r>
                </w:p>
              </w:tc>
            </w:tr>
            <w:tr w14:paraId="29FBB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1" w:type="pct"/>
                  <w:vMerge w:val="continue"/>
                  <w:vAlign w:val="center"/>
                </w:tcPr>
                <w:p w14:paraId="35C95197">
                  <w:pPr>
                    <w:jc w:val="center"/>
                    <w:rPr>
                      <w:bCs/>
                      <w:color w:val="auto"/>
                      <w:sz w:val="21"/>
                      <w:szCs w:val="21"/>
                      <w:highlight w:val="green"/>
                    </w:rPr>
                  </w:pPr>
                </w:p>
              </w:tc>
              <w:tc>
                <w:tcPr>
                  <w:tcW w:w="522" w:type="pct"/>
                  <w:vMerge w:val="restart"/>
                  <w:vAlign w:val="center"/>
                </w:tcPr>
                <w:p w14:paraId="5F184B10">
                  <w:pPr>
                    <w:jc w:val="center"/>
                    <w:rPr>
                      <w:bCs/>
                      <w:color w:val="auto"/>
                      <w:sz w:val="21"/>
                      <w:szCs w:val="21"/>
                    </w:rPr>
                  </w:pPr>
                  <w:r>
                    <w:rPr>
                      <w:bCs/>
                      <w:color w:val="auto"/>
                      <w:sz w:val="21"/>
                      <w:szCs w:val="21"/>
                    </w:rPr>
                    <w:t>固废防治措施</w:t>
                  </w:r>
                </w:p>
              </w:tc>
              <w:tc>
                <w:tcPr>
                  <w:tcW w:w="1485" w:type="pct"/>
                  <w:vAlign w:val="center"/>
                </w:tcPr>
                <w:p w14:paraId="394F6BAA">
                  <w:pPr>
                    <w:jc w:val="center"/>
                    <w:rPr>
                      <w:bCs/>
                      <w:color w:val="auto"/>
                      <w:sz w:val="21"/>
                      <w:szCs w:val="21"/>
                    </w:rPr>
                  </w:pPr>
                  <w:r>
                    <w:rPr>
                      <w:bCs/>
                      <w:color w:val="auto"/>
                      <w:sz w:val="21"/>
                      <w:szCs w:val="21"/>
                    </w:rPr>
                    <w:t>垃圾桶</w:t>
                  </w:r>
                </w:p>
              </w:tc>
              <w:tc>
                <w:tcPr>
                  <w:tcW w:w="1316" w:type="pct"/>
                  <w:vAlign w:val="center"/>
                </w:tcPr>
                <w:p w14:paraId="6145581C">
                  <w:pPr>
                    <w:jc w:val="center"/>
                    <w:rPr>
                      <w:bCs/>
                      <w:color w:val="auto"/>
                      <w:sz w:val="21"/>
                      <w:szCs w:val="21"/>
                    </w:rPr>
                  </w:pPr>
                  <w:r>
                    <w:rPr>
                      <w:bCs/>
                      <w:color w:val="auto"/>
                      <w:sz w:val="21"/>
                      <w:szCs w:val="21"/>
                    </w:rPr>
                    <w:t>/</w:t>
                  </w:r>
                </w:p>
              </w:tc>
              <w:tc>
                <w:tcPr>
                  <w:tcW w:w="469" w:type="pct"/>
                  <w:vAlign w:val="center"/>
                </w:tcPr>
                <w:p w14:paraId="0B4FDB30">
                  <w:pPr>
                    <w:jc w:val="center"/>
                    <w:rPr>
                      <w:bCs/>
                      <w:color w:val="auto"/>
                      <w:sz w:val="21"/>
                      <w:szCs w:val="21"/>
                    </w:rPr>
                  </w:pPr>
                  <w:r>
                    <w:rPr>
                      <w:bCs/>
                      <w:color w:val="auto"/>
                      <w:sz w:val="21"/>
                      <w:szCs w:val="21"/>
                    </w:rPr>
                    <w:t>/</w:t>
                  </w:r>
                </w:p>
              </w:tc>
              <w:tc>
                <w:tcPr>
                  <w:tcW w:w="896" w:type="pct"/>
                  <w:vMerge w:val="restart"/>
                  <w:vAlign w:val="center"/>
                </w:tcPr>
                <w:p w14:paraId="2F66E7AE">
                  <w:pPr>
                    <w:jc w:val="center"/>
                    <w:rPr>
                      <w:bCs/>
                      <w:color w:val="auto"/>
                      <w:sz w:val="21"/>
                      <w:szCs w:val="21"/>
                    </w:rPr>
                  </w:pPr>
                  <w:r>
                    <w:rPr>
                      <w:bCs/>
                      <w:color w:val="auto"/>
                      <w:sz w:val="21"/>
                      <w:szCs w:val="21"/>
                    </w:rPr>
                    <w:t>依托</w:t>
                  </w:r>
                  <w:r>
                    <w:rPr>
                      <w:rFonts w:hint="eastAsia"/>
                      <w:bCs/>
                      <w:color w:val="auto"/>
                      <w:sz w:val="21"/>
                      <w:szCs w:val="21"/>
                      <w:lang w:eastAsia="zh-CN"/>
                    </w:rPr>
                    <w:t>云南常青树化工有限公司</w:t>
                  </w:r>
                  <w:r>
                    <w:rPr>
                      <w:bCs/>
                      <w:color w:val="auto"/>
                      <w:sz w:val="21"/>
                      <w:szCs w:val="21"/>
                    </w:rPr>
                    <w:t>现有设施</w:t>
                  </w:r>
                </w:p>
              </w:tc>
            </w:tr>
            <w:tr w14:paraId="4D0AE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1" w:type="pct"/>
                  <w:vMerge w:val="continue"/>
                  <w:vAlign w:val="center"/>
                </w:tcPr>
                <w:p w14:paraId="3733AA22">
                  <w:pPr>
                    <w:jc w:val="center"/>
                    <w:rPr>
                      <w:bCs/>
                      <w:color w:val="auto"/>
                      <w:sz w:val="21"/>
                      <w:szCs w:val="21"/>
                      <w:highlight w:val="green"/>
                    </w:rPr>
                  </w:pPr>
                </w:p>
              </w:tc>
              <w:tc>
                <w:tcPr>
                  <w:tcW w:w="522" w:type="pct"/>
                  <w:vMerge w:val="continue"/>
                  <w:vAlign w:val="center"/>
                </w:tcPr>
                <w:p w14:paraId="16B7DA02">
                  <w:pPr>
                    <w:jc w:val="center"/>
                    <w:rPr>
                      <w:bCs/>
                      <w:color w:val="auto"/>
                      <w:sz w:val="21"/>
                      <w:szCs w:val="21"/>
                    </w:rPr>
                  </w:pPr>
                </w:p>
              </w:tc>
              <w:tc>
                <w:tcPr>
                  <w:tcW w:w="1485" w:type="pct"/>
                  <w:vAlign w:val="center"/>
                </w:tcPr>
                <w:p w14:paraId="1227AF8A">
                  <w:pPr>
                    <w:jc w:val="center"/>
                    <w:rPr>
                      <w:bCs/>
                      <w:color w:val="auto"/>
                      <w:sz w:val="21"/>
                      <w:szCs w:val="21"/>
                    </w:rPr>
                  </w:pPr>
                  <w:r>
                    <w:rPr>
                      <w:bCs/>
                      <w:color w:val="auto"/>
                      <w:sz w:val="21"/>
                      <w:szCs w:val="21"/>
                    </w:rPr>
                    <w:t>危废暂存间</w:t>
                  </w:r>
                </w:p>
              </w:tc>
              <w:tc>
                <w:tcPr>
                  <w:tcW w:w="1316" w:type="pct"/>
                  <w:vAlign w:val="center"/>
                </w:tcPr>
                <w:p w14:paraId="0B00D1B7">
                  <w:pPr>
                    <w:jc w:val="center"/>
                    <w:rPr>
                      <w:bCs/>
                      <w:color w:val="auto"/>
                      <w:sz w:val="21"/>
                      <w:szCs w:val="21"/>
                    </w:rPr>
                  </w:pPr>
                  <w:r>
                    <w:rPr>
                      <w:bCs/>
                      <w:color w:val="auto"/>
                      <w:sz w:val="21"/>
                      <w:szCs w:val="21"/>
                    </w:rPr>
                    <w:t>/</w:t>
                  </w:r>
                </w:p>
              </w:tc>
              <w:tc>
                <w:tcPr>
                  <w:tcW w:w="469" w:type="pct"/>
                  <w:vAlign w:val="center"/>
                </w:tcPr>
                <w:p w14:paraId="7B624AB9">
                  <w:pPr>
                    <w:jc w:val="center"/>
                    <w:rPr>
                      <w:bCs/>
                      <w:color w:val="auto"/>
                      <w:sz w:val="21"/>
                      <w:szCs w:val="21"/>
                    </w:rPr>
                  </w:pPr>
                  <w:r>
                    <w:rPr>
                      <w:bCs/>
                      <w:color w:val="auto"/>
                      <w:sz w:val="21"/>
                      <w:szCs w:val="21"/>
                    </w:rPr>
                    <w:t>/</w:t>
                  </w:r>
                </w:p>
              </w:tc>
              <w:tc>
                <w:tcPr>
                  <w:tcW w:w="896" w:type="pct"/>
                  <w:vMerge w:val="continue"/>
                  <w:vAlign w:val="center"/>
                </w:tcPr>
                <w:p w14:paraId="3D10A74A">
                  <w:pPr>
                    <w:jc w:val="center"/>
                    <w:rPr>
                      <w:bCs/>
                      <w:color w:val="auto"/>
                      <w:sz w:val="21"/>
                      <w:szCs w:val="21"/>
                    </w:rPr>
                  </w:pPr>
                </w:p>
              </w:tc>
            </w:tr>
            <w:tr w14:paraId="48032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1" w:type="pct"/>
                  <w:vMerge w:val="continue"/>
                  <w:vAlign w:val="center"/>
                </w:tcPr>
                <w:p w14:paraId="360E89F6">
                  <w:pPr>
                    <w:jc w:val="center"/>
                    <w:rPr>
                      <w:bCs/>
                      <w:color w:val="auto"/>
                      <w:sz w:val="21"/>
                      <w:szCs w:val="21"/>
                      <w:highlight w:val="green"/>
                    </w:rPr>
                  </w:pPr>
                </w:p>
              </w:tc>
              <w:tc>
                <w:tcPr>
                  <w:tcW w:w="522" w:type="pct"/>
                  <w:vAlign w:val="center"/>
                </w:tcPr>
                <w:p w14:paraId="3ACF0087">
                  <w:pPr>
                    <w:jc w:val="center"/>
                    <w:rPr>
                      <w:bCs/>
                      <w:color w:val="auto"/>
                      <w:sz w:val="21"/>
                      <w:szCs w:val="21"/>
                    </w:rPr>
                  </w:pPr>
                  <w:r>
                    <w:rPr>
                      <w:bCs/>
                      <w:color w:val="auto"/>
                      <w:sz w:val="21"/>
                      <w:szCs w:val="21"/>
                    </w:rPr>
                    <w:t>噪声防治措施</w:t>
                  </w:r>
                </w:p>
              </w:tc>
              <w:tc>
                <w:tcPr>
                  <w:tcW w:w="1485" w:type="pct"/>
                  <w:vAlign w:val="center"/>
                </w:tcPr>
                <w:p w14:paraId="1080E39A">
                  <w:pPr>
                    <w:jc w:val="center"/>
                    <w:rPr>
                      <w:bCs/>
                      <w:color w:val="auto"/>
                      <w:sz w:val="21"/>
                      <w:szCs w:val="21"/>
                    </w:rPr>
                  </w:pPr>
                  <w:r>
                    <w:rPr>
                      <w:bCs/>
                      <w:color w:val="auto"/>
                      <w:sz w:val="21"/>
                      <w:szCs w:val="21"/>
                    </w:rPr>
                    <w:t>隔声、减震等</w:t>
                  </w:r>
                </w:p>
              </w:tc>
              <w:tc>
                <w:tcPr>
                  <w:tcW w:w="1316" w:type="pct"/>
                  <w:vAlign w:val="center"/>
                </w:tcPr>
                <w:p w14:paraId="4E8AC462">
                  <w:pPr>
                    <w:jc w:val="center"/>
                    <w:rPr>
                      <w:rFonts w:hint="default" w:eastAsia="宋体"/>
                      <w:bCs/>
                      <w:color w:val="auto"/>
                      <w:sz w:val="21"/>
                      <w:szCs w:val="21"/>
                      <w:lang w:val="en-US" w:eastAsia="zh-CN"/>
                    </w:rPr>
                  </w:pPr>
                  <w:r>
                    <w:rPr>
                      <w:rFonts w:hint="eastAsia"/>
                      <w:bCs/>
                      <w:color w:val="auto"/>
                      <w:sz w:val="21"/>
                      <w:szCs w:val="21"/>
                      <w:lang w:val="en-US" w:eastAsia="zh-CN"/>
                    </w:rPr>
                    <w:t>新增筛分机采用</w:t>
                  </w:r>
                  <w:r>
                    <w:rPr>
                      <w:bCs/>
                      <w:color w:val="auto"/>
                      <w:sz w:val="21"/>
                      <w:szCs w:val="21"/>
                    </w:rPr>
                    <w:t>隔声、减震等</w:t>
                  </w:r>
                </w:p>
              </w:tc>
              <w:tc>
                <w:tcPr>
                  <w:tcW w:w="469" w:type="pct"/>
                  <w:vAlign w:val="center"/>
                </w:tcPr>
                <w:p w14:paraId="2CAF2600">
                  <w:pPr>
                    <w:jc w:val="center"/>
                    <w:rPr>
                      <w:rFonts w:hint="default" w:eastAsia="宋体"/>
                      <w:bCs/>
                      <w:color w:val="auto"/>
                      <w:sz w:val="21"/>
                      <w:szCs w:val="21"/>
                      <w:lang w:val="en-US" w:eastAsia="zh-CN"/>
                    </w:rPr>
                  </w:pPr>
                  <w:r>
                    <w:rPr>
                      <w:rFonts w:hint="eastAsia"/>
                      <w:bCs/>
                      <w:color w:val="auto"/>
                      <w:sz w:val="21"/>
                      <w:szCs w:val="21"/>
                      <w:lang w:val="en-US" w:eastAsia="zh-CN"/>
                    </w:rPr>
                    <w:t>0.2</w:t>
                  </w:r>
                </w:p>
              </w:tc>
              <w:tc>
                <w:tcPr>
                  <w:tcW w:w="896" w:type="pct"/>
                  <w:vAlign w:val="center"/>
                </w:tcPr>
                <w:p w14:paraId="61CA5490">
                  <w:pPr>
                    <w:jc w:val="center"/>
                    <w:rPr>
                      <w:bCs/>
                      <w:color w:val="auto"/>
                      <w:sz w:val="21"/>
                      <w:szCs w:val="21"/>
                    </w:rPr>
                  </w:pPr>
                  <w:r>
                    <w:rPr>
                      <w:rFonts w:hint="eastAsia" w:cs="Times New Roman"/>
                      <w:bCs/>
                      <w:color w:val="auto"/>
                      <w:sz w:val="21"/>
                      <w:szCs w:val="21"/>
                      <w:lang w:val="en-US" w:eastAsia="zh-CN" w:bidi="ar-SA"/>
                    </w:rPr>
                    <w:t>新增</w:t>
                  </w:r>
                </w:p>
              </w:tc>
            </w:tr>
            <w:tr w14:paraId="5A919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1" w:type="pct"/>
                  <w:vMerge w:val="continue"/>
                  <w:vAlign w:val="center"/>
                </w:tcPr>
                <w:p w14:paraId="0EF9042C">
                  <w:pPr>
                    <w:jc w:val="center"/>
                    <w:rPr>
                      <w:bCs/>
                      <w:color w:val="auto"/>
                      <w:sz w:val="21"/>
                      <w:szCs w:val="21"/>
                      <w:highlight w:val="green"/>
                    </w:rPr>
                  </w:pPr>
                </w:p>
              </w:tc>
              <w:tc>
                <w:tcPr>
                  <w:tcW w:w="522" w:type="pct"/>
                  <w:vMerge w:val="restart"/>
                  <w:vAlign w:val="center"/>
                </w:tcPr>
                <w:p w14:paraId="40EB558B">
                  <w:pPr>
                    <w:jc w:val="center"/>
                    <w:rPr>
                      <w:bCs/>
                      <w:color w:val="auto"/>
                      <w:sz w:val="21"/>
                      <w:szCs w:val="21"/>
                    </w:rPr>
                  </w:pPr>
                  <w:r>
                    <w:rPr>
                      <w:color w:val="auto"/>
                      <w:sz w:val="21"/>
                      <w:szCs w:val="21"/>
                    </w:rPr>
                    <w:t>地下水防渗措施</w:t>
                  </w:r>
                </w:p>
              </w:tc>
              <w:tc>
                <w:tcPr>
                  <w:tcW w:w="1485" w:type="pct"/>
                  <w:vAlign w:val="center"/>
                </w:tcPr>
                <w:p w14:paraId="67A4FADF">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color w:val="auto"/>
                      <w:sz w:val="21"/>
                      <w:szCs w:val="21"/>
                      <w:lang w:val="en-US" w:eastAsia="zh-CN" w:bidi="ar-SA"/>
                    </w:rPr>
                  </w:pPr>
                  <w:r>
                    <w:rPr>
                      <w:rFonts w:hint="eastAsia"/>
                      <w:color w:val="auto"/>
                      <w:sz w:val="21"/>
                      <w:szCs w:val="21"/>
                    </w:rPr>
                    <w:t>生态修复材料</w:t>
                  </w:r>
                  <w:r>
                    <w:rPr>
                      <w:color w:val="auto"/>
                      <w:sz w:val="21"/>
                      <w:szCs w:val="21"/>
                    </w:rPr>
                    <w:t>熟化及成品堆场</w:t>
                  </w:r>
                </w:p>
              </w:tc>
              <w:tc>
                <w:tcPr>
                  <w:tcW w:w="1316" w:type="pct"/>
                  <w:vMerge w:val="restart"/>
                  <w:vAlign w:val="center"/>
                </w:tcPr>
                <w:p w14:paraId="0862EE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color w:val="auto"/>
                      <w:sz w:val="21"/>
                      <w:szCs w:val="21"/>
                    </w:rPr>
                    <w:t>现状闲置库房内场地</w:t>
                  </w:r>
                  <w:r>
                    <w:rPr>
                      <w:rFonts w:hint="eastAsia"/>
                      <w:color w:val="auto"/>
                      <w:sz w:val="21"/>
                      <w:szCs w:val="21"/>
                      <w:lang w:val="en-US" w:eastAsia="zh-CN"/>
                    </w:rPr>
                    <w:t>已采取了粘土铺地压实（</w:t>
                  </w:r>
                  <w:r>
                    <w:rPr>
                      <w:color w:val="auto"/>
                      <w:sz w:val="21"/>
                      <w:szCs w:val="21"/>
                    </w:rPr>
                    <w:t>厚度</w:t>
                  </w:r>
                  <w:r>
                    <w:rPr>
                      <w:rFonts w:hint="eastAsia"/>
                      <w:color w:val="auto"/>
                      <w:sz w:val="21"/>
                      <w:szCs w:val="21"/>
                    </w:rPr>
                    <w:t>0.75</w:t>
                  </w:r>
                  <w:r>
                    <w:rPr>
                      <w:color w:val="auto"/>
                      <w:sz w:val="21"/>
                      <w:szCs w:val="21"/>
                    </w:rPr>
                    <w:t>m，K≤1×10</w:t>
                  </w:r>
                  <w:r>
                    <w:rPr>
                      <w:color w:val="auto"/>
                      <w:sz w:val="21"/>
                      <w:szCs w:val="21"/>
                      <w:vertAlign w:val="superscript"/>
                    </w:rPr>
                    <w:t>-7</w:t>
                  </w:r>
                  <w:r>
                    <w:rPr>
                      <w:color w:val="auto"/>
                      <w:sz w:val="21"/>
                      <w:szCs w:val="21"/>
                    </w:rPr>
                    <w:t>cm/s</w:t>
                  </w:r>
                  <w:r>
                    <w:rPr>
                      <w:rFonts w:hint="eastAsia"/>
                      <w:color w:val="auto"/>
                      <w:sz w:val="21"/>
                      <w:szCs w:val="21"/>
                      <w:lang w:val="en-US" w:eastAsia="zh-CN"/>
                    </w:rPr>
                    <w:t>），再在上层铺设</w:t>
                  </w:r>
                  <w:r>
                    <w:rPr>
                      <w:rFonts w:hint="eastAsia"/>
                      <w:color w:val="auto"/>
                      <w:sz w:val="21"/>
                      <w:szCs w:val="21"/>
                    </w:rPr>
                    <w:t>C</w:t>
                  </w:r>
                  <w:r>
                    <w:rPr>
                      <w:rFonts w:hint="eastAsia"/>
                      <w:color w:val="auto"/>
                      <w:sz w:val="21"/>
                      <w:szCs w:val="21"/>
                      <w:lang w:val="en-US" w:eastAsia="zh-CN"/>
                    </w:rPr>
                    <w:t>3</w:t>
                  </w:r>
                  <w:r>
                    <w:rPr>
                      <w:rFonts w:hint="eastAsia"/>
                      <w:color w:val="auto"/>
                      <w:sz w:val="21"/>
                      <w:szCs w:val="21"/>
                    </w:rPr>
                    <w:t>0</w:t>
                  </w:r>
                  <w:r>
                    <w:rPr>
                      <w:color w:val="auto"/>
                      <w:sz w:val="21"/>
                      <w:szCs w:val="21"/>
                    </w:rPr>
                    <w:t>混凝土（厚度</w:t>
                  </w:r>
                  <w:r>
                    <w:rPr>
                      <w:rFonts w:hint="eastAsia"/>
                      <w:color w:val="auto"/>
                      <w:sz w:val="21"/>
                      <w:szCs w:val="21"/>
                      <w:lang w:val="en-US" w:eastAsia="zh-CN"/>
                    </w:rPr>
                    <w:t>300</w:t>
                  </w:r>
                  <w:r>
                    <w:rPr>
                      <w:rFonts w:hint="eastAsia"/>
                      <w:color w:val="auto"/>
                      <w:sz w:val="21"/>
                      <w:szCs w:val="21"/>
                    </w:rPr>
                    <w:t>mm</w:t>
                  </w:r>
                  <w:r>
                    <w:rPr>
                      <w:rFonts w:hint="eastAsia"/>
                      <w:color w:val="auto"/>
                      <w:sz w:val="21"/>
                      <w:szCs w:val="21"/>
                      <w:lang w:eastAsia="zh-CN"/>
                    </w:rPr>
                    <w:t>、</w:t>
                  </w:r>
                  <w:r>
                    <w:rPr>
                      <w:rFonts w:hint="eastAsia"/>
                      <w:color w:val="auto"/>
                      <w:sz w:val="21"/>
                      <w:szCs w:val="21"/>
                      <w:lang w:val="en-US" w:eastAsia="zh-CN"/>
                    </w:rPr>
                    <w:t>抗渗等级为P8</w:t>
                  </w:r>
                  <w:r>
                    <w:rPr>
                      <w:color w:val="auto"/>
                      <w:sz w:val="21"/>
                      <w:szCs w:val="21"/>
                    </w:rPr>
                    <w:t>）</w:t>
                  </w:r>
                  <w:r>
                    <w:rPr>
                      <w:rFonts w:hint="eastAsia"/>
                      <w:color w:val="auto"/>
                      <w:sz w:val="21"/>
                      <w:szCs w:val="21"/>
                      <w:lang w:eastAsia="zh-CN"/>
                    </w:rPr>
                    <w:t>，</w:t>
                  </w:r>
                  <w:r>
                    <w:rPr>
                      <w:color w:val="auto"/>
                      <w:sz w:val="21"/>
                      <w:szCs w:val="21"/>
                    </w:rPr>
                    <w:t>满足《一般工业固体废物贮存和填埋污染控制标准》中Ⅱ类场技术要求。</w:t>
                  </w:r>
                </w:p>
              </w:tc>
              <w:tc>
                <w:tcPr>
                  <w:tcW w:w="469" w:type="pct"/>
                  <w:vAlign w:val="center"/>
                </w:tcPr>
                <w:p w14:paraId="64E8D080">
                  <w:pPr>
                    <w:jc w:val="center"/>
                    <w:rPr>
                      <w:bCs/>
                      <w:color w:val="auto"/>
                      <w:sz w:val="21"/>
                      <w:szCs w:val="21"/>
                    </w:rPr>
                  </w:pPr>
                  <w:r>
                    <w:rPr>
                      <w:rFonts w:hint="eastAsia"/>
                      <w:bCs/>
                      <w:color w:val="auto"/>
                      <w:sz w:val="21"/>
                      <w:szCs w:val="21"/>
                    </w:rPr>
                    <w:t>/</w:t>
                  </w:r>
                </w:p>
              </w:tc>
              <w:tc>
                <w:tcPr>
                  <w:tcW w:w="896" w:type="pct"/>
                  <w:vAlign w:val="center"/>
                </w:tcPr>
                <w:p w14:paraId="3CFEECBC">
                  <w:pPr>
                    <w:jc w:val="center"/>
                    <w:rPr>
                      <w:bCs/>
                      <w:color w:val="auto"/>
                      <w:sz w:val="21"/>
                      <w:szCs w:val="21"/>
                    </w:rPr>
                  </w:pPr>
                  <w:r>
                    <w:rPr>
                      <w:rFonts w:hint="eastAsia" w:cs="Times New Roman"/>
                      <w:bCs/>
                      <w:color w:val="auto"/>
                      <w:sz w:val="21"/>
                      <w:szCs w:val="21"/>
                      <w:lang w:val="en-US" w:eastAsia="zh-CN" w:bidi="ar-SA"/>
                    </w:rPr>
                    <w:t>已有</w:t>
                  </w:r>
                </w:p>
              </w:tc>
            </w:tr>
            <w:tr w14:paraId="0C6B0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1" w:type="pct"/>
                  <w:vMerge w:val="continue"/>
                  <w:vAlign w:val="center"/>
                </w:tcPr>
                <w:p w14:paraId="3D6CDFA5">
                  <w:pPr>
                    <w:jc w:val="center"/>
                    <w:rPr>
                      <w:bCs/>
                      <w:color w:val="auto"/>
                      <w:sz w:val="21"/>
                      <w:szCs w:val="21"/>
                      <w:highlight w:val="green"/>
                    </w:rPr>
                  </w:pPr>
                </w:p>
              </w:tc>
              <w:tc>
                <w:tcPr>
                  <w:tcW w:w="522" w:type="pct"/>
                  <w:vMerge w:val="continue"/>
                  <w:vAlign w:val="center"/>
                </w:tcPr>
                <w:p w14:paraId="04E7D192">
                  <w:pPr>
                    <w:jc w:val="center"/>
                    <w:rPr>
                      <w:color w:val="auto"/>
                      <w:sz w:val="21"/>
                      <w:szCs w:val="21"/>
                    </w:rPr>
                  </w:pPr>
                </w:p>
              </w:tc>
              <w:tc>
                <w:tcPr>
                  <w:tcW w:w="1485" w:type="pct"/>
                  <w:vAlign w:val="center"/>
                </w:tcPr>
                <w:p w14:paraId="7A00B880">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路基</w:t>
                  </w:r>
                  <w:r>
                    <w:rPr>
                      <w:rFonts w:hint="eastAsia"/>
                      <w:color w:val="auto"/>
                      <w:sz w:val="21"/>
                      <w:szCs w:val="21"/>
                    </w:rPr>
                    <w:t>材料</w:t>
                  </w:r>
                  <w:r>
                    <w:rPr>
                      <w:color w:val="auto"/>
                      <w:sz w:val="21"/>
                      <w:szCs w:val="21"/>
                    </w:rPr>
                    <w:t>熟化及成品堆场</w:t>
                  </w:r>
                </w:p>
              </w:tc>
              <w:tc>
                <w:tcPr>
                  <w:tcW w:w="1316" w:type="pct"/>
                  <w:vMerge w:val="continue"/>
                  <w:vAlign w:val="center"/>
                </w:tcPr>
                <w:p w14:paraId="6A5317D7">
                  <w:pPr>
                    <w:spacing w:line="360" w:lineRule="auto"/>
                    <w:jc w:val="center"/>
                    <w:rPr>
                      <w:color w:val="auto"/>
                      <w:sz w:val="21"/>
                      <w:szCs w:val="21"/>
                    </w:rPr>
                  </w:pPr>
                </w:p>
              </w:tc>
              <w:tc>
                <w:tcPr>
                  <w:tcW w:w="469" w:type="pct"/>
                  <w:vAlign w:val="center"/>
                </w:tcPr>
                <w:p w14:paraId="22B5E6AF">
                  <w:pPr>
                    <w:jc w:val="center"/>
                    <w:rPr>
                      <w:bCs/>
                      <w:color w:val="auto"/>
                      <w:sz w:val="21"/>
                      <w:szCs w:val="21"/>
                    </w:rPr>
                  </w:pPr>
                  <w:r>
                    <w:rPr>
                      <w:rFonts w:hint="eastAsia"/>
                      <w:bCs/>
                      <w:color w:val="auto"/>
                      <w:sz w:val="21"/>
                      <w:szCs w:val="21"/>
                    </w:rPr>
                    <w:t>/</w:t>
                  </w:r>
                </w:p>
              </w:tc>
              <w:tc>
                <w:tcPr>
                  <w:tcW w:w="896" w:type="pct"/>
                  <w:vAlign w:val="center"/>
                </w:tcPr>
                <w:p w14:paraId="34A10B04">
                  <w:pPr>
                    <w:jc w:val="center"/>
                    <w:rPr>
                      <w:color w:val="auto"/>
                      <w:sz w:val="21"/>
                      <w:szCs w:val="21"/>
                    </w:rPr>
                  </w:pPr>
                  <w:r>
                    <w:rPr>
                      <w:rFonts w:hint="eastAsia" w:cs="Times New Roman"/>
                      <w:bCs/>
                      <w:color w:val="auto"/>
                      <w:sz w:val="21"/>
                      <w:szCs w:val="21"/>
                      <w:lang w:val="en-US" w:eastAsia="zh-CN" w:bidi="ar-SA"/>
                    </w:rPr>
                    <w:t>已有</w:t>
                  </w:r>
                </w:p>
              </w:tc>
            </w:tr>
            <w:tr w14:paraId="7826D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1" w:type="pct"/>
                  <w:vMerge w:val="continue"/>
                  <w:vAlign w:val="center"/>
                </w:tcPr>
                <w:p w14:paraId="48EB7FA6">
                  <w:pPr>
                    <w:jc w:val="center"/>
                    <w:rPr>
                      <w:bCs/>
                      <w:color w:val="auto"/>
                      <w:sz w:val="21"/>
                      <w:szCs w:val="21"/>
                      <w:highlight w:val="green"/>
                    </w:rPr>
                  </w:pPr>
                </w:p>
              </w:tc>
              <w:tc>
                <w:tcPr>
                  <w:tcW w:w="522" w:type="pct"/>
                  <w:vMerge w:val="continue"/>
                  <w:vAlign w:val="center"/>
                </w:tcPr>
                <w:p w14:paraId="0132DEA1">
                  <w:pPr>
                    <w:jc w:val="center"/>
                    <w:rPr>
                      <w:color w:val="auto"/>
                      <w:sz w:val="21"/>
                      <w:szCs w:val="21"/>
                    </w:rPr>
                  </w:pPr>
                </w:p>
              </w:tc>
              <w:tc>
                <w:tcPr>
                  <w:tcW w:w="1485" w:type="pct"/>
                  <w:vAlign w:val="center"/>
                </w:tcPr>
                <w:p w14:paraId="2A6D5ED7">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color w:val="auto"/>
                      <w:sz w:val="21"/>
                      <w:szCs w:val="21"/>
                      <w:lang w:val="en-US" w:eastAsia="zh-CN" w:bidi="ar-SA"/>
                    </w:rPr>
                  </w:pPr>
                  <w:r>
                    <w:rPr>
                      <w:rFonts w:hint="eastAsia"/>
                      <w:color w:val="auto"/>
                      <w:sz w:val="21"/>
                      <w:szCs w:val="21"/>
                    </w:rPr>
                    <w:t>土壤</w:t>
                  </w:r>
                  <w:r>
                    <w:rPr>
                      <w:rFonts w:hint="eastAsia"/>
                      <w:color w:val="auto"/>
                      <w:sz w:val="21"/>
                      <w:szCs w:val="21"/>
                      <w:lang w:val="en-US" w:eastAsia="zh-CN"/>
                    </w:rPr>
                    <w:t>改良</w:t>
                  </w:r>
                  <w:r>
                    <w:rPr>
                      <w:rFonts w:hint="eastAsia"/>
                      <w:color w:val="auto"/>
                      <w:sz w:val="21"/>
                      <w:szCs w:val="21"/>
                    </w:rPr>
                    <w:t>剂</w:t>
                  </w:r>
                  <w:r>
                    <w:rPr>
                      <w:color w:val="auto"/>
                      <w:sz w:val="21"/>
                      <w:szCs w:val="21"/>
                    </w:rPr>
                    <w:t>熟化及成品堆场</w:t>
                  </w:r>
                </w:p>
              </w:tc>
              <w:tc>
                <w:tcPr>
                  <w:tcW w:w="1316" w:type="pct"/>
                  <w:vMerge w:val="continue"/>
                  <w:vAlign w:val="center"/>
                </w:tcPr>
                <w:p w14:paraId="1EFD2350">
                  <w:pPr>
                    <w:spacing w:line="360" w:lineRule="auto"/>
                    <w:jc w:val="center"/>
                    <w:rPr>
                      <w:color w:val="auto"/>
                      <w:sz w:val="21"/>
                      <w:szCs w:val="21"/>
                    </w:rPr>
                  </w:pPr>
                </w:p>
              </w:tc>
              <w:tc>
                <w:tcPr>
                  <w:tcW w:w="469" w:type="pct"/>
                  <w:vAlign w:val="center"/>
                </w:tcPr>
                <w:p w14:paraId="1EEAF1CE">
                  <w:pPr>
                    <w:jc w:val="center"/>
                    <w:rPr>
                      <w:bCs/>
                      <w:color w:val="auto"/>
                      <w:sz w:val="21"/>
                      <w:szCs w:val="21"/>
                    </w:rPr>
                  </w:pPr>
                  <w:r>
                    <w:rPr>
                      <w:rFonts w:hint="eastAsia"/>
                      <w:bCs/>
                      <w:color w:val="auto"/>
                      <w:sz w:val="21"/>
                      <w:szCs w:val="21"/>
                    </w:rPr>
                    <w:t>/</w:t>
                  </w:r>
                </w:p>
              </w:tc>
              <w:tc>
                <w:tcPr>
                  <w:tcW w:w="896" w:type="pct"/>
                  <w:vAlign w:val="center"/>
                </w:tcPr>
                <w:p w14:paraId="1EBA8ACF">
                  <w:pPr>
                    <w:jc w:val="center"/>
                    <w:rPr>
                      <w:color w:val="auto"/>
                      <w:sz w:val="21"/>
                      <w:szCs w:val="21"/>
                    </w:rPr>
                  </w:pPr>
                  <w:r>
                    <w:rPr>
                      <w:rFonts w:hint="eastAsia" w:cs="Times New Roman"/>
                      <w:bCs/>
                      <w:color w:val="auto"/>
                      <w:sz w:val="21"/>
                      <w:szCs w:val="21"/>
                      <w:lang w:val="en-US" w:eastAsia="zh-CN" w:bidi="ar-SA"/>
                    </w:rPr>
                    <w:t>已有</w:t>
                  </w:r>
                </w:p>
              </w:tc>
            </w:tr>
            <w:tr w14:paraId="7CB3C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1" w:type="pct"/>
                  <w:vMerge w:val="continue"/>
                  <w:vAlign w:val="center"/>
                </w:tcPr>
                <w:p w14:paraId="66F55E95">
                  <w:pPr>
                    <w:jc w:val="center"/>
                    <w:rPr>
                      <w:bCs/>
                      <w:color w:val="auto"/>
                      <w:sz w:val="21"/>
                      <w:szCs w:val="21"/>
                      <w:highlight w:val="green"/>
                    </w:rPr>
                  </w:pPr>
                </w:p>
              </w:tc>
              <w:tc>
                <w:tcPr>
                  <w:tcW w:w="522" w:type="pct"/>
                  <w:vMerge w:val="continue"/>
                  <w:vAlign w:val="center"/>
                </w:tcPr>
                <w:p w14:paraId="75B28021">
                  <w:pPr>
                    <w:jc w:val="center"/>
                    <w:rPr>
                      <w:bCs/>
                      <w:color w:val="auto"/>
                      <w:sz w:val="21"/>
                      <w:szCs w:val="21"/>
                    </w:rPr>
                  </w:pPr>
                </w:p>
              </w:tc>
              <w:tc>
                <w:tcPr>
                  <w:tcW w:w="1485" w:type="pct"/>
                  <w:vAlign w:val="center"/>
                </w:tcPr>
                <w:p w14:paraId="1556F792">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原料库</w:t>
                  </w:r>
                </w:p>
              </w:tc>
              <w:tc>
                <w:tcPr>
                  <w:tcW w:w="1316" w:type="pct"/>
                  <w:vMerge w:val="continue"/>
                  <w:vAlign w:val="center"/>
                </w:tcPr>
                <w:p w14:paraId="50454048">
                  <w:pPr>
                    <w:spacing w:line="360" w:lineRule="auto"/>
                    <w:jc w:val="center"/>
                    <w:rPr>
                      <w:bCs/>
                      <w:color w:val="auto"/>
                      <w:sz w:val="21"/>
                      <w:szCs w:val="21"/>
                    </w:rPr>
                  </w:pPr>
                </w:p>
              </w:tc>
              <w:tc>
                <w:tcPr>
                  <w:tcW w:w="469" w:type="pct"/>
                  <w:vAlign w:val="center"/>
                </w:tcPr>
                <w:p w14:paraId="3CFC21E0">
                  <w:pPr>
                    <w:jc w:val="center"/>
                    <w:rPr>
                      <w:bCs/>
                      <w:color w:val="auto"/>
                      <w:sz w:val="21"/>
                      <w:szCs w:val="21"/>
                    </w:rPr>
                  </w:pPr>
                  <w:r>
                    <w:rPr>
                      <w:rFonts w:hint="eastAsia"/>
                      <w:bCs/>
                      <w:color w:val="auto"/>
                      <w:sz w:val="21"/>
                      <w:szCs w:val="21"/>
                    </w:rPr>
                    <w:t>/</w:t>
                  </w:r>
                </w:p>
              </w:tc>
              <w:tc>
                <w:tcPr>
                  <w:tcW w:w="896" w:type="pct"/>
                  <w:vAlign w:val="center"/>
                </w:tcPr>
                <w:p w14:paraId="013A31D8">
                  <w:pPr>
                    <w:jc w:val="center"/>
                    <w:rPr>
                      <w:bCs/>
                      <w:color w:val="auto"/>
                      <w:sz w:val="21"/>
                      <w:szCs w:val="21"/>
                    </w:rPr>
                  </w:pPr>
                  <w:r>
                    <w:rPr>
                      <w:rFonts w:hint="eastAsia" w:cs="Times New Roman"/>
                      <w:bCs/>
                      <w:color w:val="auto"/>
                      <w:sz w:val="21"/>
                      <w:szCs w:val="21"/>
                      <w:lang w:val="en-US" w:eastAsia="zh-CN" w:bidi="ar-SA"/>
                    </w:rPr>
                    <w:t>已有</w:t>
                  </w:r>
                </w:p>
              </w:tc>
            </w:tr>
            <w:tr w14:paraId="3743E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1" w:type="pct"/>
                  <w:vMerge w:val="continue"/>
                  <w:vAlign w:val="center"/>
                </w:tcPr>
                <w:p w14:paraId="5AE51118">
                  <w:pPr>
                    <w:jc w:val="center"/>
                    <w:rPr>
                      <w:bCs/>
                      <w:color w:val="auto"/>
                      <w:sz w:val="21"/>
                      <w:szCs w:val="21"/>
                      <w:highlight w:val="green"/>
                    </w:rPr>
                  </w:pPr>
                </w:p>
              </w:tc>
              <w:tc>
                <w:tcPr>
                  <w:tcW w:w="522" w:type="pct"/>
                  <w:vMerge w:val="continue"/>
                  <w:vAlign w:val="center"/>
                </w:tcPr>
                <w:p w14:paraId="26B4C824">
                  <w:pPr>
                    <w:jc w:val="center"/>
                    <w:rPr>
                      <w:bCs/>
                      <w:color w:val="auto"/>
                      <w:sz w:val="21"/>
                      <w:szCs w:val="21"/>
                    </w:rPr>
                  </w:pPr>
                </w:p>
              </w:tc>
              <w:tc>
                <w:tcPr>
                  <w:tcW w:w="1485" w:type="pct"/>
                  <w:vAlign w:val="center"/>
                </w:tcPr>
                <w:p w14:paraId="4034DFEB">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lang w:val="en-US" w:eastAsia="zh-CN" w:bidi="ar-SA"/>
                    </w:rPr>
                  </w:pPr>
                  <w:r>
                    <w:rPr>
                      <w:color w:val="auto"/>
                      <w:sz w:val="21"/>
                      <w:szCs w:val="21"/>
                    </w:rPr>
                    <w:t>电石渣</w:t>
                  </w:r>
                  <w:r>
                    <w:rPr>
                      <w:rFonts w:hint="eastAsia"/>
                      <w:color w:val="auto"/>
                      <w:sz w:val="21"/>
                      <w:szCs w:val="21"/>
                      <w:lang w:val="en-US" w:eastAsia="zh-CN"/>
                    </w:rPr>
                    <w:t>堆存区</w:t>
                  </w:r>
                </w:p>
              </w:tc>
              <w:tc>
                <w:tcPr>
                  <w:tcW w:w="1316" w:type="pct"/>
                  <w:vMerge w:val="continue"/>
                  <w:vAlign w:val="center"/>
                </w:tcPr>
                <w:p w14:paraId="4641CFC1">
                  <w:pPr>
                    <w:spacing w:line="360" w:lineRule="auto"/>
                    <w:jc w:val="center"/>
                    <w:rPr>
                      <w:bCs/>
                      <w:color w:val="auto"/>
                      <w:sz w:val="21"/>
                      <w:szCs w:val="21"/>
                    </w:rPr>
                  </w:pPr>
                </w:p>
              </w:tc>
              <w:tc>
                <w:tcPr>
                  <w:tcW w:w="469" w:type="pct"/>
                  <w:vAlign w:val="center"/>
                </w:tcPr>
                <w:p w14:paraId="3667DAFC">
                  <w:pPr>
                    <w:jc w:val="center"/>
                    <w:rPr>
                      <w:bCs/>
                      <w:color w:val="auto"/>
                      <w:sz w:val="21"/>
                      <w:szCs w:val="21"/>
                    </w:rPr>
                  </w:pPr>
                  <w:r>
                    <w:rPr>
                      <w:rFonts w:hint="eastAsia"/>
                      <w:bCs/>
                      <w:color w:val="auto"/>
                      <w:sz w:val="21"/>
                      <w:szCs w:val="21"/>
                    </w:rPr>
                    <w:t>/</w:t>
                  </w:r>
                </w:p>
              </w:tc>
              <w:tc>
                <w:tcPr>
                  <w:tcW w:w="896" w:type="pct"/>
                  <w:vAlign w:val="center"/>
                </w:tcPr>
                <w:p w14:paraId="6280E536">
                  <w:pPr>
                    <w:jc w:val="center"/>
                    <w:rPr>
                      <w:bCs/>
                      <w:color w:val="auto"/>
                      <w:sz w:val="21"/>
                      <w:szCs w:val="21"/>
                    </w:rPr>
                  </w:pPr>
                  <w:r>
                    <w:rPr>
                      <w:rFonts w:hint="eastAsia" w:cs="Times New Roman"/>
                      <w:bCs/>
                      <w:color w:val="auto"/>
                      <w:sz w:val="21"/>
                      <w:szCs w:val="21"/>
                      <w:lang w:val="en-US" w:eastAsia="zh-CN" w:bidi="ar-SA"/>
                    </w:rPr>
                    <w:t>已有</w:t>
                  </w:r>
                </w:p>
              </w:tc>
            </w:tr>
            <w:tr w14:paraId="020B9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1" w:type="pct"/>
                  <w:vMerge w:val="continue"/>
                  <w:vAlign w:val="center"/>
                </w:tcPr>
                <w:p w14:paraId="6D965C40">
                  <w:pPr>
                    <w:jc w:val="center"/>
                    <w:rPr>
                      <w:bCs/>
                      <w:color w:val="auto"/>
                      <w:sz w:val="21"/>
                      <w:szCs w:val="21"/>
                      <w:highlight w:val="green"/>
                    </w:rPr>
                  </w:pPr>
                </w:p>
              </w:tc>
              <w:tc>
                <w:tcPr>
                  <w:tcW w:w="522" w:type="pct"/>
                  <w:vMerge w:val="continue"/>
                  <w:vAlign w:val="center"/>
                </w:tcPr>
                <w:p w14:paraId="75809C3D">
                  <w:pPr>
                    <w:jc w:val="center"/>
                    <w:rPr>
                      <w:bCs/>
                      <w:color w:val="auto"/>
                      <w:sz w:val="21"/>
                      <w:szCs w:val="21"/>
                    </w:rPr>
                  </w:pPr>
                </w:p>
              </w:tc>
              <w:tc>
                <w:tcPr>
                  <w:tcW w:w="1485" w:type="pct"/>
                  <w:vAlign w:val="center"/>
                </w:tcPr>
                <w:p w14:paraId="059A7352">
                  <w:pPr>
                    <w:jc w:val="center"/>
                    <w:rPr>
                      <w:bCs/>
                      <w:color w:val="auto"/>
                      <w:sz w:val="21"/>
                      <w:szCs w:val="21"/>
                    </w:rPr>
                  </w:pPr>
                  <w:r>
                    <w:rPr>
                      <w:color w:val="auto"/>
                      <w:sz w:val="21"/>
                      <w:szCs w:val="21"/>
                    </w:rPr>
                    <w:t>其他区域</w:t>
                  </w:r>
                </w:p>
              </w:tc>
              <w:tc>
                <w:tcPr>
                  <w:tcW w:w="1316" w:type="pct"/>
                  <w:vAlign w:val="center"/>
                </w:tcPr>
                <w:p w14:paraId="2D244752">
                  <w:pPr>
                    <w:spacing w:line="360" w:lineRule="auto"/>
                    <w:jc w:val="center"/>
                    <w:rPr>
                      <w:bCs/>
                      <w:color w:val="auto"/>
                      <w:sz w:val="21"/>
                      <w:szCs w:val="21"/>
                    </w:rPr>
                  </w:pPr>
                  <w:r>
                    <w:rPr>
                      <w:color w:val="auto"/>
                      <w:sz w:val="21"/>
                      <w:szCs w:val="21"/>
                    </w:rPr>
                    <w:t>混泥土浇筑；水泥硬化</w:t>
                  </w:r>
                </w:p>
              </w:tc>
              <w:tc>
                <w:tcPr>
                  <w:tcW w:w="469" w:type="pct"/>
                  <w:vAlign w:val="center"/>
                </w:tcPr>
                <w:p w14:paraId="55B227DC">
                  <w:pPr>
                    <w:jc w:val="center"/>
                    <w:rPr>
                      <w:bCs/>
                      <w:color w:val="auto"/>
                      <w:sz w:val="21"/>
                      <w:szCs w:val="21"/>
                    </w:rPr>
                  </w:pPr>
                  <w:r>
                    <w:rPr>
                      <w:rFonts w:hint="eastAsia"/>
                      <w:bCs/>
                      <w:color w:val="auto"/>
                      <w:sz w:val="21"/>
                      <w:szCs w:val="21"/>
                    </w:rPr>
                    <w:t>/</w:t>
                  </w:r>
                </w:p>
              </w:tc>
              <w:tc>
                <w:tcPr>
                  <w:tcW w:w="896" w:type="pct"/>
                  <w:vAlign w:val="center"/>
                </w:tcPr>
                <w:p w14:paraId="752FF55A">
                  <w:pPr>
                    <w:jc w:val="center"/>
                    <w:rPr>
                      <w:bCs/>
                      <w:color w:val="auto"/>
                      <w:sz w:val="21"/>
                      <w:szCs w:val="21"/>
                    </w:rPr>
                  </w:pPr>
                  <w:r>
                    <w:rPr>
                      <w:rFonts w:hint="eastAsia" w:cs="Times New Roman"/>
                      <w:bCs/>
                      <w:color w:val="auto"/>
                      <w:sz w:val="21"/>
                      <w:szCs w:val="21"/>
                      <w:lang w:val="en-US" w:eastAsia="zh-CN" w:bidi="ar-SA"/>
                    </w:rPr>
                    <w:t>已有</w:t>
                  </w:r>
                </w:p>
              </w:tc>
            </w:tr>
            <w:tr w14:paraId="4BAA0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34" w:type="pct"/>
                  <w:gridSpan w:val="4"/>
                  <w:vAlign w:val="center"/>
                </w:tcPr>
                <w:p w14:paraId="43F10D01">
                  <w:pPr>
                    <w:jc w:val="center"/>
                    <w:rPr>
                      <w:bCs/>
                      <w:color w:val="auto"/>
                      <w:sz w:val="21"/>
                      <w:szCs w:val="21"/>
                    </w:rPr>
                  </w:pPr>
                  <w:r>
                    <w:rPr>
                      <w:bCs/>
                      <w:color w:val="auto"/>
                      <w:sz w:val="21"/>
                      <w:szCs w:val="21"/>
                    </w:rPr>
                    <w:t>合计</w:t>
                  </w:r>
                </w:p>
              </w:tc>
              <w:tc>
                <w:tcPr>
                  <w:tcW w:w="469" w:type="pct"/>
                  <w:vAlign w:val="center"/>
                </w:tcPr>
                <w:p w14:paraId="451518E6">
                  <w:pPr>
                    <w:jc w:val="center"/>
                    <w:rPr>
                      <w:rFonts w:hint="default" w:eastAsia="宋体"/>
                      <w:bCs/>
                      <w:color w:val="auto"/>
                      <w:sz w:val="21"/>
                      <w:szCs w:val="21"/>
                      <w:lang w:val="en-US" w:eastAsia="zh-CN"/>
                    </w:rPr>
                  </w:pPr>
                  <w:r>
                    <w:rPr>
                      <w:rFonts w:hint="eastAsia"/>
                      <w:bCs/>
                      <w:color w:val="auto"/>
                      <w:sz w:val="21"/>
                      <w:szCs w:val="21"/>
                      <w:lang w:val="en-US" w:eastAsia="zh-CN"/>
                    </w:rPr>
                    <w:t>23.3</w:t>
                  </w:r>
                </w:p>
              </w:tc>
              <w:tc>
                <w:tcPr>
                  <w:tcW w:w="896" w:type="pct"/>
                  <w:vAlign w:val="center"/>
                </w:tcPr>
                <w:p w14:paraId="7747309A">
                  <w:pPr>
                    <w:jc w:val="center"/>
                    <w:rPr>
                      <w:bCs/>
                      <w:color w:val="auto"/>
                      <w:sz w:val="21"/>
                      <w:szCs w:val="21"/>
                    </w:rPr>
                  </w:pPr>
                  <w:r>
                    <w:rPr>
                      <w:bCs/>
                      <w:color w:val="auto"/>
                      <w:sz w:val="21"/>
                      <w:szCs w:val="21"/>
                    </w:rPr>
                    <w:t>/</w:t>
                  </w:r>
                </w:p>
              </w:tc>
            </w:tr>
          </w:tbl>
          <w:p w14:paraId="0B688F4A">
            <w:pPr>
              <w:rPr>
                <w:color w:val="auto"/>
              </w:rPr>
            </w:pPr>
          </w:p>
        </w:tc>
      </w:tr>
    </w:tbl>
    <w:p w14:paraId="744AE233">
      <w:pPr>
        <w:rPr>
          <w:color w:val="auto"/>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numberInDash"/>
          <w:cols w:space="720" w:num="1"/>
          <w:docGrid w:linePitch="312" w:charSpace="0"/>
        </w:sectPr>
      </w:pP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6"/>
        <w:gridCol w:w="8555"/>
      </w:tblGrid>
      <w:tr w14:paraId="1E384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7" w:hRule="atLeast"/>
        </w:trPr>
        <w:tc>
          <w:tcPr>
            <w:tcW w:w="506" w:type="dxa"/>
          </w:tcPr>
          <w:p w14:paraId="0255545B">
            <w:pPr>
              <w:pStyle w:val="41"/>
              <w:spacing w:before="0" w:beforeAutospacing="0" w:after="0" w:afterAutospacing="0"/>
              <w:jc w:val="center"/>
              <w:outlineLvl w:val="0"/>
              <w:rPr>
                <w:rFonts w:ascii="Times New Roman" w:hAnsi="Times New Roman"/>
                <w:color w:val="auto"/>
                <w:szCs w:val="24"/>
              </w:rPr>
            </w:pPr>
          </w:p>
        </w:tc>
        <w:tc>
          <w:tcPr>
            <w:tcW w:w="8555" w:type="dxa"/>
          </w:tcPr>
          <w:p w14:paraId="31C0B0B4">
            <w:pPr>
              <w:spacing w:line="360" w:lineRule="auto"/>
              <w:ind w:firstLine="562" w:firstLineChars="200"/>
              <w:rPr>
                <w:b/>
                <w:color w:val="auto"/>
                <w:sz w:val="28"/>
                <w:szCs w:val="28"/>
              </w:rPr>
            </w:pPr>
            <w:r>
              <w:rPr>
                <w:b/>
                <w:color w:val="auto"/>
                <w:sz w:val="28"/>
                <w:szCs w:val="28"/>
              </w:rPr>
              <w:t>8、水平衡</w:t>
            </w:r>
          </w:p>
          <w:p w14:paraId="1D3A92E6">
            <w:pPr>
              <w:adjustRightInd w:val="0"/>
              <w:snapToGrid w:val="0"/>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本次改扩建工程不新增劳动人员，从公司内部进行调配，没有新增生活废水，也无生产废水产生。</w:t>
            </w:r>
          </w:p>
          <w:p w14:paraId="307CA373">
            <w:pPr>
              <w:spacing w:before="120" w:beforeLines="50" w:line="360" w:lineRule="auto"/>
              <w:ind w:firstLine="562" w:firstLineChars="200"/>
              <w:rPr>
                <w:b/>
                <w:color w:val="auto"/>
                <w:sz w:val="28"/>
                <w:szCs w:val="28"/>
              </w:rPr>
            </w:pPr>
            <w:r>
              <w:rPr>
                <w:rFonts w:hint="eastAsia"/>
                <w:b/>
                <w:color w:val="auto"/>
                <w:sz w:val="28"/>
                <w:szCs w:val="28"/>
                <w:lang w:val="en-US" w:eastAsia="zh-CN"/>
              </w:rPr>
              <w:t>9</w:t>
            </w:r>
            <w:r>
              <w:rPr>
                <w:b/>
                <w:color w:val="auto"/>
                <w:sz w:val="28"/>
                <w:szCs w:val="28"/>
              </w:rPr>
              <w:t>、总平面布置</w:t>
            </w:r>
          </w:p>
          <w:p w14:paraId="3E5B98AA">
            <w:pPr>
              <w:autoSpaceDE w:val="0"/>
              <w:autoSpaceDN w:val="0"/>
              <w:spacing w:line="360" w:lineRule="auto"/>
              <w:ind w:firstLine="480" w:firstLineChars="200"/>
              <w:rPr>
                <w:color w:val="auto"/>
                <w:sz w:val="24"/>
              </w:rPr>
            </w:pPr>
            <w:r>
              <w:rPr>
                <w:color w:val="auto"/>
                <w:sz w:val="24"/>
              </w:rPr>
              <w:t>本项目位于</w:t>
            </w:r>
            <w:r>
              <w:rPr>
                <w:rFonts w:hint="eastAsia"/>
                <w:color w:val="auto"/>
                <w:sz w:val="24"/>
                <w:lang w:val="en-US" w:eastAsia="zh-CN"/>
              </w:rPr>
              <w:t>寻甸县塘子镇</w:t>
            </w:r>
            <w:r>
              <w:rPr>
                <w:rFonts w:hint="eastAsia"/>
                <w:color w:val="auto"/>
                <w:sz w:val="24"/>
                <w:lang w:eastAsia="zh-CN"/>
              </w:rPr>
              <w:t>云南常青树化工有限公司</w:t>
            </w:r>
            <w:r>
              <w:rPr>
                <w:color w:val="auto"/>
                <w:sz w:val="24"/>
              </w:rPr>
              <w:t>内</w:t>
            </w:r>
            <w:r>
              <w:rPr>
                <w:rFonts w:hint="eastAsia"/>
                <w:color w:val="auto"/>
                <w:sz w:val="24"/>
                <w:lang w:eastAsia="zh-CN"/>
              </w:rPr>
              <w:t>，</w:t>
            </w:r>
            <w:r>
              <w:rPr>
                <w:color w:val="auto"/>
                <w:sz w:val="24"/>
              </w:rPr>
              <w:t>项目为</w:t>
            </w:r>
            <w:r>
              <w:rPr>
                <w:rFonts w:hint="eastAsia"/>
                <w:color w:val="auto"/>
                <w:sz w:val="24"/>
              </w:rPr>
              <w:t>扩建</w:t>
            </w:r>
            <w:r>
              <w:rPr>
                <w:color w:val="auto"/>
                <w:sz w:val="24"/>
              </w:rPr>
              <w:t>项目，主要</w:t>
            </w:r>
            <w:r>
              <w:rPr>
                <w:rFonts w:hint="eastAsia"/>
                <w:color w:val="auto"/>
                <w:sz w:val="24"/>
                <w:szCs w:val="24"/>
              </w:rPr>
              <w:t>在</w:t>
            </w:r>
            <w:r>
              <w:rPr>
                <w:rFonts w:hint="eastAsia"/>
                <w:color w:val="auto"/>
                <w:sz w:val="24"/>
                <w:szCs w:val="24"/>
                <w:lang w:val="en-US" w:eastAsia="zh-CN"/>
              </w:rPr>
              <w:t>球状</w:t>
            </w:r>
            <w:r>
              <w:rPr>
                <w:rFonts w:hint="eastAsia"/>
                <w:color w:val="auto"/>
                <w:sz w:val="24"/>
                <w:szCs w:val="24"/>
              </w:rPr>
              <w:t>水泥缓凝剂生产线的基础上利用</w:t>
            </w:r>
            <w:r>
              <w:rPr>
                <w:rFonts w:hint="eastAsia"/>
                <w:color w:val="auto"/>
                <w:sz w:val="24"/>
                <w:szCs w:val="24"/>
                <w:lang w:val="en-US" w:eastAsia="zh-CN"/>
              </w:rPr>
              <w:t>现有设备</w:t>
            </w:r>
            <w:r>
              <w:rPr>
                <w:rFonts w:hint="eastAsia"/>
                <w:color w:val="auto"/>
                <w:sz w:val="24"/>
                <w:szCs w:val="24"/>
              </w:rPr>
              <w:t>新增粉状水泥缓凝剂、土壤</w:t>
            </w:r>
            <w:r>
              <w:rPr>
                <w:rFonts w:hint="eastAsia" w:ascii="Times New Roman" w:hAnsi="Times New Roman"/>
                <w:color w:val="auto"/>
                <w:kern w:val="2"/>
                <w:sz w:val="24"/>
                <w:szCs w:val="24"/>
                <w:lang w:val="en-US" w:eastAsia="zh-CN"/>
              </w:rPr>
              <w:t>改良</w:t>
            </w:r>
            <w:r>
              <w:rPr>
                <w:rFonts w:hint="eastAsia"/>
                <w:color w:val="auto"/>
                <w:sz w:val="24"/>
                <w:szCs w:val="24"/>
              </w:rPr>
              <w:t>剂、路基材料和生态修复材料。</w:t>
            </w:r>
          </w:p>
          <w:p w14:paraId="5D67AF89">
            <w:pPr>
              <w:autoSpaceDE w:val="0"/>
              <w:autoSpaceDN w:val="0"/>
              <w:spacing w:line="360" w:lineRule="auto"/>
              <w:ind w:firstLine="480" w:firstLineChars="200"/>
              <w:rPr>
                <w:color w:val="auto"/>
                <w:sz w:val="24"/>
              </w:rPr>
            </w:pPr>
            <w:r>
              <w:rPr>
                <w:rFonts w:hint="eastAsia"/>
                <w:color w:val="auto"/>
                <w:sz w:val="24"/>
                <w:lang w:val="en-US" w:eastAsia="zh-CN"/>
              </w:rPr>
              <w:t>项目生产车间北侧邻磷酸生产线和重钙/二胺生产线，东侧邻液氨储罐，南侧距10万t/a粉状水泥缓凝剂生产线63m、距磷石膏渣场162m，西侧为工艺循环水池、雨水池等。西侧50m为球状水泥缓凝剂库房，经蒸养后的球状水泥缓凝剂通过出料输送系统送至库房堆存；新增的土壤改良剂、生态修复材料和路基材料熟化及成品堆场紧邻生产区南侧，采用密闭皮带进行运输。办公区位于厂区西侧、生活区位于厂区西南角，</w:t>
            </w:r>
            <w:r>
              <w:rPr>
                <w:color w:val="auto"/>
                <w:sz w:val="24"/>
              </w:rPr>
              <w:t>本项目按照项目功能和特点进行了合理布局，</w:t>
            </w:r>
            <w:r>
              <w:rPr>
                <w:rFonts w:hint="eastAsia"/>
                <w:color w:val="auto"/>
                <w:sz w:val="24"/>
                <w:lang w:val="en-US" w:eastAsia="zh-CN"/>
              </w:rPr>
              <w:t>出入口与厂区已建道路连接，</w:t>
            </w:r>
            <w:r>
              <w:rPr>
                <w:rFonts w:hint="eastAsia"/>
                <w:color w:val="auto"/>
                <w:sz w:val="24"/>
              </w:rPr>
              <w:t>全厂道路通畅</w:t>
            </w:r>
            <w:r>
              <w:rPr>
                <w:rFonts w:hint="eastAsia"/>
                <w:color w:val="auto"/>
                <w:sz w:val="24"/>
                <w:lang w:eastAsia="zh-CN"/>
              </w:rPr>
              <w:t>。</w:t>
            </w:r>
            <w:r>
              <w:rPr>
                <w:color w:val="auto"/>
                <w:sz w:val="24"/>
              </w:rPr>
              <w:t>总体而言，整个项目区布局合理有序。</w:t>
            </w:r>
          </w:p>
          <w:p w14:paraId="2CCBED86">
            <w:pPr>
              <w:autoSpaceDE w:val="0"/>
              <w:autoSpaceDN w:val="0"/>
              <w:spacing w:line="360" w:lineRule="auto"/>
              <w:ind w:firstLine="480" w:firstLineChars="200"/>
              <w:rPr>
                <w:color w:val="auto"/>
                <w:sz w:val="24"/>
              </w:rPr>
            </w:pPr>
            <w:r>
              <w:rPr>
                <w:color w:val="auto"/>
                <w:sz w:val="24"/>
              </w:rPr>
              <w:t>项目在</w:t>
            </w:r>
            <w:r>
              <w:rPr>
                <w:rFonts w:hint="eastAsia"/>
                <w:color w:val="auto"/>
                <w:sz w:val="24"/>
                <w:lang w:eastAsia="zh-CN"/>
              </w:rPr>
              <w:t>云南常青树化工有限公司</w:t>
            </w:r>
            <w:r>
              <w:rPr>
                <w:color w:val="auto"/>
                <w:sz w:val="24"/>
              </w:rPr>
              <w:t>内的关系位置图和项目总平面布置图见附图</w:t>
            </w:r>
            <w:r>
              <w:rPr>
                <w:rFonts w:hint="eastAsia"/>
                <w:color w:val="auto"/>
                <w:sz w:val="24"/>
                <w:lang w:val="en-US" w:eastAsia="zh-CN"/>
              </w:rPr>
              <w:t>4</w:t>
            </w:r>
            <w:r>
              <w:rPr>
                <w:color w:val="auto"/>
                <w:sz w:val="24"/>
              </w:rPr>
              <w:t>、附图</w:t>
            </w:r>
            <w:r>
              <w:rPr>
                <w:rFonts w:hint="eastAsia"/>
                <w:color w:val="auto"/>
                <w:sz w:val="24"/>
                <w:lang w:val="en-US" w:eastAsia="zh-CN"/>
              </w:rPr>
              <w:t>5</w:t>
            </w:r>
            <w:r>
              <w:rPr>
                <w:color w:val="auto"/>
                <w:sz w:val="24"/>
              </w:rPr>
              <w:t>。</w:t>
            </w:r>
          </w:p>
          <w:p w14:paraId="239B7179">
            <w:pPr>
              <w:autoSpaceDE w:val="0"/>
              <w:autoSpaceDN w:val="0"/>
              <w:spacing w:line="360" w:lineRule="auto"/>
              <w:ind w:firstLine="562" w:firstLineChars="200"/>
              <w:rPr>
                <w:b/>
                <w:color w:val="auto"/>
                <w:sz w:val="28"/>
                <w:szCs w:val="28"/>
              </w:rPr>
            </w:pPr>
            <w:r>
              <w:rPr>
                <w:rFonts w:hint="eastAsia"/>
                <w:b/>
                <w:color w:val="auto"/>
                <w:sz w:val="28"/>
                <w:szCs w:val="28"/>
                <w:lang w:val="en-US" w:eastAsia="zh-CN"/>
              </w:rPr>
              <w:t>10</w:t>
            </w:r>
            <w:r>
              <w:rPr>
                <w:b/>
                <w:color w:val="auto"/>
                <w:sz w:val="28"/>
                <w:szCs w:val="28"/>
              </w:rPr>
              <w:t>、施工组织</w:t>
            </w:r>
          </w:p>
          <w:p w14:paraId="5E80E8ED">
            <w:pPr>
              <w:autoSpaceDE w:val="0"/>
              <w:autoSpaceDN w:val="0"/>
              <w:spacing w:line="360" w:lineRule="auto"/>
              <w:ind w:firstLine="480" w:firstLineChars="200"/>
              <w:rPr>
                <w:color w:val="auto"/>
                <w:sz w:val="24"/>
              </w:rPr>
            </w:pPr>
            <w:r>
              <w:rPr>
                <w:color w:val="auto"/>
                <w:sz w:val="24"/>
              </w:rPr>
              <w:t>项目施工组织情况如下：</w:t>
            </w:r>
          </w:p>
          <w:p w14:paraId="1A770978">
            <w:pPr>
              <w:autoSpaceDE w:val="0"/>
              <w:autoSpaceDN w:val="0"/>
              <w:spacing w:line="360" w:lineRule="auto"/>
              <w:ind w:firstLine="480" w:firstLineChars="200"/>
              <w:rPr>
                <w:color w:val="auto"/>
                <w:sz w:val="24"/>
              </w:rPr>
            </w:pPr>
            <w:r>
              <w:rPr>
                <w:color w:val="auto"/>
                <w:sz w:val="24"/>
              </w:rPr>
              <w:t>（1）施工营地及施工场地</w:t>
            </w:r>
          </w:p>
          <w:p w14:paraId="70C3503C">
            <w:pPr>
              <w:autoSpaceDE w:val="0"/>
              <w:autoSpaceDN w:val="0"/>
              <w:spacing w:line="360" w:lineRule="auto"/>
              <w:ind w:firstLine="480" w:firstLineChars="200"/>
              <w:rPr>
                <w:color w:val="auto"/>
                <w:sz w:val="24"/>
              </w:rPr>
            </w:pPr>
            <w:r>
              <w:rPr>
                <w:color w:val="auto"/>
                <w:sz w:val="24"/>
              </w:rPr>
              <w:t>施工期施工人员来自周边剩余劳动力，工程施工过程中不设置施工营地，施工人员回家食宿。此外，项目于厂内空地设置一个施工场地，主要用于施工材料堆放。</w:t>
            </w:r>
          </w:p>
          <w:p w14:paraId="020C95C4">
            <w:pPr>
              <w:autoSpaceDE w:val="0"/>
              <w:autoSpaceDN w:val="0"/>
              <w:spacing w:line="360" w:lineRule="auto"/>
              <w:ind w:firstLine="480" w:firstLineChars="200"/>
              <w:rPr>
                <w:color w:val="auto"/>
                <w:sz w:val="24"/>
              </w:rPr>
            </w:pPr>
            <w:r>
              <w:rPr>
                <w:color w:val="auto"/>
                <w:sz w:val="24"/>
              </w:rPr>
              <w:t>（2）施工人员</w:t>
            </w:r>
          </w:p>
          <w:p w14:paraId="371377BD">
            <w:pPr>
              <w:autoSpaceDE w:val="0"/>
              <w:autoSpaceDN w:val="0"/>
              <w:spacing w:line="360" w:lineRule="auto"/>
              <w:ind w:firstLine="480" w:firstLineChars="200"/>
              <w:rPr>
                <w:bCs/>
                <w:color w:val="auto"/>
                <w:sz w:val="24"/>
              </w:rPr>
            </w:pPr>
            <w:r>
              <w:rPr>
                <w:bCs/>
                <w:color w:val="auto"/>
                <w:sz w:val="24"/>
              </w:rPr>
              <w:t>根据项目资料及建设单位核实，项目施工期的施工人员约</w:t>
            </w:r>
            <w:r>
              <w:rPr>
                <w:rFonts w:hint="eastAsia"/>
                <w:bCs/>
                <w:color w:val="auto"/>
                <w:sz w:val="24"/>
                <w:lang w:val="en-US" w:eastAsia="zh-CN"/>
              </w:rPr>
              <w:t>3</w:t>
            </w:r>
            <w:r>
              <w:rPr>
                <w:bCs/>
                <w:color w:val="auto"/>
                <w:sz w:val="24"/>
              </w:rPr>
              <w:t>人，均不在项目区食宿。</w:t>
            </w:r>
          </w:p>
          <w:p w14:paraId="1E47175D">
            <w:pPr>
              <w:autoSpaceDE w:val="0"/>
              <w:autoSpaceDN w:val="0"/>
              <w:spacing w:line="360" w:lineRule="auto"/>
              <w:ind w:firstLine="480" w:firstLineChars="200"/>
              <w:rPr>
                <w:color w:val="auto"/>
                <w:sz w:val="24"/>
              </w:rPr>
            </w:pPr>
            <w:r>
              <w:rPr>
                <w:color w:val="auto"/>
                <w:sz w:val="24"/>
              </w:rPr>
              <w:t>（3）运输条件</w:t>
            </w:r>
          </w:p>
          <w:p w14:paraId="520ECD14">
            <w:pPr>
              <w:spacing w:line="360" w:lineRule="auto"/>
              <w:ind w:firstLine="480" w:firstLineChars="200"/>
              <w:rPr>
                <w:color w:val="auto"/>
                <w:sz w:val="24"/>
              </w:rPr>
            </w:pPr>
            <w:r>
              <w:rPr>
                <w:color w:val="auto"/>
                <w:sz w:val="24"/>
              </w:rPr>
              <w:t>项目区所在地交通网络发达，为本项目的建设提供了便利的运输条件，本项目建设施工中可合理利用</w:t>
            </w:r>
            <w:r>
              <w:rPr>
                <w:rFonts w:hint="eastAsia"/>
                <w:color w:val="auto"/>
                <w:sz w:val="24"/>
                <w:lang w:val="en-US" w:eastAsia="zh-CN"/>
              </w:rPr>
              <w:t>厂内</w:t>
            </w:r>
            <w:r>
              <w:rPr>
                <w:color w:val="auto"/>
                <w:sz w:val="24"/>
              </w:rPr>
              <w:t>道路，无需新修施工便道。</w:t>
            </w:r>
          </w:p>
          <w:p w14:paraId="431CD8E9">
            <w:pPr>
              <w:autoSpaceDE w:val="0"/>
              <w:autoSpaceDN w:val="0"/>
              <w:spacing w:line="360" w:lineRule="auto"/>
              <w:ind w:firstLine="480" w:firstLineChars="200"/>
              <w:rPr>
                <w:color w:val="auto"/>
                <w:sz w:val="24"/>
              </w:rPr>
            </w:pPr>
            <w:r>
              <w:rPr>
                <w:color w:val="auto"/>
                <w:sz w:val="24"/>
              </w:rPr>
              <w:t>（4）施工进度安排</w:t>
            </w:r>
          </w:p>
          <w:p w14:paraId="5567B717">
            <w:pPr>
              <w:pStyle w:val="17"/>
              <w:spacing w:before="0" w:after="0" w:line="360" w:lineRule="auto"/>
              <w:ind w:firstLine="480" w:firstLineChars="200"/>
              <w:rPr>
                <w:color w:val="auto"/>
                <w:sz w:val="24"/>
              </w:rPr>
            </w:pPr>
            <w:r>
              <w:rPr>
                <w:color w:val="auto"/>
                <w:sz w:val="24"/>
              </w:rPr>
              <w:t>本项目目前尚未动工建设，根据本项目施工规划及结合项目目前的实际情况，本项目建设总工期为</w:t>
            </w:r>
            <w:r>
              <w:rPr>
                <w:rFonts w:hint="eastAsia"/>
                <w:color w:val="auto"/>
                <w:sz w:val="24"/>
                <w:lang w:val="en-US" w:eastAsia="zh-CN"/>
              </w:rPr>
              <w:t>1</w:t>
            </w:r>
            <w:r>
              <w:rPr>
                <w:color w:val="auto"/>
                <w:sz w:val="24"/>
              </w:rPr>
              <w:t>个月，202</w:t>
            </w:r>
            <w:r>
              <w:rPr>
                <w:rFonts w:hint="eastAsia"/>
                <w:color w:val="auto"/>
                <w:sz w:val="24"/>
                <w:lang w:val="en-US" w:eastAsia="zh-CN"/>
              </w:rPr>
              <w:t>4</w:t>
            </w:r>
            <w:r>
              <w:rPr>
                <w:color w:val="auto"/>
                <w:sz w:val="24"/>
              </w:rPr>
              <w:t>年</w:t>
            </w:r>
            <w:r>
              <w:rPr>
                <w:rFonts w:hint="eastAsia"/>
                <w:color w:val="auto"/>
                <w:sz w:val="24"/>
                <w:lang w:val="en-US" w:eastAsia="zh-CN"/>
              </w:rPr>
              <w:t>12</w:t>
            </w:r>
            <w:r>
              <w:rPr>
                <w:color w:val="auto"/>
                <w:sz w:val="24"/>
              </w:rPr>
              <w:t>月正式开工建设，202</w:t>
            </w:r>
            <w:r>
              <w:rPr>
                <w:rFonts w:hint="eastAsia"/>
                <w:color w:val="auto"/>
                <w:sz w:val="24"/>
                <w:lang w:val="en-US" w:eastAsia="zh-CN"/>
              </w:rPr>
              <w:t>5</w:t>
            </w:r>
            <w:r>
              <w:rPr>
                <w:color w:val="auto"/>
                <w:sz w:val="24"/>
              </w:rPr>
              <w:t>年</w:t>
            </w:r>
            <w:r>
              <w:rPr>
                <w:rFonts w:hint="eastAsia"/>
                <w:color w:val="auto"/>
                <w:sz w:val="24"/>
                <w:lang w:val="en-US" w:eastAsia="zh-CN"/>
              </w:rPr>
              <w:t>1</w:t>
            </w:r>
            <w:r>
              <w:rPr>
                <w:color w:val="auto"/>
                <w:sz w:val="24"/>
              </w:rPr>
              <w:t>月完工。</w:t>
            </w:r>
          </w:p>
          <w:p w14:paraId="4668225C">
            <w:pPr>
              <w:autoSpaceDE w:val="0"/>
              <w:autoSpaceDN w:val="0"/>
              <w:spacing w:line="360" w:lineRule="auto"/>
              <w:ind w:firstLine="562" w:firstLineChars="200"/>
              <w:rPr>
                <w:b/>
                <w:color w:val="auto"/>
                <w:sz w:val="28"/>
                <w:szCs w:val="28"/>
              </w:rPr>
            </w:pPr>
            <w:r>
              <w:rPr>
                <w:b/>
                <w:color w:val="auto"/>
                <w:sz w:val="28"/>
                <w:szCs w:val="28"/>
              </w:rPr>
              <w:t>1</w:t>
            </w:r>
            <w:r>
              <w:rPr>
                <w:rFonts w:hint="eastAsia"/>
                <w:b/>
                <w:color w:val="auto"/>
                <w:sz w:val="28"/>
                <w:szCs w:val="28"/>
                <w:lang w:val="en-US" w:eastAsia="zh-CN"/>
              </w:rPr>
              <w:t>2</w:t>
            </w:r>
            <w:r>
              <w:rPr>
                <w:b/>
                <w:color w:val="auto"/>
                <w:sz w:val="28"/>
                <w:szCs w:val="28"/>
              </w:rPr>
              <w:t>、物料平衡</w:t>
            </w:r>
          </w:p>
          <w:p w14:paraId="2D92FB81">
            <w:pPr>
              <w:ind w:firstLine="480" w:firstLineChars="200"/>
              <w:jc w:val="left"/>
              <w:rPr>
                <w:color w:val="auto"/>
                <w:sz w:val="24"/>
              </w:rPr>
            </w:pPr>
            <w:r>
              <w:rPr>
                <w:rFonts w:hint="eastAsia"/>
                <w:color w:val="auto"/>
                <w:sz w:val="24"/>
                <w:lang w:val="en-US" w:eastAsia="zh-CN"/>
              </w:rPr>
              <w:t>本次扩建工程</w:t>
            </w:r>
            <w:r>
              <w:rPr>
                <w:color w:val="auto"/>
                <w:sz w:val="24"/>
              </w:rPr>
              <w:t>物料平衡表见表2-</w:t>
            </w:r>
            <w:r>
              <w:rPr>
                <w:rFonts w:hint="eastAsia"/>
                <w:color w:val="auto"/>
                <w:sz w:val="24"/>
              </w:rPr>
              <w:t>2</w:t>
            </w:r>
            <w:r>
              <w:rPr>
                <w:rFonts w:hint="eastAsia"/>
                <w:color w:val="auto"/>
                <w:sz w:val="24"/>
                <w:lang w:val="en-US" w:eastAsia="zh-CN"/>
              </w:rPr>
              <w:t>2</w:t>
            </w:r>
            <w:r>
              <w:rPr>
                <w:color w:val="auto"/>
                <w:sz w:val="24"/>
              </w:rPr>
              <w:t>。</w:t>
            </w:r>
          </w:p>
          <w:p w14:paraId="2E76DB95">
            <w:pPr>
              <w:jc w:val="center"/>
              <w:rPr>
                <w:b/>
                <w:color w:val="auto"/>
                <w:sz w:val="24"/>
                <w:szCs w:val="22"/>
                <w:highlight w:val="yellow"/>
              </w:rPr>
            </w:pPr>
            <w:r>
              <w:rPr>
                <w:b/>
                <w:color w:val="auto"/>
                <w:sz w:val="24"/>
                <w:szCs w:val="22"/>
              </w:rPr>
              <w:t>表2-</w:t>
            </w:r>
            <w:r>
              <w:rPr>
                <w:rFonts w:hint="eastAsia"/>
                <w:b/>
                <w:color w:val="auto"/>
                <w:sz w:val="24"/>
                <w:szCs w:val="22"/>
              </w:rPr>
              <w:t>2</w:t>
            </w:r>
            <w:r>
              <w:rPr>
                <w:rFonts w:hint="eastAsia"/>
                <w:b/>
                <w:color w:val="auto"/>
                <w:sz w:val="24"/>
                <w:szCs w:val="22"/>
                <w:lang w:val="en-US" w:eastAsia="zh-CN"/>
              </w:rPr>
              <w:t>2</w:t>
            </w:r>
            <w:r>
              <w:rPr>
                <w:b/>
                <w:color w:val="auto"/>
                <w:sz w:val="24"/>
                <w:szCs w:val="22"/>
              </w:rPr>
              <w:t xml:space="preserve">  项目</w:t>
            </w:r>
            <w:r>
              <w:rPr>
                <w:rFonts w:hint="eastAsia"/>
                <w:b/>
                <w:color w:val="auto"/>
                <w:sz w:val="24"/>
                <w:szCs w:val="22"/>
              </w:rPr>
              <w:t>物料平衡表</w:t>
            </w:r>
          </w:p>
          <w:tbl>
            <w:tblPr>
              <w:tblStyle w:val="45"/>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4"/>
              <w:gridCol w:w="2062"/>
              <w:gridCol w:w="2378"/>
              <w:gridCol w:w="2290"/>
            </w:tblGrid>
            <w:tr w14:paraId="204408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836" w:type="dxa"/>
                  <w:gridSpan w:val="2"/>
                  <w:tcBorders>
                    <w:top w:val="single" w:color="000000" w:sz="4" w:space="0"/>
                    <w:left w:val="single" w:color="000000" w:sz="4" w:space="0"/>
                    <w:bottom w:val="single" w:color="000000" w:sz="4" w:space="0"/>
                    <w:right w:val="single" w:color="000000" w:sz="4" w:space="0"/>
                  </w:tcBorders>
                  <w:vAlign w:val="center"/>
                </w:tcPr>
                <w:p w14:paraId="52DFC14A">
                  <w:pPr>
                    <w:pStyle w:val="87"/>
                    <w:adjustRightInd/>
                    <w:snapToGrid/>
                    <w:spacing w:beforeLines="0" w:afterLines="0" w:line="240" w:lineRule="auto"/>
                    <w:rPr>
                      <w:rFonts w:ascii="Times New Roman"/>
                      <w:color w:val="auto"/>
                      <w:sz w:val="21"/>
                      <w:szCs w:val="21"/>
                    </w:rPr>
                  </w:pPr>
                  <w:r>
                    <w:rPr>
                      <w:rFonts w:ascii="Times New Roman"/>
                      <w:color w:val="auto"/>
                      <w:sz w:val="21"/>
                      <w:szCs w:val="21"/>
                    </w:rPr>
                    <w:t>输入</w:t>
                  </w:r>
                </w:p>
              </w:tc>
              <w:tc>
                <w:tcPr>
                  <w:tcW w:w="4668" w:type="dxa"/>
                  <w:gridSpan w:val="2"/>
                  <w:tcBorders>
                    <w:top w:val="single" w:color="000000" w:sz="4" w:space="0"/>
                    <w:left w:val="single" w:color="000000" w:sz="4" w:space="0"/>
                    <w:bottom w:val="single" w:color="000000" w:sz="4" w:space="0"/>
                    <w:right w:val="single" w:color="000000" w:sz="4" w:space="0"/>
                  </w:tcBorders>
                  <w:vAlign w:val="center"/>
                </w:tcPr>
                <w:p w14:paraId="7C22FED0">
                  <w:pPr>
                    <w:pStyle w:val="87"/>
                    <w:adjustRightInd/>
                    <w:snapToGrid/>
                    <w:spacing w:beforeLines="0" w:afterLines="0" w:line="240" w:lineRule="auto"/>
                    <w:rPr>
                      <w:rFonts w:ascii="Times New Roman"/>
                      <w:color w:val="auto"/>
                      <w:sz w:val="21"/>
                      <w:szCs w:val="21"/>
                    </w:rPr>
                  </w:pPr>
                  <w:r>
                    <w:rPr>
                      <w:rFonts w:ascii="Times New Roman"/>
                      <w:color w:val="auto"/>
                      <w:sz w:val="21"/>
                      <w:szCs w:val="21"/>
                    </w:rPr>
                    <w:t>输出</w:t>
                  </w:r>
                </w:p>
              </w:tc>
            </w:tr>
            <w:tr w14:paraId="3E0B8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74" w:type="dxa"/>
                  <w:tcBorders>
                    <w:top w:val="single" w:color="000000" w:sz="4" w:space="0"/>
                    <w:left w:val="single" w:color="000000" w:sz="4" w:space="0"/>
                    <w:bottom w:val="single" w:color="000000" w:sz="4" w:space="0"/>
                    <w:right w:val="single" w:color="000000" w:sz="4" w:space="0"/>
                  </w:tcBorders>
                  <w:vAlign w:val="center"/>
                </w:tcPr>
                <w:p w14:paraId="4EA5F46A">
                  <w:pPr>
                    <w:pStyle w:val="87"/>
                    <w:adjustRightInd/>
                    <w:snapToGrid/>
                    <w:spacing w:beforeLines="0" w:afterLines="0" w:line="240" w:lineRule="auto"/>
                    <w:rPr>
                      <w:rFonts w:ascii="Times New Roman"/>
                      <w:color w:val="auto"/>
                      <w:kern w:val="2"/>
                      <w:sz w:val="21"/>
                      <w:szCs w:val="21"/>
                    </w:rPr>
                  </w:pPr>
                  <w:r>
                    <w:rPr>
                      <w:rFonts w:ascii="Times New Roman"/>
                      <w:color w:val="auto"/>
                      <w:sz w:val="21"/>
                      <w:szCs w:val="21"/>
                    </w:rPr>
                    <w:t>名称</w:t>
                  </w:r>
                </w:p>
              </w:tc>
              <w:tc>
                <w:tcPr>
                  <w:tcW w:w="2062" w:type="dxa"/>
                  <w:tcBorders>
                    <w:top w:val="single" w:color="000000" w:sz="4" w:space="0"/>
                    <w:left w:val="single" w:color="000000" w:sz="4" w:space="0"/>
                    <w:bottom w:val="single" w:color="000000" w:sz="4" w:space="0"/>
                    <w:right w:val="single" w:color="000000" w:sz="4" w:space="0"/>
                  </w:tcBorders>
                  <w:vAlign w:val="center"/>
                </w:tcPr>
                <w:p w14:paraId="50867C5E">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数量</w:t>
                  </w:r>
                </w:p>
              </w:tc>
              <w:tc>
                <w:tcPr>
                  <w:tcW w:w="2378" w:type="dxa"/>
                  <w:tcBorders>
                    <w:top w:val="single" w:color="000000" w:sz="4" w:space="0"/>
                    <w:left w:val="single" w:color="000000" w:sz="4" w:space="0"/>
                    <w:bottom w:val="single" w:color="000000" w:sz="4" w:space="0"/>
                    <w:right w:val="single" w:color="000000" w:sz="4" w:space="0"/>
                  </w:tcBorders>
                  <w:vAlign w:val="center"/>
                </w:tcPr>
                <w:p w14:paraId="1CCB3B5E">
                  <w:pPr>
                    <w:pStyle w:val="87"/>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名称</w:t>
                  </w:r>
                </w:p>
              </w:tc>
              <w:tc>
                <w:tcPr>
                  <w:tcW w:w="2290" w:type="dxa"/>
                  <w:tcBorders>
                    <w:top w:val="single" w:color="000000" w:sz="4" w:space="0"/>
                    <w:left w:val="single" w:color="000000" w:sz="4" w:space="0"/>
                    <w:bottom w:val="single" w:color="000000" w:sz="4" w:space="0"/>
                    <w:right w:val="single" w:color="000000" w:sz="4" w:space="0"/>
                  </w:tcBorders>
                  <w:vAlign w:val="center"/>
                </w:tcPr>
                <w:p w14:paraId="5F7A7113">
                  <w:pPr>
                    <w:pStyle w:val="87"/>
                    <w:adjustRightInd/>
                    <w:snapToGrid/>
                    <w:spacing w:beforeLines="0" w:afterLines="0" w:line="240" w:lineRule="auto"/>
                    <w:rPr>
                      <w:rFonts w:ascii="Times New Roman"/>
                      <w:color w:val="auto"/>
                      <w:sz w:val="21"/>
                      <w:szCs w:val="21"/>
                    </w:rPr>
                  </w:pPr>
                  <w:r>
                    <w:rPr>
                      <w:rFonts w:ascii="Times New Roman"/>
                      <w:color w:val="auto"/>
                      <w:sz w:val="21"/>
                      <w:szCs w:val="21"/>
                    </w:rPr>
                    <w:t>数量</w:t>
                  </w:r>
                </w:p>
              </w:tc>
            </w:tr>
            <w:tr w14:paraId="02F9A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74" w:type="dxa"/>
                  <w:tcBorders>
                    <w:top w:val="single" w:color="000000" w:sz="4" w:space="0"/>
                    <w:left w:val="single" w:color="000000" w:sz="4" w:space="0"/>
                    <w:bottom w:val="single" w:color="000000" w:sz="4" w:space="0"/>
                    <w:right w:val="single" w:color="000000" w:sz="4" w:space="0"/>
                  </w:tcBorders>
                  <w:vAlign w:val="center"/>
                </w:tcPr>
                <w:p w14:paraId="5B894B69">
                  <w:pPr>
                    <w:pStyle w:val="87"/>
                    <w:adjustRightInd/>
                    <w:snapToGrid/>
                    <w:spacing w:beforeLines="0" w:afterLines="0" w:line="240" w:lineRule="auto"/>
                    <w:rPr>
                      <w:rFonts w:ascii="Times New Roman" w:hAnsi="Times New Roman" w:eastAsia="宋体" w:cs="Times New Roman"/>
                      <w:color w:val="auto"/>
                      <w:sz w:val="21"/>
                      <w:szCs w:val="21"/>
                      <w:lang w:val="en-US" w:eastAsia="zh-CN" w:bidi="ar-SA"/>
                    </w:rPr>
                  </w:pPr>
                  <w:r>
                    <w:rPr>
                      <w:rFonts w:ascii="Times New Roman"/>
                      <w:color w:val="auto"/>
                      <w:sz w:val="21"/>
                      <w:szCs w:val="21"/>
                    </w:rPr>
                    <w:t>磷石膏</w:t>
                  </w:r>
                </w:p>
              </w:tc>
              <w:tc>
                <w:tcPr>
                  <w:tcW w:w="2062" w:type="dxa"/>
                  <w:tcBorders>
                    <w:top w:val="single" w:color="000000" w:sz="4" w:space="0"/>
                    <w:left w:val="single" w:color="000000" w:sz="4" w:space="0"/>
                    <w:bottom w:val="single" w:color="000000" w:sz="4" w:space="0"/>
                    <w:right w:val="single" w:color="000000" w:sz="4" w:space="0"/>
                  </w:tcBorders>
                  <w:vAlign w:val="center"/>
                </w:tcPr>
                <w:p w14:paraId="2A93464A">
                  <w:pPr>
                    <w:pStyle w:val="87"/>
                    <w:adjustRightInd/>
                    <w:snapToGrid/>
                    <w:spacing w:beforeLines="0" w:afterLines="0" w:line="240" w:lineRule="auto"/>
                    <w:rPr>
                      <w:rFonts w:ascii="Times New Roman" w:hAnsi="Times New Roman" w:eastAsia="宋体" w:cs="Times New Roman"/>
                      <w:color w:val="auto"/>
                      <w:sz w:val="21"/>
                      <w:szCs w:val="21"/>
                      <w:lang w:val="en-US" w:eastAsia="zh-CN" w:bidi="ar-SA"/>
                    </w:rPr>
                  </w:pPr>
                  <w:r>
                    <w:rPr>
                      <w:rFonts w:hint="eastAsia" w:ascii="Times New Roman"/>
                      <w:color w:val="auto"/>
                      <w:sz w:val="21"/>
                      <w:szCs w:val="21"/>
                      <w:lang w:val="en-US" w:eastAsia="zh-CN"/>
                    </w:rPr>
                    <w:t>523958.82</w:t>
                  </w:r>
                  <w:r>
                    <w:rPr>
                      <w:rFonts w:ascii="Times New Roman"/>
                      <w:color w:val="auto"/>
                      <w:sz w:val="21"/>
                      <w:szCs w:val="21"/>
                    </w:rPr>
                    <w:t>t</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4D748">
                  <w:pPr>
                    <w:pStyle w:val="87"/>
                    <w:adjustRightInd/>
                    <w:snapToGrid/>
                    <w:spacing w:beforeLines="0" w:afterLines="0" w:line="240" w:lineRule="auto"/>
                    <w:rPr>
                      <w:rFonts w:hint="default" w:ascii="Times New Roman" w:hAnsi="Times New Roman" w:eastAsia="宋体" w:cs="Times New Roman"/>
                      <w:color w:val="auto"/>
                      <w:sz w:val="21"/>
                      <w:szCs w:val="21"/>
                      <w:lang w:val="en-US" w:eastAsia="zh-CN" w:bidi="ar-SA"/>
                    </w:rPr>
                  </w:pPr>
                  <w:r>
                    <w:rPr>
                      <w:rFonts w:hint="eastAsia" w:ascii="Times New Roman"/>
                      <w:color w:val="auto"/>
                      <w:sz w:val="21"/>
                      <w:szCs w:val="21"/>
                      <w:lang w:val="en-US" w:eastAsia="zh-CN"/>
                    </w:rPr>
                    <w:t>生态修复材料</w:t>
                  </w:r>
                </w:p>
              </w:tc>
              <w:tc>
                <w:tcPr>
                  <w:tcW w:w="2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CBF30">
                  <w:pPr>
                    <w:pStyle w:val="87"/>
                    <w:adjustRightInd/>
                    <w:snapToGrid/>
                    <w:spacing w:beforeLines="0" w:afterLines="0" w:line="240" w:lineRule="auto"/>
                    <w:rPr>
                      <w:rFonts w:hint="default" w:ascii="Times New Roman" w:hAnsi="Times New Roman" w:eastAsia="宋体" w:cs="Times New Roman"/>
                      <w:color w:val="auto"/>
                      <w:sz w:val="21"/>
                      <w:szCs w:val="21"/>
                      <w:lang w:val="en-US" w:eastAsia="zh-CN" w:bidi="ar-SA"/>
                    </w:rPr>
                  </w:pPr>
                  <w:r>
                    <w:rPr>
                      <w:rFonts w:hint="eastAsia" w:ascii="Times New Roman"/>
                      <w:color w:val="auto"/>
                      <w:sz w:val="21"/>
                      <w:szCs w:val="21"/>
                      <w:lang w:val="en-US" w:eastAsia="zh-CN"/>
                    </w:rPr>
                    <w:t>150000t</w:t>
                  </w:r>
                </w:p>
              </w:tc>
            </w:tr>
            <w:tr w14:paraId="45332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74" w:type="dxa"/>
                  <w:tcBorders>
                    <w:top w:val="single" w:color="000000" w:sz="4" w:space="0"/>
                    <w:left w:val="single" w:color="000000" w:sz="4" w:space="0"/>
                    <w:bottom w:val="single" w:color="000000" w:sz="4" w:space="0"/>
                    <w:right w:val="single" w:color="000000" w:sz="4" w:space="0"/>
                  </w:tcBorders>
                  <w:vAlign w:val="center"/>
                </w:tcPr>
                <w:p w14:paraId="26FF0364">
                  <w:pPr>
                    <w:pStyle w:val="87"/>
                    <w:adjustRightInd/>
                    <w:snapToGrid/>
                    <w:spacing w:beforeLines="0" w:afterLines="0" w:line="240" w:lineRule="auto"/>
                    <w:rPr>
                      <w:rFonts w:ascii="Times New Roman" w:hAnsi="Times New Roman" w:eastAsia="宋体" w:cs="Times New Roman"/>
                      <w:color w:val="auto"/>
                      <w:sz w:val="21"/>
                      <w:szCs w:val="21"/>
                      <w:lang w:val="en-US" w:eastAsia="zh-CN" w:bidi="ar-SA"/>
                    </w:rPr>
                  </w:pPr>
                  <w:r>
                    <w:rPr>
                      <w:rFonts w:ascii="Times New Roman"/>
                      <w:color w:val="auto"/>
                      <w:sz w:val="21"/>
                      <w:szCs w:val="21"/>
                    </w:rPr>
                    <w:t>电石渣</w:t>
                  </w:r>
                </w:p>
              </w:tc>
              <w:tc>
                <w:tcPr>
                  <w:tcW w:w="2062" w:type="dxa"/>
                  <w:tcBorders>
                    <w:top w:val="single" w:color="000000" w:sz="4" w:space="0"/>
                    <w:left w:val="single" w:color="000000" w:sz="4" w:space="0"/>
                    <w:bottom w:val="single" w:color="000000" w:sz="4" w:space="0"/>
                    <w:right w:val="single" w:color="000000" w:sz="4" w:space="0"/>
                  </w:tcBorders>
                  <w:vAlign w:val="center"/>
                </w:tcPr>
                <w:p w14:paraId="30A3BD53">
                  <w:pPr>
                    <w:pStyle w:val="87"/>
                    <w:adjustRightInd/>
                    <w:snapToGrid/>
                    <w:spacing w:beforeLines="0" w:afterLines="0" w:line="240" w:lineRule="auto"/>
                    <w:rPr>
                      <w:rFonts w:ascii="Times New Roman" w:hAnsi="Times New Roman" w:eastAsia="宋体" w:cs="Times New Roman"/>
                      <w:color w:val="auto"/>
                      <w:sz w:val="21"/>
                      <w:szCs w:val="21"/>
                      <w:lang w:val="en-US" w:eastAsia="zh-CN" w:bidi="ar-SA"/>
                    </w:rPr>
                  </w:pPr>
                  <w:r>
                    <w:rPr>
                      <w:rFonts w:hint="eastAsia" w:ascii="Times New Roman"/>
                      <w:color w:val="auto"/>
                      <w:sz w:val="21"/>
                      <w:szCs w:val="21"/>
                      <w:lang w:val="en-US" w:eastAsia="zh-CN"/>
                    </w:rPr>
                    <w:t>3000</w:t>
                  </w:r>
                  <w:r>
                    <w:rPr>
                      <w:rFonts w:ascii="Times New Roman"/>
                      <w:color w:val="auto"/>
                      <w:sz w:val="21"/>
                      <w:szCs w:val="21"/>
                    </w:rPr>
                    <w:t>t</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A10E3">
                  <w:pPr>
                    <w:pStyle w:val="87"/>
                    <w:adjustRightInd/>
                    <w:snapToGrid/>
                    <w:spacing w:beforeLines="0" w:afterLines="0" w:line="240" w:lineRule="auto"/>
                    <w:rPr>
                      <w:rFonts w:hint="default" w:ascii="Times New Roman" w:hAnsi="Times New Roman" w:eastAsia="宋体" w:cs="Times New Roman"/>
                      <w:color w:val="auto"/>
                      <w:sz w:val="21"/>
                      <w:szCs w:val="21"/>
                      <w:lang w:val="en-US" w:eastAsia="zh-CN" w:bidi="ar-SA"/>
                    </w:rPr>
                  </w:pPr>
                  <w:r>
                    <w:rPr>
                      <w:rFonts w:hint="eastAsia" w:ascii="Times New Roman"/>
                      <w:color w:val="auto"/>
                      <w:sz w:val="21"/>
                      <w:szCs w:val="21"/>
                      <w:lang w:val="en-US" w:eastAsia="zh-CN"/>
                    </w:rPr>
                    <w:t>土壤改良剂</w:t>
                  </w:r>
                </w:p>
              </w:tc>
              <w:tc>
                <w:tcPr>
                  <w:tcW w:w="2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491D9">
                  <w:pPr>
                    <w:pStyle w:val="87"/>
                    <w:adjustRightInd/>
                    <w:snapToGrid/>
                    <w:spacing w:beforeLines="0" w:afterLines="0" w:line="240" w:lineRule="auto"/>
                    <w:rPr>
                      <w:rFonts w:hint="default" w:ascii="Times New Roman" w:hAnsi="Times New Roman" w:eastAsia="宋体" w:cs="Times New Roman"/>
                      <w:color w:val="auto"/>
                      <w:sz w:val="21"/>
                      <w:szCs w:val="21"/>
                      <w:lang w:val="en-US" w:eastAsia="zh-CN" w:bidi="ar-SA"/>
                    </w:rPr>
                  </w:pPr>
                  <w:r>
                    <w:rPr>
                      <w:rFonts w:hint="eastAsia" w:ascii="Times New Roman"/>
                      <w:color w:val="auto"/>
                      <w:sz w:val="21"/>
                      <w:szCs w:val="21"/>
                      <w:lang w:val="en-US" w:eastAsia="zh-CN"/>
                    </w:rPr>
                    <w:t>200000t</w:t>
                  </w:r>
                </w:p>
              </w:tc>
            </w:tr>
            <w:tr w14:paraId="340BF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74" w:type="dxa"/>
                  <w:tcBorders>
                    <w:top w:val="single" w:color="000000" w:sz="4" w:space="0"/>
                    <w:left w:val="single" w:color="000000" w:sz="4" w:space="0"/>
                    <w:bottom w:val="single" w:color="000000" w:sz="4" w:space="0"/>
                    <w:right w:val="single" w:color="000000" w:sz="4" w:space="0"/>
                  </w:tcBorders>
                  <w:vAlign w:val="center"/>
                </w:tcPr>
                <w:p w14:paraId="55005211">
                  <w:pPr>
                    <w:pStyle w:val="87"/>
                    <w:adjustRightInd/>
                    <w:snapToGrid/>
                    <w:spacing w:beforeLines="0" w:afterLines="0" w:line="240" w:lineRule="auto"/>
                    <w:rPr>
                      <w:rFonts w:ascii="Times New Roman" w:hAnsi="Times New Roman" w:eastAsia="宋体" w:cs="Times New Roman"/>
                      <w:color w:val="auto"/>
                      <w:sz w:val="21"/>
                      <w:szCs w:val="21"/>
                      <w:lang w:val="en-US" w:eastAsia="zh-CN" w:bidi="ar-SA"/>
                    </w:rPr>
                  </w:pPr>
                  <w:r>
                    <w:rPr>
                      <w:rFonts w:ascii="Times New Roman"/>
                      <w:color w:val="auto"/>
                      <w:sz w:val="21"/>
                      <w:szCs w:val="21"/>
                    </w:rPr>
                    <w:t>生石灰</w:t>
                  </w:r>
                </w:p>
              </w:tc>
              <w:tc>
                <w:tcPr>
                  <w:tcW w:w="2062" w:type="dxa"/>
                  <w:tcBorders>
                    <w:top w:val="single" w:color="000000" w:sz="4" w:space="0"/>
                    <w:left w:val="single" w:color="000000" w:sz="4" w:space="0"/>
                    <w:bottom w:val="single" w:color="000000" w:sz="4" w:space="0"/>
                    <w:right w:val="single" w:color="000000" w:sz="4" w:space="0"/>
                  </w:tcBorders>
                  <w:vAlign w:val="center"/>
                </w:tcPr>
                <w:p w14:paraId="12293C37">
                  <w:pPr>
                    <w:pStyle w:val="87"/>
                    <w:adjustRightInd/>
                    <w:snapToGrid/>
                    <w:spacing w:beforeLines="0" w:afterLines="0" w:line="240" w:lineRule="auto"/>
                    <w:rPr>
                      <w:rFonts w:ascii="Times New Roman" w:hAnsi="Times New Roman" w:eastAsia="宋体" w:cs="Times New Roman"/>
                      <w:color w:val="auto"/>
                      <w:sz w:val="21"/>
                      <w:szCs w:val="21"/>
                      <w:lang w:val="en-US" w:eastAsia="zh-CN" w:bidi="ar-SA"/>
                    </w:rPr>
                  </w:pPr>
                  <w:r>
                    <w:rPr>
                      <w:rFonts w:hint="eastAsia" w:ascii="Times New Roman"/>
                      <w:color w:val="auto"/>
                      <w:sz w:val="21"/>
                      <w:szCs w:val="21"/>
                      <w:lang w:val="en-US" w:eastAsia="zh-CN"/>
                    </w:rPr>
                    <w:t>2150</w:t>
                  </w:r>
                  <w:r>
                    <w:rPr>
                      <w:rFonts w:ascii="Times New Roman"/>
                      <w:color w:val="auto"/>
                      <w:sz w:val="21"/>
                      <w:szCs w:val="21"/>
                    </w:rPr>
                    <w:t>t</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41D29">
                  <w:pPr>
                    <w:pStyle w:val="87"/>
                    <w:adjustRightInd/>
                    <w:snapToGrid/>
                    <w:spacing w:beforeLines="0" w:afterLines="0" w:line="240" w:lineRule="auto"/>
                    <w:rPr>
                      <w:rFonts w:hint="default" w:ascii="Times New Roman" w:hAnsi="Times New Roman" w:eastAsia="宋体" w:cs="Times New Roman"/>
                      <w:color w:val="auto"/>
                      <w:sz w:val="21"/>
                      <w:szCs w:val="21"/>
                      <w:lang w:val="en-US" w:eastAsia="zh-CN" w:bidi="ar-SA"/>
                    </w:rPr>
                  </w:pPr>
                  <w:r>
                    <w:rPr>
                      <w:rFonts w:hint="eastAsia" w:ascii="Times New Roman"/>
                      <w:color w:val="auto"/>
                      <w:sz w:val="21"/>
                      <w:szCs w:val="21"/>
                      <w:lang w:val="en-US" w:eastAsia="zh-CN"/>
                    </w:rPr>
                    <w:t>路基材料</w:t>
                  </w:r>
                </w:p>
              </w:tc>
              <w:tc>
                <w:tcPr>
                  <w:tcW w:w="2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8F887">
                  <w:pPr>
                    <w:pStyle w:val="87"/>
                    <w:adjustRightInd/>
                    <w:snapToGrid/>
                    <w:spacing w:beforeLines="0" w:afterLines="0" w:line="240" w:lineRule="auto"/>
                    <w:rPr>
                      <w:rFonts w:hint="default" w:ascii="Times New Roman" w:hAnsi="Times New Roman" w:eastAsia="宋体" w:cs="Times New Roman"/>
                      <w:color w:val="auto"/>
                      <w:sz w:val="21"/>
                      <w:szCs w:val="21"/>
                      <w:lang w:val="en-US" w:eastAsia="zh-CN" w:bidi="ar-SA"/>
                    </w:rPr>
                  </w:pPr>
                  <w:r>
                    <w:rPr>
                      <w:rFonts w:hint="eastAsia" w:ascii="Times New Roman"/>
                      <w:color w:val="auto"/>
                      <w:sz w:val="21"/>
                      <w:szCs w:val="21"/>
                      <w:lang w:val="en-US" w:eastAsia="zh-CN"/>
                    </w:rPr>
                    <w:t>150000t</w:t>
                  </w:r>
                </w:p>
              </w:tc>
            </w:tr>
            <w:tr w14:paraId="61D7E9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74" w:type="dxa"/>
                  <w:tcBorders>
                    <w:top w:val="single" w:color="000000" w:sz="4" w:space="0"/>
                    <w:left w:val="single" w:color="000000" w:sz="4" w:space="0"/>
                    <w:bottom w:val="single" w:color="000000" w:sz="4" w:space="0"/>
                    <w:right w:val="single" w:color="000000" w:sz="4" w:space="0"/>
                  </w:tcBorders>
                  <w:vAlign w:val="center"/>
                </w:tcPr>
                <w:p w14:paraId="5DEB7072">
                  <w:pPr>
                    <w:pStyle w:val="87"/>
                    <w:adjustRightInd/>
                    <w:snapToGrid/>
                    <w:spacing w:beforeLines="0" w:afterLines="0" w:line="240" w:lineRule="auto"/>
                    <w:rPr>
                      <w:rFonts w:hint="default" w:ascii="Times New Roman" w:hAnsi="Times New Roman" w:eastAsia="宋体" w:cs="Times New Roman"/>
                      <w:color w:val="auto"/>
                      <w:sz w:val="21"/>
                      <w:szCs w:val="21"/>
                      <w:lang w:val="en-US" w:eastAsia="zh-CN" w:bidi="ar-SA"/>
                    </w:rPr>
                  </w:pPr>
                </w:p>
              </w:tc>
              <w:tc>
                <w:tcPr>
                  <w:tcW w:w="2062" w:type="dxa"/>
                  <w:tcBorders>
                    <w:top w:val="single" w:color="000000" w:sz="4" w:space="0"/>
                    <w:left w:val="single" w:color="000000" w:sz="4" w:space="0"/>
                    <w:bottom w:val="single" w:color="000000" w:sz="4" w:space="0"/>
                    <w:right w:val="single" w:color="000000" w:sz="4" w:space="0"/>
                  </w:tcBorders>
                  <w:vAlign w:val="center"/>
                </w:tcPr>
                <w:p w14:paraId="1556E63A">
                  <w:pPr>
                    <w:pStyle w:val="87"/>
                    <w:adjustRightInd/>
                    <w:snapToGrid/>
                    <w:spacing w:beforeLines="0" w:afterLines="0" w:line="240" w:lineRule="auto"/>
                    <w:rPr>
                      <w:rFonts w:hint="default" w:ascii="Times New Roman" w:hAnsi="Times New Roman" w:eastAsia="宋体" w:cs="Times New Roman"/>
                      <w:color w:val="auto"/>
                      <w:sz w:val="21"/>
                      <w:szCs w:val="21"/>
                      <w:lang w:val="en-US" w:eastAsia="zh-CN" w:bidi="ar-SA"/>
                    </w:rPr>
                  </w:pP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0C4CE">
                  <w:pPr>
                    <w:pStyle w:val="87"/>
                    <w:adjustRightInd/>
                    <w:snapToGrid/>
                    <w:spacing w:beforeLines="0" w:afterLines="0" w:line="240" w:lineRule="auto"/>
                    <w:rPr>
                      <w:rFonts w:hint="eastAsia" w:ascii="Times New Roman" w:hAnsi="Times New Roman" w:eastAsia="宋体" w:cs="Times New Roman"/>
                      <w:color w:val="auto"/>
                      <w:sz w:val="21"/>
                      <w:szCs w:val="21"/>
                      <w:lang w:val="en-US" w:eastAsia="zh-CN" w:bidi="ar-SA"/>
                    </w:rPr>
                  </w:pPr>
                  <w:r>
                    <w:rPr>
                      <w:rFonts w:ascii="Times New Roman"/>
                      <w:color w:val="auto"/>
                      <w:sz w:val="21"/>
                      <w:szCs w:val="21"/>
                    </w:rPr>
                    <w:t>有组织颗粒物</w:t>
                  </w:r>
                </w:p>
              </w:tc>
              <w:tc>
                <w:tcPr>
                  <w:tcW w:w="2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17245">
                  <w:pPr>
                    <w:pStyle w:val="87"/>
                    <w:adjustRightInd/>
                    <w:snapToGrid/>
                    <w:spacing w:beforeLines="0" w:afterLines="0" w:line="240" w:lineRule="auto"/>
                    <w:rPr>
                      <w:rFonts w:hint="default" w:ascii="Times New Roman" w:hAnsi="Times New Roman" w:eastAsia="宋体" w:cs="Times New Roman"/>
                      <w:color w:val="auto"/>
                      <w:sz w:val="21"/>
                      <w:szCs w:val="21"/>
                      <w:lang w:val="en-US" w:eastAsia="zh-CN" w:bidi="ar-SA"/>
                    </w:rPr>
                  </w:pPr>
                  <w:r>
                    <w:rPr>
                      <w:rFonts w:hint="eastAsia" w:ascii="Times New Roman"/>
                      <w:color w:val="auto"/>
                      <w:sz w:val="21"/>
                      <w:szCs w:val="21"/>
                      <w:lang w:val="en-US" w:eastAsia="zh-CN"/>
                    </w:rPr>
                    <w:t>0.083</w:t>
                  </w:r>
                  <w:r>
                    <w:rPr>
                      <w:rFonts w:ascii="Times New Roman"/>
                      <w:color w:val="auto"/>
                      <w:sz w:val="21"/>
                      <w:szCs w:val="21"/>
                    </w:rPr>
                    <w:t>t</w:t>
                  </w:r>
                </w:p>
              </w:tc>
            </w:tr>
            <w:tr w14:paraId="0BA986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74" w:type="dxa"/>
                  <w:tcBorders>
                    <w:top w:val="single" w:color="000000" w:sz="4" w:space="0"/>
                    <w:left w:val="single" w:color="000000" w:sz="4" w:space="0"/>
                    <w:bottom w:val="single" w:color="000000" w:sz="4" w:space="0"/>
                    <w:right w:val="single" w:color="000000" w:sz="4" w:space="0"/>
                  </w:tcBorders>
                  <w:vAlign w:val="center"/>
                </w:tcPr>
                <w:p w14:paraId="726E2058">
                  <w:pPr>
                    <w:pStyle w:val="87"/>
                    <w:adjustRightInd/>
                    <w:snapToGrid/>
                    <w:spacing w:beforeLines="0" w:afterLines="0" w:line="240" w:lineRule="auto"/>
                    <w:rPr>
                      <w:rFonts w:ascii="Times New Roman"/>
                      <w:color w:val="auto"/>
                      <w:sz w:val="21"/>
                      <w:szCs w:val="21"/>
                    </w:rPr>
                  </w:pPr>
                </w:p>
              </w:tc>
              <w:tc>
                <w:tcPr>
                  <w:tcW w:w="2062" w:type="dxa"/>
                  <w:tcBorders>
                    <w:top w:val="single" w:color="000000" w:sz="4" w:space="0"/>
                    <w:left w:val="single" w:color="000000" w:sz="4" w:space="0"/>
                    <w:bottom w:val="single" w:color="000000" w:sz="4" w:space="0"/>
                    <w:right w:val="single" w:color="000000" w:sz="4" w:space="0"/>
                  </w:tcBorders>
                  <w:vAlign w:val="center"/>
                </w:tcPr>
                <w:p w14:paraId="1521EE23">
                  <w:pPr>
                    <w:pStyle w:val="87"/>
                    <w:adjustRightInd/>
                    <w:snapToGrid/>
                    <w:spacing w:beforeLines="0" w:afterLines="0" w:line="240" w:lineRule="auto"/>
                    <w:rPr>
                      <w:rFonts w:ascii="Times New Roman"/>
                      <w:color w:val="auto"/>
                      <w:sz w:val="21"/>
                      <w:szCs w:val="21"/>
                    </w:rPr>
                  </w:pP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6FB16">
                  <w:pPr>
                    <w:pStyle w:val="87"/>
                    <w:adjustRightInd/>
                    <w:snapToGrid/>
                    <w:spacing w:beforeLines="0" w:afterLines="0" w:line="240" w:lineRule="auto"/>
                    <w:rPr>
                      <w:rFonts w:hint="default" w:ascii="Times New Roman" w:hAnsi="Times New Roman" w:eastAsia="宋体" w:cs="Times New Roman"/>
                      <w:color w:val="auto"/>
                      <w:sz w:val="21"/>
                      <w:szCs w:val="21"/>
                      <w:lang w:val="en-US" w:eastAsia="zh-CN" w:bidi="ar-SA"/>
                    </w:rPr>
                  </w:pPr>
                  <w:r>
                    <w:rPr>
                      <w:rFonts w:ascii="Times New Roman"/>
                      <w:color w:val="auto"/>
                      <w:sz w:val="21"/>
                      <w:szCs w:val="21"/>
                    </w:rPr>
                    <w:t>无组织颗粒物</w:t>
                  </w:r>
                </w:p>
              </w:tc>
              <w:tc>
                <w:tcPr>
                  <w:tcW w:w="2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1FC1C">
                  <w:pPr>
                    <w:pStyle w:val="87"/>
                    <w:adjustRightInd/>
                    <w:snapToGrid/>
                    <w:spacing w:beforeLines="0" w:afterLines="0" w:line="240" w:lineRule="auto"/>
                    <w:rPr>
                      <w:rFonts w:hint="default" w:ascii="Times New Roman" w:hAnsi="Times New Roman" w:eastAsia="宋体" w:cs="Times New Roman"/>
                      <w:color w:val="auto"/>
                      <w:sz w:val="21"/>
                      <w:szCs w:val="21"/>
                      <w:lang w:val="en-US" w:eastAsia="zh-CN" w:bidi="ar-SA"/>
                    </w:rPr>
                  </w:pPr>
                  <w:r>
                    <w:rPr>
                      <w:rFonts w:hint="eastAsia" w:ascii="Times New Roman"/>
                      <w:color w:val="auto"/>
                      <w:sz w:val="21"/>
                      <w:szCs w:val="21"/>
                      <w:lang w:val="en-US" w:eastAsia="zh-CN"/>
                    </w:rPr>
                    <w:t>1.3788</w:t>
                  </w:r>
                  <w:r>
                    <w:rPr>
                      <w:rFonts w:ascii="Times New Roman"/>
                      <w:color w:val="auto"/>
                      <w:sz w:val="21"/>
                      <w:szCs w:val="21"/>
                    </w:rPr>
                    <w:t>t</w:t>
                  </w:r>
                </w:p>
              </w:tc>
            </w:tr>
            <w:tr w14:paraId="01B696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74" w:type="dxa"/>
                  <w:tcBorders>
                    <w:top w:val="single" w:color="000000" w:sz="4" w:space="0"/>
                    <w:left w:val="single" w:color="000000" w:sz="4" w:space="0"/>
                    <w:bottom w:val="single" w:color="000000" w:sz="4" w:space="0"/>
                    <w:right w:val="single" w:color="000000" w:sz="4" w:space="0"/>
                  </w:tcBorders>
                  <w:vAlign w:val="center"/>
                </w:tcPr>
                <w:p w14:paraId="1DA8E77D">
                  <w:pPr>
                    <w:pStyle w:val="87"/>
                    <w:adjustRightInd/>
                    <w:snapToGrid/>
                    <w:spacing w:beforeLines="0" w:afterLines="0" w:line="240" w:lineRule="auto"/>
                    <w:rPr>
                      <w:rFonts w:ascii="Times New Roman"/>
                      <w:color w:val="auto"/>
                      <w:sz w:val="21"/>
                      <w:szCs w:val="21"/>
                    </w:rPr>
                  </w:pPr>
                </w:p>
              </w:tc>
              <w:tc>
                <w:tcPr>
                  <w:tcW w:w="2062" w:type="dxa"/>
                  <w:tcBorders>
                    <w:top w:val="single" w:color="000000" w:sz="4" w:space="0"/>
                    <w:left w:val="single" w:color="000000" w:sz="4" w:space="0"/>
                    <w:bottom w:val="single" w:color="000000" w:sz="4" w:space="0"/>
                    <w:right w:val="single" w:color="000000" w:sz="4" w:space="0"/>
                  </w:tcBorders>
                  <w:vAlign w:val="center"/>
                </w:tcPr>
                <w:p w14:paraId="01B1043E">
                  <w:pPr>
                    <w:pStyle w:val="87"/>
                    <w:adjustRightInd/>
                    <w:snapToGrid/>
                    <w:spacing w:beforeLines="0" w:afterLines="0" w:line="240" w:lineRule="auto"/>
                    <w:rPr>
                      <w:rFonts w:ascii="Times New Roman"/>
                      <w:color w:val="auto"/>
                      <w:sz w:val="21"/>
                      <w:szCs w:val="21"/>
                    </w:rPr>
                  </w:pP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2B4E1">
                  <w:pPr>
                    <w:pStyle w:val="87"/>
                    <w:adjustRightInd/>
                    <w:snapToGrid/>
                    <w:spacing w:beforeLines="0" w:afterLines="0" w:line="240" w:lineRule="auto"/>
                    <w:rPr>
                      <w:rFonts w:ascii="Times New Roman" w:hAnsi="Times New Roman" w:eastAsia="宋体" w:cs="Times New Roman"/>
                      <w:color w:val="auto"/>
                      <w:sz w:val="21"/>
                      <w:szCs w:val="21"/>
                      <w:lang w:val="en-US" w:eastAsia="zh-CN" w:bidi="ar-SA"/>
                    </w:rPr>
                  </w:pPr>
                  <w:r>
                    <w:rPr>
                      <w:rFonts w:ascii="Times New Roman"/>
                      <w:color w:val="auto"/>
                      <w:sz w:val="21"/>
                      <w:szCs w:val="21"/>
                    </w:rPr>
                    <w:t>水分损耗（蒸发）</w:t>
                  </w:r>
                </w:p>
              </w:tc>
              <w:tc>
                <w:tcPr>
                  <w:tcW w:w="2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43D32">
                  <w:pPr>
                    <w:pStyle w:val="87"/>
                    <w:adjustRightInd/>
                    <w:snapToGrid/>
                    <w:spacing w:beforeLines="0" w:afterLines="0" w:line="240" w:lineRule="auto"/>
                    <w:rPr>
                      <w:rFonts w:ascii="Times New Roman" w:hAnsi="Times New Roman" w:eastAsia="宋体" w:cs="Times New Roman"/>
                      <w:color w:val="auto"/>
                      <w:sz w:val="21"/>
                      <w:szCs w:val="21"/>
                      <w:lang w:val="en-US" w:eastAsia="zh-CN" w:bidi="ar-SA"/>
                    </w:rPr>
                  </w:pPr>
                  <w:r>
                    <w:rPr>
                      <w:rFonts w:hint="eastAsia" w:ascii="Times New Roman"/>
                      <w:color w:val="auto"/>
                      <w:sz w:val="21"/>
                      <w:szCs w:val="21"/>
                      <w:lang w:val="en-US" w:eastAsia="zh-CN"/>
                    </w:rPr>
                    <w:t>29107.3582</w:t>
                  </w:r>
                  <w:r>
                    <w:rPr>
                      <w:rFonts w:ascii="Times New Roman"/>
                      <w:color w:val="auto"/>
                      <w:sz w:val="21"/>
                      <w:szCs w:val="21"/>
                    </w:rPr>
                    <w:t>t</w:t>
                  </w:r>
                </w:p>
              </w:tc>
            </w:tr>
            <w:tr w14:paraId="3859C8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74" w:type="dxa"/>
                  <w:tcBorders>
                    <w:left w:val="single" w:color="000000" w:sz="4" w:space="0"/>
                    <w:right w:val="single" w:color="000000" w:sz="4" w:space="0"/>
                  </w:tcBorders>
                  <w:vAlign w:val="center"/>
                </w:tcPr>
                <w:p w14:paraId="751852AF">
                  <w:pPr>
                    <w:pStyle w:val="87"/>
                    <w:adjustRightInd/>
                    <w:snapToGrid/>
                    <w:spacing w:beforeLines="0" w:afterLines="0" w:line="240" w:lineRule="auto"/>
                    <w:rPr>
                      <w:rFonts w:hint="eastAsia" w:ascii="Times New Roman"/>
                      <w:color w:val="auto"/>
                      <w:sz w:val="21"/>
                      <w:szCs w:val="21"/>
                      <w:lang w:val="en-US" w:eastAsia="zh-CN"/>
                    </w:rPr>
                  </w:pPr>
                  <w:r>
                    <w:rPr>
                      <w:rFonts w:hint="eastAsia" w:ascii="Times New Roman"/>
                      <w:color w:val="auto"/>
                      <w:sz w:val="21"/>
                      <w:szCs w:val="21"/>
                      <w:lang w:val="en-US" w:eastAsia="zh-CN"/>
                    </w:rPr>
                    <w:t>合计</w:t>
                  </w:r>
                </w:p>
              </w:tc>
              <w:tc>
                <w:tcPr>
                  <w:tcW w:w="2062" w:type="dxa"/>
                  <w:tcBorders>
                    <w:top w:val="single" w:color="000000" w:sz="4" w:space="0"/>
                    <w:left w:val="single" w:color="000000" w:sz="4" w:space="0"/>
                    <w:bottom w:val="single" w:color="000000" w:sz="4" w:space="0"/>
                    <w:right w:val="single" w:color="000000" w:sz="4" w:space="0"/>
                  </w:tcBorders>
                  <w:vAlign w:val="center"/>
                </w:tcPr>
                <w:p w14:paraId="76E514B7">
                  <w:pPr>
                    <w:pStyle w:val="87"/>
                    <w:adjustRightInd/>
                    <w:snapToGrid/>
                    <w:spacing w:beforeLines="0" w:afterLines="0" w:line="240" w:lineRule="auto"/>
                    <w:rPr>
                      <w:rFonts w:ascii="Times New Roman"/>
                      <w:color w:val="auto"/>
                      <w:sz w:val="21"/>
                      <w:szCs w:val="21"/>
                    </w:rPr>
                  </w:pPr>
                  <w:r>
                    <w:rPr>
                      <w:rFonts w:hint="eastAsia" w:ascii="Times New Roman"/>
                      <w:color w:val="auto"/>
                      <w:sz w:val="21"/>
                      <w:szCs w:val="21"/>
                      <w:lang w:val="en-US" w:eastAsia="zh-CN"/>
                    </w:rPr>
                    <w:t>529108.82</w:t>
                  </w:r>
                  <w:r>
                    <w:rPr>
                      <w:rFonts w:ascii="Times New Roman"/>
                      <w:color w:val="auto"/>
                      <w:sz w:val="21"/>
                      <w:szCs w:val="21"/>
                    </w:rPr>
                    <w:t>t</w:t>
                  </w:r>
                </w:p>
              </w:tc>
              <w:tc>
                <w:tcPr>
                  <w:tcW w:w="2378" w:type="dxa"/>
                  <w:tcBorders>
                    <w:top w:val="single" w:color="000000" w:sz="4" w:space="0"/>
                    <w:left w:val="single" w:color="000000" w:sz="4" w:space="0"/>
                    <w:bottom w:val="single" w:color="000000" w:sz="4" w:space="0"/>
                    <w:right w:val="single" w:color="000000" w:sz="4" w:space="0"/>
                  </w:tcBorders>
                  <w:vAlign w:val="center"/>
                </w:tcPr>
                <w:p w14:paraId="4ED2C4AB">
                  <w:pPr>
                    <w:pStyle w:val="87"/>
                    <w:adjustRightInd/>
                    <w:snapToGrid/>
                    <w:spacing w:beforeLines="0" w:afterLines="0" w:line="240" w:lineRule="auto"/>
                    <w:rPr>
                      <w:rFonts w:ascii="Times New Roman"/>
                      <w:color w:val="auto"/>
                      <w:sz w:val="21"/>
                      <w:szCs w:val="21"/>
                    </w:rPr>
                  </w:pPr>
                  <w:r>
                    <w:rPr>
                      <w:rFonts w:ascii="Times New Roman"/>
                      <w:color w:val="auto"/>
                      <w:sz w:val="21"/>
                      <w:szCs w:val="21"/>
                    </w:rPr>
                    <w:t>/</w:t>
                  </w:r>
                </w:p>
              </w:tc>
              <w:tc>
                <w:tcPr>
                  <w:tcW w:w="2290" w:type="dxa"/>
                  <w:tcBorders>
                    <w:top w:val="single" w:color="000000" w:sz="4" w:space="0"/>
                    <w:left w:val="single" w:color="000000" w:sz="4" w:space="0"/>
                    <w:bottom w:val="single" w:color="000000" w:sz="4" w:space="0"/>
                    <w:right w:val="single" w:color="000000" w:sz="4" w:space="0"/>
                  </w:tcBorders>
                  <w:vAlign w:val="center"/>
                </w:tcPr>
                <w:p w14:paraId="21F5C295">
                  <w:pPr>
                    <w:pStyle w:val="87"/>
                    <w:adjustRightInd/>
                    <w:snapToGrid/>
                    <w:spacing w:beforeLines="0" w:afterLines="0" w:line="240" w:lineRule="auto"/>
                    <w:rPr>
                      <w:rFonts w:ascii="Times New Roman"/>
                      <w:color w:val="auto"/>
                      <w:sz w:val="21"/>
                      <w:szCs w:val="21"/>
                    </w:rPr>
                  </w:pPr>
                  <w:r>
                    <w:rPr>
                      <w:rFonts w:hint="eastAsia" w:ascii="Times New Roman"/>
                      <w:color w:val="auto"/>
                      <w:sz w:val="21"/>
                      <w:szCs w:val="21"/>
                      <w:lang w:val="en-US" w:eastAsia="zh-CN"/>
                    </w:rPr>
                    <w:t>529108.82</w:t>
                  </w:r>
                  <w:r>
                    <w:rPr>
                      <w:rFonts w:ascii="Times New Roman"/>
                      <w:color w:val="auto"/>
                      <w:sz w:val="21"/>
                      <w:szCs w:val="21"/>
                    </w:rPr>
                    <w:t>t</w:t>
                  </w:r>
                </w:p>
              </w:tc>
            </w:tr>
          </w:tbl>
          <w:p w14:paraId="03AA2380">
            <w:pPr>
              <w:spacing w:line="360" w:lineRule="auto"/>
              <w:ind w:firstLine="480" w:firstLineChars="200"/>
              <w:rPr>
                <w:color w:val="auto"/>
                <w:szCs w:val="24"/>
              </w:rPr>
            </w:pPr>
            <w:r>
              <w:rPr>
                <w:rFonts w:hint="eastAsia"/>
                <w:color w:val="auto"/>
                <w:sz w:val="24"/>
              </w:rPr>
              <w:t>故根据物料平衡并考虑混合中的损耗和物料反应速度，以及磷石膏中其他酸性物质影响等因素，掺用比例如下：路基材料：PH值6</w:t>
            </w:r>
            <w:r>
              <w:rPr>
                <w:color w:val="auto"/>
                <w:sz w:val="24"/>
              </w:rPr>
              <w:t>-9</w:t>
            </w:r>
            <w:r>
              <w:rPr>
                <w:rFonts w:hint="eastAsia"/>
                <w:color w:val="auto"/>
                <w:sz w:val="24"/>
              </w:rPr>
              <w:t>，改性剂掺入量：生石灰0</w:t>
            </w:r>
            <w:r>
              <w:rPr>
                <w:color w:val="auto"/>
                <w:sz w:val="24"/>
              </w:rPr>
              <w:t>.5%</w:t>
            </w:r>
            <w:r>
              <w:rPr>
                <w:rFonts w:hint="eastAsia"/>
                <w:color w:val="auto"/>
                <w:sz w:val="24"/>
              </w:rPr>
              <w:t>，电石渣0</w:t>
            </w:r>
            <w:r>
              <w:rPr>
                <w:color w:val="auto"/>
                <w:sz w:val="24"/>
              </w:rPr>
              <w:t>.5%</w:t>
            </w:r>
            <w:r>
              <w:rPr>
                <w:rFonts w:hint="eastAsia"/>
                <w:color w:val="auto"/>
                <w:sz w:val="24"/>
                <w:lang w:eastAsia="zh-CN"/>
              </w:rPr>
              <w:t>；</w:t>
            </w:r>
            <w:r>
              <w:rPr>
                <w:rFonts w:hint="eastAsia"/>
                <w:color w:val="auto"/>
                <w:sz w:val="24"/>
              </w:rPr>
              <w:t>土壤</w:t>
            </w:r>
            <w:r>
              <w:rPr>
                <w:rFonts w:hint="eastAsia" w:ascii="Times New Roman" w:hAnsi="Times New Roman"/>
                <w:color w:val="auto"/>
                <w:kern w:val="2"/>
                <w:sz w:val="24"/>
                <w:szCs w:val="24"/>
                <w:lang w:val="en-US" w:eastAsia="zh-CN"/>
              </w:rPr>
              <w:t>改良</w:t>
            </w:r>
            <w:r>
              <w:rPr>
                <w:rFonts w:hint="eastAsia"/>
                <w:color w:val="auto"/>
                <w:sz w:val="24"/>
              </w:rPr>
              <w:t>剂：PH值</w:t>
            </w:r>
            <w:r>
              <w:rPr>
                <w:color w:val="auto"/>
                <w:sz w:val="24"/>
              </w:rPr>
              <w:t>6.5</w:t>
            </w:r>
            <w:r>
              <w:rPr>
                <w:rFonts w:hint="eastAsia"/>
                <w:color w:val="auto"/>
                <w:sz w:val="24"/>
              </w:rPr>
              <w:t>以内，改性剂掺入量：生石灰0</w:t>
            </w:r>
            <w:r>
              <w:rPr>
                <w:color w:val="auto"/>
                <w:sz w:val="24"/>
              </w:rPr>
              <w:t>.7%</w:t>
            </w:r>
            <w:r>
              <w:rPr>
                <w:rFonts w:hint="eastAsia"/>
                <w:color w:val="auto"/>
                <w:sz w:val="24"/>
                <w:lang w:eastAsia="zh-CN"/>
              </w:rPr>
              <w:t>；</w:t>
            </w:r>
            <w:r>
              <w:rPr>
                <w:rFonts w:hint="eastAsia"/>
                <w:color w:val="auto"/>
                <w:sz w:val="24"/>
              </w:rPr>
              <w:t>生态修复材料：PH值6</w:t>
            </w:r>
            <w:r>
              <w:rPr>
                <w:color w:val="auto"/>
                <w:sz w:val="24"/>
              </w:rPr>
              <w:t>-9</w:t>
            </w:r>
            <w:r>
              <w:rPr>
                <w:rFonts w:hint="eastAsia"/>
                <w:color w:val="auto"/>
                <w:sz w:val="24"/>
              </w:rPr>
              <w:t>，改性剂掺入量：电石渣1</w:t>
            </w:r>
            <w:r>
              <w:rPr>
                <w:color w:val="auto"/>
                <w:sz w:val="24"/>
              </w:rPr>
              <w:t>.5%。</w:t>
            </w:r>
          </w:p>
        </w:tc>
      </w:tr>
      <w:tr w14:paraId="08247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tcPr>
          <w:p w14:paraId="3D54210E">
            <w:pPr>
              <w:pStyle w:val="41"/>
              <w:spacing w:before="0" w:beforeAutospacing="0" w:after="0" w:afterAutospacing="0"/>
              <w:jc w:val="center"/>
              <w:outlineLvl w:val="0"/>
              <w:rPr>
                <w:rFonts w:ascii="Times New Roman" w:hAnsi="Times New Roman"/>
                <w:color w:val="auto"/>
                <w:szCs w:val="24"/>
              </w:rPr>
            </w:pPr>
            <w:r>
              <w:rPr>
                <w:rFonts w:ascii="Times New Roman" w:hAnsi="Times New Roman"/>
                <w:color w:val="auto"/>
                <w:szCs w:val="24"/>
              </w:rPr>
              <w:t>工艺流程和产排污环节</w:t>
            </w:r>
          </w:p>
        </w:tc>
        <w:tc>
          <w:tcPr>
            <w:tcW w:w="8555" w:type="dxa"/>
          </w:tcPr>
          <w:p w14:paraId="7DA8792E">
            <w:pPr>
              <w:spacing w:line="360" w:lineRule="auto"/>
              <w:rPr>
                <w:bCs/>
                <w:color w:val="auto"/>
                <w:sz w:val="28"/>
                <w:szCs w:val="28"/>
              </w:rPr>
            </w:pPr>
            <w:r>
              <w:rPr>
                <w:b/>
                <w:bCs/>
                <w:color w:val="auto"/>
                <w:sz w:val="28"/>
                <w:szCs w:val="28"/>
              </w:rPr>
              <w:t>工艺流程和产排污环节</w:t>
            </w:r>
            <w:r>
              <w:rPr>
                <w:bCs/>
                <w:color w:val="auto"/>
                <w:sz w:val="28"/>
                <w:szCs w:val="28"/>
              </w:rPr>
              <w:t>：</w:t>
            </w:r>
          </w:p>
          <w:p w14:paraId="7A3BA883">
            <w:pPr>
              <w:spacing w:line="360" w:lineRule="auto"/>
              <w:ind w:firstLine="562" w:firstLineChars="200"/>
              <w:rPr>
                <w:b/>
                <w:color w:val="auto"/>
                <w:sz w:val="28"/>
                <w:szCs w:val="28"/>
              </w:rPr>
            </w:pPr>
            <w:r>
              <w:rPr>
                <w:b/>
                <w:color w:val="auto"/>
                <w:sz w:val="28"/>
                <w:szCs w:val="28"/>
              </w:rPr>
              <w:t>一、施工期</w:t>
            </w:r>
          </w:p>
          <w:p w14:paraId="6E0A94D9">
            <w:pPr>
              <w:spacing w:line="360" w:lineRule="auto"/>
              <w:ind w:firstLine="480" w:firstLineChars="200"/>
              <w:rPr>
                <w:color w:val="auto"/>
                <w:sz w:val="24"/>
              </w:rPr>
            </w:pPr>
            <w:r>
              <w:rPr>
                <w:color w:val="auto"/>
                <w:sz w:val="24"/>
              </w:rPr>
              <w:t>本项目施工期主要</w:t>
            </w:r>
            <w:r>
              <w:rPr>
                <w:rFonts w:hint="eastAsia"/>
                <w:color w:val="auto"/>
                <w:sz w:val="24"/>
              </w:rPr>
              <w:t>为</w:t>
            </w:r>
            <w:r>
              <w:rPr>
                <w:color w:val="auto"/>
                <w:sz w:val="24"/>
              </w:rPr>
              <w:t>配套设备安装等。</w:t>
            </w:r>
          </w:p>
          <w:p w14:paraId="2DD63BCC">
            <w:pPr>
              <w:spacing w:line="360" w:lineRule="auto"/>
              <w:ind w:firstLine="480" w:firstLineChars="200"/>
              <w:rPr>
                <w:color w:val="auto"/>
                <w:sz w:val="24"/>
              </w:rPr>
            </w:pPr>
            <w:r>
              <w:rPr>
                <w:color w:val="auto"/>
                <w:sz w:val="24"/>
              </w:rPr>
              <w:t>施工期对环境的影响主要是施工产生的废气、废水、噪声及生活垃圾等。其影响具有时间短，工程结束后对环境影响即随之消失的特点。项目施工工艺流程图及产污环节图见图2-</w:t>
            </w:r>
            <w:r>
              <w:rPr>
                <w:rFonts w:hint="eastAsia"/>
                <w:color w:val="auto"/>
                <w:sz w:val="24"/>
                <w:lang w:val="en-US" w:eastAsia="zh-CN"/>
              </w:rPr>
              <w:t>1</w:t>
            </w:r>
            <w:r>
              <w:rPr>
                <w:color w:val="auto"/>
                <w:sz w:val="24"/>
              </w:rPr>
              <w:t>。</w:t>
            </w:r>
          </w:p>
          <w:p w14:paraId="0D0E843B">
            <w:pPr>
              <w:spacing w:line="360" w:lineRule="auto"/>
              <w:jc w:val="center"/>
              <w:rPr>
                <w:color w:val="auto"/>
              </w:rPr>
            </w:pPr>
            <w:r>
              <w:rPr>
                <w:color w:val="auto"/>
              </w:rPr>
              <w:object>
                <v:shape id="_x0000_i1025" o:spt="75" type="#_x0000_t75" style="height:156.25pt;width:372.15pt;" o:ole="t" filled="f" o:preferrelative="t" stroked="f" coordsize="21600,21600">
                  <v:path/>
                  <v:fill on="f" focussize="0,0"/>
                  <v:stroke on="f"/>
                  <v:imagedata r:id="rId14" o:title=""/>
                  <o:lock v:ext="edit" aspectratio="f"/>
                  <w10:wrap type="none"/>
                  <w10:anchorlock/>
                </v:shape>
                <o:OLEObject Type="Embed" ProgID="Visio.Drawing.11" ShapeID="_x0000_i1025" DrawAspect="Content" ObjectID="_1468075725" r:id="rId13">
                  <o:LockedField>false</o:LockedField>
                </o:OLEObject>
              </w:object>
            </w:r>
          </w:p>
          <w:p w14:paraId="6CC0A204">
            <w:pPr>
              <w:spacing w:line="360" w:lineRule="auto"/>
              <w:jc w:val="center"/>
              <w:rPr>
                <w:color w:val="auto"/>
                <w:sz w:val="24"/>
              </w:rPr>
            </w:pPr>
            <w:r>
              <w:rPr>
                <w:b/>
                <w:color w:val="auto"/>
                <w:sz w:val="24"/>
              </w:rPr>
              <w:t>图2-</w:t>
            </w:r>
            <w:r>
              <w:rPr>
                <w:rFonts w:hint="eastAsia"/>
                <w:b/>
                <w:color w:val="auto"/>
                <w:sz w:val="24"/>
                <w:lang w:val="en-US" w:eastAsia="zh-CN"/>
              </w:rPr>
              <w:t>1</w:t>
            </w:r>
            <w:r>
              <w:rPr>
                <w:b/>
                <w:color w:val="auto"/>
                <w:sz w:val="24"/>
              </w:rPr>
              <w:t xml:space="preserve">  项目施工流程及产污环节示意图</w:t>
            </w:r>
          </w:p>
          <w:p w14:paraId="57CC9E2B">
            <w:pPr>
              <w:spacing w:line="360" w:lineRule="auto"/>
              <w:ind w:firstLine="562" w:firstLineChars="200"/>
              <w:rPr>
                <w:b/>
                <w:color w:val="auto"/>
                <w:sz w:val="28"/>
                <w:szCs w:val="28"/>
              </w:rPr>
            </w:pPr>
            <w:r>
              <w:rPr>
                <w:b/>
                <w:color w:val="auto"/>
                <w:sz w:val="28"/>
                <w:szCs w:val="28"/>
              </w:rPr>
              <w:t>二、运营期</w:t>
            </w:r>
          </w:p>
          <w:p w14:paraId="4FB0536A">
            <w:pPr>
              <w:spacing w:line="360" w:lineRule="auto"/>
              <w:ind w:firstLine="482" w:firstLineChars="200"/>
              <w:rPr>
                <w:color w:val="auto"/>
                <w:sz w:val="24"/>
                <w:szCs w:val="22"/>
              </w:rPr>
            </w:pPr>
            <w:r>
              <w:rPr>
                <w:b/>
                <w:color w:val="auto"/>
                <w:sz w:val="24"/>
              </w:rPr>
              <w:t>1、项目生产工艺及产污环节</w:t>
            </w:r>
          </w:p>
          <w:p w14:paraId="51166B7A">
            <w:pPr>
              <w:spacing w:line="360" w:lineRule="auto"/>
              <w:ind w:firstLine="482" w:firstLineChars="200"/>
              <w:jc w:val="left"/>
              <w:rPr>
                <w:color w:val="auto"/>
                <w:sz w:val="24"/>
                <w:szCs w:val="22"/>
              </w:rPr>
            </w:pPr>
            <w:r>
              <w:rPr>
                <w:b/>
                <w:color w:val="auto"/>
                <w:sz w:val="24"/>
                <w:szCs w:val="22"/>
              </w:rPr>
              <w:t>（一）</w:t>
            </w:r>
            <w:r>
              <w:rPr>
                <w:rFonts w:hint="eastAsia"/>
                <w:b/>
                <w:color w:val="auto"/>
                <w:sz w:val="24"/>
                <w:szCs w:val="22"/>
                <w:lang w:val="en-US" w:eastAsia="zh-CN"/>
              </w:rPr>
              <w:t>改扩建</w:t>
            </w:r>
            <w:r>
              <w:rPr>
                <w:b/>
                <w:color w:val="auto"/>
                <w:sz w:val="24"/>
              </w:rPr>
              <w:t>项目生产工艺</w:t>
            </w:r>
          </w:p>
          <w:p w14:paraId="636D9507">
            <w:pPr>
              <w:spacing w:line="360" w:lineRule="auto"/>
              <w:ind w:firstLine="480" w:firstLineChars="200"/>
              <w:jc w:val="left"/>
              <w:rPr>
                <w:bCs/>
                <w:color w:val="auto"/>
                <w:sz w:val="24"/>
              </w:rPr>
            </w:pPr>
            <w:r>
              <w:rPr>
                <w:color w:val="auto"/>
                <w:sz w:val="24"/>
              </w:rPr>
              <w:t>生产工艺流程及产污节点如图2-</w:t>
            </w:r>
            <w:r>
              <w:rPr>
                <w:rFonts w:hint="eastAsia"/>
                <w:color w:val="auto"/>
                <w:sz w:val="24"/>
                <w:lang w:val="en-US" w:eastAsia="zh-CN"/>
              </w:rPr>
              <w:t>2</w:t>
            </w:r>
            <w:r>
              <w:rPr>
                <w:color w:val="auto"/>
                <w:sz w:val="24"/>
              </w:rPr>
              <w:t>所示：</w:t>
            </w:r>
          </w:p>
          <w:p w14:paraId="1F36403D">
            <w:pPr>
              <w:spacing w:line="360" w:lineRule="auto"/>
              <w:jc w:val="center"/>
              <w:rPr>
                <w:rFonts w:hint="eastAsia" w:eastAsia="宋体"/>
                <w:bCs/>
                <w:color w:val="auto"/>
                <w:sz w:val="24"/>
                <w:lang w:eastAsia="zh-CN"/>
              </w:rPr>
            </w:pPr>
            <w:r>
              <w:rPr>
                <w:rFonts w:hint="eastAsia" w:eastAsia="宋体"/>
                <w:bCs/>
                <w:color w:val="auto"/>
                <w:sz w:val="24"/>
                <w:lang w:eastAsia="zh-CN"/>
              </w:rPr>
              <w:object>
                <v:shape id="_x0000_i1026" o:spt="75" type="#_x0000_t75" style="height:303.4pt;width:394.2pt;" o:ole="t" filled="f" o:preferrelative="t" stroked="f" coordsize="21600,21600">
                  <v:path/>
                  <v:fill on="f" focussize="0,0"/>
                  <v:stroke on="f"/>
                  <v:imagedata r:id="rId16" o:title=""/>
                  <o:lock v:ext="edit" aspectratio="t"/>
                  <w10:wrap type="none"/>
                  <w10:anchorlock/>
                </v:shape>
                <o:OLEObject Type="Embed" ProgID="Visio.Drawing.15" ShapeID="_x0000_i1026" DrawAspect="Content" ObjectID="_1468075726" r:id="rId15">
                  <o:LockedField>false</o:LockedField>
                </o:OLEObject>
              </w:object>
            </w:r>
          </w:p>
          <w:p w14:paraId="42EF1162">
            <w:pPr>
              <w:pStyle w:val="2"/>
              <w:jc w:val="center"/>
              <w:rPr>
                <w:rFonts w:eastAsia="宋体"/>
                <w:color w:val="auto"/>
                <w:sz w:val="24"/>
                <w:szCs w:val="24"/>
              </w:rPr>
            </w:pPr>
            <w:r>
              <w:rPr>
                <w:rFonts w:eastAsia="宋体"/>
                <w:color w:val="auto"/>
                <w:sz w:val="24"/>
                <w:szCs w:val="24"/>
              </w:rPr>
              <w:t>图2-</w:t>
            </w:r>
            <w:r>
              <w:rPr>
                <w:rFonts w:hint="eastAsia" w:eastAsia="宋体"/>
                <w:color w:val="auto"/>
                <w:sz w:val="24"/>
                <w:szCs w:val="24"/>
                <w:lang w:val="en-US" w:eastAsia="zh-CN"/>
              </w:rPr>
              <w:t>2</w:t>
            </w:r>
            <w:r>
              <w:rPr>
                <w:rFonts w:eastAsia="宋体"/>
                <w:color w:val="auto"/>
                <w:sz w:val="24"/>
                <w:szCs w:val="24"/>
              </w:rPr>
              <w:t xml:space="preserve">  生产工艺流程及产污环节示意图</w:t>
            </w:r>
          </w:p>
          <w:p w14:paraId="6586BAB2">
            <w:pPr>
              <w:spacing w:line="360" w:lineRule="auto"/>
              <w:ind w:firstLine="482" w:firstLineChars="200"/>
              <w:rPr>
                <w:b/>
                <w:color w:val="auto"/>
                <w:sz w:val="24"/>
              </w:rPr>
            </w:pPr>
            <w:r>
              <w:rPr>
                <w:b/>
                <w:color w:val="auto"/>
                <w:sz w:val="24"/>
              </w:rPr>
              <w:t>生产工艺流程简述如下：</w:t>
            </w:r>
          </w:p>
          <w:p w14:paraId="1A60438F">
            <w:pPr>
              <w:spacing w:line="360" w:lineRule="auto"/>
              <w:ind w:firstLine="480" w:firstLineChars="200"/>
              <w:rPr>
                <w:color w:val="auto"/>
                <w:sz w:val="24"/>
              </w:rPr>
            </w:pPr>
            <w:r>
              <w:rPr>
                <w:rFonts w:hint="eastAsia" w:ascii="宋体" w:hAnsi="宋体" w:cs="宋体"/>
                <w:color w:val="auto"/>
                <w:sz w:val="24"/>
              </w:rPr>
              <w:t>①</w:t>
            </w:r>
            <w:r>
              <w:rPr>
                <w:rFonts w:hint="eastAsia"/>
                <w:color w:val="auto"/>
                <w:sz w:val="24"/>
                <w:lang w:eastAsia="zh-CN"/>
              </w:rPr>
              <w:t>云南常青树化工有限公司</w:t>
            </w:r>
            <w:r>
              <w:rPr>
                <w:color w:val="auto"/>
                <w:sz w:val="24"/>
              </w:rPr>
              <w:t>磷石膏</w:t>
            </w:r>
            <w:r>
              <w:rPr>
                <w:rFonts w:hint="eastAsia"/>
                <w:color w:val="auto"/>
                <w:sz w:val="24"/>
                <w:lang w:val="en-US" w:eastAsia="zh-CN"/>
              </w:rPr>
              <w:t>渣场</w:t>
            </w:r>
            <w:r>
              <w:rPr>
                <w:color w:val="auto"/>
                <w:sz w:val="24"/>
              </w:rPr>
              <w:t>净化工序（磷石膏脱水）</w:t>
            </w:r>
          </w:p>
          <w:p w14:paraId="59364426">
            <w:pPr>
              <w:spacing w:line="360" w:lineRule="auto"/>
              <w:ind w:firstLine="480" w:firstLineChars="200"/>
              <w:rPr>
                <w:rFonts w:hint="default" w:eastAsia="宋体"/>
                <w:color w:val="auto"/>
                <w:sz w:val="24"/>
                <w:lang w:val="en-US" w:eastAsia="zh-CN"/>
              </w:rPr>
            </w:pPr>
            <w:r>
              <w:rPr>
                <w:color w:val="auto"/>
                <w:sz w:val="24"/>
              </w:rPr>
              <w:t>根据业主提供资料，磷石膏渣经过压滤后的含水率约为26%，在</w:t>
            </w:r>
            <w:r>
              <w:rPr>
                <w:rFonts w:hint="eastAsia"/>
                <w:color w:val="auto"/>
                <w:sz w:val="24"/>
                <w:lang w:eastAsia="zh-CN"/>
              </w:rPr>
              <w:t>云南常青树化工有限公司</w:t>
            </w:r>
            <w:r>
              <w:rPr>
                <w:color w:val="auto"/>
                <w:sz w:val="24"/>
              </w:rPr>
              <w:t>磷石膏临时堆场露天堆存3个月后其含水率下降至15%。脱水至15%的磷石膏</w:t>
            </w:r>
            <w:r>
              <w:rPr>
                <w:rFonts w:hint="eastAsia"/>
                <w:color w:val="auto"/>
                <w:sz w:val="24"/>
                <w:lang w:val="en-US" w:eastAsia="zh-CN"/>
              </w:rPr>
              <w:t>采用汽车经厂内道路运输至原料库。此过程会产生运输粉尘和噪声，采取车辆加盖篷布、厂区道路进行洒水降尘、减速慢行、厂内禁止鸣笛等措施，对周边环境空气和声环境影响较小。</w:t>
            </w:r>
          </w:p>
          <w:p w14:paraId="19445EA3">
            <w:pPr>
              <w:spacing w:line="360" w:lineRule="auto"/>
              <w:ind w:firstLine="480" w:firstLineChars="200"/>
              <w:jc w:val="left"/>
              <w:rPr>
                <w:rFonts w:hint="eastAsia" w:eastAsia="宋体"/>
                <w:color w:val="auto"/>
                <w:sz w:val="24"/>
                <w:lang w:eastAsia="zh-CN"/>
              </w:rPr>
            </w:pPr>
            <w:r>
              <w:rPr>
                <w:rFonts w:hint="eastAsia" w:ascii="宋体" w:hAnsi="宋体" w:cs="宋体"/>
                <w:color w:val="auto"/>
                <w:sz w:val="24"/>
              </w:rPr>
              <w:t>②</w:t>
            </w:r>
            <w:r>
              <w:rPr>
                <w:color w:val="auto"/>
                <w:sz w:val="24"/>
              </w:rPr>
              <w:t>改性剂</w:t>
            </w:r>
            <w:r>
              <w:rPr>
                <w:rFonts w:hint="eastAsia"/>
                <w:color w:val="auto"/>
                <w:sz w:val="24"/>
                <w:lang w:eastAsia="zh-CN"/>
              </w:rPr>
              <w:t>（</w:t>
            </w:r>
            <w:r>
              <w:rPr>
                <w:rFonts w:hint="eastAsia"/>
                <w:color w:val="auto"/>
                <w:sz w:val="24"/>
                <w:lang w:val="en-US" w:eastAsia="zh-CN"/>
              </w:rPr>
              <w:t>电石渣、生石灰</w:t>
            </w:r>
            <w:r>
              <w:rPr>
                <w:rFonts w:hint="eastAsia"/>
                <w:color w:val="auto"/>
                <w:sz w:val="24"/>
                <w:lang w:eastAsia="zh-CN"/>
              </w:rPr>
              <w:t>）</w:t>
            </w:r>
            <w:r>
              <w:rPr>
                <w:color w:val="auto"/>
                <w:sz w:val="24"/>
              </w:rPr>
              <w:t>的</w:t>
            </w:r>
            <w:r>
              <w:rPr>
                <w:rFonts w:hint="eastAsia"/>
                <w:color w:val="auto"/>
                <w:sz w:val="24"/>
                <w:lang w:val="en-US" w:eastAsia="zh-CN"/>
              </w:rPr>
              <w:t>预处理</w:t>
            </w:r>
          </w:p>
          <w:p w14:paraId="5C656D67">
            <w:pPr>
              <w:spacing w:line="360" w:lineRule="auto"/>
              <w:ind w:firstLine="480" w:firstLineChars="200"/>
              <w:jc w:val="left"/>
              <w:rPr>
                <w:color w:val="auto"/>
                <w:sz w:val="24"/>
              </w:rPr>
            </w:pPr>
            <w:r>
              <w:rPr>
                <w:rFonts w:hint="eastAsia"/>
                <w:color w:val="auto"/>
                <w:sz w:val="24"/>
                <w:lang w:val="en-US" w:eastAsia="zh-CN"/>
              </w:rPr>
              <w:t>购进电石渣在堆存区堆存，用于生产时采用筛分机进行筛分，不合格的少量电石渣采用装载机进行压碎，如此反复。筛分产生的粉尘经集气罩收集后进入布袋除尘器处理，由15m高排气筒（DA008）排放。</w:t>
            </w:r>
          </w:p>
          <w:p w14:paraId="2A01F213">
            <w:pPr>
              <w:spacing w:line="360" w:lineRule="auto"/>
              <w:ind w:firstLine="480" w:firstLineChars="200"/>
              <w:jc w:val="left"/>
              <w:rPr>
                <w:rFonts w:hint="default" w:eastAsia="宋体"/>
                <w:color w:val="auto"/>
                <w:sz w:val="24"/>
                <w:lang w:val="en-US" w:eastAsia="zh-CN"/>
              </w:rPr>
            </w:pPr>
            <w:r>
              <w:rPr>
                <w:color w:val="auto"/>
                <w:sz w:val="24"/>
              </w:rPr>
              <w:t>生石灰粉料通过槽罐车运输进厂，由槽罐车自带的空压机打入生石灰</w:t>
            </w:r>
            <w:r>
              <w:rPr>
                <w:rFonts w:hint="eastAsia"/>
                <w:color w:val="auto"/>
                <w:sz w:val="24"/>
              </w:rPr>
              <w:t>筒仓</w:t>
            </w:r>
            <w:r>
              <w:rPr>
                <w:color w:val="auto"/>
                <w:sz w:val="24"/>
              </w:rPr>
              <w:t>储存。此过程产生的粉尘经过</w:t>
            </w:r>
            <w:r>
              <w:rPr>
                <w:rFonts w:hint="eastAsia"/>
                <w:color w:val="auto"/>
                <w:sz w:val="24"/>
                <w:lang w:val="en-US" w:eastAsia="zh-CN"/>
              </w:rPr>
              <w:t>仓顶</w:t>
            </w:r>
            <w:r>
              <w:rPr>
                <w:color w:val="auto"/>
                <w:sz w:val="24"/>
              </w:rPr>
              <w:t>除尘器</w:t>
            </w:r>
            <w:r>
              <w:rPr>
                <w:rFonts w:hint="eastAsia"/>
                <w:color w:val="auto"/>
                <w:sz w:val="24"/>
              </w:rPr>
              <w:t>处理，</w:t>
            </w:r>
            <w:r>
              <w:rPr>
                <w:rFonts w:hint="eastAsia"/>
                <w:color w:val="auto"/>
                <w:sz w:val="24"/>
                <w:lang w:val="en-US" w:eastAsia="zh-CN"/>
              </w:rPr>
              <w:t>与筛分粉尘一起经布袋除尘器处理后由15m高排气筒（DA008）排放。</w:t>
            </w:r>
          </w:p>
          <w:p w14:paraId="3939E3CB">
            <w:pPr>
              <w:spacing w:line="360" w:lineRule="auto"/>
              <w:ind w:firstLine="480" w:firstLineChars="200"/>
              <w:rPr>
                <w:rFonts w:hint="default" w:eastAsia="宋体"/>
                <w:color w:val="auto"/>
                <w:sz w:val="24"/>
                <w:lang w:val="en-US" w:eastAsia="zh-CN"/>
              </w:rPr>
            </w:pPr>
            <w:r>
              <w:rPr>
                <w:rFonts w:hint="eastAsia" w:ascii="宋体" w:hAnsi="宋体" w:cs="宋体"/>
                <w:color w:val="auto"/>
                <w:sz w:val="24"/>
              </w:rPr>
              <w:t>③</w:t>
            </w:r>
            <w:r>
              <w:rPr>
                <w:color w:val="auto"/>
                <w:sz w:val="24"/>
              </w:rPr>
              <w:t>计量</w:t>
            </w:r>
            <w:r>
              <w:rPr>
                <w:rFonts w:hint="eastAsia"/>
                <w:color w:val="auto"/>
                <w:sz w:val="24"/>
                <w:lang w:eastAsia="zh-CN"/>
              </w:rPr>
              <w:t>、</w:t>
            </w:r>
            <w:r>
              <w:rPr>
                <w:rFonts w:hint="eastAsia"/>
                <w:color w:val="auto"/>
                <w:sz w:val="24"/>
                <w:lang w:val="en-US" w:eastAsia="zh-CN"/>
              </w:rPr>
              <w:t>皮带运输</w:t>
            </w:r>
          </w:p>
          <w:p w14:paraId="4AD8E80A">
            <w:pPr>
              <w:pStyle w:val="17"/>
              <w:spacing w:before="0" w:after="0" w:line="360" w:lineRule="auto"/>
              <w:ind w:firstLine="480" w:firstLineChars="200"/>
              <w:rPr>
                <w:rFonts w:hint="eastAsia" w:eastAsia="宋体"/>
                <w:color w:val="auto"/>
                <w:sz w:val="24"/>
                <w:lang w:val="en-US" w:eastAsia="zh-CN"/>
              </w:rPr>
            </w:pPr>
            <w:r>
              <w:rPr>
                <w:color w:val="auto"/>
                <w:sz w:val="24"/>
              </w:rPr>
              <w:t>磷石膏</w:t>
            </w:r>
            <w:r>
              <w:rPr>
                <w:rFonts w:hint="eastAsia"/>
                <w:color w:val="auto"/>
                <w:sz w:val="24"/>
                <w:lang w:eastAsia="zh-CN"/>
              </w:rPr>
              <w:t>、</w:t>
            </w:r>
            <w:r>
              <w:rPr>
                <w:rFonts w:hint="eastAsia"/>
                <w:color w:val="auto"/>
                <w:sz w:val="24"/>
                <w:lang w:val="en-US" w:eastAsia="zh-CN"/>
              </w:rPr>
              <w:t>电石渣、生石灰分别经各自计量系统按生产产品原辅料比例（路基材料：磷石膏99%、生石灰0.5%、电石渣0.5%，土壤改良剂：磷石膏99.3%、生石灰0.7%，生态修复材料：磷石膏98.5%、电石渣1.5%）计量后，进入</w:t>
            </w:r>
            <w:r>
              <w:rPr>
                <w:color w:val="auto"/>
                <w:sz w:val="24"/>
              </w:rPr>
              <w:t>皮带</w:t>
            </w:r>
            <w:r>
              <w:rPr>
                <w:rFonts w:hint="eastAsia"/>
                <w:color w:val="auto"/>
                <w:sz w:val="24"/>
                <w:lang w:val="en-US" w:eastAsia="zh-CN"/>
              </w:rPr>
              <w:t>输送</w:t>
            </w:r>
            <w:r>
              <w:rPr>
                <w:color w:val="auto"/>
                <w:sz w:val="24"/>
              </w:rPr>
              <w:t>机</w:t>
            </w:r>
            <w:r>
              <w:rPr>
                <w:rFonts w:hint="eastAsia"/>
                <w:color w:val="auto"/>
                <w:sz w:val="24"/>
                <w:lang w:eastAsia="zh-CN"/>
              </w:rPr>
              <w:t>。</w:t>
            </w:r>
            <w:r>
              <w:rPr>
                <w:color w:val="auto"/>
                <w:sz w:val="24"/>
              </w:rPr>
              <w:t>皮带在输送和计量</w:t>
            </w:r>
            <w:r>
              <w:rPr>
                <w:rFonts w:hint="eastAsia"/>
                <w:color w:val="auto"/>
                <w:sz w:val="24"/>
              </w:rPr>
              <w:t>时</w:t>
            </w:r>
            <w:r>
              <w:rPr>
                <w:color w:val="auto"/>
                <w:sz w:val="24"/>
              </w:rPr>
              <w:t>会产生粉尘，采取</w:t>
            </w:r>
            <w:r>
              <w:rPr>
                <w:rFonts w:hint="eastAsia"/>
                <w:color w:val="auto"/>
                <w:sz w:val="24"/>
              </w:rPr>
              <w:t>所有皮带运输、计量系统设备采用彩钢瓦全封闭来控制粉尘排放。</w:t>
            </w:r>
            <w:r>
              <w:rPr>
                <w:color w:val="auto"/>
                <w:sz w:val="24"/>
              </w:rPr>
              <w:t>皮带输送机等设备运行将产生噪声。</w:t>
            </w:r>
          </w:p>
          <w:p w14:paraId="519118AB">
            <w:pPr>
              <w:pStyle w:val="17"/>
              <w:spacing w:before="0" w:after="0" w:line="360" w:lineRule="auto"/>
              <w:ind w:firstLine="480" w:firstLineChars="200"/>
              <w:rPr>
                <w:rFonts w:hint="eastAsia" w:eastAsia="宋体"/>
                <w:color w:val="auto"/>
                <w:sz w:val="24"/>
                <w:lang w:val="en-US" w:eastAsia="zh-CN"/>
              </w:rPr>
            </w:pPr>
            <w:r>
              <w:rPr>
                <w:rFonts w:hint="eastAsia" w:ascii="宋体" w:hAnsi="宋体" w:cs="宋体"/>
                <w:color w:val="auto"/>
                <w:sz w:val="24"/>
              </w:rPr>
              <w:t>④</w:t>
            </w:r>
            <w:r>
              <w:rPr>
                <w:rFonts w:hint="eastAsia" w:ascii="宋体" w:hAnsi="宋体" w:cs="宋体"/>
                <w:color w:val="auto"/>
                <w:sz w:val="24"/>
                <w:lang w:val="en-US" w:eastAsia="zh-CN"/>
              </w:rPr>
              <w:t>混料</w:t>
            </w:r>
          </w:p>
          <w:p w14:paraId="29FD520A">
            <w:pPr>
              <w:spacing w:line="360" w:lineRule="auto"/>
              <w:ind w:firstLine="480" w:firstLineChars="200"/>
              <w:jc w:val="left"/>
              <w:rPr>
                <w:color w:val="auto"/>
                <w:sz w:val="24"/>
              </w:rPr>
            </w:pPr>
            <w:r>
              <w:rPr>
                <w:rFonts w:hint="eastAsia"/>
                <w:color w:val="auto"/>
                <w:sz w:val="24"/>
                <w:lang w:val="en-US" w:eastAsia="zh-CN"/>
              </w:rPr>
              <w:t>磷石膏、生石灰、电石渣经皮带运输至搅拌机内进行搅拌，使原辅料进行完全混合，</w:t>
            </w:r>
            <w:r>
              <w:rPr>
                <w:color w:val="auto"/>
                <w:sz w:val="24"/>
              </w:rPr>
              <w:t>混合工段会产生粉尘，采取</w:t>
            </w:r>
            <w:r>
              <w:rPr>
                <w:rFonts w:hint="eastAsia"/>
                <w:color w:val="auto"/>
                <w:sz w:val="24"/>
              </w:rPr>
              <w:t>整套双轴搅拌机设备机身为封闭式，下料口连接皮带输送系统</w:t>
            </w:r>
            <w:r>
              <w:rPr>
                <w:rFonts w:hint="eastAsia"/>
                <w:color w:val="auto"/>
                <w:sz w:val="24"/>
                <w:lang w:eastAsia="zh-CN"/>
              </w:rPr>
              <w:t>（</w:t>
            </w:r>
            <w:r>
              <w:rPr>
                <w:rFonts w:hint="eastAsia"/>
                <w:color w:val="auto"/>
                <w:sz w:val="24"/>
                <w:lang w:val="en-US" w:eastAsia="zh-CN"/>
              </w:rPr>
              <w:t>皮带</w:t>
            </w:r>
            <w:r>
              <w:rPr>
                <w:rFonts w:hint="eastAsia"/>
                <w:color w:val="auto"/>
                <w:sz w:val="24"/>
              </w:rPr>
              <w:t>采用彩钢瓦全封闭</w:t>
            </w:r>
            <w:r>
              <w:rPr>
                <w:rFonts w:hint="eastAsia"/>
                <w:color w:val="auto"/>
                <w:sz w:val="24"/>
                <w:lang w:eastAsia="zh-CN"/>
              </w:rPr>
              <w:t>）</w:t>
            </w:r>
            <w:r>
              <w:rPr>
                <w:rFonts w:hint="eastAsia"/>
                <w:color w:val="auto"/>
                <w:sz w:val="24"/>
              </w:rPr>
              <w:t>来控制粉尘；</w:t>
            </w:r>
            <w:r>
              <w:rPr>
                <w:color w:val="auto"/>
                <w:sz w:val="24"/>
              </w:rPr>
              <w:t>双轴搅拌机等设备运行将产生噪声。</w:t>
            </w:r>
          </w:p>
          <w:p w14:paraId="71ADCD40">
            <w:pPr>
              <w:spacing w:line="360" w:lineRule="auto"/>
              <w:ind w:firstLine="480" w:firstLineChars="200"/>
              <w:jc w:val="left"/>
              <w:rPr>
                <w:rFonts w:hint="default" w:eastAsia="宋体"/>
                <w:color w:val="auto"/>
                <w:sz w:val="24"/>
                <w:lang w:val="en-US" w:eastAsia="zh-CN"/>
              </w:rPr>
            </w:pPr>
            <w:r>
              <w:rPr>
                <w:rFonts w:hint="eastAsia"/>
                <w:color w:val="auto"/>
                <w:sz w:val="24"/>
                <w:lang w:val="en-US" w:eastAsia="zh-CN"/>
              </w:rPr>
              <w:t>充分混合后的土壤改良剂、生态修复材料、路基材料分别经三条皮带输送机运送到成品堆场进行熟化。</w:t>
            </w:r>
          </w:p>
          <w:p w14:paraId="02DE25F3">
            <w:pPr>
              <w:spacing w:line="360" w:lineRule="auto"/>
              <w:ind w:firstLine="480" w:firstLineChars="200"/>
              <w:jc w:val="left"/>
              <w:rPr>
                <w:rFonts w:hint="default"/>
                <w:color w:val="auto"/>
                <w:sz w:val="24"/>
                <w:lang w:val="en-US"/>
              </w:rPr>
            </w:pPr>
            <w:r>
              <w:rPr>
                <w:rFonts w:hint="eastAsia" w:ascii="宋体" w:hAnsi="宋体" w:cs="宋体"/>
                <w:color w:val="auto"/>
                <w:sz w:val="24"/>
              </w:rPr>
              <w:t>⑤</w:t>
            </w:r>
            <w:r>
              <w:rPr>
                <w:rFonts w:hint="eastAsia"/>
                <w:color w:val="auto"/>
                <w:sz w:val="24"/>
                <w:lang w:val="en-US" w:eastAsia="zh-CN"/>
              </w:rPr>
              <w:t>土壤改良剂、生态修复材料、路基材料熟化及储存</w:t>
            </w:r>
          </w:p>
          <w:p w14:paraId="55A3E4C1">
            <w:pPr>
              <w:pStyle w:val="134"/>
              <w:snapToGrid w:val="0"/>
              <w:spacing w:line="360" w:lineRule="auto"/>
              <w:ind w:firstLine="480"/>
              <w:rPr>
                <w:rFonts w:hint="eastAsia" w:eastAsia="宋体"/>
                <w:color w:val="auto"/>
                <w:lang w:val="en-US" w:eastAsia="zh-CN"/>
              </w:rPr>
            </w:pPr>
            <w:r>
              <w:rPr>
                <w:color w:val="auto"/>
              </w:rPr>
              <w:t>混合后的物料进入熟化及成品堆场进行熟化，通过自然风干继续将改性磷石膏附着水含水率从15%降至10%左右，熟化时间</w:t>
            </w:r>
            <w:r>
              <w:rPr>
                <w:rFonts w:hint="eastAsia"/>
                <w:color w:val="auto"/>
                <w:lang w:val="en-US" w:eastAsia="zh-CN"/>
              </w:rPr>
              <w:t>6~10</w:t>
            </w:r>
            <w:r>
              <w:rPr>
                <w:color w:val="auto"/>
              </w:rPr>
              <w:t>天，熟化过程不需进行翻堆。</w:t>
            </w:r>
            <w:r>
              <w:rPr>
                <w:rFonts w:hint="eastAsia"/>
                <w:color w:val="auto"/>
                <w:sz w:val="24"/>
                <w:lang w:val="en-US" w:eastAsia="zh-CN"/>
              </w:rPr>
              <w:t>土壤改良剂</w:t>
            </w:r>
            <w:r>
              <w:rPr>
                <w:color w:val="auto"/>
              </w:rPr>
              <w:t>熟化及成品堆场占地面积</w:t>
            </w:r>
            <w:r>
              <w:rPr>
                <w:rFonts w:hint="eastAsia"/>
                <w:color w:val="auto"/>
                <w:lang w:val="en-US" w:eastAsia="zh-CN"/>
              </w:rPr>
              <w:t>1200</w:t>
            </w:r>
            <w:r>
              <w:rPr>
                <w:rFonts w:hint="eastAsia"/>
                <w:color w:val="auto"/>
              </w:rPr>
              <w:t>m</w:t>
            </w:r>
            <w:r>
              <w:rPr>
                <w:rFonts w:hint="eastAsia"/>
                <w:color w:val="auto"/>
                <w:vertAlign w:val="superscript"/>
              </w:rPr>
              <w:t>2</w:t>
            </w:r>
            <w:r>
              <w:rPr>
                <w:rFonts w:hint="eastAsia"/>
                <w:color w:val="auto"/>
              </w:rPr>
              <w:t>，堆存2.5m高，可容纳</w:t>
            </w:r>
            <w:r>
              <w:rPr>
                <w:rFonts w:hint="eastAsia"/>
                <w:color w:val="auto"/>
                <w:lang w:val="en-US" w:eastAsia="zh-CN"/>
              </w:rPr>
              <w:t>6900</w:t>
            </w:r>
            <w:r>
              <w:rPr>
                <w:rFonts w:hint="eastAsia"/>
                <w:color w:val="auto"/>
              </w:rPr>
              <w:t>t</w:t>
            </w:r>
            <w:r>
              <w:rPr>
                <w:color w:val="auto"/>
              </w:rPr>
              <w:t>的</w:t>
            </w:r>
            <w:r>
              <w:rPr>
                <w:rFonts w:hint="eastAsia"/>
                <w:color w:val="auto"/>
                <w:lang w:val="en-US" w:eastAsia="zh-CN"/>
              </w:rPr>
              <w:t>土壤改良剂</w:t>
            </w:r>
            <w:r>
              <w:rPr>
                <w:rFonts w:hint="eastAsia"/>
                <w:color w:val="auto"/>
              </w:rPr>
              <w:t>水泥缓凝剂</w:t>
            </w:r>
            <w:r>
              <w:rPr>
                <w:color w:val="auto"/>
              </w:rPr>
              <w:t>成品</w:t>
            </w:r>
            <w:r>
              <w:rPr>
                <w:rFonts w:hint="eastAsia"/>
                <w:color w:val="auto"/>
                <w:lang w:eastAsia="zh-CN"/>
              </w:rPr>
              <w:t>，</w:t>
            </w:r>
            <w:r>
              <w:rPr>
                <w:color w:val="auto"/>
              </w:rPr>
              <w:t>满足堆存熟化</w:t>
            </w:r>
            <w:r>
              <w:rPr>
                <w:rFonts w:hint="eastAsia"/>
                <w:color w:val="auto"/>
              </w:rPr>
              <w:t>6~10</w:t>
            </w:r>
            <w:r>
              <w:rPr>
                <w:color w:val="auto"/>
              </w:rPr>
              <w:t>天的时间要求</w:t>
            </w:r>
            <w:r>
              <w:rPr>
                <w:rFonts w:hint="eastAsia"/>
                <w:color w:val="auto"/>
                <w:lang w:eastAsia="zh-CN"/>
              </w:rPr>
              <w:t>；</w:t>
            </w:r>
            <w:r>
              <w:rPr>
                <w:rFonts w:hint="eastAsia"/>
                <w:color w:val="auto"/>
                <w:lang w:val="en-US" w:eastAsia="zh-CN"/>
              </w:rPr>
              <w:t>路基材料和生态修复材料</w:t>
            </w:r>
            <w:r>
              <w:rPr>
                <w:color w:val="auto"/>
              </w:rPr>
              <w:t>熟化及成品堆场占地面积</w:t>
            </w:r>
            <w:r>
              <w:rPr>
                <w:rFonts w:hint="eastAsia"/>
                <w:color w:val="auto"/>
                <w:lang w:val="en-US" w:eastAsia="zh-CN"/>
              </w:rPr>
              <w:t>均为900</w:t>
            </w:r>
            <w:r>
              <w:rPr>
                <w:rFonts w:hint="eastAsia"/>
                <w:color w:val="auto"/>
              </w:rPr>
              <w:t>m</w:t>
            </w:r>
            <w:r>
              <w:rPr>
                <w:rFonts w:hint="eastAsia"/>
                <w:color w:val="auto"/>
                <w:vertAlign w:val="superscript"/>
              </w:rPr>
              <w:t>2</w:t>
            </w:r>
            <w:r>
              <w:rPr>
                <w:rFonts w:hint="eastAsia"/>
                <w:color w:val="auto"/>
              </w:rPr>
              <w:t>，堆存2.5m高，可容纳</w:t>
            </w:r>
            <w:r>
              <w:rPr>
                <w:rFonts w:hint="eastAsia"/>
                <w:color w:val="auto"/>
                <w:lang w:val="en-US" w:eastAsia="zh-CN"/>
              </w:rPr>
              <w:t>5175</w:t>
            </w:r>
            <w:r>
              <w:rPr>
                <w:rFonts w:hint="eastAsia"/>
                <w:color w:val="auto"/>
              </w:rPr>
              <w:t>t</w:t>
            </w:r>
            <w:r>
              <w:rPr>
                <w:color w:val="auto"/>
              </w:rPr>
              <w:t>的</w:t>
            </w:r>
            <w:r>
              <w:rPr>
                <w:rFonts w:hint="eastAsia"/>
                <w:color w:val="auto"/>
                <w:lang w:val="en-US" w:eastAsia="zh-CN"/>
              </w:rPr>
              <w:t>路基材料成品或生态修复材料成品</w:t>
            </w:r>
            <w:r>
              <w:rPr>
                <w:rFonts w:hint="eastAsia"/>
                <w:color w:val="auto"/>
                <w:lang w:eastAsia="zh-CN"/>
              </w:rPr>
              <w:t>，</w:t>
            </w:r>
            <w:r>
              <w:rPr>
                <w:color w:val="auto"/>
              </w:rPr>
              <w:t>满足堆存熟化</w:t>
            </w:r>
            <w:r>
              <w:rPr>
                <w:rFonts w:hint="eastAsia"/>
                <w:color w:val="auto"/>
              </w:rPr>
              <w:t>6~10</w:t>
            </w:r>
            <w:r>
              <w:rPr>
                <w:color w:val="auto"/>
              </w:rPr>
              <w:t>天的时间要求</w:t>
            </w:r>
            <w:r>
              <w:rPr>
                <w:rFonts w:hint="eastAsia"/>
                <w:color w:val="auto"/>
                <w:lang w:eastAsia="zh-CN"/>
              </w:rPr>
              <w:t>。</w:t>
            </w:r>
          </w:p>
          <w:p w14:paraId="5D55B720">
            <w:pPr>
              <w:pStyle w:val="134"/>
              <w:snapToGrid w:val="0"/>
              <w:spacing w:line="360" w:lineRule="auto"/>
              <w:ind w:firstLine="480"/>
              <w:rPr>
                <w:color w:val="auto"/>
              </w:rPr>
            </w:pPr>
            <w:r>
              <w:rPr>
                <w:color w:val="auto"/>
              </w:rPr>
              <w:t>主要原理为电石渣和生石灰中主要成分与磷石膏中的游离酸（磷酸、氢氟酸）等有害物质反应生成磷酸钙、氟化钙等水不溶物，将水溶性P</w:t>
            </w:r>
            <w:r>
              <w:rPr>
                <w:color w:val="auto"/>
                <w:vertAlign w:val="subscript"/>
              </w:rPr>
              <w:t>2</w:t>
            </w:r>
            <w:r>
              <w:rPr>
                <w:color w:val="auto"/>
              </w:rPr>
              <w:t>O</w:t>
            </w:r>
            <w:r>
              <w:rPr>
                <w:color w:val="auto"/>
                <w:vertAlign w:val="subscript"/>
              </w:rPr>
              <w:t>5</w:t>
            </w:r>
            <w:r>
              <w:rPr>
                <w:color w:val="auto"/>
              </w:rPr>
              <w:t>含量由0.11%降低至0.06%，水溶性氟含量由0.016%降低至0.01%，并将产品pH调整到6~7.5，另外，少量CaO与物料中的附着水反应在生成氢氧化钙时放出</w:t>
            </w:r>
            <w:r>
              <w:rPr>
                <w:rFonts w:hint="eastAsia"/>
                <w:color w:val="auto"/>
              </w:rPr>
              <w:t>热量</w:t>
            </w:r>
            <w:r>
              <w:rPr>
                <w:color w:val="auto"/>
              </w:rPr>
              <w:t>，也有助于水分蒸发，不会溢出氟化物。具体反应原理如下：</w:t>
            </w:r>
          </w:p>
          <w:p w14:paraId="7F479821">
            <w:pPr>
              <w:pStyle w:val="134"/>
              <w:snapToGrid w:val="0"/>
              <w:spacing w:line="360" w:lineRule="auto"/>
              <w:ind w:firstLine="0" w:firstLineChars="0"/>
              <w:jc w:val="center"/>
              <w:rPr>
                <w:color w:val="auto"/>
              </w:rPr>
            </w:pPr>
            <w:r>
              <w:rPr>
                <w:color w:val="auto"/>
              </w:rPr>
              <w:t>3CaO+2H</w:t>
            </w:r>
            <w:r>
              <w:rPr>
                <w:color w:val="auto"/>
                <w:vertAlign w:val="subscript"/>
              </w:rPr>
              <w:t>3</w:t>
            </w:r>
            <w:r>
              <w:rPr>
                <w:color w:val="auto"/>
              </w:rPr>
              <w:t>PO</w:t>
            </w:r>
            <w:r>
              <w:rPr>
                <w:color w:val="auto"/>
                <w:vertAlign w:val="subscript"/>
              </w:rPr>
              <w:t>4</w:t>
            </w:r>
            <w:r>
              <w:rPr>
                <w:color w:val="auto"/>
              </w:rPr>
              <w:t>=Ca</w:t>
            </w:r>
            <w:r>
              <w:rPr>
                <w:color w:val="auto"/>
                <w:vertAlign w:val="subscript"/>
              </w:rPr>
              <w:t>3</w:t>
            </w:r>
            <w:r>
              <w:rPr>
                <w:color w:val="auto"/>
              </w:rPr>
              <w:t>(PO</w:t>
            </w:r>
            <w:r>
              <w:rPr>
                <w:color w:val="auto"/>
                <w:vertAlign w:val="subscript"/>
              </w:rPr>
              <w:t>4</w:t>
            </w:r>
            <w:r>
              <w:rPr>
                <w:color w:val="auto"/>
              </w:rPr>
              <w:t>)</w:t>
            </w:r>
            <w:r>
              <w:rPr>
                <w:color w:val="auto"/>
                <w:vertAlign w:val="subscript"/>
              </w:rPr>
              <w:t>2</w:t>
            </w:r>
            <w:r>
              <w:rPr>
                <w:color w:val="auto"/>
              </w:rPr>
              <w:t>+3H</w:t>
            </w:r>
            <w:r>
              <w:rPr>
                <w:color w:val="auto"/>
                <w:vertAlign w:val="subscript"/>
              </w:rPr>
              <w:t>2</w:t>
            </w:r>
            <w:r>
              <w:rPr>
                <w:color w:val="auto"/>
              </w:rPr>
              <w:t>O</w:t>
            </w:r>
          </w:p>
          <w:p w14:paraId="2DD1762C">
            <w:pPr>
              <w:pStyle w:val="134"/>
              <w:snapToGrid w:val="0"/>
              <w:spacing w:line="360" w:lineRule="auto"/>
              <w:ind w:firstLine="0" w:firstLineChars="0"/>
              <w:jc w:val="center"/>
              <w:rPr>
                <w:color w:val="auto"/>
              </w:rPr>
            </w:pPr>
            <w:r>
              <w:rPr>
                <w:color w:val="auto"/>
              </w:rPr>
              <w:t>2CaO+Ca(H</w:t>
            </w:r>
            <w:r>
              <w:rPr>
                <w:color w:val="auto"/>
                <w:vertAlign w:val="subscript"/>
              </w:rPr>
              <w:t>2</w:t>
            </w:r>
            <w:r>
              <w:rPr>
                <w:color w:val="auto"/>
              </w:rPr>
              <w:t>PO</w:t>
            </w:r>
            <w:r>
              <w:rPr>
                <w:color w:val="auto"/>
                <w:vertAlign w:val="subscript"/>
              </w:rPr>
              <w:t>4</w:t>
            </w:r>
            <w:r>
              <w:rPr>
                <w:color w:val="auto"/>
              </w:rPr>
              <w:t>)</w:t>
            </w:r>
            <w:r>
              <w:rPr>
                <w:color w:val="auto"/>
                <w:vertAlign w:val="subscript"/>
              </w:rPr>
              <w:t>2</w:t>
            </w:r>
            <w:r>
              <w:rPr>
                <w:color w:val="auto"/>
              </w:rPr>
              <w:t>=Ca</w:t>
            </w:r>
            <w:r>
              <w:rPr>
                <w:color w:val="auto"/>
                <w:vertAlign w:val="subscript"/>
              </w:rPr>
              <w:t>3</w:t>
            </w:r>
            <w:r>
              <w:rPr>
                <w:color w:val="auto"/>
              </w:rPr>
              <w:t>(PO</w:t>
            </w:r>
            <w:r>
              <w:rPr>
                <w:color w:val="auto"/>
                <w:vertAlign w:val="subscript"/>
              </w:rPr>
              <w:t>4</w:t>
            </w:r>
            <w:r>
              <w:rPr>
                <w:color w:val="auto"/>
              </w:rPr>
              <w:t>)</w:t>
            </w:r>
            <w:r>
              <w:rPr>
                <w:color w:val="auto"/>
                <w:vertAlign w:val="subscript"/>
              </w:rPr>
              <w:t>2</w:t>
            </w:r>
            <w:r>
              <w:rPr>
                <w:color w:val="auto"/>
              </w:rPr>
              <w:t>+2H</w:t>
            </w:r>
            <w:r>
              <w:rPr>
                <w:color w:val="auto"/>
                <w:vertAlign w:val="subscript"/>
              </w:rPr>
              <w:t>2</w:t>
            </w:r>
            <w:r>
              <w:rPr>
                <w:color w:val="auto"/>
              </w:rPr>
              <w:t>O</w:t>
            </w:r>
          </w:p>
          <w:p w14:paraId="567A7FE2">
            <w:pPr>
              <w:pStyle w:val="134"/>
              <w:snapToGrid w:val="0"/>
              <w:spacing w:line="360" w:lineRule="auto"/>
              <w:ind w:firstLine="0" w:firstLineChars="0"/>
              <w:jc w:val="center"/>
              <w:rPr>
                <w:color w:val="auto"/>
              </w:rPr>
            </w:pPr>
            <w:r>
              <w:rPr>
                <w:color w:val="auto"/>
              </w:rPr>
              <w:t>CaO+2HF=CaF</w:t>
            </w:r>
            <w:r>
              <w:rPr>
                <w:color w:val="auto"/>
                <w:vertAlign w:val="subscript"/>
              </w:rPr>
              <w:t>2</w:t>
            </w:r>
            <w:r>
              <w:rPr>
                <w:color w:val="auto"/>
              </w:rPr>
              <w:t>+H</w:t>
            </w:r>
            <w:r>
              <w:rPr>
                <w:color w:val="auto"/>
                <w:vertAlign w:val="subscript"/>
              </w:rPr>
              <w:t>2</w:t>
            </w:r>
            <w:r>
              <w:rPr>
                <w:color w:val="auto"/>
              </w:rPr>
              <w:t>O</w:t>
            </w:r>
          </w:p>
          <w:p w14:paraId="191A6FBE">
            <w:pPr>
              <w:pStyle w:val="134"/>
              <w:snapToGrid w:val="0"/>
              <w:spacing w:line="360" w:lineRule="auto"/>
              <w:ind w:firstLine="0" w:firstLineChars="0"/>
              <w:jc w:val="center"/>
              <w:rPr>
                <w:color w:val="auto"/>
              </w:rPr>
            </w:pPr>
            <w:r>
              <w:rPr>
                <w:color w:val="auto"/>
              </w:rPr>
              <w:t>CaO+H</w:t>
            </w:r>
            <w:r>
              <w:rPr>
                <w:color w:val="auto"/>
                <w:vertAlign w:val="subscript"/>
              </w:rPr>
              <w:t>2</w:t>
            </w:r>
            <w:r>
              <w:rPr>
                <w:color w:val="auto"/>
              </w:rPr>
              <w:t>O=Ca(OH)</w:t>
            </w:r>
            <w:r>
              <w:rPr>
                <w:color w:val="auto"/>
                <w:vertAlign w:val="subscript"/>
              </w:rPr>
              <w:t>2</w:t>
            </w:r>
            <w:r>
              <w:rPr>
                <w:color w:val="auto"/>
              </w:rPr>
              <w:t>+热量。</w:t>
            </w:r>
          </w:p>
          <w:p w14:paraId="2F508C78">
            <w:pPr>
              <w:spacing w:line="360" w:lineRule="auto"/>
              <w:ind w:firstLine="480" w:firstLineChars="200"/>
              <w:rPr>
                <w:rFonts w:hint="default"/>
                <w:bCs/>
                <w:color w:val="auto"/>
                <w:sz w:val="24"/>
                <w:lang w:val="en-US" w:bidi="en-US"/>
              </w:rPr>
            </w:pPr>
            <w:r>
              <w:rPr>
                <w:color w:val="auto"/>
                <w:sz w:val="24"/>
              </w:rPr>
              <w:t>熟化及成品堆场产生的粉尘通过采取防尘网覆盖措施，可有效减少产生的粉尘</w:t>
            </w:r>
            <w:r>
              <w:rPr>
                <w:rFonts w:hint="eastAsia"/>
                <w:color w:val="auto"/>
                <w:sz w:val="24"/>
                <w:lang w:eastAsia="zh-CN"/>
              </w:rPr>
              <w:t>；</w:t>
            </w:r>
            <w:r>
              <w:rPr>
                <w:bCs/>
                <w:color w:val="auto"/>
                <w:sz w:val="24"/>
                <w:lang w:bidi="en-US"/>
              </w:rPr>
              <w:t>熟化好的</w:t>
            </w:r>
            <w:r>
              <w:rPr>
                <w:rFonts w:hint="eastAsia"/>
                <w:color w:val="auto"/>
                <w:sz w:val="24"/>
                <w:lang w:val="en-US" w:eastAsia="zh-CN"/>
              </w:rPr>
              <w:t>土壤改良剂、生态修复材料、路基材料装车外卖。</w:t>
            </w:r>
          </w:p>
          <w:p w14:paraId="0FED5B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4"/>
                <w:lang w:val="en-US" w:eastAsia="zh-CN"/>
              </w:rPr>
            </w:pPr>
            <w:r>
              <w:rPr>
                <w:rFonts w:hint="eastAsia"/>
                <w:b/>
                <w:bCs/>
                <w:color w:val="auto"/>
                <w:sz w:val="24"/>
                <w:lang w:val="en-US" w:eastAsia="zh-CN"/>
              </w:rPr>
              <w:t>表2-23  项目产污情况一览表</w:t>
            </w:r>
          </w:p>
          <w:tbl>
            <w:tblPr>
              <w:tblStyle w:val="46"/>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402"/>
              <w:gridCol w:w="1790"/>
              <w:gridCol w:w="1024"/>
              <w:gridCol w:w="3345"/>
            </w:tblGrid>
            <w:tr w14:paraId="337B5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dxa"/>
                  <w:vAlign w:val="center"/>
                </w:tcPr>
                <w:p w14:paraId="4E4B7F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种类</w:t>
                  </w:r>
                </w:p>
              </w:tc>
              <w:tc>
                <w:tcPr>
                  <w:tcW w:w="1402" w:type="dxa"/>
                  <w:vAlign w:val="center"/>
                </w:tcPr>
                <w:p w14:paraId="6C3B82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产污环节</w:t>
                  </w:r>
                </w:p>
              </w:tc>
              <w:tc>
                <w:tcPr>
                  <w:tcW w:w="1790" w:type="dxa"/>
                  <w:vAlign w:val="center"/>
                </w:tcPr>
                <w:p w14:paraId="650680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bidi="ar-SA"/>
                    </w:rPr>
                  </w:pPr>
                  <w:r>
                    <w:rPr>
                      <w:rFonts w:hint="eastAsia"/>
                      <w:color w:val="auto"/>
                      <w:sz w:val="21"/>
                      <w:szCs w:val="21"/>
                      <w:vertAlign w:val="baseline"/>
                      <w:lang w:val="en-US" w:eastAsia="zh-CN"/>
                    </w:rPr>
                    <w:t>污染物</w:t>
                  </w:r>
                </w:p>
              </w:tc>
              <w:tc>
                <w:tcPr>
                  <w:tcW w:w="1024" w:type="dxa"/>
                  <w:vAlign w:val="center"/>
                </w:tcPr>
                <w:p w14:paraId="2EE737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排放形式</w:t>
                  </w:r>
                </w:p>
              </w:tc>
              <w:tc>
                <w:tcPr>
                  <w:tcW w:w="3345" w:type="dxa"/>
                  <w:vAlign w:val="center"/>
                </w:tcPr>
                <w:p w14:paraId="286CCA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处置措施</w:t>
                  </w:r>
                </w:p>
              </w:tc>
            </w:tr>
            <w:tr w14:paraId="2D968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dxa"/>
                  <w:vMerge w:val="restart"/>
                  <w:vAlign w:val="center"/>
                </w:tcPr>
                <w:p w14:paraId="2DE641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废气</w:t>
                  </w:r>
                </w:p>
              </w:tc>
              <w:tc>
                <w:tcPr>
                  <w:tcW w:w="1402" w:type="dxa"/>
                  <w:vAlign w:val="center"/>
                </w:tcPr>
                <w:p w14:paraId="38BEFF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原料运输</w:t>
                  </w:r>
                </w:p>
              </w:tc>
              <w:tc>
                <w:tcPr>
                  <w:tcW w:w="1790" w:type="dxa"/>
                  <w:vAlign w:val="center"/>
                </w:tcPr>
                <w:p w14:paraId="1F5E06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颗粒物</w:t>
                  </w:r>
                </w:p>
              </w:tc>
              <w:tc>
                <w:tcPr>
                  <w:tcW w:w="1024" w:type="dxa"/>
                  <w:vAlign w:val="center"/>
                </w:tcPr>
                <w:p w14:paraId="2CAD84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无组织</w:t>
                  </w:r>
                </w:p>
              </w:tc>
              <w:tc>
                <w:tcPr>
                  <w:tcW w:w="3345" w:type="dxa"/>
                  <w:vAlign w:val="center"/>
                </w:tcPr>
                <w:p w14:paraId="6DF782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lang w:val="en-US" w:eastAsia="zh-CN"/>
                    </w:rPr>
                    <w:t>车辆加盖篷布、厂区道路进行洒水降尘</w:t>
                  </w:r>
                </w:p>
              </w:tc>
            </w:tr>
            <w:tr w14:paraId="61EB7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dxa"/>
                  <w:vMerge w:val="continue"/>
                  <w:vAlign w:val="center"/>
                </w:tcPr>
                <w:p w14:paraId="28006A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402" w:type="dxa"/>
                  <w:vAlign w:val="center"/>
                </w:tcPr>
                <w:p w14:paraId="3775CB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改性剂（电石渣、生石灰）预处理</w:t>
                  </w:r>
                </w:p>
              </w:tc>
              <w:tc>
                <w:tcPr>
                  <w:tcW w:w="1790" w:type="dxa"/>
                  <w:vAlign w:val="center"/>
                </w:tcPr>
                <w:p w14:paraId="276C53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颗粒物</w:t>
                  </w:r>
                </w:p>
              </w:tc>
              <w:tc>
                <w:tcPr>
                  <w:tcW w:w="1024" w:type="dxa"/>
                  <w:vAlign w:val="center"/>
                </w:tcPr>
                <w:p w14:paraId="46F7AD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有组织</w:t>
                  </w:r>
                </w:p>
              </w:tc>
              <w:tc>
                <w:tcPr>
                  <w:tcW w:w="3345" w:type="dxa"/>
                  <w:vAlign w:val="center"/>
                </w:tcPr>
                <w:p w14:paraId="167DF1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生石灰筒仓产生粉尘经仓顶布袋除尘器处理，电石渣筛分产生的粉尘经集气罩收集后与生石灰筒仓排放粉尘一起进入布袋除尘器处理后，由15m高排气筒排放。</w:t>
                  </w:r>
                </w:p>
              </w:tc>
            </w:tr>
            <w:tr w14:paraId="1C049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dxa"/>
                  <w:vMerge w:val="continue"/>
                  <w:vAlign w:val="center"/>
                </w:tcPr>
                <w:p w14:paraId="7A1129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402" w:type="dxa"/>
                  <w:vAlign w:val="center"/>
                </w:tcPr>
                <w:p w14:paraId="211178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计量、皮带运输、混料</w:t>
                  </w:r>
                </w:p>
              </w:tc>
              <w:tc>
                <w:tcPr>
                  <w:tcW w:w="1790" w:type="dxa"/>
                  <w:vAlign w:val="center"/>
                </w:tcPr>
                <w:p w14:paraId="6F3335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颗粒物</w:t>
                  </w:r>
                </w:p>
              </w:tc>
              <w:tc>
                <w:tcPr>
                  <w:tcW w:w="1024" w:type="dxa"/>
                  <w:vAlign w:val="center"/>
                </w:tcPr>
                <w:p w14:paraId="1CC24A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无组织</w:t>
                  </w:r>
                </w:p>
              </w:tc>
              <w:tc>
                <w:tcPr>
                  <w:tcW w:w="3345" w:type="dxa"/>
                  <w:vAlign w:val="center"/>
                </w:tcPr>
                <w:p w14:paraId="5FA824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vertAlign w:val="baseline"/>
                      <w:lang w:val="en-US" w:eastAsia="zh-CN"/>
                    </w:rPr>
                  </w:pPr>
                  <w:r>
                    <w:rPr>
                      <w:rFonts w:hint="eastAsia"/>
                      <w:color w:val="auto"/>
                      <w:sz w:val="21"/>
                      <w:szCs w:val="21"/>
                    </w:rPr>
                    <w:t>所有皮带运输、计量系统设备采用彩钢瓦全封闭</w:t>
                  </w:r>
                  <w:r>
                    <w:rPr>
                      <w:rFonts w:hint="eastAsia"/>
                      <w:color w:val="auto"/>
                      <w:sz w:val="21"/>
                      <w:szCs w:val="21"/>
                      <w:lang w:eastAsia="zh-CN"/>
                    </w:rPr>
                    <w:t>；</w:t>
                  </w:r>
                  <w:r>
                    <w:rPr>
                      <w:rFonts w:hint="eastAsia"/>
                      <w:color w:val="auto"/>
                      <w:sz w:val="21"/>
                      <w:szCs w:val="21"/>
                    </w:rPr>
                    <w:t>整套双轴搅拌机设备机身为封闭式，下料口连接皮带输送系统来控制粉尘</w:t>
                  </w:r>
                  <w:r>
                    <w:rPr>
                      <w:rFonts w:hint="eastAsia"/>
                      <w:color w:val="auto"/>
                      <w:sz w:val="21"/>
                      <w:szCs w:val="21"/>
                      <w:lang w:eastAsia="zh-CN"/>
                    </w:rPr>
                    <w:t>。</w:t>
                  </w:r>
                </w:p>
              </w:tc>
            </w:tr>
            <w:tr w14:paraId="7AA95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dxa"/>
                  <w:vMerge w:val="continue"/>
                  <w:vAlign w:val="center"/>
                </w:tcPr>
                <w:p w14:paraId="6C216B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402" w:type="dxa"/>
                  <w:vAlign w:val="center"/>
                </w:tcPr>
                <w:p w14:paraId="29EDF1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产品储存</w:t>
                  </w:r>
                </w:p>
              </w:tc>
              <w:tc>
                <w:tcPr>
                  <w:tcW w:w="1790" w:type="dxa"/>
                  <w:vAlign w:val="center"/>
                </w:tcPr>
                <w:p w14:paraId="5F32B9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颗粒物</w:t>
                  </w:r>
                </w:p>
              </w:tc>
              <w:tc>
                <w:tcPr>
                  <w:tcW w:w="1024" w:type="dxa"/>
                  <w:vAlign w:val="center"/>
                </w:tcPr>
                <w:p w14:paraId="2DFAAB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无组织</w:t>
                  </w:r>
                </w:p>
              </w:tc>
              <w:tc>
                <w:tcPr>
                  <w:tcW w:w="3345" w:type="dxa"/>
                  <w:vAlign w:val="center"/>
                </w:tcPr>
                <w:p w14:paraId="0CECE4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设置于库房内，库房均设置三面围挡+彩钢瓦封顶，</w:t>
                  </w:r>
                  <w:r>
                    <w:rPr>
                      <w:rFonts w:hint="eastAsia" w:ascii="Times New Roman" w:hAnsi="Times New Roman" w:cs="Times New Roman"/>
                      <w:color w:val="auto"/>
                      <w:sz w:val="21"/>
                      <w:szCs w:val="21"/>
                      <w:lang w:val="en-US" w:eastAsia="zh-CN"/>
                    </w:rPr>
                    <w:t>物料编织覆盖</w:t>
                  </w:r>
                </w:p>
              </w:tc>
            </w:tr>
            <w:tr w14:paraId="68809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dxa"/>
                  <w:vAlign w:val="center"/>
                </w:tcPr>
                <w:p w14:paraId="36572E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噪声</w:t>
                  </w:r>
                </w:p>
              </w:tc>
              <w:tc>
                <w:tcPr>
                  <w:tcW w:w="1402" w:type="dxa"/>
                  <w:vAlign w:val="center"/>
                </w:tcPr>
                <w:p w14:paraId="422195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输送系统、搅拌机、成球盘、筛分机、装载机等</w:t>
                  </w:r>
                </w:p>
              </w:tc>
              <w:tc>
                <w:tcPr>
                  <w:tcW w:w="1790" w:type="dxa"/>
                  <w:vAlign w:val="center"/>
                </w:tcPr>
                <w:p w14:paraId="3D527E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bidi="ar-SA"/>
                    </w:rPr>
                  </w:pPr>
                  <w:r>
                    <w:rPr>
                      <w:rFonts w:hint="eastAsia"/>
                      <w:color w:val="auto"/>
                      <w:sz w:val="21"/>
                      <w:szCs w:val="21"/>
                      <w:vertAlign w:val="baseline"/>
                      <w:lang w:val="en-US" w:eastAsia="zh-CN"/>
                    </w:rPr>
                    <w:t>等效连续A声级</w:t>
                  </w:r>
                </w:p>
              </w:tc>
              <w:tc>
                <w:tcPr>
                  <w:tcW w:w="1024" w:type="dxa"/>
                  <w:vAlign w:val="center"/>
                </w:tcPr>
                <w:p w14:paraId="04BBA5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3345" w:type="dxa"/>
                  <w:vAlign w:val="center"/>
                </w:tcPr>
                <w:p w14:paraId="658F58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选用低噪音设备；加强维护、定期检修</w:t>
                  </w:r>
                </w:p>
              </w:tc>
            </w:tr>
            <w:tr w14:paraId="5455F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dxa"/>
                  <w:vMerge w:val="restart"/>
                  <w:vAlign w:val="center"/>
                </w:tcPr>
                <w:p w14:paraId="2B743F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固体废物</w:t>
                  </w:r>
                </w:p>
              </w:tc>
              <w:tc>
                <w:tcPr>
                  <w:tcW w:w="1402" w:type="dxa"/>
                  <w:vAlign w:val="center"/>
                </w:tcPr>
                <w:p w14:paraId="4ABE3D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设备维修</w:t>
                  </w:r>
                </w:p>
              </w:tc>
              <w:tc>
                <w:tcPr>
                  <w:tcW w:w="1790" w:type="dxa"/>
                  <w:vAlign w:val="center"/>
                </w:tcPr>
                <w:p w14:paraId="79C531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bidi="ar-SA"/>
                    </w:rPr>
                  </w:pPr>
                  <w:r>
                    <w:rPr>
                      <w:rFonts w:hint="eastAsia"/>
                      <w:color w:val="auto"/>
                      <w:sz w:val="21"/>
                      <w:szCs w:val="21"/>
                      <w:vertAlign w:val="baseline"/>
                      <w:lang w:val="en-US" w:eastAsia="zh-CN"/>
                    </w:rPr>
                    <w:t>机修废油</w:t>
                  </w:r>
                </w:p>
              </w:tc>
              <w:tc>
                <w:tcPr>
                  <w:tcW w:w="1024" w:type="dxa"/>
                  <w:vAlign w:val="center"/>
                </w:tcPr>
                <w:p w14:paraId="7C1323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不外排</w:t>
                  </w:r>
                </w:p>
              </w:tc>
              <w:tc>
                <w:tcPr>
                  <w:tcW w:w="3345" w:type="dxa"/>
                  <w:vAlign w:val="center"/>
                </w:tcPr>
                <w:p w14:paraId="21D9D1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暂存于</w:t>
                  </w:r>
                  <w:r>
                    <w:rPr>
                      <w:rFonts w:hint="eastAsia" w:cs="Times New Roman"/>
                      <w:color w:val="auto"/>
                      <w:sz w:val="21"/>
                      <w:szCs w:val="21"/>
                      <w:lang w:val="en-US" w:eastAsia="zh-CN"/>
                    </w:rPr>
                    <w:t>常青树化工</w:t>
                  </w:r>
                  <w:r>
                    <w:rPr>
                      <w:rFonts w:hint="eastAsia"/>
                      <w:color w:val="auto"/>
                      <w:sz w:val="21"/>
                      <w:szCs w:val="21"/>
                      <w:lang w:val="en-US" w:eastAsia="zh-CN"/>
                    </w:rPr>
                    <w:t>危废暂存间内，交由云南协快再生资源回收有限公司处置。</w:t>
                  </w:r>
                </w:p>
              </w:tc>
            </w:tr>
            <w:tr w14:paraId="748ED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dxa"/>
                  <w:vMerge w:val="continue"/>
                  <w:vAlign w:val="center"/>
                </w:tcPr>
                <w:p w14:paraId="2B2388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402" w:type="dxa"/>
                  <w:vAlign w:val="center"/>
                </w:tcPr>
                <w:p w14:paraId="53F685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废气处理</w:t>
                  </w:r>
                </w:p>
              </w:tc>
              <w:tc>
                <w:tcPr>
                  <w:tcW w:w="1790" w:type="dxa"/>
                  <w:vAlign w:val="center"/>
                </w:tcPr>
                <w:p w14:paraId="23BC61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除尘器收集粉尘</w:t>
                  </w:r>
                </w:p>
              </w:tc>
              <w:tc>
                <w:tcPr>
                  <w:tcW w:w="1024" w:type="dxa"/>
                  <w:vAlign w:val="center"/>
                </w:tcPr>
                <w:p w14:paraId="6A7DF1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不外排</w:t>
                  </w:r>
                </w:p>
              </w:tc>
              <w:tc>
                <w:tcPr>
                  <w:tcW w:w="3345" w:type="dxa"/>
                  <w:vAlign w:val="center"/>
                </w:tcPr>
                <w:p w14:paraId="6A2262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回用于生产工序</w:t>
                  </w:r>
                </w:p>
              </w:tc>
            </w:tr>
          </w:tbl>
          <w:p w14:paraId="05F4379D">
            <w:pPr>
              <w:rPr>
                <w:color w:val="auto"/>
                <w:szCs w:val="24"/>
              </w:rPr>
            </w:pPr>
          </w:p>
        </w:tc>
      </w:tr>
      <w:tr w14:paraId="11605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tcPr>
          <w:p w14:paraId="69027E84">
            <w:pPr>
              <w:pStyle w:val="41"/>
              <w:spacing w:before="0" w:beforeAutospacing="0" w:after="0" w:afterAutospacing="0"/>
              <w:jc w:val="center"/>
              <w:outlineLvl w:val="0"/>
              <w:rPr>
                <w:rFonts w:ascii="Times New Roman" w:hAnsi="Times New Roman"/>
                <w:color w:val="auto"/>
                <w:szCs w:val="24"/>
              </w:rPr>
            </w:pPr>
            <w:r>
              <w:rPr>
                <w:rFonts w:ascii="Times New Roman" w:hAnsi="Times New Roman"/>
                <w:bCs/>
                <w:color w:val="auto"/>
                <w:kern w:val="2"/>
                <w:szCs w:val="24"/>
              </w:rPr>
              <w:t>与项目有关的现有环境污染问题</w:t>
            </w:r>
          </w:p>
        </w:tc>
        <w:tc>
          <w:tcPr>
            <w:tcW w:w="8555" w:type="dxa"/>
          </w:tcPr>
          <w:p w14:paraId="4B103904">
            <w:pPr>
              <w:adjustRightInd w:val="0"/>
              <w:snapToGrid w:val="0"/>
              <w:spacing w:line="360" w:lineRule="auto"/>
              <w:ind w:firstLine="482" w:firstLineChars="200"/>
              <w:rPr>
                <w:b/>
                <w:color w:val="auto"/>
                <w:sz w:val="24"/>
              </w:rPr>
            </w:pPr>
            <w:r>
              <w:rPr>
                <w:b/>
                <w:color w:val="auto"/>
                <w:sz w:val="24"/>
              </w:rPr>
              <w:t>一、</w:t>
            </w:r>
            <w:r>
              <w:rPr>
                <w:rFonts w:hint="eastAsia"/>
                <w:b/>
                <w:color w:val="auto"/>
                <w:sz w:val="24"/>
              </w:rPr>
              <w:t>公司内项目情况</w:t>
            </w:r>
          </w:p>
          <w:p w14:paraId="1CE50B27">
            <w:pPr>
              <w:adjustRightInd w:val="0"/>
              <w:snapToGrid w:val="0"/>
              <w:spacing w:line="360" w:lineRule="auto"/>
              <w:ind w:firstLine="480" w:firstLineChars="200"/>
              <w:rPr>
                <w:color w:val="auto"/>
              </w:rPr>
            </w:pPr>
            <w:r>
              <w:rPr>
                <w:color w:val="auto"/>
                <w:sz w:val="24"/>
              </w:rPr>
              <w:t>本项目位于云南省昆明市寻甸</w:t>
            </w:r>
            <w:r>
              <w:rPr>
                <w:rFonts w:hint="eastAsia"/>
                <w:color w:val="auto"/>
                <w:sz w:val="24"/>
                <w:lang w:val="en-US" w:eastAsia="zh-CN"/>
              </w:rPr>
              <w:t>县塘子镇</w:t>
            </w:r>
            <w:r>
              <w:rPr>
                <w:rFonts w:hint="eastAsia"/>
                <w:color w:val="auto"/>
                <w:sz w:val="24"/>
                <w:lang w:eastAsia="zh-CN"/>
              </w:rPr>
              <w:t>云南常青树化工有限公司</w:t>
            </w:r>
            <w:r>
              <w:rPr>
                <w:color w:val="auto"/>
                <w:sz w:val="24"/>
              </w:rPr>
              <w:t>内，</w:t>
            </w:r>
            <w:r>
              <w:rPr>
                <w:rFonts w:hint="eastAsia"/>
                <w:color w:val="auto"/>
                <w:sz w:val="24"/>
                <w:lang w:eastAsia="zh-CN"/>
              </w:rPr>
              <w:t>云南常青树化工有限公司</w:t>
            </w:r>
            <w:r>
              <w:rPr>
                <w:color w:val="auto"/>
                <w:sz w:val="24"/>
              </w:rPr>
              <w:t>内现有生产线概况如下表所示：</w:t>
            </w:r>
          </w:p>
          <w:p w14:paraId="0AD3F6B6">
            <w:pPr>
              <w:autoSpaceDE w:val="0"/>
              <w:autoSpaceDN w:val="0"/>
              <w:jc w:val="center"/>
              <w:rPr>
                <w:b/>
                <w:color w:val="auto"/>
                <w:sz w:val="24"/>
              </w:rPr>
            </w:pPr>
            <w:r>
              <w:rPr>
                <w:b/>
                <w:color w:val="auto"/>
                <w:sz w:val="24"/>
              </w:rPr>
              <w:t>表2-</w:t>
            </w:r>
            <w:r>
              <w:rPr>
                <w:rFonts w:hint="eastAsia"/>
                <w:b/>
                <w:color w:val="auto"/>
                <w:sz w:val="24"/>
              </w:rPr>
              <w:t>2</w:t>
            </w:r>
            <w:r>
              <w:rPr>
                <w:rFonts w:hint="eastAsia"/>
                <w:b/>
                <w:color w:val="auto"/>
                <w:sz w:val="24"/>
                <w:lang w:val="en-US" w:eastAsia="zh-CN"/>
              </w:rPr>
              <w:t>4</w:t>
            </w:r>
            <w:r>
              <w:rPr>
                <w:b/>
                <w:color w:val="auto"/>
                <w:sz w:val="24"/>
              </w:rPr>
              <w:t xml:space="preserve">  </w:t>
            </w:r>
            <w:r>
              <w:rPr>
                <w:rFonts w:hint="eastAsia"/>
                <w:b/>
                <w:color w:val="auto"/>
                <w:sz w:val="24"/>
                <w:lang w:eastAsia="zh-CN"/>
              </w:rPr>
              <w:t>云南常青树化工有限公司</w:t>
            </w:r>
            <w:r>
              <w:rPr>
                <w:b/>
                <w:color w:val="auto"/>
                <w:sz w:val="24"/>
              </w:rPr>
              <w:t>现有工程概况一览表</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970"/>
              <w:gridCol w:w="1349"/>
              <w:gridCol w:w="1324"/>
              <w:gridCol w:w="775"/>
              <w:gridCol w:w="675"/>
              <w:gridCol w:w="612"/>
              <w:gridCol w:w="1618"/>
            </w:tblGrid>
            <w:tr w14:paraId="517EB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1068" w:type="dxa"/>
                  <w:vAlign w:val="center"/>
                </w:tcPr>
                <w:p w14:paraId="35D4B4B0">
                  <w:pPr>
                    <w:tabs>
                      <w:tab w:val="left" w:pos="360"/>
                    </w:tabs>
                    <w:adjustRightInd w:val="0"/>
                    <w:snapToGrid w:val="0"/>
                    <w:jc w:val="center"/>
                    <w:rPr>
                      <w:b/>
                      <w:color w:val="auto"/>
                      <w:sz w:val="21"/>
                      <w:szCs w:val="21"/>
                    </w:rPr>
                  </w:pPr>
                  <w:r>
                    <w:rPr>
                      <w:b/>
                      <w:color w:val="auto"/>
                      <w:sz w:val="21"/>
                      <w:szCs w:val="21"/>
                    </w:rPr>
                    <w:t>项目名称</w:t>
                  </w:r>
                </w:p>
              </w:tc>
              <w:tc>
                <w:tcPr>
                  <w:tcW w:w="970" w:type="dxa"/>
                  <w:vAlign w:val="center"/>
                </w:tcPr>
                <w:p w14:paraId="79C1392A">
                  <w:pPr>
                    <w:tabs>
                      <w:tab w:val="left" w:pos="360"/>
                    </w:tabs>
                    <w:adjustRightInd w:val="0"/>
                    <w:snapToGrid w:val="0"/>
                    <w:jc w:val="center"/>
                    <w:rPr>
                      <w:b/>
                      <w:color w:val="auto"/>
                      <w:sz w:val="21"/>
                      <w:szCs w:val="21"/>
                    </w:rPr>
                  </w:pPr>
                  <w:r>
                    <w:rPr>
                      <w:b/>
                      <w:color w:val="auto"/>
                      <w:sz w:val="21"/>
                      <w:szCs w:val="21"/>
                    </w:rPr>
                    <w:t>主要生产线</w:t>
                  </w:r>
                </w:p>
              </w:tc>
              <w:tc>
                <w:tcPr>
                  <w:tcW w:w="1349" w:type="dxa"/>
                  <w:vAlign w:val="center"/>
                </w:tcPr>
                <w:p w14:paraId="5ADAF88B">
                  <w:pPr>
                    <w:tabs>
                      <w:tab w:val="left" w:pos="360"/>
                    </w:tabs>
                    <w:adjustRightInd w:val="0"/>
                    <w:snapToGrid w:val="0"/>
                    <w:jc w:val="center"/>
                    <w:rPr>
                      <w:rFonts w:hint="eastAsia" w:eastAsia="宋体"/>
                      <w:b/>
                      <w:color w:val="auto"/>
                      <w:sz w:val="21"/>
                      <w:szCs w:val="21"/>
                      <w:lang w:val="en-US" w:eastAsia="zh-CN"/>
                    </w:rPr>
                  </w:pPr>
                  <w:r>
                    <w:rPr>
                      <w:rFonts w:hint="eastAsia"/>
                      <w:b/>
                      <w:color w:val="auto"/>
                      <w:sz w:val="21"/>
                      <w:szCs w:val="21"/>
                      <w:lang w:val="en-US" w:eastAsia="zh-CN"/>
                    </w:rPr>
                    <w:t>立项时间</w:t>
                  </w:r>
                </w:p>
              </w:tc>
              <w:tc>
                <w:tcPr>
                  <w:tcW w:w="1324" w:type="dxa"/>
                  <w:vAlign w:val="center"/>
                </w:tcPr>
                <w:p w14:paraId="64AE2173">
                  <w:pPr>
                    <w:tabs>
                      <w:tab w:val="left" w:pos="360"/>
                    </w:tabs>
                    <w:adjustRightInd w:val="0"/>
                    <w:snapToGrid w:val="0"/>
                    <w:jc w:val="center"/>
                    <w:rPr>
                      <w:rFonts w:hint="default" w:eastAsia="宋体"/>
                      <w:b/>
                      <w:color w:val="auto"/>
                      <w:sz w:val="21"/>
                      <w:szCs w:val="21"/>
                      <w:lang w:val="en-US" w:eastAsia="zh-CN"/>
                    </w:rPr>
                  </w:pPr>
                  <w:r>
                    <w:rPr>
                      <w:rFonts w:hint="eastAsia"/>
                      <w:b/>
                      <w:color w:val="auto"/>
                      <w:sz w:val="21"/>
                      <w:szCs w:val="21"/>
                      <w:lang w:val="en-US" w:eastAsia="zh-CN"/>
                    </w:rPr>
                    <w:t>环评时间</w:t>
                  </w:r>
                </w:p>
              </w:tc>
              <w:tc>
                <w:tcPr>
                  <w:tcW w:w="775" w:type="dxa"/>
                  <w:vAlign w:val="center"/>
                </w:tcPr>
                <w:p w14:paraId="41C1CAC7">
                  <w:pPr>
                    <w:tabs>
                      <w:tab w:val="left" w:pos="360"/>
                    </w:tabs>
                    <w:adjustRightInd w:val="0"/>
                    <w:snapToGrid w:val="0"/>
                    <w:jc w:val="center"/>
                    <w:rPr>
                      <w:rFonts w:hint="eastAsia"/>
                      <w:b/>
                      <w:color w:val="auto"/>
                      <w:sz w:val="21"/>
                      <w:szCs w:val="21"/>
                      <w:lang w:val="en-US" w:eastAsia="zh-CN"/>
                    </w:rPr>
                  </w:pPr>
                  <w:r>
                    <w:rPr>
                      <w:rFonts w:hint="default" w:ascii="Times New Roman" w:hAnsi="Times New Roman" w:cs="Times New Roman"/>
                      <w:b/>
                      <w:bCs/>
                      <w:color w:val="auto"/>
                      <w:sz w:val="21"/>
                      <w:szCs w:val="21"/>
                      <w:vertAlign w:val="baseline"/>
                      <w:lang w:val="en-US" w:eastAsia="zh-CN"/>
                    </w:rPr>
                    <w:t>开工建设时间</w:t>
                  </w:r>
                </w:p>
              </w:tc>
              <w:tc>
                <w:tcPr>
                  <w:tcW w:w="675" w:type="dxa"/>
                  <w:vAlign w:val="center"/>
                </w:tcPr>
                <w:p w14:paraId="3D7360C6">
                  <w:pPr>
                    <w:tabs>
                      <w:tab w:val="left" w:pos="360"/>
                    </w:tabs>
                    <w:adjustRightInd w:val="0"/>
                    <w:snapToGrid w:val="0"/>
                    <w:jc w:val="center"/>
                    <w:rPr>
                      <w:b/>
                      <w:color w:val="auto"/>
                      <w:sz w:val="21"/>
                      <w:szCs w:val="21"/>
                    </w:rPr>
                  </w:pPr>
                  <w:r>
                    <w:rPr>
                      <w:rFonts w:hint="default" w:ascii="Times New Roman" w:hAnsi="Times New Roman" w:cs="Times New Roman"/>
                      <w:b/>
                      <w:bCs/>
                      <w:color w:val="auto"/>
                      <w:sz w:val="21"/>
                      <w:szCs w:val="21"/>
                      <w:vertAlign w:val="baseline"/>
                      <w:lang w:eastAsia="zh-CN"/>
                    </w:rPr>
                    <w:t>投入运行时间</w:t>
                  </w:r>
                </w:p>
              </w:tc>
              <w:tc>
                <w:tcPr>
                  <w:tcW w:w="612" w:type="dxa"/>
                  <w:vAlign w:val="center"/>
                </w:tcPr>
                <w:p w14:paraId="0C5EDB58">
                  <w:pPr>
                    <w:tabs>
                      <w:tab w:val="left" w:pos="360"/>
                    </w:tabs>
                    <w:adjustRightInd w:val="0"/>
                    <w:snapToGrid w:val="0"/>
                    <w:jc w:val="center"/>
                    <w:rPr>
                      <w:b/>
                      <w:color w:val="auto"/>
                      <w:sz w:val="21"/>
                      <w:szCs w:val="21"/>
                    </w:rPr>
                  </w:pPr>
                  <w:r>
                    <w:rPr>
                      <w:rFonts w:hint="default" w:ascii="Times New Roman" w:hAnsi="Times New Roman" w:eastAsia="宋体" w:cs="Times New Roman"/>
                      <w:b/>
                      <w:color w:val="auto"/>
                      <w:sz w:val="21"/>
                      <w:szCs w:val="21"/>
                      <w:lang w:val="en-US" w:eastAsia="zh-CN"/>
                    </w:rPr>
                    <w:t>验收时间</w:t>
                  </w:r>
                </w:p>
              </w:tc>
              <w:tc>
                <w:tcPr>
                  <w:tcW w:w="1618" w:type="dxa"/>
                  <w:vAlign w:val="center"/>
                </w:tcPr>
                <w:p w14:paraId="137B1E62">
                  <w:pPr>
                    <w:tabs>
                      <w:tab w:val="left" w:pos="360"/>
                    </w:tabs>
                    <w:adjustRightInd w:val="0"/>
                    <w:snapToGrid w:val="0"/>
                    <w:jc w:val="center"/>
                    <w:rPr>
                      <w:b/>
                      <w:color w:val="auto"/>
                      <w:sz w:val="21"/>
                      <w:szCs w:val="21"/>
                    </w:rPr>
                  </w:pPr>
                  <w:r>
                    <w:rPr>
                      <w:b/>
                      <w:color w:val="auto"/>
                      <w:sz w:val="21"/>
                      <w:szCs w:val="21"/>
                    </w:rPr>
                    <w:t>备注</w:t>
                  </w:r>
                </w:p>
              </w:tc>
            </w:tr>
            <w:tr w14:paraId="2777E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1068" w:type="dxa"/>
                  <w:vAlign w:val="center"/>
                </w:tcPr>
                <w:p w14:paraId="53A66285">
                  <w:p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cs="Times New Roman"/>
                      <w:color w:val="auto"/>
                      <w:sz w:val="21"/>
                      <w:szCs w:val="21"/>
                      <w:vertAlign w:val="baseline"/>
                      <w:lang w:eastAsia="zh-CN"/>
                    </w:rPr>
                    <w:t>《</w:t>
                  </w:r>
                  <w:r>
                    <w:rPr>
                      <w:rFonts w:hint="eastAsia" w:cs="Times New Roman"/>
                      <w:color w:val="auto"/>
                      <w:sz w:val="21"/>
                      <w:szCs w:val="21"/>
                      <w:vertAlign w:val="baseline"/>
                      <w:lang w:val="en-US" w:eastAsia="zh-CN"/>
                    </w:rPr>
                    <w:t>云南常青树化工有限公司10万t/a重钙（5万t/a饲料磷酸氢钙）项目环境影响报告书</w:t>
                  </w:r>
                  <w:r>
                    <w:rPr>
                      <w:rFonts w:hint="default" w:ascii="Times New Roman" w:hAnsi="Times New Roman" w:cs="Times New Roman"/>
                      <w:color w:val="auto"/>
                      <w:sz w:val="21"/>
                      <w:szCs w:val="21"/>
                      <w:vertAlign w:val="baseline"/>
                      <w:lang w:eastAsia="zh-CN"/>
                    </w:rPr>
                    <w:t>》</w:t>
                  </w:r>
                </w:p>
              </w:tc>
              <w:tc>
                <w:tcPr>
                  <w:tcW w:w="970" w:type="dxa"/>
                  <w:vAlign w:val="center"/>
                </w:tcPr>
                <w:p w14:paraId="5A491959">
                  <w:p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1</w:t>
                  </w:r>
                  <w:r>
                    <w:rPr>
                      <w:rFonts w:hint="default" w:ascii="Times New Roman" w:hAnsi="Times New Roman" w:cs="Times New Roman"/>
                      <w:color w:val="auto"/>
                      <w:sz w:val="21"/>
                      <w:szCs w:val="21"/>
                      <w:vertAlign w:val="baseline"/>
                      <w:lang w:eastAsia="zh-CN"/>
                    </w:rPr>
                    <w:t>条</w:t>
                  </w:r>
                  <w:r>
                    <w:rPr>
                      <w:rFonts w:hint="eastAsia" w:cs="Times New Roman"/>
                      <w:color w:val="auto"/>
                      <w:sz w:val="21"/>
                      <w:szCs w:val="21"/>
                      <w:vertAlign w:val="baseline"/>
                      <w:lang w:val="en-US" w:eastAsia="zh-CN"/>
                    </w:rPr>
                    <w:t>10万t/a重钙（5万t/a饲料磷酸氢钙）生产线（5万t/a磷酸生产线为中间产品）</w:t>
                  </w:r>
                </w:p>
              </w:tc>
              <w:tc>
                <w:tcPr>
                  <w:tcW w:w="1349" w:type="dxa"/>
                  <w:vAlign w:val="center"/>
                </w:tcPr>
                <w:p w14:paraId="4D888270">
                  <w:p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寻甸县经济发展局关于云南常青树化工有限公司的立项批复</w:t>
                  </w:r>
                  <w:r>
                    <w:rPr>
                      <w:rFonts w:hint="default" w:ascii="Times New Roman" w:hAnsi="Times New Roman" w:cs="Times New Roman"/>
                      <w:color w:val="auto"/>
                      <w:sz w:val="21"/>
                      <w:szCs w:val="21"/>
                      <w:vertAlign w:val="baseline"/>
                      <w:lang w:val="en-US" w:eastAsia="zh-CN"/>
                    </w:rPr>
                    <w:t>（</w:t>
                  </w:r>
                  <w:r>
                    <w:rPr>
                      <w:rFonts w:hint="eastAsia" w:cs="Times New Roman"/>
                      <w:color w:val="auto"/>
                      <w:sz w:val="21"/>
                      <w:szCs w:val="21"/>
                      <w:vertAlign w:val="baseline"/>
                      <w:lang w:val="en-US" w:eastAsia="zh-CN"/>
                    </w:rPr>
                    <w:t>寻经字</w:t>
                  </w:r>
                  <w:r>
                    <w:rPr>
                      <w:rFonts w:hint="default" w:ascii="Times New Roman" w:hAnsi="Times New Roman" w:cs="Times New Roman"/>
                      <w:color w:val="auto"/>
                      <w:sz w:val="21"/>
                      <w:szCs w:val="21"/>
                      <w:vertAlign w:val="baseline"/>
                      <w:lang w:val="en-US" w:eastAsia="zh-CN"/>
                    </w:rPr>
                    <w:t>[</w:t>
                  </w:r>
                  <w:r>
                    <w:rPr>
                      <w:rFonts w:hint="eastAsia" w:cs="Times New Roman"/>
                      <w:color w:val="auto"/>
                      <w:sz w:val="21"/>
                      <w:szCs w:val="21"/>
                      <w:vertAlign w:val="baseline"/>
                      <w:lang w:val="en-US" w:eastAsia="zh-CN"/>
                    </w:rPr>
                    <w:t>2004</w:t>
                  </w:r>
                  <w:r>
                    <w:rPr>
                      <w:rFonts w:hint="default" w:ascii="Times New Roman" w:hAnsi="Times New Roman" w:cs="Times New Roman"/>
                      <w:color w:val="auto"/>
                      <w:sz w:val="21"/>
                      <w:szCs w:val="21"/>
                      <w:vertAlign w:val="baseline"/>
                      <w:lang w:val="en-US" w:eastAsia="zh-CN"/>
                    </w:rPr>
                    <w:t>]</w:t>
                  </w:r>
                  <w:r>
                    <w:rPr>
                      <w:rFonts w:hint="eastAsia" w:cs="Times New Roman"/>
                      <w:color w:val="auto"/>
                      <w:sz w:val="21"/>
                      <w:szCs w:val="21"/>
                      <w:vertAlign w:val="baseline"/>
                      <w:lang w:val="en-US" w:eastAsia="zh-CN"/>
                    </w:rPr>
                    <w:t>20</w:t>
                  </w:r>
                  <w:r>
                    <w:rPr>
                      <w:rFonts w:hint="default" w:ascii="Times New Roman" w:hAnsi="Times New Roman" w:cs="Times New Roman"/>
                      <w:color w:val="auto"/>
                      <w:sz w:val="21"/>
                      <w:szCs w:val="21"/>
                      <w:vertAlign w:val="baseline"/>
                      <w:lang w:val="en-US" w:eastAsia="zh-CN"/>
                    </w:rPr>
                    <w:t>号），200</w:t>
                  </w:r>
                  <w:r>
                    <w:rPr>
                      <w:rFonts w:hint="eastAsia" w:cs="Times New Roman"/>
                      <w:color w:val="auto"/>
                      <w:sz w:val="21"/>
                      <w:szCs w:val="21"/>
                      <w:vertAlign w:val="baseline"/>
                      <w:lang w:val="en-US" w:eastAsia="zh-CN"/>
                    </w:rPr>
                    <w:t>4</w:t>
                  </w:r>
                  <w:r>
                    <w:rPr>
                      <w:rFonts w:hint="default" w:ascii="Times New Roman" w:hAnsi="Times New Roman" w:cs="Times New Roman"/>
                      <w:color w:val="auto"/>
                      <w:sz w:val="21"/>
                      <w:szCs w:val="21"/>
                      <w:vertAlign w:val="baseline"/>
                      <w:lang w:val="en-US" w:eastAsia="zh-CN"/>
                    </w:rPr>
                    <w:t>年</w:t>
                  </w:r>
                  <w:r>
                    <w:rPr>
                      <w:rFonts w:hint="eastAsia" w:cs="Times New Roman"/>
                      <w:color w:val="auto"/>
                      <w:sz w:val="21"/>
                      <w:szCs w:val="21"/>
                      <w:vertAlign w:val="baseline"/>
                      <w:lang w:val="en-US" w:eastAsia="zh-CN"/>
                    </w:rPr>
                    <w:t>2</w:t>
                  </w:r>
                  <w:r>
                    <w:rPr>
                      <w:rFonts w:hint="default" w:ascii="Times New Roman" w:hAnsi="Times New Roman" w:cs="Times New Roman"/>
                      <w:color w:val="auto"/>
                      <w:sz w:val="21"/>
                      <w:szCs w:val="21"/>
                      <w:vertAlign w:val="baseline"/>
                      <w:lang w:val="en-US" w:eastAsia="zh-CN"/>
                    </w:rPr>
                    <w:t>月</w:t>
                  </w:r>
                  <w:r>
                    <w:rPr>
                      <w:rFonts w:hint="eastAsia" w:cs="Times New Roman"/>
                      <w:color w:val="auto"/>
                      <w:sz w:val="21"/>
                      <w:szCs w:val="21"/>
                      <w:vertAlign w:val="baseline"/>
                      <w:lang w:val="en-US" w:eastAsia="zh-CN"/>
                    </w:rPr>
                    <w:t>17日</w:t>
                  </w:r>
                  <w:r>
                    <w:rPr>
                      <w:rFonts w:hint="default" w:ascii="Times New Roman" w:hAnsi="Times New Roman" w:cs="Times New Roman"/>
                      <w:color w:val="auto"/>
                      <w:sz w:val="21"/>
                      <w:szCs w:val="21"/>
                      <w:vertAlign w:val="baseline"/>
                      <w:lang w:val="en-US" w:eastAsia="zh-CN"/>
                    </w:rPr>
                    <w:t>。</w:t>
                  </w:r>
                </w:p>
              </w:tc>
              <w:tc>
                <w:tcPr>
                  <w:tcW w:w="1324" w:type="dxa"/>
                  <w:vAlign w:val="center"/>
                </w:tcPr>
                <w:p w14:paraId="4D5FB296">
                  <w:p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2004年6月，于2004年6月23日取得昆明市环境保护局的批复（昆环保复[2004]111号）</w:t>
                  </w:r>
                </w:p>
              </w:tc>
              <w:tc>
                <w:tcPr>
                  <w:tcW w:w="775" w:type="dxa"/>
                  <w:vAlign w:val="center"/>
                </w:tcPr>
                <w:p w14:paraId="53DBF141">
                  <w:p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2004</w:t>
                  </w:r>
                  <w:r>
                    <w:rPr>
                      <w:rFonts w:hint="default" w:ascii="Times New Roman" w:hAnsi="Times New Roman" w:cs="Times New Roman"/>
                      <w:color w:val="auto"/>
                      <w:sz w:val="21"/>
                      <w:szCs w:val="21"/>
                      <w:vertAlign w:val="baseline"/>
                      <w:lang w:val="en-US" w:eastAsia="zh-CN"/>
                    </w:rPr>
                    <w:t>年</w:t>
                  </w:r>
                  <w:r>
                    <w:rPr>
                      <w:rFonts w:hint="eastAsia" w:cs="Times New Roman"/>
                      <w:color w:val="auto"/>
                      <w:sz w:val="21"/>
                      <w:szCs w:val="21"/>
                      <w:vertAlign w:val="baseline"/>
                      <w:lang w:val="en-US" w:eastAsia="zh-CN"/>
                    </w:rPr>
                    <w:t>7</w:t>
                  </w:r>
                  <w:r>
                    <w:rPr>
                      <w:rFonts w:hint="default" w:ascii="Times New Roman" w:hAnsi="Times New Roman" w:cs="Times New Roman"/>
                      <w:color w:val="auto"/>
                      <w:sz w:val="21"/>
                      <w:szCs w:val="21"/>
                      <w:vertAlign w:val="baseline"/>
                      <w:lang w:val="en-US" w:eastAsia="zh-CN"/>
                    </w:rPr>
                    <w:t>月</w:t>
                  </w:r>
                </w:p>
              </w:tc>
              <w:tc>
                <w:tcPr>
                  <w:tcW w:w="675" w:type="dxa"/>
                  <w:vAlign w:val="center"/>
                </w:tcPr>
                <w:p w14:paraId="6684AB11">
                  <w:p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2005年12月</w:t>
                  </w:r>
                </w:p>
              </w:tc>
              <w:tc>
                <w:tcPr>
                  <w:tcW w:w="612" w:type="dxa"/>
                  <w:vAlign w:val="center"/>
                </w:tcPr>
                <w:p w14:paraId="3A3C2426">
                  <w:p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bidi="ar-SA"/>
                    </w:rPr>
                    <w:t>2008年1月15日</w:t>
                  </w:r>
                </w:p>
              </w:tc>
              <w:tc>
                <w:tcPr>
                  <w:tcW w:w="1618" w:type="dxa"/>
                  <w:vMerge w:val="restart"/>
                  <w:vAlign w:val="center"/>
                </w:tcPr>
                <w:p w14:paraId="627C0E56">
                  <w:pPr>
                    <w:autoSpaceDE w:val="0"/>
                    <w:autoSpaceDN w:val="0"/>
                    <w:adjustRightInd w:val="0"/>
                    <w:snapToGrid w:val="0"/>
                    <w:spacing w:line="240" w:lineRule="auto"/>
                    <w:ind w:left="0" w:leftChars="0" w:firstLine="0" w:firstLineChars="0"/>
                    <w:jc w:val="left"/>
                    <w:rPr>
                      <w:rFonts w:hint="eastAsia" w:cs="Times New Roman"/>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bidi="ar-SA"/>
                    </w:rPr>
                    <w:t>①</w:t>
                  </w:r>
                  <w:r>
                    <w:rPr>
                      <w:rFonts w:hint="eastAsia" w:cs="Times New Roman"/>
                      <w:color w:val="auto"/>
                      <w:sz w:val="21"/>
                      <w:szCs w:val="21"/>
                      <w:vertAlign w:val="baseline"/>
                      <w:lang w:val="en-US" w:eastAsia="zh-CN" w:bidi="ar-SA"/>
                    </w:rPr>
                    <w:t>该生产线包括磷酸生产装置（规模5万t/a）及重钙生产装置，</w:t>
                  </w: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云南常青树化工有限公司10万t/a磷酸二胺技改项目</w:t>
                  </w: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时将重钙装置技改为磷酸二铵生产线，前端磷酸生产装置保留不变；</w:t>
                  </w:r>
                </w:p>
                <w:p w14:paraId="63413FD3">
                  <w:pPr>
                    <w:autoSpaceDE w:val="0"/>
                    <w:autoSpaceDN w:val="0"/>
                    <w:adjustRightInd w:val="0"/>
                    <w:snapToGrid w:val="0"/>
                    <w:spacing w:line="240" w:lineRule="auto"/>
                    <w:ind w:left="0" w:leftChars="0" w:firstLine="0" w:firstLineChars="0"/>
                    <w:jc w:val="left"/>
                    <w:rPr>
                      <w:rFonts w:hint="eastAsia" w:ascii="宋体" w:hAnsi="宋体" w:eastAsia="宋体" w:cs="宋体"/>
                      <w:color w:val="auto"/>
                      <w:lang w:val="en-US" w:eastAsia="zh-CN"/>
                    </w:rPr>
                  </w:pPr>
                  <w:r>
                    <w:rPr>
                      <w:rFonts w:hint="eastAsia" w:ascii="宋体" w:hAnsi="宋体" w:eastAsia="宋体" w:cs="宋体"/>
                      <w:color w:val="auto"/>
                      <w:lang w:val="en-US" w:eastAsia="zh-CN"/>
                    </w:rPr>
                    <w:t>②由于市场需求原因，从项目建成后一直未生产私聊磷酸氢钙，且最近3年未生产重钙。</w:t>
                  </w:r>
                </w:p>
                <w:p w14:paraId="4C0A48C7">
                  <w:pPr>
                    <w:autoSpaceDE w:val="0"/>
                    <w:autoSpaceDN w:val="0"/>
                    <w:adjustRightInd w:val="0"/>
                    <w:snapToGrid w:val="0"/>
                    <w:spacing w:line="240" w:lineRule="auto"/>
                    <w:ind w:left="0" w:leftChars="0" w:firstLine="0" w:firstLineChars="0"/>
                    <w:jc w:val="left"/>
                    <w:rPr>
                      <w:rFonts w:hint="default"/>
                      <w:color w:val="auto"/>
                      <w:lang w:val="en-US" w:eastAsia="zh-CN"/>
                    </w:rPr>
                  </w:pPr>
                  <w:r>
                    <w:rPr>
                      <w:rFonts w:hint="eastAsia" w:ascii="宋体" w:hAnsi="宋体" w:eastAsia="宋体" w:cs="宋体"/>
                      <w:color w:val="auto"/>
                      <w:lang w:val="en-US" w:eastAsia="zh-CN"/>
                    </w:rPr>
                    <w:t>③</w:t>
                  </w:r>
                  <w:r>
                    <w:rPr>
                      <w:rFonts w:hint="eastAsia"/>
                      <w:color w:val="auto"/>
                      <w:lang w:val="en-US" w:eastAsia="zh-CN"/>
                    </w:rPr>
                    <w:t>建设项目组成包含生产区、生活区及磷石膏渣场的建设。</w:t>
                  </w:r>
                </w:p>
              </w:tc>
            </w:tr>
            <w:tr w14:paraId="360B3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1068" w:type="dxa"/>
                  <w:vAlign w:val="center"/>
                </w:tcPr>
                <w:p w14:paraId="49E83534">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eastAsia="zh-CN"/>
                    </w:rPr>
                  </w:pP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云南常青树化工有限公司10万t/a重钙项目补充报告</w:t>
                  </w:r>
                  <w:r>
                    <w:rPr>
                      <w:rFonts w:hint="eastAsia" w:cs="Times New Roman"/>
                      <w:color w:val="auto"/>
                      <w:sz w:val="21"/>
                      <w:szCs w:val="21"/>
                      <w:vertAlign w:val="baseline"/>
                      <w:lang w:eastAsia="zh-CN"/>
                    </w:rPr>
                    <w:t>》</w:t>
                  </w:r>
                </w:p>
              </w:tc>
              <w:tc>
                <w:tcPr>
                  <w:tcW w:w="970" w:type="dxa"/>
                  <w:vAlign w:val="center"/>
                </w:tcPr>
                <w:p w14:paraId="346C6CA5">
                  <w:pPr>
                    <w:autoSpaceDE w:val="0"/>
                    <w:autoSpaceDN w:val="0"/>
                    <w:adjustRightInd w:val="0"/>
                    <w:snapToGrid w:val="0"/>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1条10万t/a重钙生产线</w:t>
                  </w:r>
                </w:p>
              </w:tc>
              <w:tc>
                <w:tcPr>
                  <w:tcW w:w="1349" w:type="dxa"/>
                  <w:vAlign w:val="center"/>
                </w:tcPr>
                <w:p w14:paraId="447C12CD">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324" w:type="dxa"/>
                  <w:vAlign w:val="center"/>
                </w:tcPr>
                <w:p w14:paraId="68075C39">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2007年3月，于2007年4月4日</w:t>
                  </w:r>
                  <w:r>
                    <w:rPr>
                      <w:rFonts w:hint="eastAsia" w:cs="Times New Roman"/>
                      <w:color w:val="auto"/>
                      <w:kern w:val="2"/>
                      <w:sz w:val="21"/>
                      <w:szCs w:val="21"/>
                      <w:vertAlign w:val="baseline"/>
                      <w:lang w:val="en-US" w:eastAsia="zh-CN" w:bidi="ar-SA"/>
                    </w:rPr>
                    <w:t>取得昆明市环境保护局的批复（昆环保复[2007]73号）</w:t>
                  </w:r>
                </w:p>
              </w:tc>
              <w:tc>
                <w:tcPr>
                  <w:tcW w:w="775" w:type="dxa"/>
                  <w:vAlign w:val="center"/>
                </w:tcPr>
                <w:p w14:paraId="4DEE4431">
                  <w:p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2007</w:t>
                  </w:r>
                  <w:r>
                    <w:rPr>
                      <w:rFonts w:hint="default" w:ascii="Times New Roman" w:hAnsi="Times New Roman" w:cs="Times New Roman"/>
                      <w:color w:val="auto"/>
                      <w:sz w:val="21"/>
                      <w:szCs w:val="21"/>
                      <w:vertAlign w:val="baseline"/>
                      <w:lang w:val="en-US" w:eastAsia="zh-CN"/>
                    </w:rPr>
                    <w:t>年</w:t>
                  </w:r>
                  <w:r>
                    <w:rPr>
                      <w:rFonts w:hint="eastAsia" w:cs="Times New Roman"/>
                      <w:color w:val="auto"/>
                      <w:sz w:val="21"/>
                      <w:szCs w:val="21"/>
                      <w:vertAlign w:val="baseline"/>
                      <w:lang w:val="en-US" w:eastAsia="zh-CN"/>
                    </w:rPr>
                    <w:t>4</w:t>
                  </w:r>
                  <w:r>
                    <w:rPr>
                      <w:rFonts w:hint="default" w:ascii="Times New Roman" w:hAnsi="Times New Roman" w:cs="Times New Roman"/>
                      <w:color w:val="auto"/>
                      <w:sz w:val="21"/>
                      <w:szCs w:val="21"/>
                      <w:vertAlign w:val="baseline"/>
                      <w:lang w:val="en-US" w:eastAsia="zh-CN"/>
                    </w:rPr>
                    <w:t>月</w:t>
                  </w:r>
                </w:p>
              </w:tc>
              <w:tc>
                <w:tcPr>
                  <w:tcW w:w="675" w:type="dxa"/>
                  <w:vAlign w:val="center"/>
                </w:tcPr>
                <w:p w14:paraId="51751C79">
                  <w:p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2007年8月</w:t>
                  </w:r>
                </w:p>
              </w:tc>
              <w:tc>
                <w:tcPr>
                  <w:tcW w:w="612" w:type="dxa"/>
                  <w:vAlign w:val="center"/>
                </w:tcPr>
                <w:p w14:paraId="636AADEF">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618" w:type="dxa"/>
                  <w:vMerge w:val="continue"/>
                  <w:vAlign w:val="center"/>
                </w:tcPr>
                <w:p w14:paraId="5A4C350C">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r>
            <w:tr w14:paraId="2BDFB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1068" w:type="dxa"/>
                  <w:vAlign w:val="center"/>
                </w:tcPr>
                <w:p w14:paraId="68E1D9C2">
                  <w:pPr>
                    <w:autoSpaceDE w:val="0"/>
                    <w:autoSpaceDN w:val="0"/>
                    <w:adjustRightInd w:val="0"/>
                    <w:snapToGrid w:val="0"/>
                    <w:spacing w:line="240" w:lineRule="auto"/>
                    <w:ind w:left="0" w:leftChars="0" w:firstLine="0" w:firstLineChars="0"/>
                    <w:jc w:val="center"/>
                    <w:rPr>
                      <w:rFonts w:hint="eastAsia" w:cs="Times New Roman"/>
                      <w:color w:val="auto"/>
                      <w:sz w:val="21"/>
                      <w:szCs w:val="21"/>
                      <w:vertAlign w:val="baseline"/>
                      <w:lang w:eastAsia="zh-CN"/>
                    </w:rPr>
                  </w:pP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云南泰康消防化工有限公司25万吨磷酸铵盐（ABC）干粉灭火剂生产项目环境影响评价报告表</w:t>
                  </w:r>
                  <w:r>
                    <w:rPr>
                      <w:rFonts w:hint="eastAsia" w:cs="Times New Roman"/>
                      <w:color w:val="auto"/>
                      <w:sz w:val="21"/>
                      <w:szCs w:val="21"/>
                      <w:vertAlign w:val="baseline"/>
                      <w:lang w:eastAsia="zh-CN"/>
                    </w:rPr>
                    <w:t>》</w:t>
                  </w:r>
                </w:p>
              </w:tc>
              <w:tc>
                <w:tcPr>
                  <w:tcW w:w="970" w:type="dxa"/>
                  <w:vAlign w:val="center"/>
                </w:tcPr>
                <w:p w14:paraId="6CE12E28">
                  <w:pPr>
                    <w:autoSpaceDE w:val="0"/>
                    <w:autoSpaceDN w:val="0"/>
                    <w:adjustRightInd w:val="0"/>
                    <w:snapToGrid w:val="0"/>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包括1条10万t/a磷酸生产线，1条20万t/a磷酸一铵生产线，1条25万t/a磷酸铵盐（ABC干粉灭火剂）生产线</w:t>
                  </w:r>
                </w:p>
              </w:tc>
              <w:tc>
                <w:tcPr>
                  <w:tcW w:w="1349" w:type="dxa"/>
                  <w:vAlign w:val="center"/>
                </w:tcPr>
                <w:p w14:paraId="7AE8CF16">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324" w:type="dxa"/>
                  <w:vAlign w:val="center"/>
                </w:tcPr>
                <w:p w14:paraId="48C28432">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775" w:type="dxa"/>
                  <w:vAlign w:val="center"/>
                </w:tcPr>
                <w:p w14:paraId="65CEFF4E">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2008年5月</w:t>
                  </w:r>
                </w:p>
              </w:tc>
              <w:tc>
                <w:tcPr>
                  <w:tcW w:w="675" w:type="dxa"/>
                  <w:vAlign w:val="center"/>
                </w:tcPr>
                <w:p w14:paraId="22AAC6AE">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2009年5月</w:t>
                  </w:r>
                </w:p>
              </w:tc>
              <w:tc>
                <w:tcPr>
                  <w:tcW w:w="612" w:type="dxa"/>
                  <w:vAlign w:val="center"/>
                </w:tcPr>
                <w:p w14:paraId="6C6A3731">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618" w:type="dxa"/>
                  <w:vAlign w:val="center"/>
                </w:tcPr>
                <w:p w14:paraId="79A12668">
                  <w:pPr>
                    <w:autoSpaceDE w:val="0"/>
                    <w:autoSpaceDN w:val="0"/>
                    <w:adjustRightInd w:val="0"/>
                    <w:snapToGrid w:val="0"/>
                    <w:spacing w:line="240" w:lineRule="auto"/>
                    <w:ind w:left="0" w:leftChars="0" w:firstLine="0" w:firstLineChars="0"/>
                    <w:jc w:val="left"/>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建设单位与云南泰康消防化工集团股份有限公司合资成立云南泰康消防化工寻甸有限公司，共同建设“云南泰康消防化工有限公司25万t/a磷酸铵盐(ABC)干粉灭火剂生产项目”，后期由于内部纠纷，合作破裂，云南省昆明市中级人民法院民事判决((2011)昆民一初字第64号)，将建于建设单位厂中的一条10万t/a磷酸装置及其配套的50t/h循坏流化床锅炉归建设单位所有，但从合作破裂至今，10万吨/a 磷酸装置处于停产状态，配套的50t/h锅炉用于50万吨/年球状水泥缓凝剂生产线供热。</w:t>
                  </w:r>
                </w:p>
              </w:tc>
            </w:tr>
            <w:tr w14:paraId="6A664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1068" w:type="dxa"/>
                  <w:vAlign w:val="center"/>
                </w:tcPr>
                <w:p w14:paraId="2A93B277">
                  <w:pPr>
                    <w:autoSpaceDE w:val="0"/>
                    <w:autoSpaceDN w:val="0"/>
                    <w:adjustRightInd w:val="0"/>
                    <w:snapToGrid w:val="0"/>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云南常青树化工有限公司10万t/a磷酸二铵技改项目环境影响报告书</w:t>
                  </w:r>
                  <w:r>
                    <w:rPr>
                      <w:rFonts w:hint="eastAsia" w:cs="Times New Roman"/>
                      <w:color w:val="auto"/>
                      <w:sz w:val="21"/>
                      <w:szCs w:val="21"/>
                      <w:vertAlign w:val="baseline"/>
                      <w:lang w:eastAsia="zh-CN"/>
                    </w:rPr>
                    <w:t>》</w:t>
                  </w:r>
                </w:p>
              </w:tc>
              <w:tc>
                <w:tcPr>
                  <w:tcW w:w="970" w:type="dxa"/>
                  <w:vAlign w:val="center"/>
                </w:tcPr>
                <w:p w14:paraId="36190243">
                  <w:pPr>
                    <w:autoSpaceDE w:val="0"/>
                    <w:autoSpaceDN w:val="0"/>
                    <w:adjustRightInd w:val="0"/>
                    <w:snapToGrid w:val="0"/>
                    <w:spacing w:line="240" w:lineRule="auto"/>
                    <w:ind w:left="0" w:leftChars="0" w:firstLine="0" w:firstLineChars="0"/>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1条10万t/a磷酸二铵生产线</w:t>
                  </w:r>
                </w:p>
              </w:tc>
              <w:tc>
                <w:tcPr>
                  <w:tcW w:w="1349" w:type="dxa"/>
                  <w:vAlign w:val="center"/>
                </w:tcPr>
                <w:p w14:paraId="53084335">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寻甸县经济和商务局关于云南常青树化工有限公司10万吨/年磷酸二铵技术改造项目登记备案的通知</w:t>
                  </w:r>
                  <w:r>
                    <w:rPr>
                      <w:rFonts w:hint="default" w:ascii="Times New Roman" w:hAnsi="Times New Roman" w:cs="Times New Roman"/>
                      <w:color w:val="auto"/>
                      <w:sz w:val="21"/>
                      <w:szCs w:val="21"/>
                      <w:vertAlign w:val="baseline"/>
                      <w:lang w:val="en-US" w:eastAsia="zh-CN"/>
                    </w:rPr>
                    <w:t>（</w:t>
                  </w:r>
                  <w:r>
                    <w:rPr>
                      <w:rFonts w:hint="eastAsia" w:cs="Times New Roman"/>
                      <w:color w:val="auto"/>
                      <w:sz w:val="21"/>
                      <w:szCs w:val="21"/>
                      <w:vertAlign w:val="baseline"/>
                      <w:lang w:val="en-US" w:eastAsia="zh-CN"/>
                    </w:rPr>
                    <w:t>寻经字</w:t>
                  </w:r>
                  <w:r>
                    <w:rPr>
                      <w:rFonts w:hint="default" w:ascii="Times New Roman" w:hAnsi="Times New Roman" w:cs="Times New Roman"/>
                      <w:color w:val="auto"/>
                      <w:sz w:val="21"/>
                      <w:szCs w:val="21"/>
                      <w:vertAlign w:val="baseline"/>
                      <w:lang w:val="en-US" w:eastAsia="zh-CN"/>
                    </w:rPr>
                    <w:t>[</w:t>
                  </w:r>
                  <w:r>
                    <w:rPr>
                      <w:rFonts w:hint="eastAsia" w:cs="Times New Roman"/>
                      <w:color w:val="auto"/>
                      <w:sz w:val="21"/>
                      <w:szCs w:val="21"/>
                      <w:vertAlign w:val="baseline"/>
                      <w:lang w:val="en-US" w:eastAsia="zh-CN"/>
                    </w:rPr>
                    <w:t>2009</w:t>
                  </w:r>
                  <w:r>
                    <w:rPr>
                      <w:rFonts w:hint="default" w:ascii="Times New Roman" w:hAnsi="Times New Roman" w:cs="Times New Roman"/>
                      <w:color w:val="auto"/>
                      <w:sz w:val="21"/>
                      <w:szCs w:val="21"/>
                      <w:vertAlign w:val="baseline"/>
                      <w:lang w:val="en-US" w:eastAsia="zh-CN"/>
                    </w:rPr>
                    <w:t>]</w:t>
                  </w:r>
                  <w:r>
                    <w:rPr>
                      <w:rFonts w:hint="eastAsia" w:cs="Times New Roman"/>
                      <w:color w:val="auto"/>
                      <w:sz w:val="21"/>
                      <w:szCs w:val="21"/>
                      <w:vertAlign w:val="baseline"/>
                      <w:lang w:val="en-US" w:eastAsia="zh-CN"/>
                    </w:rPr>
                    <w:t>70</w:t>
                  </w:r>
                  <w:r>
                    <w:rPr>
                      <w:rFonts w:hint="default" w:ascii="Times New Roman" w:hAnsi="Times New Roman" w:cs="Times New Roman"/>
                      <w:color w:val="auto"/>
                      <w:sz w:val="21"/>
                      <w:szCs w:val="21"/>
                      <w:vertAlign w:val="baseline"/>
                      <w:lang w:val="en-US" w:eastAsia="zh-CN"/>
                    </w:rPr>
                    <w:t>号），200</w:t>
                  </w:r>
                  <w:r>
                    <w:rPr>
                      <w:rFonts w:hint="eastAsia" w:cs="Times New Roman"/>
                      <w:color w:val="auto"/>
                      <w:sz w:val="21"/>
                      <w:szCs w:val="21"/>
                      <w:vertAlign w:val="baseline"/>
                      <w:lang w:val="en-US" w:eastAsia="zh-CN"/>
                    </w:rPr>
                    <w:t>9</w:t>
                  </w:r>
                  <w:r>
                    <w:rPr>
                      <w:rFonts w:hint="default" w:ascii="Times New Roman" w:hAnsi="Times New Roman" w:cs="Times New Roman"/>
                      <w:color w:val="auto"/>
                      <w:sz w:val="21"/>
                      <w:szCs w:val="21"/>
                      <w:vertAlign w:val="baseline"/>
                      <w:lang w:val="en-US" w:eastAsia="zh-CN"/>
                    </w:rPr>
                    <w:t>年</w:t>
                  </w:r>
                  <w:r>
                    <w:rPr>
                      <w:rFonts w:hint="eastAsia" w:cs="Times New Roman"/>
                      <w:color w:val="auto"/>
                      <w:sz w:val="21"/>
                      <w:szCs w:val="21"/>
                      <w:vertAlign w:val="baseline"/>
                      <w:lang w:val="en-US" w:eastAsia="zh-CN"/>
                    </w:rPr>
                    <w:t>7</w:t>
                  </w:r>
                  <w:r>
                    <w:rPr>
                      <w:rFonts w:hint="default" w:ascii="Times New Roman" w:hAnsi="Times New Roman" w:cs="Times New Roman"/>
                      <w:color w:val="auto"/>
                      <w:sz w:val="21"/>
                      <w:szCs w:val="21"/>
                      <w:vertAlign w:val="baseline"/>
                      <w:lang w:val="en-US" w:eastAsia="zh-CN"/>
                    </w:rPr>
                    <w:t>月</w:t>
                  </w:r>
                  <w:r>
                    <w:rPr>
                      <w:rFonts w:hint="eastAsia" w:cs="Times New Roman"/>
                      <w:color w:val="auto"/>
                      <w:sz w:val="21"/>
                      <w:szCs w:val="21"/>
                      <w:vertAlign w:val="baseline"/>
                      <w:lang w:val="en-US" w:eastAsia="zh-CN"/>
                    </w:rPr>
                    <w:t>20日</w:t>
                  </w:r>
                  <w:r>
                    <w:rPr>
                      <w:rFonts w:hint="default" w:ascii="Times New Roman" w:hAnsi="Times New Roman" w:cs="Times New Roman"/>
                      <w:color w:val="auto"/>
                      <w:sz w:val="21"/>
                      <w:szCs w:val="21"/>
                      <w:vertAlign w:val="baseline"/>
                      <w:lang w:val="en-US" w:eastAsia="zh-CN"/>
                    </w:rPr>
                    <w:t>。</w:t>
                  </w:r>
                </w:p>
              </w:tc>
              <w:tc>
                <w:tcPr>
                  <w:tcW w:w="1324" w:type="dxa"/>
                  <w:vAlign w:val="center"/>
                </w:tcPr>
                <w:p w14:paraId="17D1C654">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2009年12月，于2010年2月24日取得寻甸县环境保护局的批复（寻环[2010]6号）</w:t>
                  </w:r>
                </w:p>
              </w:tc>
              <w:tc>
                <w:tcPr>
                  <w:tcW w:w="775" w:type="dxa"/>
                  <w:vAlign w:val="center"/>
                </w:tcPr>
                <w:p w14:paraId="186BAA5E">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2009年5月</w:t>
                  </w:r>
                </w:p>
              </w:tc>
              <w:tc>
                <w:tcPr>
                  <w:tcW w:w="675" w:type="dxa"/>
                  <w:vAlign w:val="center"/>
                </w:tcPr>
                <w:p w14:paraId="56DD095E">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2010年3月</w:t>
                  </w:r>
                </w:p>
              </w:tc>
              <w:tc>
                <w:tcPr>
                  <w:tcW w:w="612" w:type="dxa"/>
                  <w:vAlign w:val="center"/>
                </w:tcPr>
                <w:p w14:paraId="0C85B48C">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2020年8月14日</w:t>
                  </w:r>
                </w:p>
              </w:tc>
              <w:tc>
                <w:tcPr>
                  <w:tcW w:w="1618" w:type="dxa"/>
                  <w:vAlign w:val="center"/>
                </w:tcPr>
                <w:p w14:paraId="605190EB">
                  <w:pPr>
                    <w:autoSpaceDE w:val="0"/>
                    <w:autoSpaceDN w:val="0"/>
                    <w:adjustRightInd w:val="0"/>
                    <w:snapToGrid w:val="0"/>
                    <w:spacing w:line="240" w:lineRule="auto"/>
                    <w:ind w:left="0" w:leftChars="0" w:firstLine="0" w:firstLineChars="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①在重钙生产线的基础上增加合成反应（十字管反应器）何液氨管，生产磷酸</w:t>
                  </w:r>
                  <w:r>
                    <w:rPr>
                      <w:rFonts w:hint="default" w:ascii="Times New Roman" w:hAnsi="Times New Roman" w:eastAsia="宋体" w:cs="Times New Roman"/>
                      <w:color w:val="auto"/>
                      <w:sz w:val="21"/>
                      <w:szCs w:val="21"/>
                      <w:vertAlign w:val="baseline"/>
                      <w:lang w:val="en-US" w:eastAsia="zh-CN"/>
                    </w:rPr>
                    <w:t>二胺；</w:t>
                  </w:r>
                </w:p>
                <w:p w14:paraId="106EA32D">
                  <w:pPr>
                    <w:autoSpaceDE w:val="0"/>
                    <w:autoSpaceDN w:val="0"/>
                    <w:adjustRightInd w:val="0"/>
                    <w:snapToGrid w:val="0"/>
                    <w:spacing w:line="240" w:lineRule="auto"/>
                    <w:ind w:left="0" w:leftChars="0" w:firstLine="0" w:firstLineChars="0"/>
                    <w:jc w:val="left"/>
                    <w:rPr>
                      <w:rFonts w:hint="default"/>
                      <w:color w:val="auto"/>
                      <w:lang w:val="en-US" w:eastAsia="zh-CN"/>
                    </w:rPr>
                  </w:pPr>
                  <w:r>
                    <w:rPr>
                      <w:rFonts w:hint="default" w:ascii="Times New Roman" w:hAnsi="Times New Roman" w:eastAsia="宋体" w:cs="Times New Roman"/>
                      <w:color w:val="auto"/>
                      <w:sz w:val="21"/>
                      <w:szCs w:val="21"/>
                      <w:lang w:val="en-US" w:eastAsia="zh-CN"/>
                    </w:rPr>
                    <w:t>②部分粒状磷铵改产5万吨/年水溶肥和液体肥技改项目实施后，磷酸二铵生产线中间产品磷铵料浆部分用于生产水溶肥，其余生产磷酸二铵，最终产出磷酸二铵5万t/a。</w:t>
                  </w:r>
                </w:p>
              </w:tc>
            </w:tr>
            <w:tr w14:paraId="56BE9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1068" w:type="dxa"/>
                  <w:vAlign w:val="center"/>
                </w:tcPr>
                <w:p w14:paraId="028F9058">
                  <w:pPr>
                    <w:autoSpaceDE w:val="0"/>
                    <w:autoSpaceDN w:val="0"/>
                    <w:adjustRightInd w:val="0"/>
                    <w:snapToGrid w:val="0"/>
                    <w:spacing w:line="240" w:lineRule="auto"/>
                    <w:ind w:left="0" w:leftChars="0" w:firstLine="0" w:firstLineChars="0"/>
                    <w:jc w:val="center"/>
                    <w:rPr>
                      <w:rFonts w:hint="eastAsia" w:cs="Times New Roman"/>
                      <w:color w:val="auto"/>
                      <w:sz w:val="21"/>
                      <w:szCs w:val="21"/>
                      <w:vertAlign w:val="baseline"/>
                      <w:lang w:eastAsia="zh-CN"/>
                    </w:rPr>
                  </w:pP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20吨循环流化床锅炉增设脱硫装置技术改造项目环境影响报告表</w:t>
                  </w:r>
                  <w:r>
                    <w:rPr>
                      <w:rFonts w:hint="eastAsia" w:cs="Times New Roman"/>
                      <w:color w:val="auto"/>
                      <w:sz w:val="21"/>
                      <w:szCs w:val="21"/>
                      <w:vertAlign w:val="baseline"/>
                      <w:lang w:eastAsia="zh-CN"/>
                    </w:rPr>
                    <w:t>》</w:t>
                  </w:r>
                </w:p>
              </w:tc>
              <w:tc>
                <w:tcPr>
                  <w:tcW w:w="970" w:type="dxa"/>
                  <w:vAlign w:val="center"/>
                </w:tcPr>
                <w:p w14:paraId="52C5A5D1">
                  <w:pPr>
                    <w:autoSpaceDE w:val="0"/>
                    <w:autoSpaceDN w:val="0"/>
                    <w:adjustRightInd w:val="0"/>
                    <w:snapToGrid w:val="0"/>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配套给10万t/a磷酸二铵生产线使用</w:t>
                  </w:r>
                </w:p>
              </w:tc>
              <w:tc>
                <w:tcPr>
                  <w:tcW w:w="1349" w:type="dxa"/>
                  <w:vAlign w:val="center"/>
                </w:tcPr>
                <w:p w14:paraId="5347107C">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寻甸县科学技术和信息化局关于云南常青树化工有限公司增加脱硫装置技术改在项目登记备案的通知（寻科工贸字[2013]7号），2013年2月1日</w:t>
                  </w:r>
                </w:p>
              </w:tc>
              <w:tc>
                <w:tcPr>
                  <w:tcW w:w="1324" w:type="dxa"/>
                  <w:vAlign w:val="center"/>
                </w:tcPr>
                <w:p w14:paraId="4FCFC93A">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2014年5月，于2014年6月25日取得寻甸县环境保护局的批复（寻环[2014]74号）</w:t>
                  </w:r>
                </w:p>
              </w:tc>
              <w:tc>
                <w:tcPr>
                  <w:tcW w:w="775" w:type="dxa"/>
                  <w:vAlign w:val="center"/>
                </w:tcPr>
                <w:p w14:paraId="71C01E86">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2014年1月</w:t>
                  </w:r>
                </w:p>
              </w:tc>
              <w:tc>
                <w:tcPr>
                  <w:tcW w:w="675" w:type="dxa"/>
                  <w:vAlign w:val="center"/>
                </w:tcPr>
                <w:p w14:paraId="3169614E">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2014年11月</w:t>
                  </w:r>
                </w:p>
              </w:tc>
              <w:tc>
                <w:tcPr>
                  <w:tcW w:w="612" w:type="dxa"/>
                  <w:vAlign w:val="center"/>
                </w:tcPr>
                <w:p w14:paraId="353D1FED">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2014年12月</w:t>
                  </w:r>
                </w:p>
              </w:tc>
              <w:tc>
                <w:tcPr>
                  <w:tcW w:w="1618" w:type="dxa"/>
                  <w:vAlign w:val="center"/>
                </w:tcPr>
                <w:p w14:paraId="3895F770">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对磷酸二胺生产线配套的20吨循环流化床锅炉进行改造，即在原有基础上增加脱硫设置。</w:t>
                  </w:r>
                </w:p>
              </w:tc>
            </w:tr>
            <w:tr w14:paraId="2A7B2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1068" w:type="dxa"/>
                  <w:vAlign w:val="center"/>
                </w:tcPr>
                <w:p w14:paraId="124FFCF8">
                  <w:pPr>
                    <w:autoSpaceDE w:val="0"/>
                    <w:autoSpaceDN w:val="0"/>
                    <w:adjustRightInd w:val="0"/>
                    <w:snapToGrid w:val="0"/>
                    <w:spacing w:line="240" w:lineRule="auto"/>
                    <w:ind w:left="0" w:leftChars="0" w:firstLine="0" w:firstLineChars="0"/>
                    <w:jc w:val="center"/>
                    <w:rPr>
                      <w:rFonts w:hint="eastAsia" w:cs="Times New Roman"/>
                      <w:color w:val="auto"/>
                      <w:sz w:val="21"/>
                      <w:szCs w:val="21"/>
                      <w:vertAlign w:val="baseline"/>
                      <w:lang w:eastAsia="zh-CN"/>
                    </w:rPr>
                  </w:pP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云南常青树化工有限公司磷石膏综合利用项目环境影响报告表</w:t>
                  </w:r>
                  <w:r>
                    <w:rPr>
                      <w:rFonts w:hint="eastAsia" w:cs="Times New Roman"/>
                      <w:color w:val="auto"/>
                      <w:sz w:val="21"/>
                      <w:szCs w:val="21"/>
                      <w:vertAlign w:val="baseline"/>
                      <w:lang w:eastAsia="zh-CN"/>
                    </w:rPr>
                    <w:t>》</w:t>
                  </w:r>
                </w:p>
              </w:tc>
              <w:tc>
                <w:tcPr>
                  <w:tcW w:w="970" w:type="dxa"/>
                  <w:vMerge w:val="restart"/>
                  <w:vAlign w:val="center"/>
                </w:tcPr>
                <w:p w14:paraId="53DCF561">
                  <w:pPr>
                    <w:autoSpaceDE w:val="0"/>
                    <w:autoSpaceDN w:val="0"/>
                    <w:adjustRightInd w:val="0"/>
                    <w:snapToGrid w:val="0"/>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包括2条1亿块/年磷石膏免烧砖生产线；1条10万t磷石膏水泥缓凝剂和1条20万吨/年磷石膏干粉砂浆</w:t>
                  </w:r>
                </w:p>
              </w:tc>
              <w:tc>
                <w:tcPr>
                  <w:tcW w:w="1349" w:type="dxa"/>
                  <w:vAlign w:val="center"/>
                </w:tcPr>
                <w:p w14:paraId="481519E5">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寻甸县发展和改革局的投资建设项目备案证（寻发改投备[2012]0079号）</w:t>
                  </w:r>
                </w:p>
              </w:tc>
              <w:tc>
                <w:tcPr>
                  <w:tcW w:w="1324" w:type="dxa"/>
                  <w:vAlign w:val="center"/>
                </w:tcPr>
                <w:p w14:paraId="77F91CF3">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2012年7月，于2012年8月13日取得寻甸县环境保护局的批复（寻环[2012]106号）</w:t>
                  </w:r>
                </w:p>
              </w:tc>
              <w:tc>
                <w:tcPr>
                  <w:tcW w:w="775" w:type="dxa"/>
                  <w:vAlign w:val="center"/>
                </w:tcPr>
                <w:p w14:paraId="3AF3B3DC">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2012年8月</w:t>
                  </w:r>
                </w:p>
              </w:tc>
              <w:tc>
                <w:tcPr>
                  <w:tcW w:w="675" w:type="dxa"/>
                  <w:vAlign w:val="center"/>
                </w:tcPr>
                <w:p w14:paraId="3ED56FCC">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2013年8月</w:t>
                  </w:r>
                </w:p>
              </w:tc>
              <w:tc>
                <w:tcPr>
                  <w:tcW w:w="612" w:type="dxa"/>
                  <w:vMerge w:val="restart"/>
                  <w:vAlign w:val="center"/>
                </w:tcPr>
                <w:p w14:paraId="55AE91EA">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2018年8月18日</w:t>
                  </w:r>
                </w:p>
              </w:tc>
              <w:tc>
                <w:tcPr>
                  <w:tcW w:w="1618" w:type="dxa"/>
                  <w:vMerge w:val="restart"/>
                  <w:vAlign w:val="center"/>
                </w:tcPr>
                <w:p w14:paraId="05A47CAF">
                  <w:pPr>
                    <w:autoSpaceDE w:val="0"/>
                    <w:autoSpaceDN w:val="0"/>
                    <w:adjustRightInd w:val="0"/>
                    <w:snapToGrid w:val="0"/>
                    <w:spacing w:line="240" w:lineRule="auto"/>
                    <w:ind w:left="0" w:leftChars="0" w:firstLine="0" w:firstLineChars="0"/>
                    <w:jc w:val="left"/>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①</w:t>
                  </w:r>
                  <w:r>
                    <w:rPr>
                      <w:rFonts w:hint="default" w:ascii="Times New Roman" w:hAnsi="Times New Roman" w:cs="Times New Roman"/>
                      <w:color w:val="auto"/>
                      <w:sz w:val="21"/>
                      <w:szCs w:val="21"/>
                      <w:vertAlign w:val="baseline"/>
                      <w:lang w:val="en-US" w:eastAsia="zh-CN"/>
                    </w:rPr>
                    <w:t>实际只建成1条1亿块/年磷石膏免烧砖生产线和1条10万吨磷石膏水泥缓凝剂；未建成20万</w:t>
                  </w:r>
                  <w:r>
                    <w:rPr>
                      <w:rFonts w:hint="eastAsia" w:cs="Times New Roman"/>
                      <w:color w:val="auto"/>
                      <w:sz w:val="21"/>
                      <w:szCs w:val="21"/>
                      <w:vertAlign w:val="baseline"/>
                      <w:lang w:val="en-US" w:eastAsia="zh-CN"/>
                    </w:rPr>
                    <w:t>吨</w:t>
                  </w:r>
                  <w:r>
                    <w:rPr>
                      <w:rFonts w:hint="default" w:ascii="Times New Roman" w:hAnsi="Times New Roman" w:cs="Times New Roman"/>
                      <w:color w:val="auto"/>
                      <w:sz w:val="21"/>
                      <w:szCs w:val="21"/>
                      <w:vertAlign w:val="baseline"/>
                      <w:lang w:val="en-US" w:eastAsia="zh-CN"/>
                    </w:rPr>
                    <w:t>/年磷石膏干粉砂浆生产线。</w:t>
                  </w:r>
                </w:p>
                <w:p w14:paraId="7D2908AD">
                  <w:pPr>
                    <w:autoSpaceDE w:val="0"/>
                    <w:autoSpaceDN w:val="0"/>
                    <w:adjustRightInd w:val="0"/>
                    <w:snapToGrid w:val="0"/>
                    <w:spacing w:line="240" w:lineRule="auto"/>
                    <w:ind w:left="0" w:leftChars="0" w:firstLine="0" w:firstLineChars="0"/>
                    <w:jc w:val="left"/>
                    <w:rPr>
                      <w:rFonts w:hint="default" w:ascii="Times New Roman" w:hAnsi="Times New Roman" w:cs="Times New Roman"/>
                      <w:color w:val="auto"/>
                      <w:lang w:val="en-US" w:eastAsia="zh-CN"/>
                    </w:rPr>
                  </w:pPr>
                  <w:r>
                    <w:rPr>
                      <w:rFonts w:hint="default" w:ascii="Times New Roman" w:hAnsi="Times New Roman" w:eastAsia="宋体" w:cs="Times New Roman"/>
                      <w:color w:val="auto"/>
                      <w:lang w:val="en-US" w:eastAsia="zh-CN"/>
                    </w:rPr>
                    <w:t>②建成的1条1亿块/年磷石膏免烧砖生产线于2020年1月改造生产50万吨/年球状水泥缓凝剂。</w:t>
                  </w:r>
                </w:p>
              </w:tc>
            </w:tr>
            <w:tr w14:paraId="4159B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1068" w:type="dxa"/>
                  <w:vAlign w:val="center"/>
                </w:tcPr>
                <w:p w14:paraId="25EE12A5">
                  <w:pPr>
                    <w:autoSpaceDE w:val="0"/>
                    <w:autoSpaceDN w:val="0"/>
                    <w:adjustRightInd w:val="0"/>
                    <w:snapToGrid w:val="0"/>
                    <w:spacing w:line="240" w:lineRule="auto"/>
                    <w:ind w:left="0" w:leftChars="0" w:firstLine="0" w:firstLineChars="0"/>
                    <w:jc w:val="center"/>
                    <w:rPr>
                      <w:rFonts w:hint="eastAsia" w:cs="Times New Roman"/>
                      <w:color w:val="auto"/>
                      <w:sz w:val="21"/>
                      <w:szCs w:val="21"/>
                      <w:vertAlign w:val="baseline"/>
                      <w:lang w:eastAsia="zh-CN"/>
                    </w:rPr>
                  </w:pP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云南常青树化工有限公司磷石膏综合利用项目环境影响补充报告</w:t>
                  </w:r>
                  <w:r>
                    <w:rPr>
                      <w:rFonts w:hint="eastAsia" w:cs="Times New Roman"/>
                      <w:color w:val="auto"/>
                      <w:sz w:val="21"/>
                      <w:szCs w:val="21"/>
                      <w:vertAlign w:val="baseline"/>
                      <w:lang w:eastAsia="zh-CN"/>
                    </w:rPr>
                    <w:t>》</w:t>
                  </w:r>
                </w:p>
              </w:tc>
              <w:tc>
                <w:tcPr>
                  <w:tcW w:w="970" w:type="dxa"/>
                  <w:vMerge w:val="continue"/>
                  <w:vAlign w:val="center"/>
                </w:tcPr>
                <w:p w14:paraId="7B4F81CC">
                  <w:pPr>
                    <w:autoSpaceDE w:val="0"/>
                    <w:autoSpaceDN w:val="0"/>
                    <w:adjustRightInd w:val="0"/>
                    <w:snapToGrid w:val="0"/>
                    <w:spacing w:line="240" w:lineRule="auto"/>
                    <w:ind w:left="0" w:leftChars="0" w:firstLine="0" w:firstLineChars="0"/>
                    <w:jc w:val="center"/>
                    <w:rPr>
                      <w:rFonts w:hint="eastAsia" w:cs="Times New Roman"/>
                      <w:color w:val="auto"/>
                      <w:sz w:val="21"/>
                      <w:szCs w:val="21"/>
                      <w:vertAlign w:val="baseline"/>
                      <w:lang w:val="en-US" w:eastAsia="zh-CN"/>
                    </w:rPr>
                  </w:pPr>
                </w:p>
              </w:tc>
              <w:tc>
                <w:tcPr>
                  <w:tcW w:w="1349" w:type="dxa"/>
                  <w:vAlign w:val="center"/>
                </w:tcPr>
                <w:p w14:paraId="16089958">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324" w:type="dxa"/>
                  <w:vAlign w:val="center"/>
                </w:tcPr>
                <w:p w14:paraId="5FCB7C7D">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2015年9月，于2015年10月15日取得寻甸县环境保护局的批复（寻环[2015]137号）</w:t>
                  </w:r>
                </w:p>
              </w:tc>
              <w:tc>
                <w:tcPr>
                  <w:tcW w:w="775" w:type="dxa"/>
                  <w:vAlign w:val="center"/>
                </w:tcPr>
                <w:p w14:paraId="3EB89805">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2012年8月</w:t>
                  </w:r>
                </w:p>
              </w:tc>
              <w:tc>
                <w:tcPr>
                  <w:tcW w:w="675" w:type="dxa"/>
                  <w:vAlign w:val="center"/>
                </w:tcPr>
                <w:p w14:paraId="1EFEC382">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2015年1月</w:t>
                  </w:r>
                </w:p>
              </w:tc>
              <w:tc>
                <w:tcPr>
                  <w:tcW w:w="612" w:type="dxa"/>
                  <w:vMerge w:val="continue"/>
                  <w:vAlign w:val="center"/>
                </w:tcPr>
                <w:p w14:paraId="6A0CFF79">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618" w:type="dxa"/>
                  <w:vMerge w:val="continue"/>
                  <w:vAlign w:val="center"/>
                </w:tcPr>
                <w:p w14:paraId="2EA267F8">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r>
            <w:tr w14:paraId="1FD33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1068" w:type="dxa"/>
                  <w:vAlign w:val="center"/>
                </w:tcPr>
                <w:p w14:paraId="19FEC267">
                  <w:pPr>
                    <w:autoSpaceDE w:val="0"/>
                    <w:autoSpaceDN w:val="0"/>
                    <w:adjustRightInd w:val="0"/>
                    <w:snapToGrid w:val="0"/>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云南常青树化工有限公司增加液氨储存装置技术改造项目环境影响报告表</w:t>
                  </w:r>
                  <w:r>
                    <w:rPr>
                      <w:rFonts w:hint="eastAsia" w:cs="Times New Roman"/>
                      <w:color w:val="auto"/>
                      <w:sz w:val="21"/>
                      <w:szCs w:val="21"/>
                      <w:vertAlign w:val="baseline"/>
                      <w:lang w:eastAsia="zh-CN"/>
                    </w:rPr>
                    <w:t>》</w:t>
                  </w:r>
                </w:p>
              </w:tc>
              <w:tc>
                <w:tcPr>
                  <w:tcW w:w="970" w:type="dxa"/>
                  <w:vAlign w:val="center"/>
                </w:tcPr>
                <w:p w14:paraId="5D9BD0EE">
                  <w:pPr>
                    <w:autoSpaceDE w:val="0"/>
                    <w:autoSpaceDN w:val="0"/>
                    <w:adjustRightInd w:val="0"/>
                    <w:snapToGrid w:val="0"/>
                    <w:spacing w:line="240" w:lineRule="auto"/>
                    <w:ind w:left="0" w:leftChars="0" w:firstLine="0" w:firstLineChars="0"/>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配套给10万t/a磷酸二胺生产线使用</w:t>
                  </w:r>
                </w:p>
              </w:tc>
              <w:tc>
                <w:tcPr>
                  <w:tcW w:w="1349" w:type="dxa"/>
                  <w:vAlign w:val="center"/>
                </w:tcPr>
                <w:p w14:paraId="34CCE21E">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寻甸县科学技术和信息化局关于云南常青树化工有限公司增加液氨储存装置技术改造项目登记备案的通知（寻科工贸字[2012]59号），2012年9月24日</w:t>
                  </w:r>
                </w:p>
              </w:tc>
              <w:tc>
                <w:tcPr>
                  <w:tcW w:w="1324" w:type="dxa"/>
                  <w:vAlign w:val="center"/>
                </w:tcPr>
                <w:p w14:paraId="37CF7B68">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2012年10月，于2012年12月18日取得寻甸县环境保护局的批复（寻环[2012]185号）</w:t>
                  </w:r>
                </w:p>
              </w:tc>
              <w:tc>
                <w:tcPr>
                  <w:tcW w:w="775" w:type="dxa"/>
                  <w:vAlign w:val="center"/>
                </w:tcPr>
                <w:p w14:paraId="7A1D511E">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2012年10月</w:t>
                  </w:r>
                </w:p>
              </w:tc>
              <w:tc>
                <w:tcPr>
                  <w:tcW w:w="675" w:type="dxa"/>
                  <w:vAlign w:val="center"/>
                </w:tcPr>
                <w:p w14:paraId="0635B7CB">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2013年4月</w:t>
                  </w:r>
                </w:p>
              </w:tc>
              <w:tc>
                <w:tcPr>
                  <w:tcW w:w="612" w:type="dxa"/>
                  <w:vAlign w:val="center"/>
                </w:tcPr>
                <w:p w14:paraId="77C35B3D">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2014年1月10日</w:t>
                  </w:r>
                </w:p>
              </w:tc>
              <w:tc>
                <w:tcPr>
                  <w:tcW w:w="1618" w:type="dxa"/>
                  <w:vAlign w:val="center"/>
                </w:tcPr>
                <w:p w14:paraId="3A20AE07">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在原有基础上新增2个100m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的液氨储罐，一台103m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的氨蒸发器，1台10.8m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的气氨储罐。属于磷酸二铵生产线配套工程。</w:t>
                  </w:r>
                </w:p>
              </w:tc>
            </w:tr>
            <w:tr w14:paraId="77E93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1068" w:type="dxa"/>
                  <w:vAlign w:val="center"/>
                </w:tcPr>
                <w:p w14:paraId="4A08BEF9">
                  <w:pPr>
                    <w:autoSpaceDE w:val="0"/>
                    <w:autoSpaceDN w:val="0"/>
                    <w:adjustRightInd w:val="0"/>
                    <w:snapToGrid w:val="0"/>
                    <w:spacing w:line="240" w:lineRule="auto"/>
                    <w:ind w:left="0" w:leftChars="0" w:firstLine="0" w:firstLineChars="0"/>
                    <w:jc w:val="center"/>
                    <w:rPr>
                      <w:rFonts w:hint="eastAsia" w:cs="Times New Roman"/>
                      <w:color w:val="auto"/>
                      <w:sz w:val="21"/>
                      <w:szCs w:val="21"/>
                      <w:vertAlign w:val="baseline"/>
                      <w:lang w:eastAsia="zh-CN"/>
                    </w:rPr>
                  </w:pP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部分粒状磷铵改产5万吨/年水溶肥和液体肥技改项目环境影响报告表</w:t>
                  </w:r>
                  <w:r>
                    <w:rPr>
                      <w:rFonts w:hint="eastAsia" w:cs="Times New Roman"/>
                      <w:color w:val="auto"/>
                      <w:sz w:val="21"/>
                      <w:szCs w:val="21"/>
                      <w:vertAlign w:val="baseline"/>
                      <w:lang w:eastAsia="zh-CN"/>
                    </w:rPr>
                    <w:t>》</w:t>
                  </w:r>
                </w:p>
              </w:tc>
              <w:tc>
                <w:tcPr>
                  <w:tcW w:w="970" w:type="dxa"/>
                  <w:vAlign w:val="center"/>
                </w:tcPr>
                <w:p w14:paraId="42A409C0">
                  <w:pPr>
                    <w:autoSpaceDE w:val="0"/>
                    <w:autoSpaceDN w:val="0"/>
                    <w:adjustRightInd w:val="0"/>
                    <w:snapToGrid w:val="0"/>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1条5万t/a水溶肥生产线</w:t>
                  </w:r>
                </w:p>
              </w:tc>
              <w:tc>
                <w:tcPr>
                  <w:tcW w:w="1349" w:type="dxa"/>
                  <w:vAlign w:val="center"/>
                </w:tcPr>
                <w:p w14:paraId="2FD8BA6D">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寻甸县科学技术和工业经贸信息化局关于云南常青树化工有限公司部分粒状磷铵改产5万吨/年水溶肥和液体肥技改项目登记备案的通知（寻科工贸字[2016]8号），2016年5月20日</w:t>
                  </w:r>
                </w:p>
              </w:tc>
              <w:tc>
                <w:tcPr>
                  <w:tcW w:w="1324" w:type="dxa"/>
                  <w:vAlign w:val="center"/>
                </w:tcPr>
                <w:p w14:paraId="45E49992">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2016年11月，于2017年3月2日取得寻甸县环境保护局的批复（寻环[2017]23号）</w:t>
                  </w:r>
                </w:p>
              </w:tc>
              <w:tc>
                <w:tcPr>
                  <w:tcW w:w="775" w:type="dxa"/>
                  <w:vAlign w:val="center"/>
                </w:tcPr>
                <w:p w14:paraId="4C484475">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2017年2月</w:t>
                  </w:r>
                </w:p>
              </w:tc>
              <w:tc>
                <w:tcPr>
                  <w:tcW w:w="675" w:type="dxa"/>
                  <w:vAlign w:val="center"/>
                </w:tcPr>
                <w:p w14:paraId="32DFE3C7">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2017年3月</w:t>
                  </w:r>
                </w:p>
              </w:tc>
              <w:tc>
                <w:tcPr>
                  <w:tcW w:w="612" w:type="dxa"/>
                  <w:vAlign w:val="center"/>
                </w:tcPr>
                <w:p w14:paraId="40B30A78">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2018年8月18日</w:t>
                  </w:r>
                </w:p>
              </w:tc>
              <w:tc>
                <w:tcPr>
                  <w:tcW w:w="1618" w:type="dxa"/>
                  <w:vAlign w:val="center"/>
                </w:tcPr>
                <w:p w14:paraId="305C75E0">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将磷酸二铵生产线中间产品磷铵料浆部分用于生产水溶肥，其余生产磷酸二铵，产出水溶肥5万t/a，磷酸二铵5万t/a。</w:t>
                  </w:r>
                </w:p>
              </w:tc>
            </w:tr>
            <w:tr w14:paraId="04083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1068" w:type="dxa"/>
                  <w:vAlign w:val="center"/>
                </w:tcPr>
                <w:p w14:paraId="32D09C0C">
                  <w:pPr>
                    <w:autoSpaceDE w:val="0"/>
                    <w:autoSpaceDN w:val="0"/>
                    <w:adjustRightInd w:val="0"/>
                    <w:snapToGrid w:val="0"/>
                    <w:spacing w:line="240" w:lineRule="auto"/>
                    <w:ind w:left="0" w:leftChars="0" w:firstLine="0" w:firstLineChars="0"/>
                    <w:jc w:val="center"/>
                    <w:rPr>
                      <w:rFonts w:hint="eastAsia" w:cs="Times New Roman"/>
                      <w:color w:val="auto"/>
                      <w:sz w:val="21"/>
                      <w:szCs w:val="21"/>
                      <w:vertAlign w:val="baseline"/>
                      <w:lang w:eastAsia="zh-CN"/>
                    </w:rPr>
                  </w:pP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50万吨/年水泥缓凝剂改造项目环境影响报告表</w:t>
                  </w:r>
                  <w:r>
                    <w:rPr>
                      <w:rFonts w:hint="eastAsia" w:cs="Times New Roman"/>
                      <w:color w:val="auto"/>
                      <w:sz w:val="21"/>
                      <w:szCs w:val="21"/>
                      <w:vertAlign w:val="baseline"/>
                      <w:lang w:eastAsia="zh-CN"/>
                    </w:rPr>
                    <w:t>》</w:t>
                  </w:r>
                </w:p>
              </w:tc>
              <w:tc>
                <w:tcPr>
                  <w:tcW w:w="970" w:type="dxa"/>
                  <w:vAlign w:val="center"/>
                </w:tcPr>
                <w:p w14:paraId="2921FB49">
                  <w:pPr>
                    <w:autoSpaceDE w:val="0"/>
                    <w:autoSpaceDN w:val="0"/>
                    <w:adjustRightInd w:val="0"/>
                    <w:snapToGrid w:val="0"/>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1条50万吨/年水泥缓凝剂生产线</w:t>
                  </w:r>
                </w:p>
              </w:tc>
              <w:tc>
                <w:tcPr>
                  <w:tcW w:w="1349" w:type="dxa"/>
                  <w:vAlign w:val="center"/>
                </w:tcPr>
                <w:p w14:paraId="433C3BB4">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寻甸县科学技术和工业经贸信息化局关于云南常青树化工有限公司磷石膏综合利用技术改造项目登记备案的通知（寻科工贸字[2018]63号），2018年12月27日</w:t>
                  </w:r>
                </w:p>
              </w:tc>
              <w:tc>
                <w:tcPr>
                  <w:tcW w:w="1324" w:type="dxa"/>
                  <w:vAlign w:val="center"/>
                </w:tcPr>
                <w:p w14:paraId="02128909">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2019年11月，于2020年3月19日取得昆明市生态环境局寻甸分局的批复（昆生环寻[2020]10号）</w:t>
                  </w:r>
                </w:p>
              </w:tc>
              <w:tc>
                <w:tcPr>
                  <w:tcW w:w="775" w:type="dxa"/>
                  <w:vAlign w:val="center"/>
                </w:tcPr>
                <w:p w14:paraId="50FD2B1F">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2019年6月</w:t>
                  </w:r>
                </w:p>
              </w:tc>
              <w:tc>
                <w:tcPr>
                  <w:tcW w:w="675" w:type="dxa"/>
                  <w:vAlign w:val="center"/>
                </w:tcPr>
                <w:p w14:paraId="4D49E391">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2020年2月</w:t>
                  </w:r>
                </w:p>
              </w:tc>
              <w:tc>
                <w:tcPr>
                  <w:tcW w:w="612" w:type="dxa"/>
                  <w:vAlign w:val="center"/>
                </w:tcPr>
                <w:p w14:paraId="3E1A3EDD">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2021年8月28日</w:t>
                  </w:r>
                </w:p>
              </w:tc>
              <w:tc>
                <w:tcPr>
                  <w:tcW w:w="1618" w:type="dxa"/>
                  <w:vAlign w:val="center"/>
                </w:tcPr>
                <w:p w14:paraId="4E2CD249">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整合</w:t>
                  </w: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云南常青树化工有限公司磷石膏综合利用项目》中已建成的1条1亿块/年磷石膏免烧砖生产线、《年产1亿块磷石膏免烧砖生产线建设项目》、1条10万t/a磷酸生产线中闲置的50t/h流化床锅炉等设施，建成产50万吨/年球状水泥缓凝剂生产线。</w:t>
                  </w:r>
                </w:p>
              </w:tc>
            </w:tr>
          </w:tbl>
          <w:p w14:paraId="2176393B">
            <w:pPr>
              <w:spacing w:line="360" w:lineRule="auto"/>
              <w:ind w:firstLine="480" w:firstLineChars="200"/>
              <w:jc w:val="left"/>
              <w:rPr>
                <w:bCs/>
                <w:color w:val="auto"/>
                <w:sz w:val="24"/>
              </w:rPr>
            </w:pPr>
            <w:r>
              <w:rPr>
                <w:bCs/>
                <w:color w:val="auto"/>
                <w:sz w:val="24"/>
              </w:rPr>
              <w:t>根据建设单位提供资料可知，</w:t>
            </w:r>
            <w:r>
              <w:rPr>
                <w:rFonts w:hint="eastAsia"/>
                <w:bCs/>
                <w:color w:val="auto"/>
                <w:sz w:val="24"/>
                <w:lang w:eastAsia="zh-CN"/>
              </w:rPr>
              <w:t>云南常青树化工有限公司</w:t>
            </w:r>
            <w:r>
              <w:rPr>
                <w:bCs/>
                <w:color w:val="auto"/>
                <w:sz w:val="24"/>
              </w:rPr>
              <w:t>现排放的污染物主要为：颗粒物、SO</w:t>
            </w:r>
            <w:r>
              <w:rPr>
                <w:bCs/>
                <w:color w:val="auto"/>
                <w:sz w:val="24"/>
                <w:vertAlign w:val="subscript"/>
              </w:rPr>
              <w:t>2</w:t>
            </w:r>
            <w:r>
              <w:rPr>
                <w:bCs/>
                <w:color w:val="auto"/>
                <w:sz w:val="24"/>
              </w:rPr>
              <w:t>、NOx、VOCs、其他特征污染物（氟化物，</w:t>
            </w:r>
            <w:r>
              <w:rPr>
                <w:rFonts w:hint="eastAsia"/>
                <w:bCs/>
                <w:color w:val="auto"/>
                <w:sz w:val="24"/>
                <w:lang w:val="en-US" w:eastAsia="zh-CN"/>
              </w:rPr>
              <w:t>氨（氨气）</w:t>
            </w:r>
            <w:r>
              <w:rPr>
                <w:bCs/>
                <w:color w:val="auto"/>
                <w:sz w:val="24"/>
              </w:rPr>
              <w:t>，林格曼黑度，汞及其化合物），均能实现达标排放。</w:t>
            </w:r>
          </w:p>
          <w:p w14:paraId="49BD79BA">
            <w:pPr>
              <w:autoSpaceDE w:val="0"/>
              <w:autoSpaceDN w:val="0"/>
              <w:jc w:val="center"/>
              <w:rPr>
                <w:b/>
                <w:color w:val="auto"/>
                <w:sz w:val="24"/>
              </w:rPr>
            </w:pPr>
            <w:r>
              <w:rPr>
                <w:b/>
                <w:color w:val="auto"/>
                <w:sz w:val="24"/>
              </w:rPr>
              <w:t>表2-</w:t>
            </w:r>
            <w:r>
              <w:rPr>
                <w:rFonts w:hint="eastAsia"/>
                <w:b/>
                <w:color w:val="auto"/>
                <w:sz w:val="24"/>
              </w:rPr>
              <w:t>2</w:t>
            </w:r>
            <w:r>
              <w:rPr>
                <w:rFonts w:hint="eastAsia"/>
                <w:b/>
                <w:color w:val="auto"/>
                <w:sz w:val="24"/>
                <w:lang w:val="en-US" w:eastAsia="zh-CN"/>
              </w:rPr>
              <w:t>5</w:t>
            </w:r>
            <w:r>
              <w:rPr>
                <w:b/>
                <w:color w:val="auto"/>
                <w:sz w:val="24"/>
              </w:rPr>
              <w:t xml:space="preserve">  </w:t>
            </w:r>
            <w:r>
              <w:rPr>
                <w:rFonts w:hint="eastAsia"/>
                <w:b/>
                <w:color w:val="auto"/>
                <w:sz w:val="24"/>
                <w:lang w:eastAsia="zh-CN"/>
              </w:rPr>
              <w:t>云南常青树化工有限公司</w:t>
            </w:r>
            <w:r>
              <w:rPr>
                <w:b/>
                <w:color w:val="auto"/>
                <w:sz w:val="24"/>
              </w:rPr>
              <w:t>现有污染治理设施一览表</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2"/>
              <w:gridCol w:w="2049"/>
              <w:gridCol w:w="2061"/>
              <w:gridCol w:w="2507"/>
            </w:tblGrid>
            <w:tr w14:paraId="5E351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441B5B00">
                  <w:pPr>
                    <w:jc w:val="center"/>
                    <w:rPr>
                      <w:b/>
                      <w:color w:val="auto"/>
                      <w:sz w:val="21"/>
                      <w:szCs w:val="21"/>
                    </w:rPr>
                  </w:pPr>
                  <w:r>
                    <w:rPr>
                      <w:b/>
                      <w:color w:val="auto"/>
                      <w:sz w:val="21"/>
                      <w:szCs w:val="21"/>
                    </w:rPr>
                    <w:t>污染治理设施许可编号</w:t>
                  </w:r>
                </w:p>
              </w:tc>
              <w:tc>
                <w:tcPr>
                  <w:tcW w:w="1230" w:type="pct"/>
                  <w:tcBorders>
                    <w:top w:val="single" w:color="auto" w:sz="4" w:space="0"/>
                    <w:left w:val="single" w:color="auto" w:sz="4" w:space="0"/>
                    <w:bottom w:val="single" w:color="auto" w:sz="4" w:space="0"/>
                    <w:right w:val="single" w:color="auto" w:sz="4" w:space="0"/>
                  </w:tcBorders>
                  <w:vAlign w:val="center"/>
                </w:tcPr>
                <w:p w14:paraId="3C7A9683">
                  <w:pPr>
                    <w:jc w:val="center"/>
                    <w:rPr>
                      <w:b/>
                      <w:color w:val="auto"/>
                      <w:sz w:val="21"/>
                      <w:szCs w:val="21"/>
                    </w:rPr>
                  </w:pPr>
                  <w:r>
                    <w:rPr>
                      <w:b/>
                      <w:color w:val="auto"/>
                      <w:sz w:val="21"/>
                      <w:szCs w:val="21"/>
                    </w:rPr>
                    <w:t>污染治理设施企业内部编号</w:t>
                  </w:r>
                </w:p>
              </w:tc>
              <w:tc>
                <w:tcPr>
                  <w:tcW w:w="1237" w:type="pct"/>
                  <w:tcBorders>
                    <w:top w:val="single" w:color="auto" w:sz="4" w:space="0"/>
                    <w:left w:val="single" w:color="auto" w:sz="4" w:space="0"/>
                    <w:bottom w:val="single" w:color="auto" w:sz="4" w:space="0"/>
                    <w:right w:val="single" w:color="auto" w:sz="4" w:space="0"/>
                  </w:tcBorders>
                  <w:vAlign w:val="center"/>
                </w:tcPr>
                <w:p w14:paraId="359FD58C">
                  <w:pPr>
                    <w:jc w:val="center"/>
                    <w:rPr>
                      <w:b/>
                      <w:color w:val="auto"/>
                      <w:sz w:val="21"/>
                      <w:szCs w:val="21"/>
                    </w:rPr>
                  </w:pPr>
                  <w:r>
                    <w:rPr>
                      <w:b/>
                      <w:color w:val="auto"/>
                      <w:sz w:val="21"/>
                      <w:szCs w:val="21"/>
                    </w:rPr>
                    <w:t>污染治理设施名称</w:t>
                  </w:r>
                </w:p>
              </w:tc>
              <w:tc>
                <w:tcPr>
                  <w:tcW w:w="1504" w:type="pct"/>
                  <w:tcBorders>
                    <w:top w:val="single" w:color="auto" w:sz="4" w:space="0"/>
                    <w:left w:val="single" w:color="auto" w:sz="4" w:space="0"/>
                    <w:bottom w:val="single" w:color="auto" w:sz="4" w:space="0"/>
                    <w:right w:val="single" w:color="auto" w:sz="4" w:space="0"/>
                  </w:tcBorders>
                  <w:vAlign w:val="center"/>
                </w:tcPr>
                <w:p w14:paraId="5B0A6535">
                  <w:pPr>
                    <w:jc w:val="center"/>
                    <w:rPr>
                      <w:b/>
                      <w:color w:val="auto"/>
                      <w:sz w:val="21"/>
                      <w:szCs w:val="21"/>
                    </w:rPr>
                  </w:pPr>
                  <w:r>
                    <w:rPr>
                      <w:b/>
                      <w:color w:val="auto"/>
                      <w:sz w:val="21"/>
                      <w:szCs w:val="21"/>
                    </w:rPr>
                    <w:t>污染治理设施工艺</w:t>
                  </w:r>
                </w:p>
              </w:tc>
            </w:tr>
            <w:tr w14:paraId="021E7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22434896">
                  <w:pPr>
                    <w:jc w:val="center"/>
                    <w:rPr>
                      <w:b/>
                      <w:color w:val="auto"/>
                      <w:sz w:val="21"/>
                      <w:szCs w:val="21"/>
                    </w:rPr>
                  </w:pPr>
                  <w:r>
                    <w:rPr>
                      <w:b/>
                      <w:color w:val="auto"/>
                      <w:sz w:val="21"/>
                      <w:szCs w:val="21"/>
                    </w:rPr>
                    <w:t>废气污染治理设施</w:t>
                  </w:r>
                </w:p>
              </w:tc>
            </w:tr>
            <w:tr w14:paraId="0F4C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6C49E785">
                  <w:pPr>
                    <w:jc w:val="center"/>
                    <w:rPr>
                      <w:color w:val="auto"/>
                      <w:sz w:val="21"/>
                      <w:szCs w:val="21"/>
                    </w:rPr>
                  </w:pPr>
                  <w:r>
                    <w:rPr>
                      <w:color w:val="auto"/>
                      <w:sz w:val="21"/>
                      <w:szCs w:val="21"/>
                    </w:rPr>
                    <w:t>TA001</w:t>
                  </w:r>
                </w:p>
              </w:tc>
              <w:tc>
                <w:tcPr>
                  <w:tcW w:w="1230" w:type="pct"/>
                  <w:tcBorders>
                    <w:top w:val="single" w:color="auto" w:sz="4" w:space="0"/>
                    <w:left w:val="single" w:color="auto" w:sz="4" w:space="0"/>
                    <w:bottom w:val="single" w:color="auto" w:sz="4" w:space="0"/>
                    <w:right w:val="single" w:color="auto" w:sz="4" w:space="0"/>
                  </w:tcBorders>
                  <w:vAlign w:val="center"/>
                </w:tcPr>
                <w:p w14:paraId="46FEB062">
                  <w:pPr>
                    <w:jc w:val="center"/>
                    <w:rPr>
                      <w:color w:val="auto"/>
                      <w:sz w:val="21"/>
                      <w:szCs w:val="21"/>
                    </w:rPr>
                  </w:pPr>
                  <w:r>
                    <w:rPr>
                      <w:color w:val="auto"/>
                      <w:sz w:val="21"/>
                      <w:szCs w:val="21"/>
                    </w:rPr>
                    <w:t>TA001</w:t>
                  </w:r>
                </w:p>
              </w:tc>
              <w:tc>
                <w:tcPr>
                  <w:tcW w:w="1237" w:type="pct"/>
                  <w:tcBorders>
                    <w:top w:val="single" w:color="auto" w:sz="4" w:space="0"/>
                    <w:left w:val="single" w:color="auto" w:sz="4" w:space="0"/>
                    <w:bottom w:val="single" w:color="auto" w:sz="4" w:space="0"/>
                    <w:right w:val="single" w:color="auto" w:sz="4" w:space="0"/>
                  </w:tcBorders>
                  <w:vAlign w:val="center"/>
                </w:tcPr>
                <w:p w14:paraId="6000720C">
                  <w:pPr>
                    <w:jc w:val="center"/>
                    <w:rPr>
                      <w:rFonts w:hint="default" w:eastAsia="宋体"/>
                      <w:color w:val="auto"/>
                      <w:sz w:val="21"/>
                      <w:szCs w:val="21"/>
                      <w:lang w:val="en-US" w:eastAsia="zh-CN"/>
                    </w:rPr>
                  </w:pPr>
                  <w:r>
                    <w:rPr>
                      <w:rFonts w:hint="eastAsia"/>
                      <w:color w:val="auto"/>
                      <w:sz w:val="21"/>
                      <w:szCs w:val="21"/>
                      <w:lang w:val="en-US" w:eastAsia="zh-CN"/>
                    </w:rPr>
                    <w:t>硫酸尾气洗涤塔</w:t>
                  </w:r>
                </w:p>
              </w:tc>
              <w:tc>
                <w:tcPr>
                  <w:tcW w:w="1504" w:type="pct"/>
                  <w:tcBorders>
                    <w:top w:val="single" w:color="auto" w:sz="4" w:space="0"/>
                    <w:left w:val="single" w:color="auto" w:sz="4" w:space="0"/>
                    <w:bottom w:val="single" w:color="auto" w:sz="4" w:space="0"/>
                    <w:right w:val="single" w:color="auto" w:sz="4" w:space="0"/>
                  </w:tcBorders>
                  <w:vAlign w:val="center"/>
                </w:tcPr>
                <w:p w14:paraId="4835A46E">
                  <w:pPr>
                    <w:jc w:val="center"/>
                    <w:rPr>
                      <w:rFonts w:hint="default" w:eastAsia="宋体"/>
                      <w:color w:val="auto"/>
                      <w:sz w:val="21"/>
                      <w:szCs w:val="21"/>
                      <w:lang w:val="en-US" w:eastAsia="zh-CN"/>
                    </w:rPr>
                  </w:pPr>
                  <w:r>
                    <w:rPr>
                      <w:rFonts w:hint="eastAsia"/>
                      <w:color w:val="auto"/>
                      <w:sz w:val="21"/>
                      <w:szCs w:val="21"/>
                      <w:lang w:val="en-US" w:eastAsia="zh-CN"/>
                    </w:rPr>
                    <w:t>文丘里+二级洗涤</w:t>
                  </w:r>
                </w:p>
              </w:tc>
            </w:tr>
            <w:tr w14:paraId="190D9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69B7477D">
                  <w:pPr>
                    <w:jc w:val="center"/>
                    <w:rPr>
                      <w:color w:val="auto"/>
                      <w:sz w:val="21"/>
                      <w:szCs w:val="21"/>
                    </w:rPr>
                  </w:pPr>
                  <w:r>
                    <w:rPr>
                      <w:color w:val="auto"/>
                      <w:sz w:val="21"/>
                      <w:szCs w:val="21"/>
                    </w:rPr>
                    <w:t>TA002</w:t>
                  </w:r>
                </w:p>
              </w:tc>
              <w:tc>
                <w:tcPr>
                  <w:tcW w:w="1230" w:type="pct"/>
                  <w:tcBorders>
                    <w:top w:val="single" w:color="auto" w:sz="4" w:space="0"/>
                    <w:left w:val="single" w:color="auto" w:sz="4" w:space="0"/>
                    <w:bottom w:val="single" w:color="auto" w:sz="4" w:space="0"/>
                    <w:right w:val="single" w:color="auto" w:sz="4" w:space="0"/>
                  </w:tcBorders>
                  <w:vAlign w:val="center"/>
                </w:tcPr>
                <w:p w14:paraId="5B047BCB">
                  <w:pPr>
                    <w:jc w:val="center"/>
                    <w:rPr>
                      <w:color w:val="auto"/>
                      <w:sz w:val="21"/>
                      <w:szCs w:val="21"/>
                    </w:rPr>
                  </w:pPr>
                  <w:r>
                    <w:rPr>
                      <w:color w:val="auto"/>
                      <w:sz w:val="21"/>
                      <w:szCs w:val="21"/>
                    </w:rPr>
                    <w:t>TA002</w:t>
                  </w:r>
                </w:p>
              </w:tc>
              <w:tc>
                <w:tcPr>
                  <w:tcW w:w="1237" w:type="pct"/>
                  <w:tcBorders>
                    <w:top w:val="single" w:color="auto" w:sz="4" w:space="0"/>
                    <w:left w:val="single" w:color="auto" w:sz="4" w:space="0"/>
                    <w:bottom w:val="single" w:color="auto" w:sz="4" w:space="0"/>
                    <w:right w:val="single" w:color="auto" w:sz="4" w:space="0"/>
                  </w:tcBorders>
                  <w:vAlign w:val="center"/>
                </w:tcPr>
                <w:p w14:paraId="66E30BA1">
                  <w:pPr>
                    <w:jc w:val="center"/>
                    <w:rPr>
                      <w:rFonts w:hint="default" w:eastAsia="宋体"/>
                      <w:color w:val="auto"/>
                      <w:sz w:val="21"/>
                      <w:szCs w:val="21"/>
                      <w:lang w:val="en-US" w:eastAsia="zh-CN"/>
                    </w:rPr>
                  </w:pPr>
                  <w:r>
                    <w:rPr>
                      <w:rFonts w:hint="eastAsia"/>
                      <w:color w:val="auto"/>
                      <w:sz w:val="21"/>
                      <w:szCs w:val="21"/>
                      <w:lang w:val="en-US" w:eastAsia="zh-CN"/>
                    </w:rPr>
                    <w:t>烟气循环流化床法，氨法</w:t>
                  </w:r>
                </w:p>
              </w:tc>
              <w:tc>
                <w:tcPr>
                  <w:tcW w:w="1504" w:type="pct"/>
                  <w:tcBorders>
                    <w:top w:val="single" w:color="auto" w:sz="4" w:space="0"/>
                    <w:left w:val="single" w:color="auto" w:sz="4" w:space="0"/>
                    <w:bottom w:val="single" w:color="auto" w:sz="4" w:space="0"/>
                    <w:right w:val="single" w:color="auto" w:sz="4" w:space="0"/>
                  </w:tcBorders>
                  <w:vAlign w:val="center"/>
                </w:tcPr>
                <w:p w14:paraId="5D682222">
                  <w:pPr>
                    <w:jc w:val="center"/>
                    <w:rPr>
                      <w:color w:val="auto"/>
                      <w:sz w:val="21"/>
                      <w:szCs w:val="21"/>
                    </w:rPr>
                  </w:pPr>
                  <w:r>
                    <w:rPr>
                      <w:rFonts w:ascii="Arial" w:hAnsi="Arial" w:eastAsia="宋体" w:cs="Arial"/>
                      <w:i w:val="0"/>
                      <w:iCs w:val="0"/>
                      <w:caps w:val="0"/>
                      <w:color w:val="auto"/>
                      <w:spacing w:val="0"/>
                      <w:sz w:val="21"/>
                      <w:szCs w:val="21"/>
                      <w:shd w:val="clear" w:fill="FFFFFF"/>
                    </w:rPr>
                    <w:t>炉内氨法脱硫+多管水膜除尘器</w:t>
                  </w:r>
                </w:p>
              </w:tc>
            </w:tr>
            <w:tr w14:paraId="4386B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31D5EFE8">
                  <w:pPr>
                    <w:jc w:val="center"/>
                    <w:rPr>
                      <w:color w:val="auto"/>
                      <w:sz w:val="21"/>
                      <w:szCs w:val="21"/>
                    </w:rPr>
                  </w:pPr>
                  <w:r>
                    <w:rPr>
                      <w:color w:val="auto"/>
                      <w:sz w:val="21"/>
                      <w:szCs w:val="21"/>
                    </w:rPr>
                    <w:t>TA003</w:t>
                  </w:r>
                </w:p>
              </w:tc>
              <w:tc>
                <w:tcPr>
                  <w:tcW w:w="1230" w:type="pct"/>
                  <w:tcBorders>
                    <w:top w:val="single" w:color="auto" w:sz="4" w:space="0"/>
                    <w:left w:val="single" w:color="auto" w:sz="4" w:space="0"/>
                    <w:bottom w:val="single" w:color="auto" w:sz="4" w:space="0"/>
                    <w:right w:val="single" w:color="auto" w:sz="4" w:space="0"/>
                  </w:tcBorders>
                  <w:vAlign w:val="center"/>
                </w:tcPr>
                <w:p w14:paraId="7ACF0698">
                  <w:pPr>
                    <w:jc w:val="center"/>
                    <w:rPr>
                      <w:color w:val="auto"/>
                      <w:sz w:val="21"/>
                      <w:szCs w:val="21"/>
                    </w:rPr>
                  </w:pPr>
                  <w:r>
                    <w:rPr>
                      <w:color w:val="auto"/>
                      <w:sz w:val="21"/>
                      <w:szCs w:val="21"/>
                    </w:rPr>
                    <w:t>TA003</w:t>
                  </w:r>
                </w:p>
              </w:tc>
              <w:tc>
                <w:tcPr>
                  <w:tcW w:w="1237" w:type="pct"/>
                  <w:tcBorders>
                    <w:top w:val="single" w:color="auto" w:sz="4" w:space="0"/>
                    <w:left w:val="single" w:color="auto" w:sz="4" w:space="0"/>
                    <w:bottom w:val="single" w:color="auto" w:sz="4" w:space="0"/>
                    <w:right w:val="single" w:color="auto" w:sz="4" w:space="0"/>
                  </w:tcBorders>
                  <w:vAlign w:val="center"/>
                </w:tcPr>
                <w:p w14:paraId="654E8673">
                  <w:pPr>
                    <w:jc w:val="center"/>
                    <w:rPr>
                      <w:rFonts w:hint="default" w:eastAsia="宋体"/>
                      <w:color w:val="auto"/>
                      <w:sz w:val="21"/>
                      <w:szCs w:val="21"/>
                      <w:lang w:val="en-US" w:eastAsia="zh-CN"/>
                    </w:rPr>
                  </w:pPr>
                  <w:r>
                    <w:rPr>
                      <w:rFonts w:hint="eastAsia"/>
                      <w:color w:val="auto"/>
                      <w:sz w:val="21"/>
                      <w:szCs w:val="21"/>
                      <w:lang w:val="en-US" w:eastAsia="zh-CN"/>
                    </w:rPr>
                    <w:t>袋式除尘器，多管水膜除尘</w:t>
                  </w:r>
                </w:p>
              </w:tc>
              <w:tc>
                <w:tcPr>
                  <w:tcW w:w="1504" w:type="pct"/>
                  <w:tcBorders>
                    <w:top w:val="single" w:color="auto" w:sz="4" w:space="0"/>
                    <w:left w:val="single" w:color="auto" w:sz="4" w:space="0"/>
                    <w:bottom w:val="single" w:color="auto" w:sz="4" w:space="0"/>
                    <w:right w:val="single" w:color="auto" w:sz="4" w:space="0"/>
                  </w:tcBorders>
                  <w:vAlign w:val="center"/>
                </w:tcPr>
                <w:p w14:paraId="06DC6286">
                  <w:pPr>
                    <w:jc w:val="center"/>
                    <w:rPr>
                      <w:rFonts w:hint="default" w:eastAsia="宋体"/>
                      <w:color w:val="auto"/>
                      <w:sz w:val="21"/>
                      <w:szCs w:val="21"/>
                      <w:lang w:val="en-US" w:eastAsia="zh-CN"/>
                    </w:rPr>
                  </w:pPr>
                  <w:r>
                    <w:rPr>
                      <w:rFonts w:ascii="Arial" w:hAnsi="Arial" w:eastAsia="宋体" w:cs="Arial"/>
                      <w:i w:val="0"/>
                      <w:iCs w:val="0"/>
                      <w:caps w:val="0"/>
                      <w:color w:val="auto"/>
                      <w:spacing w:val="0"/>
                      <w:sz w:val="21"/>
                      <w:szCs w:val="21"/>
                      <w:shd w:val="clear" w:fill="FFFFFF"/>
                    </w:rPr>
                    <w:t>旋风除尘器+布袋除尘器+</w:t>
                  </w:r>
                  <w:r>
                    <w:rPr>
                      <w:rFonts w:hint="eastAsia"/>
                      <w:color w:val="auto"/>
                      <w:sz w:val="21"/>
                      <w:szCs w:val="21"/>
                      <w:lang w:val="en-US" w:eastAsia="zh-CN"/>
                    </w:rPr>
                    <w:t>多管水膜除尘器</w:t>
                  </w:r>
                </w:p>
              </w:tc>
            </w:tr>
            <w:tr w14:paraId="06EF7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779BA2EC">
                  <w:pPr>
                    <w:jc w:val="center"/>
                    <w:rPr>
                      <w:rFonts w:hint="eastAsia" w:eastAsia="宋体"/>
                      <w:color w:val="auto"/>
                      <w:sz w:val="21"/>
                      <w:szCs w:val="21"/>
                      <w:lang w:eastAsia="zh-CN"/>
                    </w:rPr>
                  </w:pPr>
                  <w:r>
                    <w:rPr>
                      <w:color w:val="auto"/>
                      <w:sz w:val="21"/>
                      <w:szCs w:val="21"/>
                    </w:rPr>
                    <w:t>TA00</w:t>
                  </w:r>
                  <w:r>
                    <w:rPr>
                      <w:rFonts w:hint="eastAsia"/>
                      <w:color w:val="auto"/>
                      <w:sz w:val="21"/>
                      <w:szCs w:val="21"/>
                      <w:lang w:val="en-US" w:eastAsia="zh-CN"/>
                    </w:rPr>
                    <w:t>4</w:t>
                  </w:r>
                </w:p>
              </w:tc>
              <w:tc>
                <w:tcPr>
                  <w:tcW w:w="1230" w:type="pct"/>
                  <w:tcBorders>
                    <w:top w:val="single" w:color="auto" w:sz="4" w:space="0"/>
                    <w:left w:val="single" w:color="auto" w:sz="4" w:space="0"/>
                    <w:bottom w:val="single" w:color="auto" w:sz="4" w:space="0"/>
                    <w:right w:val="single" w:color="auto" w:sz="4" w:space="0"/>
                  </w:tcBorders>
                  <w:vAlign w:val="center"/>
                </w:tcPr>
                <w:p w14:paraId="1934DACA">
                  <w:pPr>
                    <w:jc w:val="center"/>
                    <w:rPr>
                      <w:rFonts w:hint="eastAsia" w:eastAsia="宋体"/>
                      <w:color w:val="auto"/>
                      <w:sz w:val="21"/>
                      <w:szCs w:val="21"/>
                      <w:lang w:eastAsia="zh-CN"/>
                    </w:rPr>
                  </w:pPr>
                  <w:r>
                    <w:rPr>
                      <w:color w:val="auto"/>
                      <w:sz w:val="21"/>
                      <w:szCs w:val="21"/>
                    </w:rPr>
                    <w:t>TA00</w:t>
                  </w:r>
                  <w:r>
                    <w:rPr>
                      <w:rFonts w:hint="eastAsia"/>
                      <w:color w:val="auto"/>
                      <w:sz w:val="21"/>
                      <w:szCs w:val="21"/>
                      <w:lang w:val="en-US" w:eastAsia="zh-CN"/>
                    </w:rPr>
                    <w:t>4</w:t>
                  </w:r>
                </w:p>
              </w:tc>
              <w:tc>
                <w:tcPr>
                  <w:tcW w:w="1237" w:type="pct"/>
                  <w:tcBorders>
                    <w:top w:val="single" w:color="auto" w:sz="4" w:space="0"/>
                    <w:left w:val="single" w:color="auto" w:sz="4" w:space="0"/>
                    <w:bottom w:val="single" w:color="auto" w:sz="4" w:space="0"/>
                    <w:right w:val="single" w:color="auto" w:sz="4" w:space="0"/>
                  </w:tcBorders>
                  <w:vAlign w:val="center"/>
                </w:tcPr>
                <w:p w14:paraId="6C7BF553">
                  <w:pPr>
                    <w:jc w:val="center"/>
                    <w:rPr>
                      <w:rFonts w:hint="eastAsia" w:eastAsia="宋体"/>
                      <w:color w:val="auto"/>
                      <w:sz w:val="21"/>
                      <w:szCs w:val="21"/>
                      <w:lang w:val="en-US" w:eastAsia="zh-CN"/>
                    </w:rPr>
                  </w:pPr>
                  <w:r>
                    <w:rPr>
                      <w:rFonts w:hint="eastAsia"/>
                      <w:color w:val="auto"/>
                      <w:sz w:val="21"/>
                      <w:szCs w:val="21"/>
                      <w:lang w:val="en-US" w:eastAsia="zh-CN"/>
                    </w:rPr>
                    <w:t>除尘设施</w:t>
                  </w:r>
                </w:p>
              </w:tc>
              <w:tc>
                <w:tcPr>
                  <w:tcW w:w="1504" w:type="pct"/>
                  <w:tcBorders>
                    <w:top w:val="single" w:color="auto" w:sz="4" w:space="0"/>
                    <w:left w:val="single" w:color="auto" w:sz="4" w:space="0"/>
                    <w:bottom w:val="single" w:color="auto" w:sz="4" w:space="0"/>
                    <w:right w:val="single" w:color="auto" w:sz="4" w:space="0"/>
                  </w:tcBorders>
                  <w:vAlign w:val="center"/>
                </w:tcPr>
                <w:p w14:paraId="28EBBE68">
                  <w:pPr>
                    <w:jc w:val="center"/>
                    <w:rPr>
                      <w:rFonts w:hint="default" w:eastAsia="宋体"/>
                      <w:color w:val="auto"/>
                      <w:sz w:val="21"/>
                      <w:szCs w:val="21"/>
                      <w:lang w:val="en-US" w:eastAsia="zh-CN"/>
                    </w:rPr>
                  </w:pPr>
                  <w:r>
                    <w:rPr>
                      <w:rFonts w:hint="eastAsia"/>
                      <w:color w:val="auto"/>
                      <w:sz w:val="21"/>
                      <w:szCs w:val="21"/>
                      <w:lang w:val="en-US" w:eastAsia="zh-CN"/>
                    </w:rPr>
                    <w:t>袋式除尘器</w:t>
                  </w:r>
                </w:p>
              </w:tc>
            </w:tr>
            <w:tr w14:paraId="0C475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1F795FC2">
                  <w:pPr>
                    <w:jc w:val="center"/>
                    <w:rPr>
                      <w:rFonts w:hint="eastAsia" w:ascii="Times New Roman" w:hAnsi="Times New Roman" w:eastAsia="宋体" w:cs="Times New Roman"/>
                      <w:color w:val="auto"/>
                      <w:sz w:val="21"/>
                      <w:szCs w:val="21"/>
                      <w:lang w:val="en-US" w:eastAsia="zh-CN" w:bidi="ar-SA"/>
                    </w:rPr>
                  </w:pPr>
                  <w:r>
                    <w:rPr>
                      <w:color w:val="auto"/>
                      <w:sz w:val="21"/>
                      <w:szCs w:val="21"/>
                    </w:rPr>
                    <w:t>TA00</w:t>
                  </w:r>
                  <w:r>
                    <w:rPr>
                      <w:rFonts w:hint="eastAsia"/>
                      <w:color w:val="auto"/>
                      <w:sz w:val="21"/>
                      <w:szCs w:val="21"/>
                      <w:lang w:val="en-US" w:eastAsia="zh-CN"/>
                    </w:rPr>
                    <w:t>4</w:t>
                  </w:r>
                </w:p>
              </w:tc>
              <w:tc>
                <w:tcPr>
                  <w:tcW w:w="1230" w:type="pct"/>
                  <w:tcBorders>
                    <w:top w:val="single" w:color="auto" w:sz="4" w:space="0"/>
                    <w:left w:val="single" w:color="auto" w:sz="4" w:space="0"/>
                    <w:bottom w:val="single" w:color="auto" w:sz="4" w:space="0"/>
                    <w:right w:val="single" w:color="auto" w:sz="4" w:space="0"/>
                  </w:tcBorders>
                  <w:vAlign w:val="center"/>
                </w:tcPr>
                <w:p w14:paraId="7C98E065">
                  <w:pPr>
                    <w:jc w:val="center"/>
                    <w:rPr>
                      <w:rFonts w:hint="eastAsia" w:ascii="Times New Roman" w:hAnsi="Times New Roman" w:eastAsia="宋体" w:cs="Times New Roman"/>
                      <w:color w:val="auto"/>
                      <w:sz w:val="21"/>
                      <w:szCs w:val="21"/>
                      <w:lang w:val="en-US" w:eastAsia="zh-CN" w:bidi="ar-SA"/>
                    </w:rPr>
                  </w:pPr>
                  <w:r>
                    <w:rPr>
                      <w:color w:val="auto"/>
                      <w:sz w:val="21"/>
                      <w:szCs w:val="21"/>
                    </w:rPr>
                    <w:t>TA00</w:t>
                  </w:r>
                  <w:r>
                    <w:rPr>
                      <w:rFonts w:hint="eastAsia"/>
                      <w:color w:val="auto"/>
                      <w:sz w:val="21"/>
                      <w:szCs w:val="21"/>
                      <w:lang w:val="en-US" w:eastAsia="zh-CN"/>
                    </w:rPr>
                    <w:t>4</w:t>
                  </w:r>
                </w:p>
              </w:tc>
              <w:tc>
                <w:tcPr>
                  <w:tcW w:w="1237" w:type="pct"/>
                  <w:tcBorders>
                    <w:top w:val="single" w:color="auto" w:sz="4" w:space="0"/>
                    <w:left w:val="single" w:color="auto" w:sz="4" w:space="0"/>
                    <w:bottom w:val="single" w:color="auto" w:sz="4" w:space="0"/>
                    <w:right w:val="single" w:color="auto" w:sz="4" w:space="0"/>
                  </w:tcBorders>
                  <w:vAlign w:val="center"/>
                </w:tcPr>
                <w:p w14:paraId="714CB3FB">
                  <w:pPr>
                    <w:jc w:val="center"/>
                    <w:rPr>
                      <w:rFonts w:hint="eastAsia"/>
                      <w:color w:val="auto"/>
                      <w:sz w:val="21"/>
                      <w:szCs w:val="21"/>
                      <w:lang w:val="en-US" w:eastAsia="zh-CN"/>
                    </w:rPr>
                  </w:pPr>
                  <w:r>
                    <w:rPr>
                      <w:rFonts w:ascii="Arial" w:hAnsi="Arial" w:eastAsia="宋体" w:cs="Arial"/>
                      <w:i w:val="0"/>
                      <w:iCs w:val="0"/>
                      <w:caps w:val="0"/>
                      <w:color w:val="auto"/>
                      <w:spacing w:val="0"/>
                      <w:sz w:val="21"/>
                      <w:szCs w:val="21"/>
                      <w:shd w:val="clear" w:fill="FFFFFF"/>
                    </w:rPr>
                    <w:t>洗涤塔</w:t>
                  </w:r>
                </w:p>
              </w:tc>
              <w:tc>
                <w:tcPr>
                  <w:tcW w:w="1504" w:type="pct"/>
                  <w:tcBorders>
                    <w:top w:val="single" w:color="auto" w:sz="4" w:space="0"/>
                    <w:left w:val="single" w:color="auto" w:sz="4" w:space="0"/>
                    <w:bottom w:val="single" w:color="auto" w:sz="4" w:space="0"/>
                    <w:right w:val="single" w:color="auto" w:sz="4" w:space="0"/>
                  </w:tcBorders>
                  <w:vAlign w:val="center"/>
                </w:tcPr>
                <w:p w14:paraId="4744F512">
                  <w:pPr>
                    <w:jc w:val="center"/>
                    <w:rPr>
                      <w:rFonts w:hint="default"/>
                      <w:color w:val="auto"/>
                      <w:sz w:val="21"/>
                      <w:szCs w:val="21"/>
                      <w:lang w:val="en-US" w:eastAsia="zh-CN"/>
                    </w:rPr>
                  </w:pPr>
                  <w:r>
                    <w:rPr>
                      <w:rFonts w:hint="eastAsia"/>
                      <w:color w:val="auto"/>
                      <w:sz w:val="21"/>
                      <w:szCs w:val="21"/>
                      <w:lang w:val="en-US" w:eastAsia="zh-CN"/>
                    </w:rPr>
                    <w:t>二级洗涤</w:t>
                  </w:r>
                </w:p>
              </w:tc>
            </w:tr>
            <w:tr w14:paraId="366E5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26F14289">
                  <w:pPr>
                    <w:jc w:val="center"/>
                    <w:rPr>
                      <w:rFonts w:hint="eastAsia" w:eastAsia="宋体"/>
                      <w:color w:val="auto"/>
                      <w:sz w:val="21"/>
                      <w:szCs w:val="21"/>
                      <w:lang w:eastAsia="zh-CN"/>
                    </w:rPr>
                  </w:pPr>
                  <w:r>
                    <w:rPr>
                      <w:color w:val="auto"/>
                      <w:sz w:val="21"/>
                      <w:szCs w:val="21"/>
                    </w:rPr>
                    <w:t>TA00</w:t>
                  </w:r>
                  <w:r>
                    <w:rPr>
                      <w:rFonts w:hint="eastAsia"/>
                      <w:color w:val="auto"/>
                      <w:sz w:val="21"/>
                      <w:szCs w:val="21"/>
                      <w:lang w:val="en-US" w:eastAsia="zh-CN"/>
                    </w:rPr>
                    <w:t>5</w:t>
                  </w:r>
                </w:p>
              </w:tc>
              <w:tc>
                <w:tcPr>
                  <w:tcW w:w="1230" w:type="pct"/>
                  <w:tcBorders>
                    <w:top w:val="single" w:color="auto" w:sz="4" w:space="0"/>
                    <w:left w:val="single" w:color="auto" w:sz="4" w:space="0"/>
                    <w:bottom w:val="single" w:color="auto" w:sz="4" w:space="0"/>
                    <w:right w:val="single" w:color="auto" w:sz="4" w:space="0"/>
                  </w:tcBorders>
                  <w:vAlign w:val="center"/>
                </w:tcPr>
                <w:p w14:paraId="71ECD9C9">
                  <w:pPr>
                    <w:jc w:val="center"/>
                    <w:rPr>
                      <w:color w:val="auto"/>
                      <w:sz w:val="21"/>
                      <w:szCs w:val="21"/>
                    </w:rPr>
                  </w:pPr>
                  <w:r>
                    <w:rPr>
                      <w:color w:val="auto"/>
                      <w:sz w:val="21"/>
                      <w:szCs w:val="21"/>
                    </w:rPr>
                    <w:t>TA005</w:t>
                  </w:r>
                </w:p>
              </w:tc>
              <w:tc>
                <w:tcPr>
                  <w:tcW w:w="1237" w:type="pct"/>
                  <w:tcBorders>
                    <w:top w:val="single" w:color="auto" w:sz="4" w:space="0"/>
                    <w:left w:val="single" w:color="auto" w:sz="4" w:space="0"/>
                    <w:bottom w:val="single" w:color="auto" w:sz="4" w:space="0"/>
                    <w:right w:val="single" w:color="auto" w:sz="4" w:space="0"/>
                  </w:tcBorders>
                  <w:vAlign w:val="center"/>
                </w:tcPr>
                <w:p w14:paraId="2BC9B507">
                  <w:pPr>
                    <w:jc w:val="center"/>
                    <w:rPr>
                      <w:color w:val="auto"/>
                      <w:sz w:val="21"/>
                      <w:szCs w:val="21"/>
                    </w:rPr>
                  </w:pPr>
                  <w:r>
                    <w:rPr>
                      <w:rFonts w:ascii="Arial" w:hAnsi="Arial" w:eastAsia="宋体" w:cs="Arial"/>
                      <w:i w:val="0"/>
                      <w:iCs w:val="0"/>
                      <w:caps w:val="0"/>
                      <w:color w:val="auto"/>
                      <w:spacing w:val="0"/>
                      <w:sz w:val="21"/>
                      <w:szCs w:val="21"/>
                      <w:shd w:val="clear" w:fill="FFFFFF"/>
                    </w:rPr>
                    <w:t>重钙/二铵尾气洗涤塔</w:t>
                  </w:r>
                </w:p>
              </w:tc>
              <w:tc>
                <w:tcPr>
                  <w:tcW w:w="1504" w:type="pct"/>
                  <w:tcBorders>
                    <w:top w:val="single" w:color="auto" w:sz="4" w:space="0"/>
                    <w:left w:val="single" w:color="auto" w:sz="4" w:space="0"/>
                    <w:bottom w:val="single" w:color="auto" w:sz="4" w:space="0"/>
                    <w:right w:val="single" w:color="auto" w:sz="4" w:space="0"/>
                  </w:tcBorders>
                  <w:vAlign w:val="center"/>
                </w:tcPr>
                <w:p w14:paraId="0095D886">
                  <w:pPr>
                    <w:jc w:val="center"/>
                    <w:rPr>
                      <w:color w:val="auto"/>
                      <w:sz w:val="21"/>
                      <w:szCs w:val="21"/>
                    </w:rPr>
                  </w:pPr>
                  <w:r>
                    <w:rPr>
                      <w:rFonts w:ascii="Arial" w:hAnsi="Arial" w:eastAsia="宋体" w:cs="Arial"/>
                      <w:i w:val="0"/>
                      <w:iCs w:val="0"/>
                      <w:caps w:val="0"/>
                      <w:color w:val="auto"/>
                      <w:spacing w:val="0"/>
                      <w:sz w:val="21"/>
                      <w:szCs w:val="21"/>
                      <w:shd w:val="clear" w:fill="FFFFFF"/>
                    </w:rPr>
                    <w:t>文丘里+三级洗涤</w:t>
                  </w:r>
                </w:p>
              </w:tc>
            </w:tr>
            <w:tr w14:paraId="3F353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36B39CD5">
                  <w:pPr>
                    <w:jc w:val="center"/>
                    <w:rPr>
                      <w:rFonts w:hint="eastAsia" w:ascii="Times New Roman" w:hAnsi="Times New Roman" w:eastAsia="宋体" w:cs="Times New Roman"/>
                      <w:color w:val="auto"/>
                      <w:sz w:val="21"/>
                      <w:szCs w:val="21"/>
                      <w:lang w:val="en-US" w:eastAsia="zh-CN" w:bidi="ar-SA"/>
                    </w:rPr>
                  </w:pPr>
                  <w:r>
                    <w:rPr>
                      <w:color w:val="auto"/>
                      <w:sz w:val="21"/>
                      <w:szCs w:val="21"/>
                    </w:rPr>
                    <w:t>TA00</w:t>
                  </w:r>
                  <w:r>
                    <w:rPr>
                      <w:rFonts w:hint="eastAsia"/>
                      <w:color w:val="auto"/>
                      <w:sz w:val="21"/>
                      <w:szCs w:val="21"/>
                      <w:lang w:val="en-US" w:eastAsia="zh-CN"/>
                    </w:rPr>
                    <w:t>5</w:t>
                  </w:r>
                </w:p>
              </w:tc>
              <w:tc>
                <w:tcPr>
                  <w:tcW w:w="1230" w:type="pct"/>
                  <w:tcBorders>
                    <w:top w:val="single" w:color="auto" w:sz="4" w:space="0"/>
                    <w:left w:val="single" w:color="auto" w:sz="4" w:space="0"/>
                    <w:bottom w:val="single" w:color="auto" w:sz="4" w:space="0"/>
                    <w:right w:val="single" w:color="auto" w:sz="4" w:space="0"/>
                  </w:tcBorders>
                  <w:vAlign w:val="center"/>
                </w:tcPr>
                <w:p w14:paraId="3BC3C434">
                  <w:pPr>
                    <w:jc w:val="center"/>
                    <w:rPr>
                      <w:rFonts w:ascii="Times New Roman" w:hAnsi="Times New Roman" w:eastAsia="宋体" w:cs="Times New Roman"/>
                      <w:color w:val="auto"/>
                      <w:sz w:val="21"/>
                      <w:szCs w:val="21"/>
                      <w:lang w:val="en-US" w:eastAsia="zh-CN" w:bidi="ar-SA"/>
                    </w:rPr>
                  </w:pPr>
                  <w:r>
                    <w:rPr>
                      <w:color w:val="auto"/>
                      <w:sz w:val="21"/>
                      <w:szCs w:val="21"/>
                    </w:rPr>
                    <w:t>TA005</w:t>
                  </w:r>
                </w:p>
              </w:tc>
              <w:tc>
                <w:tcPr>
                  <w:tcW w:w="1237" w:type="pct"/>
                  <w:tcBorders>
                    <w:top w:val="single" w:color="auto" w:sz="4" w:space="0"/>
                    <w:left w:val="single" w:color="auto" w:sz="4" w:space="0"/>
                    <w:bottom w:val="single" w:color="auto" w:sz="4" w:space="0"/>
                    <w:right w:val="single" w:color="auto" w:sz="4" w:space="0"/>
                  </w:tcBorders>
                  <w:vAlign w:val="center"/>
                </w:tcPr>
                <w:p w14:paraId="61BB93F8">
                  <w:pPr>
                    <w:jc w:val="center"/>
                    <w:rPr>
                      <w:rFonts w:ascii="Arial" w:hAnsi="Arial" w:eastAsia="宋体" w:cs="Arial"/>
                      <w:i w:val="0"/>
                      <w:iCs w:val="0"/>
                      <w:caps w:val="0"/>
                      <w:color w:val="auto"/>
                      <w:spacing w:val="0"/>
                      <w:sz w:val="21"/>
                      <w:szCs w:val="21"/>
                      <w:shd w:val="clear" w:fill="FFFFFF"/>
                    </w:rPr>
                  </w:pPr>
                  <w:r>
                    <w:rPr>
                      <w:rFonts w:ascii="Arial" w:hAnsi="Arial" w:eastAsia="宋体" w:cs="Arial"/>
                      <w:i w:val="0"/>
                      <w:iCs w:val="0"/>
                      <w:caps w:val="0"/>
                      <w:color w:val="auto"/>
                      <w:spacing w:val="0"/>
                      <w:sz w:val="21"/>
                      <w:szCs w:val="21"/>
                      <w:shd w:val="clear" w:fill="FFFFFF"/>
                    </w:rPr>
                    <w:t>除尘设施</w:t>
                  </w:r>
                </w:p>
              </w:tc>
              <w:tc>
                <w:tcPr>
                  <w:tcW w:w="1504" w:type="pct"/>
                  <w:tcBorders>
                    <w:top w:val="single" w:color="auto" w:sz="4" w:space="0"/>
                    <w:left w:val="single" w:color="auto" w:sz="4" w:space="0"/>
                    <w:bottom w:val="single" w:color="auto" w:sz="4" w:space="0"/>
                    <w:right w:val="single" w:color="auto" w:sz="4" w:space="0"/>
                  </w:tcBorders>
                  <w:vAlign w:val="center"/>
                </w:tcPr>
                <w:p w14:paraId="2BE2092F">
                  <w:pPr>
                    <w:jc w:val="center"/>
                    <w:rPr>
                      <w:rFonts w:ascii="Arial" w:hAnsi="Arial" w:eastAsia="宋体" w:cs="Arial"/>
                      <w:i w:val="0"/>
                      <w:iCs w:val="0"/>
                      <w:caps w:val="0"/>
                      <w:color w:val="auto"/>
                      <w:spacing w:val="0"/>
                      <w:sz w:val="21"/>
                      <w:szCs w:val="21"/>
                      <w:shd w:val="clear" w:fill="FFFFFF"/>
                    </w:rPr>
                  </w:pPr>
                  <w:r>
                    <w:rPr>
                      <w:rFonts w:ascii="Arial" w:hAnsi="Arial" w:eastAsia="宋体" w:cs="Arial"/>
                      <w:i w:val="0"/>
                      <w:iCs w:val="0"/>
                      <w:caps w:val="0"/>
                      <w:color w:val="auto"/>
                      <w:spacing w:val="0"/>
                      <w:sz w:val="21"/>
                      <w:szCs w:val="21"/>
                      <w:shd w:val="clear" w:fill="FFFFFF"/>
                    </w:rPr>
                    <w:t>旋风、三级洗涤</w:t>
                  </w:r>
                </w:p>
              </w:tc>
            </w:tr>
            <w:tr w14:paraId="46AC2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1DC6C58C">
                  <w:pPr>
                    <w:jc w:val="center"/>
                    <w:rPr>
                      <w:rFonts w:hint="eastAsia"/>
                      <w:color w:val="auto"/>
                      <w:sz w:val="21"/>
                      <w:szCs w:val="21"/>
                      <w:lang w:eastAsia="zh-CN"/>
                    </w:rPr>
                  </w:pPr>
                  <w:r>
                    <w:rPr>
                      <w:color w:val="auto"/>
                      <w:sz w:val="21"/>
                      <w:szCs w:val="21"/>
                    </w:rPr>
                    <w:t>TA00</w:t>
                  </w:r>
                  <w:r>
                    <w:rPr>
                      <w:rFonts w:hint="eastAsia"/>
                      <w:color w:val="auto"/>
                      <w:sz w:val="21"/>
                      <w:szCs w:val="21"/>
                      <w:lang w:val="en-US" w:eastAsia="zh-CN"/>
                    </w:rPr>
                    <w:t>6</w:t>
                  </w:r>
                </w:p>
              </w:tc>
              <w:tc>
                <w:tcPr>
                  <w:tcW w:w="1230" w:type="pct"/>
                  <w:tcBorders>
                    <w:top w:val="single" w:color="auto" w:sz="4" w:space="0"/>
                    <w:left w:val="single" w:color="auto" w:sz="4" w:space="0"/>
                    <w:bottom w:val="single" w:color="auto" w:sz="4" w:space="0"/>
                    <w:right w:val="single" w:color="auto" w:sz="4" w:space="0"/>
                  </w:tcBorders>
                  <w:vAlign w:val="center"/>
                </w:tcPr>
                <w:p w14:paraId="2E8E1A28">
                  <w:pPr>
                    <w:jc w:val="center"/>
                    <w:rPr>
                      <w:rFonts w:hint="eastAsia"/>
                      <w:color w:val="auto"/>
                      <w:sz w:val="21"/>
                      <w:szCs w:val="21"/>
                      <w:lang w:eastAsia="zh-CN"/>
                    </w:rPr>
                  </w:pPr>
                  <w:r>
                    <w:rPr>
                      <w:color w:val="auto"/>
                      <w:sz w:val="21"/>
                      <w:szCs w:val="21"/>
                    </w:rPr>
                    <w:t>TA00</w:t>
                  </w:r>
                  <w:r>
                    <w:rPr>
                      <w:rFonts w:hint="eastAsia"/>
                      <w:color w:val="auto"/>
                      <w:sz w:val="21"/>
                      <w:szCs w:val="21"/>
                      <w:lang w:val="en-US" w:eastAsia="zh-CN"/>
                    </w:rPr>
                    <w:t>6</w:t>
                  </w:r>
                </w:p>
              </w:tc>
              <w:tc>
                <w:tcPr>
                  <w:tcW w:w="1237" w:type="pct"/>
                  <w:tcBorders>
                    <w:top w:val="single" w:color="auto" w:sz="4" w:space="0"/>
                    <w:left w:val="single" w:color="auto" w:sz="4" w:space="0"/>
                    <w:bottom w:val="single" w:color="auto" w:sz="4" w:space="0"/>
                    <w:right w:val="single" w:color="auto" w:sz="4" w:space="0"/>
                  </w:tcBorders>
                  <w:vAlign w:val="center"/>
                </w:tcPr>
                <w:p w14:paraId="6B697CB8">
                  <w:pPr>
                    <w:jc w:val="center"/>
                    <w:rPr>
                      <w:rFonts w:ascii="Arial" w:hAnsi="Arial" w:eastAsia="宋体" w:cs="Arial"/>
                      <w:i w:val="0"/>
                      <w:iCs w:val="0"/>
                      <w:caps w:val="0"/>
                      <w:color w:val="auto"/>
                      <w:spacing w:val="0"/>
                      <w:sz w:val="21"/>
                      <w:szCs w:val="21"/>
                      <w:shd w:val="clear" w:fill="FFFFFF"/>
                    </w:rPr>
                  </w:pPr>
                  <w:r>
                    <w:rPr>
                      <w:rFonts w:ascii="Arial" w:hAnsi="Arial" w:eastAsia="宋体" w:cs="Arial"/>
                      <w:i w:val="0"/>
                      <w:iCs w:val="0"/>
                      <w:caps w:val="0"/>
                      <w:color w:val="auto"/>
                      <w:spacing w:val="0"/>
                      <w:sz w:val="21"/>
                      <w:szCs w:val="21"/>
                      <w:shd w:val="clear" w:fill="FFFFFF"/>
                    </w:rPr>
                    <w:t>除尘设施</w:t>
                  </w:r>
                </w:p>
              </w:tc>
              <w:tc>
                <w:tcPr>
                  <w:tcW w:w="1504" w:type="pct"/>
                  <w:tcBorders>
                    <w:top w:val="single" w:color="auto" w:sz="4" w:space="0"/>
                    <w:left w:val="single" w:color="auto" w:sz="4" w:space="0"/>
                    <w:bottom w:val="single" w:color="auto" w:sz="4" w:space="0"/>
                    <w:right w:val="single" w:color="auto" w:sz="4" w:space="0"/>
                  </w:tcBorders>
                  <w:vAlign w:val="center"/>
                </w:tcPr>
                <w:p w14:paraId="6F895397">
                  <w:pPr>
                    <w:jc w:val="center"/>
                    <w:rPr>
                      <w:rFonts w:ascii="Arial" w:hAnsi="Arial" w:eastAsia="宋体" w:cs="Arial"/>
                      <w:i w:val="0"/>
                      <w:iCs w:val="0"/>
                      <w:caps w:val="0"/>
                      <w:color w:val="auto"/>
                      <w:spacing w:val="0"/>
                      <w:sz w:val="21"/>
                      <w:szCs w:val="21"/>
                      <w:shd w:val="clear" w:fill="FFFFFF"/>
                    </w:rPr>
                  </w:pPr>
                  <w:r>
                    <w:rPr>
                      <w:rFonts w:ascii="Arial" w:hAnsi="Arial" w:eastAsia="宋体" w:cs="Arial"/>
                      <w:i w:val="0"/>
                      <w:iCs w:val="0"/>
                      <w:caps w:val="0"/>
                      <w:color w:val="auto"/>
                      <w:spacing w:val="0"/>
                      <w:sz w:val="21"/>
                      <w:szCs w:val="21"/>
                      <w:shd w:val="clear" w:fill="FFFFFF"/>
                    </w:rPr>
                    <w:fldChar w:fldCharType="begin"/>
                  </w:r>
                  <w:r>
                    <w:rPr>
                      <w:rFonts w:ascii="Arial" w:hAnsi="Arial" w:eastAsia="宋体" w:cs="Arial"/>
                      <w:i w:val="0"/>
                      <w:iCs w:val="0"/>
                      <w:caps w:val="0"/>
                      <w:color w:val="auto"/>
                      <w:spacing w:val="0"/>
                      <w:sz w:val="21"/>
                      <w:szCs w:val="21"/>
                      <w:shd w:val="clear" w:fill="FFFFFF"/>
                    </w:rPr>
                    <w:instrText xml:space="preserve"> HYPERLINK "https://permit.mee.gov.cn/permitExt/syssb/wysb/hpsp/hpsp!zlss.action?iscols=false&amp;xkzbbid=&amp;dataid=ac6717da06c6452a8b633e50a057d2b1&amp;operate=readonly&amp;cardid=card4&amp;instanceid=2707786&amp;itemid=&amp;isVersion=&amp;itemtype=&amp;itemtypeid=XZXKTYPE_A" </w:instrText>
                  </w:r>
                  <w:r>
                    <w:rPr>
                      <w:rFonts w:ascii="Arial" w:hAnsi="Arial" w:eastAsia="宋体" w:cs="Arial"/>
                      <w:i w:val="0"/>
                      <w:iCs w:val="0"/>
                      <w:caps w:val="0"/>
                      <w:color w:val="auto"/>
                      <w:spacing w:val="0"/>
                      <w:sz w:val="21"/>
                      <w:szCs w:val="21"/>
                      <w:shd w:val="clear" w:fill="FFFFFF"/>
                    </w:rPr>
                    <w:fldChar w:fldCharType="separate"/>
                  </w:r>
                  <w:r>
                    <w:rPr>
                      <w:rFonts w:hint="default" w:ascii="Arial" w:hAnsi="Arial" w:eastAsia="宋体" w:cs="Arial"/>
                      <w:i w:val="0"/>
                      <w:iCs w:val="0"/>
                      <w:caps w:val="0"/>
                      <w:color w:val="auto"/>
                      <w:spacing w:val="0"/>
                      <w:sz w:val="21"/>
                      <w:szCs w:val="21"/>
                      <w:shd w:val="clear" w:fill="FFFFFF"/>
                    </w:rPr>
                    <w:t>袋式除尘器</w:t>
                  </w:r>
                  <w:r>
                    <w:rPr>
                      <w:rFonts w:hint="default" w:ascii="Arial" w:hAnsi="Arial" w:eastAsia="宋体" w:cs="Arial"/>
                      <w:i w:val="0"/>
                      <w:iCs w:val="0"/>
                      <w:caps w:val="0"/>
                      <w:color w:val="auto"/>
                      <w:spacing w:val="0"/>
                      <w:sz w:val="21"/>
                      <w:szCs w:val="21"/>
                      <w:shd w:val="clear" w:fill="FFFFFF"/>
                    </w:rPr>
                    <w:fldChar w:fldCharType="end"/>
                  </w:r>
                  <w:r>
                    <w:rPr>
                      <w:rFonts w:hint="eastAsia" w:ascii="Arial" w:hAnsi="Arial" w:cs="Arial"/>
                      <w:i w:val="0"/>
                      <w:iCs w:val="0"/>
                      <w:caps w:val="0"/>
                      <w:color w:val="auto"/>
                      <w:spacing w:val="0"/>
                      <w:sz w:val="21"/>
                      <w:szCs w:val="21"/>
                      <w:shd w:val="clear" w:fill="FFFFFF"/>
                      <w:lang w:eastAsia="zh-CN"/>
                    </w:rPr>
                    <w:t>，</w:t>
                  </w:r>
                  <w:r>
                    <w:rPr>
                      <w:rFonts w:hint="default" w:ascii="Arial" w:hAnsi="Arial" w:eastAsia="宋体" w:cs="Arial"/>
                      <w:i w:val="0"/>
                      <w:iCs w:val="0"/>
                      <w:caps w:val="0"/>
                      <w:color w:val="auto"/>
                      <w:spacing w:val="0"/>
                      <w:sz w:val="21"/>
                      <w:szCs w:val="21"/>
                      <w:shd w:val="clear" w:fill="FFFFFF"/>
                    </w:rPr>
                    <w:fldChar w:fldCharType="begin"/>
                  </w:r>
                  <w:r>
                    <w:rPr>
                      <w:rFonts w:hint="default" w:ascii="Arial" w:hAnsi="Arial" w:eastAsia="宋体" w:cs="Arial"/>
                      <w:i w:val="0"/>
                      <w:iCs w:val="0"/>
                      <w:caps w:val="0"/>
                      <w:color w:val="auto"/>
                      <w:spacing w:val="0"/>
                      <w:sz w:val="21"/>
                      <w:szCs w:val="21"/>
                      <w:shd w:val="clear" w:fill="FFFFFF"/>
                    </w:rPr>
                    <w:instrText xml:space="preserve"> HYPERLINK "https://permit.mee.gov.cn/permitExt/syssb/wysb/hpsp/hpsp!zlss.action?iscols=false&amp;xkzbbid=&amp;dataid=ac6717da06c6452a8b633e50a057d2b1&amp;operate=readonly&amp;cardid=card4&amp;instanceid=2707786&amp;itemid=&amp;isVersion=&amp;itemtype=&amp;itemtypeid=XZXKTYPE_A" </w:instrText>
                  </w:r>
                  <w:r>
                    <w:rPr>
                      <w:rFonts w:hint="default" w:ascii="Arial" w:hAnsi="Arial" w:eastAsia="宋体" w:cs="Arial"/>
                      <w:i w:val="0"/>
                      <w:iCs w:val="0"/>
                      <w:caps w:val="0"/>
                      <w:color w:val="auto"/>
                      <w:spacing w:val="0"/>
                      <w:sz w:val="21"/>
                      <w:szCs w:val="21"/>
                      <w:shd w:val="clear" w:fill="FFFFFF"/>
                    </w:rPr>
                    <w:fldChar w:fldCharType="separate"/>
                  </w:r>
                  <w:r>
                    <w:rPr>
                      <w:rFonts w:hint="default" w:ascii="Arial" w:hAnsi="Arial" w:eastAsia="宋体" w:cs="Arial"/>
                      <w:i w:val="0"/>
                      <w:iCs w:val="0"/>
                      <w:caps w:val="0"/>
                      <w:color w:val="auto"/>
                      <w:spacing w:val="0"/>
                      <w:sz w:val="21"/>
                      <w:szCs w:val="21"/>
                      <w:shd w:val="clear" w:fill="FFFFFF"/>
                    </w:rPr>
                    <w:t>旋风分离器</w:t>
                  </w:r>
                  <w:r>
                    <w:rPr>
                      <w:rFonts w:hint="default" w:ascii="Arial" w:hAnsi="Arial" w:eastAsia="宋体" w:cs="Arial"/>
                      <w:i w:val="0"/>
                      <w:iCs w:val="0"/>
                      <w:caps w:val="0"/>
                      <w:color w:val="auto"/>
                      <w:spacing w:val="0"/>
                      <w:sz w:val="21"/>
                      <w:szCs w:val="21"/>
                      <w:shd w:val="clear" w:fill="FFFFFF"/>
                    </w:rPr>
                    <w:fldChar w:fldCharType="end"/>
                  </w:r>
                </w:p>
              </w:tc>
            </w:tr>
            <w:tr w14:paraId="3A5BF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3EE9498A">
                  <w:pPr>
                    <w:jc w:val="center"/>
                    <w:rPr>
                      <w:rFonts w:hint="eastAsia" w:eastAsia="宋体"/>
                      <w:color w:val="auto"/>
                      <w:sz w:val="21"/>
                      <w:szCs w:val="21"/>
                      <w:lang w:eastAsia="zh-CN"/>
                    </w:rPr>
                  </w:pPr>
                  <w:r>
                    <w:rPr>
                      <w:color w:val="auto"/>
                      <w:sz w:val="21"/>
                      <w:szCs w:val="21"/>
                    </w:rPr>
                    <w:t>TA00</w:t>
                  </w:r>
                  <w:r>
                    <w:rPr>
                      <w:rFonts w:hint="eastAsia"/>
                      <w:color w:val="auto"/>
                      <w:sz w:val="21"/>
                      <w:szCs w:val="21"/>
                      <w:lang w:val="en-US" w:eastAsia="zh-CN"/>
                    </w:rPr>
                    <w:t>7</w:t>
                  </w:r>
                </w:p>
              </w:tc>
              <w:tc>
                <w:tcPr>
                  <w:tcW w:w="1230" w:type="pct"/>
                  <w:tcBorders>
                    <w:top w:val="single" w:color="auto" w:sz="4" w:space="0"/>
                    <w:left w:val="single" w:color="auto" w:sz="4" w:space="0"/>
                    <w:bottom w:val="single" w:color="auto" w:sz="4" w:space="0"/>
                    <w:right w:val="single" w:color="auto" w:sz="4" w:space="0"/>
                  </w:tcBorders>
                  <w:vAlign w:val="center"/>
                </w:tcPr>
                <w:p w14:paraId="0D231AC1">
                  <w:pPr>
                    <w:jc w:val="center"/>
                    <w:rPr>
                      <w:rFonts w:hint="eastAsia" w:eastAsia="宋体"/>
                      <w:color w:val="auto"/>
                      <w:sz w:val="21"/>
                      <w:szCs w:val="21"/>
                      <w:lang w:eastAsia="zh-CN"/>
                    </w:rPr>
                  </w:pPr>
                  <w:r>
                    <w:rPr>
                      <w:color w:val="auto"/>
                      <w:sz w:val="21"/>
                      <w:szCs w:val="21"/>
                    </w:rPr>
                    <w:t>TA00</w:t>
                  </w:r>
                  <w:r>
                    <w:rPr>
                      <w:rFonts w:hint="eastAsia"/>
                      <w:color w:val="auto"/>
                      <w:sz w:val="21"/>
                      <w:szCs w:val="21"/>
                      <w:lang w:val="en-US" w:eastAsia="zh-CN"/>
                    </w:rPr>
                    <w:t>7</w:t>
                  </w:r>
                </w:p>
              </w:tc>
              <w:tc>
                <w:tcPr>
                  <w:tcW w:w="1237" w:type="pct"/>
                  <w:tcBorders>
                    <w:top w:val="single" w:color="auto" w:sz="4" w:space="0"/>
                    <w:left w:val="single" w:color="auto" w:sz="4" w:space="0"/>
                    <w:bottom w:val="single" w:color="auto" w:sz="4" w:space="0"/>
                    <w:right w:val="single" w:color="auto" w:sz="4" w:space="0"/>
                  </w:tcBorders>
                  <w:vAlign w:val="center"/>
                </w:tcPr>
                <w:p w14:paraId="56537DC2">
                  <w:pPr>
                    <w:jc w:val="center"/>
                    <w:rPr>
                      <w:rFonts w:ascii="Arial" w:hAnsi="Arial" w:eastAsia="宋体" w:cs="Arial"/>
                      <w:i w:val="0"/>
                      <w:iCs w:val="0"/>
                      <w:caps w:val="0"/>
                      <w:color w:val="auto"/>
                      <w:spacing w:val="0"/>
                      <w:sz w:val="21"/>
                      <w:szCs w:val="21"/>
                      <w:shd w:val="clear" w:fill="FFFFFF"/>
                      <w:lang w:val="en-US" w:eastAsia="zh-CN" w:bidi="ar-SA"/>
                    </w:rPr>
                  </w:pPr>
                  <w:r>
                    <w:rPr>
                      <w:rFonts w:ascii="Arial" w:hAnsi="Arial" w:eastAsia="宋体" w:cs="Arial"/>
                      <w:i w:val="0"/>
                      <w:iCs w:val="0"/>
                      <w:caps w:val="0"/>
                      <w:color w:val="auto"/>
                      <w:spacing w:val="0"/>
                      <w:sz w:val="21"/>
                      <w:szCs w:val="21"/>
                      <w:shd w:val="clear" w:fill="FFFFFF"/>
                    </w:rPr>
                    <w:t>除尘设施</w:t>
                  </w:r>
                </w:p>
              </w:tc>
              <w:tc>
                <w:tcPr>
                  <w:tcW w:w="1504" w:type="pct"/>
                  <w:tcBorders>
                    <w:top w:val="single" w:color="auto" w:sz="4" w:space="0"/>
                    <w:left w:val="single" w:color="auto" w:sz="4" w:space="0"/>
                    <w:bottom w:val="single" w:color="auto" w:sz="4" w:space="0"/>
                    <w:right w:val="single" w:color="auto" w:sz="4" w:space="0"/>
                  </w:tcBorders>
                  <w:vAlign w:val="center"/>
                </w:tcPr>
                <w:p w14:paraId="38B25B0F">
                  <w:pPr>
                    <w:jc w:val="center"/>
                    <w:rPr>
                      <w:rFonts w:ascii="Arial" w:hAnsi="Arial" w:eastAsia="宋体" w:cs="Arial"/>
                      <w:i w:val="0"/>
                      <w:iCs w:val="0"/>
                      <w:caps w:val="0"/>
                      <w:color w:val="auto"/>
                      <w:spacing w:val="0"/>
                      <w:sz w:val="21"/>
                      <w:szCs w:val="21"/>
                      <w:shd w:val="clear" w:fill="FFFFFF"/>
                      <w:lang w:val="en-US" w:eastAsia="zh-CN" w:bidi="ar-SA"/>
                    </w:rPr>
                  </w:pPr>
                  <w:r>
                    <w:rPr>
                      <w:rFonts w:ascii="Arial" w:hAnsi="Arial" w:eastAsia="宋体" w:cs="Arial"/>
                      <w:i w:val="0"/>
                      <w:iCs w:val="0"/>
                      <w:caps w:val="0"/>
                      <w:color w:val="auto"/>
                      <w:spacing w:val="0"/>
                      <w:sz w:val="21"/>
                      <w:szCs w:val="21"/>
                      <w:shd w:val="clear" w:fill="FFFFFF"/>
                    </w:rPr>
                    <w:fldChar w:fldCharType="begin"/>
                  </w:r>
                  <w:r>
                    <w:rPr>
                      <w:rFonts w:ascii="Arial" w:hAnsi="Arial" w:eastAsia="宋体" w:cs="Arial"/>
                      <w:i w:val="0"/>
                      <w:iCs w:val="0"/>
                      <w:caps w:val="0"/>
                      <w:color w:val="auto"/>
                      <w:spacing w:val="0"/>
                      <w:sz w:val="21"/>
                      <w:szCs w:val="21"/>
                      <w:shd w:val="clear" w:fill="FFFFFF"/>
                    </w:rPr>
                    <w:instrText xml:space="preserve"> HYPERLINK "https://permit.mee.gov.cn/permitExt/syssb/wysb/hpsp/hpsp!zlss.action?iscols=false&amp;xkzbbid=&amp;dataid=ac6717da06c6452a8b633e50a057d2b1&amp;operate=readonly&amp;cardid=card4&amp;instanceid=2707786&amp;itemid=&amp;isVersion=&amp;itemtype=&amp;itemtypeid=XZXKTYPE_A" </w:instrText>
                  </w:r>
                  <w:r>
                    <w:rPr>
                      <w:rFonts w:ascii="Arial" w:hAnsi="Arial" w:eastAsia="宋体" w:cs="Arial"/>
                      <w:i w:val="0"/>
                      <w:iCs w:val="0"/>
                      <w:caps w:val="0"/>
                      <w:color w:val="auto"/>
                      <w:spacing w:val="0"/>
                      <w:sz w:val="21"/>
                      <w:szCs w:val="21"/>
                      <w:shd w:val="clear" w:fill="FFFFFF"/>
                    </w:rPr>
                    <w:fldChar w:fldCharType="separate"/>
                  </w:r>
                  <w:r>
                    <w:rPr>
                      <w:rFonts w:hint="default" w:ascii="Arial" w:hAnsi="Arial" w:eastAsia="宋体" w:cs="Arial"/>
                      <w:i w:val="0"/>
                      <w:iCs w:val="0"/>
                      <w:caps w:val="0"/>
                      <w:color w:val="auto"/>
                      <w:spacing w:val="0"/>
                      <w:sz w:val="21"/>
                      <w:szCs w:val="21"/>
                      <w:shd w:val="clear" w:fill="FFFFFF"/>
                    </w:rPr>
                    <w:t>袋式除尘器</w:t>
                  </w:r>
                  <w:r>
                    <w:rPr>
                      <w:rFonts w:hint="default" w:ascii="Arial" w:hAnsi="Arial" w:eastAsia="宋体" w:cs="Arial"/>
                      <w:i w:val="0"/>
                      <w:iCs w:val="0"/>
                      <w:caps w:val="0"/>
                      <w:color w:val="auto"/>
                      <w:spacing w:val="0"/>
                      <w:sz w:val="21"/>
                      <w:szCs w:val="21"/>
                      <w:shd w:val="clear" w:fill="FFFFFF"/>
                    </w:rPr>
                    <w:fldChar w:fldCharType="end"/>
                  </w:r>
                  <w:r>
                    <w:rPr>
                      <w:rFonts w:hint="eastAsia" w:ascii="Arial" w:hAnsi="Arial" w:cs="Arial"/>
                      <w:i w:val="0"/>
                      <w:iCs w:val="0"/>
                      <w:caps w:val="0"/>
                      <w:color w:val="auto"/>
                      <w:spacing w:val="0"/>
                      <w:sz w:val="21"/>
                      <w:szCs w:val="21"/>
                      <w:shd w:val="clear" w:fill="FFFFFF"/>
                      <w:lang w:eastAsia="zh-CN"/>
                    </w:rPr>
                    <w:t>，</w:t>
                  </w:r>
                  <w:r>
                    <w:rPr>
                      <w:rFonts w:hint="default" w:ascii="Arial" w:hAnsi="Arial" w:eastAsia="宋体" w:cs="Arial"/>
                      <w:i w:val="0"/>
                      <w:iCs w:val="0"/>
                      <w:caps w:val="0"/>
                      <w:color w:val="auto"/>
                      <w:spacing w:val="0"/>
                      <w:sz w:val="21"/>
                      <w:szCs w:val="21"/>
                      <w:shd w:val="clear" w:fill="FFFFFF"/>
                    </w:rPr>
                    <w:fldChar w:fldCharType="begin"/>
                  </w:r>
                  <w:r>
                    <w:rPr>
                      <w:rFonts w:hint="default" w:ascii="Arial" w:hAnsi="Arial" w:eastAsia="宋体" w:cs="Arial"/>
                      <w:i w:val="0"/>
                      <w:iCs w:val="0"/>
                      <w:caps w:val="0"/>
                      <w:color w:val="auto"/>
                      <w:spacing w:val="0"/>
                      <w:sz w:val="21"/>
                      <w:szCs w:val="21"/>
                      <w:shd w:val="clear" w:fill="FFFFFF"/>
                    </w:rPr>
                    <w:instrText xml:space="preserve"> HYPERLINK "https://permit.mee.gov.cn/permitExt/syssb/wysb/hpsp/hpsp!zlss.action?iscols=false&amp;xkzbbid=&amp;dataid=ac6717da06c6452a8b633e50a057d2b1&amp;operate=readonly&amp;cardid=card4&amp;instanceid=2707786&amp;itemid=&amp;isVersion=&amp;itemtype=&amp;itemtypeid=XZXKTYPE_A" </w:instrText>
                  </w:r>
                  <w:r>
                    <w:rPr>
                      <w:rFonts w:hint="default" w:ascii="Arial" w:hAnsi="Arial" w:eastAsia="宋体" w:cs="Arial"/>
                      <w:i w:val="0"/>
                      <w:iCs w:val="0"/>
                      <w:caps w:val="0"/>
                      <w:color w:val="auto"/>
                      <w:spacing w:val="0"/>
                      <w:sz w:val="21"/>
                      <w:szCs w:val="21"/>
                      <w:shd w:val="clear" w:fill="FFFFFF"/>
                    </w:rPr>
                    <w:fldChar w:fldCharType="separate"/>
                  </w:r>
                  <w:r>
                    <w:rPr>
                      <w:rFonts w:hint="default" w:ascii="Arial" w:hAnsi="Arial" w:eastAsia="宋体" w:cs="Arial"/>
                      <w:i w:val="0"/>
                      <w:iCs w:val="0"/>
                      <w:caps w:val="0"/>
                      <w:color w:val="auto"/>
                      <w:spacing w:val="0"/>
                      <w:sz w:val="21"/>
                      <w:szCs w:val="21"/>
                      <w:shd w:val="clear" w:fill="FFFFFF"/>
                    </w:rPr>
                    <w:t>旋风分离器</w:t>
                  </w:r>
                  <w:r>
                    <w:rPr>
                      <w:rFonts w:hint="default" w:ascii="Arial" w:hAnsi="Arial" w:eastAsia="宋体" w:cs="Arial"/>
                      <w:i w:val="0"/>
                      <w:iCs w:val="0"/>
                      <w:caps w:val="0"/>
                      <w:color w:val="auto"/>
                      <w:spacing w:val="0"/>
                      <w:sz w:val="21"/>
                      <w:szCs w:val="21"/>
                      <w:shd w:val="clear" w:fill="FFFFFF"/>
                    </w:rPr>
                    <w:fldChar w:fldCharType="end"/>
                  </w:r>
                </w:p>
              </w:tc>
            </w:tr>
            <w:tr w14:paraId="6678F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060769A6">
                  <w:pPr>
                    <w:jc w:val="center"/>
                    <w:rPr>
                      <w:rFonts w:hint="eastAsia" w:eastAsia="宋体"/>
                      <w:color w:val="auto"/>
                      <w:sz w:val="21"/>
                      <w:szCs w:val="21"/>
                      <w:lang w:eastAsia="zh-CN"/>
                    </w:rPr>
                  </w:pPr>
                  <w:r>
                    <w:rPr>
                      <w:color w:val="auto"/>
                      <w:sz w:val="21"/>
                      <w:szCs w:val="21"/>
                    </w:rPr>
                    <w:t>TA00</w:t>
                  </w:r>
                  <w:r>
                    <w:rPr>
                      <w:rFonts w:hint="eastAsia"/>
                      <w:color w:val="auto"/>
                      <w:sz w:val="21"/>
                      <w:szCs w:val="21"/>
                      <w:lang w:val="en-US" w:eastAsia="zh-CN"/>
                    </w:rPr>
                    <w:t>8</w:t>
                  </w:r>
                </w:p>
              </w:tc>
              <w:tc>
                <w:tcPr>
                  <w:tcW w:w="1230" w:type="pct"/>
                  <w:tcBorders>
                    <w:top w:val="single" w:color="auto" w:sz="4" w:space="0"/>
                    <w:left w:val="single" w:color="auto" w:sz="4" w:space="0"/>
                    <w:bottom w:val="single" w:color="auto" w:sz="4" w:space="0"/>
                    <w:right w:val="single" w:color="auto" w:sz="4" w:space="0"/>
                  </w:tcBorders>
                  <w:vAlign w:val="center"/>
                </w:tcPr>
                <w:p w14:paraId="3C59B4E9">
                  <w:pPr>
                    <w:jc w:val="center"/>
                    <w:rPr>
                      <w:rFonts w:hint="eastAsia" w:eastAsia="宋体"/>
                      <w:color w:val="auto"/>
                      <w:sz w:val="21"/>
                      <w:szCs w:val="21"/>
                      <w:lang w:eastAsia="zh-CN"/>
                    </w:rPr>
                  </w:pPr>
                  <w:r>
                    <w:rPr>
                      <w:color w:val="auto"/>
                      <w:sz w:val="21"/>
                      <w:szCs w:val="21"/>
                    </w:rPr>
                    <w:t>TA00</w:t>
                  </w:r>
                  <w:r>
                    <w:rPr>
                      <w:rFonts w:hint="eastAsia"/>
                      <w:color w:val="auto"/>
                      <w:sz w:val="21"/>
                      <w:szCs w:val="21"/>
                      <w:lang w:val="en-US" w:eastAsia="zh-CN"/>
                    </w:rPr>
                    <w:t>8</w:t>
                  </w:r>
                </w:p>
              </w:tc>
              <w:tc>
                <w:tcPr>
                  <w:tcW w:w="1237" w:type="pct"/>
                  <w:tcBorders>
                    <w:top w:val="single" w:color="auto" w:sz="4" w:space="0"/>
                    <w:left w:val="single" w:color="auto" w:sz="4" w:space="0"/>
                    <w:bottom w:val="single" w:color="auto" w:sz="4" w:space="0"/>
                    <w:right w:val="single" w:color="auto" w:sz="4" w:space="0"/>
                  </w:tcBorders>
                  <w:vAlign w:val="center"/>
                </w:tcPr>
                <w:p w14:paraId="68F7071E">
                  <w:pPr>
                    <w:jc w:val="center"/>
                    <w:rPr>
                      <w:color w:val="auto"/>
                      <w:sz w:val="21"/>
                      <w:szCs w:val="21"/>
                    </w:rPr>
                  </w:pPr>
                  <w:r>
                    <w:rPr>
                      <w:rFonts w:ascii="Arial" w:hAnsi="Arial" w:eastAsia="宋体" w:cs="Arial"/>
                      <w:i w:val="0"/>
                      <w:iCs w:val="0"/>
                      <w:caps w:val="0"/>
                      <w:color w:val="auto"/>
                      <w:spacing w:val="0"/>
                      <w:sz w:val="21"/>
                      <w:szCs w:val="21"/>
                      <w:shd w:val="clear" w:fill="FFFFFF"/>
                    </w:rPr>
                    <w:t>除尘设施</w:t>
                  </w:r>
                </w:p>
              </w:tc>
              <w:tc>
                <w:tcPr>
                  <w:tcW w:w="1504" w:type="pct"/>
                  <w:tcBorders>
                    <w:top w:val="single" w:color="auto" w:sz="4" w:space="0"/>
                    <w:left w:val="single" w:color="auto" w:sz="4" w:space="0"/>
                    <w:bottom w:val="single" w:color="auto" w:sz="4" w:space="0"/>
                    <w:right w:val="single" w:color="auto" w:sz="4" w:space="0"/>
                  </w:tcBorders>
                  <w:vAlign w:val="center"/>
                </w:tcPr>
                <w:p w14:paraId="0EF31E22">
                  <w:pPr>
                    <w:jc w:val="center"/>
                    <w:rPr>
                      <w:color w:val="auto"/>
                      <w:sz w:val="21"/>
                      <w:szCs w:val="21"/>
                    </w:rPr>
                  </w:pPr>
                  <w:r>
                    <w:rPr>
                      <w:rFonts w:ascii="Arial" w:hAnsi="Arial" w:eastAsia="宋体" w:cs="Arial"/>
                      <w:i w:val="0"/>
                      <w:iCs w:val="0"/>
                      <w:caps w:val="0"/>
                      <w:color w:val="auto"/>
                      <w:spacing w:val="0"/>
                      <w:sz w:val="21"/>
                      <w:szCs w:val="21"/>
                      <w:shd w:val="clear" w:fill="FFFFFF"/>
                    </w:rPr>
                    <w:t>旋风除尘+布袋除尘</w:t>
                  </w:r>
                </w:p>
              </w:tc>
            </w:tr>
            <w:tr w14:paraId="189D1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0923F838">
                  <w:pPr>
                    <w:jc w:val="center"/>
                    <w:rPr>
                      <w:rFonts w:hint="eastAsia" w:eastAsia="宋体"/>
                      <w:color w:val="auto"/>
                      <w:sz w:val="21"/>
                      <w:szCs w:val="21"/>
                      <w:lang w:eastAsia="zh-CN"/>
                    </w:rPr>
                  </w:pPr>
                  <w:r>
                    <w:rPr>
                      <w:color w:val="auto"/>
                      <w:sz w:val="21"/>
                      <w:szCs w:val="21"/>
                    </w:rPr>
                    <w:t>TA00</w:t>
                  </w:r>
                  <w:r>
                    <w:rPr>
                      <w:rFonts w:hint="eastAsia"/>
                      <w:color w:val="auto"/>
                      <w:sz w:val="21"/>
                      <w:szCs w:val="21"/>
                      <w:lang w:val="en-US" w:eastAsia="zh-CN"/>
                    </w:rPr>
                    <w:t>9</w:t>
                  </w:r>
                </w:p>
              </w:tc>
              <w:tc>
                <w:tcPr>
                  <w:tcW w:w="1230" w:type="pct"/>
                  <w:tcBorders>
                    <w:top w:val="single" w:color="auto" w:sz="4" w:space="0"/>
                    <w:left w:val="single" w:color="auto" w:sz="4" w:space="0"/>
                    <w:bottom w:val="single" w:color="auto" w:sz="4" w:space="0"/>
                    <w:right w:val="single" w:color="auto" w:sz="4" w:space="0"/>
                  </w:tcBorders>
                  <w:vAlign w:val="center"/>
                </w:tcPr>
                <w:p w14:paraId="46911F52">
                  <w:pPr>
                    <w:jc w:val="center"/>
                    <w:rPr>
                      <w:rFonts w:hint="default" w:eastAsia="宋体"/>
                      <w:color w:val="auto"/>
                      <w:sz w:val="21"/>
                      <w:szCs w:val="21"/>
                      <w:lang w:val="en-US" w:eastAsia="zh-CN"/>
                    </w:rPr>
                  </w:pPr>
                  <w:r>
                    <w:rPr>
                      <w:color w:val="auto"/>
                      <w:sz w:val="21"/>
                      <w:szCs w:val="21"/>
                    </w:rPr>
                    <w:t>TA0</w:t>
                  </w:r>
                  <w:r>
                    <w:rPr>
                      <w:rFonts w:hint="eastAsia"/>
                      <w:color w:val="auto"/>
                      <w:sz w:val="21"/>
                      <w:szCs w:val="21"/>
                      <w:lang w:val="en-US" w:eastAsia="zh-CN"/>
                    </w:rPr>
                    <w:t>09</w:t>
                  </w:r>
                </w:p>
              </w:tc>
              <w:tc>
                <w:tcPr>
                  <w:tcW w:w="1237" w:type="pct"/>
                  <w:tcBorders>
                    <w:top w:val="single" w:color="auto" w:sz="4" w:space="0"/>
                    <w:left w:val="single" w:color="auto" w:sz="4" w:space="0"/>
                    <w:bottom w:val="single" w:color="auto" w:sz="4" w:space="0"/>
                    <w:right w:val="single" w:color="auto" w:sz="4" w:space="0"/>
                  </w:tcBorders>
                  <w:vAlign w:val="center"/>
                </w:tcPr>
                <w:p w14:paraId="57293D5B">
                  <w:pPr>
                    <w:jc w:val="center"/>
                    <w:rPr>
                      <w:color w:val="auto"/>
                      <w:sz w:val="21"/>
                      <w:szCs w:val="21"/>
                    </w:rPr>
                  </w:pPr>
                  <w:r>
                    <w:rPr>
                      <w:rFonts w:ascii="Arial" w:hAnsi="Arial" w:eastAsia="宋体" w:cs="Arial"/>
                      <w:i w:val="0"/>
                      <w:iCs w:val="0"/>
                      <w:caps w:val="0"/>
                      <w:color w:val="auto"/>
                      <w:spacing w:val="0"/>
                      <w:sz w:val="21"/>
                      <w:szCs w:val="21"/>
                      <w:shd w:val="clear" w:fill="FFFFFF"/>
                    </w:rPr>
                    <w:t>除尘设施</w:t>
                  </w:r>
                </w:p>
              </w:tc>
              <w:tc>
                <w:tcPr>
                  <w:tcW w:w="1504" w:type="pct"/>
                  <w:tcBorders>
                    <w:top w:val="single" w:color="auto" w:sz="4" w:space="0"/>
                    <w:left w:val="single" w:color="auto" w:sz="4" w:space="0"/>
                    <w:bottom w:val="single" w:color="auto" w:sz="4" w:space="0"/>
                    <w:right w:val="single" w:color="auto" w:sz="4" w:space="0"/>
                  </w:tcBorders>
                  <w:vAlign w:val="center"/>
                </w:tcPr>
                <w:p w14:paraId="7A3EF4A2">
                  <w:pPr>
                    <w:jc w:val="center"/>
                    <w:rPr>
                      <w:color w:val="auto"/>
                      <w:sz w:val="21"/>
                      <w:szCs w:val="21"/>
                    </w:rPr>
                  </w:pPr>
                  <w:r>
                    <w:rPr>
                      <w:rFonts w:ascii="Arial" w:hAnsi="Arial" w:eastAsia="宋体" w:cs="Arial"/>
                      <w:i w:val="0"/>
                      <w:iCs w:val="0"/>
                      <w:caps w:val="0"/>
                      <w:color w:val="auto"/>
                      <w:spacing w:val="0"/>
                      <w:sz w:val="21"/>
                      <w:szCs w:val="21"/>
                      <w:shd w:val="clear" w:fill="FFFFFF"/>
                    </w:rPr>
                    <w:t>旋风除尘+布袋除尘</w:t>
                  </w:r>
                </w:p>
              </w:tc>
            </w:tr>
            <w:tr w14:paraId="4DBD8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745A4969">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TA0</w:t>
                  </w:r>
                  <w:r>
                    <w:rPr>
                      <w:rFonts w:hint="default" w:ascii="Times New Roman" w:hAnsi="Times New Roman" w:cs="Times New Roman"/>
                      <w:color w:val="auto"/>
                      <w:sz w:val="21"/>
                      <w:szCs w:val="21"/>
                      <w:lang w:val="en-US" w:eastAsia="zh-CN"/>
                    </w:rPr>
                    <w:t>10</w:t>
                  </w:r>
                </w:p>
              </w:tc>
              <w:tc>
                <w:tcPr>
                  <w:tcW w:w="1230" w:type="pct"/>
                  <w:tcBorders>
                    <w:top w:val="single" w:color="auto" w:sz="4" w:space="0"/>
                    <w:left w:val="single" w:color="auto" w:sz="4" w:space="0"/>
                    <w:bottom w:val="single" w:color="auto" w:sz="4" w:space="0"/>
                    <w:right w:val="single" w:color="auto" w:sz="4" w:space="0"/>
                  </w:tcBorders>
                  <w:vAlign w:val="center"/>
                </w:tcPr>
                <w:p w14:paraId="07D75EC3">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TA0</w:t>
                  </w:r>
                  <w:r>
                    <w:rPr>
                      <w:rFonts w:hint="default" w:ascii="Times New Roman" w:hAnsi="Times New Roman" w:cs="Times New Roman"/>
                      <w:color w:val="auto"/>
                      <w:sz w:val="21"/>
                      <w:szCs w:val="21"/>
                      <w:lang w:val="en-US" w:eastAsia="zh-CN"/>
                    </w:rPr>
                    <w:t>10</w:t>
                  </w:r>
                </w:p>
              </w:tc>
              <w:tc>
                <w:tcPr>
                  <w:tcW w:w="1237" w:type="pct"/>
                  <w:tcBorders>
                    <w:top w:val="single" w:color="auto" w:sz="4" w:space="0"/>
                    <w:left w:val="single" w:color="auto" w:sz="4" w:space="0"/>
                    <w:bottom w:val="single" w:color="auto" w:sz="4" w:space="0"/>
                    <w:right w:val="single" w:color="auto" w:sz="4" w:space="0"/>
                  </w:tcBorders>
                  <w:vAlign w:val="center"/>
                </w:tcPr>
                <w:p w14:paraId="4274BEB9">
                  <w:pPr>
                    <w:jc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aps w:val="0"/>
                      <w:color w:val="auto"/>
                      <w:spacing w:val="0"/>
                      <w:sz w:val="21"/>
                      <w:szCs w:val="21"/>
                      <w:shd w:val="clear" w:fill="FFFFFF"/>
                    </w:rPr>
                    <w:t>氨法,烟气循环流化床法</w:t>
                  </w:r>
                </w:p>
              </w:tc>
              <w:tc>
                <w:tcPr>
                  <w:tcW w:w="1504" w:type="pct"/>
                  <w:tcBorders>
                    <w:top w:val="single" w:color="auto" w:sz="4" w:space="0"/>
                    <w:left w:val="single" w:color="auto" w:sz="4" w:space="0"/>
                    <w:bottom w:val="single" w:color="auto" w:sz="4" w:space="0"/>
                    <w:right w:val="single" w:color="auto" w:sz="4" w:space="0"/>
                  </w:tcBorders>
                  <w:vAlign w:val="center"/>
                </w:tcPr>
                <w:p w14:paraId="71603BF6">
                  <w:pPr>
                    <w:jc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aps w:val="0"/>
                      <w:color w:val="auto"/>
                      <w:spacing w:val="0"/>
                      <w:sz w:val="21"/>
                      <w:szCs w:val="21"/>
                      <w:shd w:val="clear" w:fill="FFFFFF"/>
                    </w:rPr>
                    <w:t>炉内氨法脱硫</w:t>
                  </w:r>
                </w:p>
              </w:tc>
            </w:tr>
            <w:tr w14:paraId="288DA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2C270157">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TA0</w:t>
                  </w:r>
                  <w:r>
                    <w:rPr>
                      <w:rFonts w:hint="default" w:ascii="Times New Roman" w:hAnsi="Times New Roman" w:cs="Times New Roman"/>
                      <w:color w:val="auto"/>
                      <w:sz w:val="21"/>
                      <w:szCs w:val="21"/>
                      <w:lang w:val="en-US" w:eastAsia="zh-CN"/>
                    </w:rPr>
                    <w:t>11</w:t>
                  </w:r>
                </w:p>
              </w:tc>
              <w:tc>
                <w:tcPr>
                  <w:tcW w:w="1230" w:type="pct"/>
                  <w:tcBorders>
                    <w:top w:val="single" w:color="auto" w:sz="4" w:space="0"/>
                    <w:left w:val="single" w:color="auto" w:sz="4" w:space="0"/>
                    <w:bottom w:val="single" w:color="auto" w:sz="4" w:space="0"/>
                    <w:right w:val="single" w:color="auto" w:sz="4" w:space="0"/>
                  </w:tcBorders>
                  <w:vAlign w:val="center"/>
                </w:tcPr>
                <w:p w14:paraId="4A58C7C4">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TA01</w:t>
                  </w:r>
                  <w:r>
                    <w:rPr>
                      <w:rFonts w:hint="default" w:ascii="Times New Roman" w:hAnsi="Times New Roman" w:cs="Times New Roman"/>
                      <w:color w:val="auto"/>
                      <w:sz w:val="21"/>
                      <w:szCs w:val="21"/>
                      <w:lang w:val="en-US" w:eastAsia="zh-CN"/>
                    </w:rPr>
                    <w:t>1</w:t>
                  </w:r>
                </w:p>
              </w:tc>
              <w:tc>
                <w:tcPr>
                  <w:tcW w:w="1237" w:type="pct"/>
                  <w:tcBorders>
                    <w:top w:val="single" w:color="auto" w:sz="4" w:space="0"/>
                    <w:left w:val="single" w:color="auto" w:sz="4" w:space="0"/>
                    <w:bottom w:val="single" w:color="auto" w:sz="4" w:space="0"/>
                    <w:right w:val="single" w:color="auto" w:sz="4" w:space="0"/>
                  </w:tcBorders>
                  <w:vAlign w:val="center"/>
                </w:tcPr>
                <w:p w14:paraId="69B7ABD3">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aps w:val="0"/>
                      <w:color w:val="auto"/>
                      <w:spacing w:val="0"/>
                      <w:sz w:val="21"/>
                      <w:szCs w:val="21"/>
                      <w:shd w:val="clear" w:fill="FFFFFF"/>
                      <w:lang w:val="en-US" w:eastAsia="zh-CN"/>
                    </w:rPr>
                    <w:t>袋式除尘器</w:t>
                  </w:r>
                </w:p>
              </w:tc>
              <w:tc>
                <w:tcPr>
                  <w:tcW w:w="1504" w:type="pct"/>
                  <w:tcBorders>
                    <w:top w:val="single" w:color="auto" w:sz="4" w:space="0"/>
                    <w:left w:val="single" w:color="auto" w:sz="4" w:space="0"/>
                    <w:bottom w:val="single" w:color="auto" w:sz="4" w:space="0"/>
                    <w:right w:val="single" w:color="auto" w:sz="4" w:space="0"/>
                  </w:tcBorders>
                  <w:vAlign w:val="center"/>
                </w:tcPr>
                <w:p w14:paraId="5F7E750B">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aps w:val="0"/>
                      <w:color w:val="auto"/>
                      <w:spacing w:val="0"/>
                      <w:sz w:val="21"/>
                      <w:szCs w:val="21"/>
                      <w:shd w:val="clear" w:fill="FFFFFF"/>
                      <w:lang w:val="en-US" w:eastAsia="zh-CN"/>
                    </w:rPr>
                    <w:t>袋式除尘</w:t>
                  </w:r>
                </w:p>
              </w:tc>
            </w:tr>
            <w:tr w14:paraId="5D67D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09160029">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TA0</w:t>
                  </w:r>
                  <w:r>
                    <w:rPr>
                      <w:rFonts w:hint="default" w:ascii="Times New Roman" w:hAnsi="Times New Roman" w:cs="Times New Roman"/>
                      <w:color w:val="auto"/>
                      <w:sz w:val="21"/>
                      <w:szCs w:val="21"/>
                      <w:lang w:val="en-US" w:eastAsia="zh-CN"/>
                    </w:rPr>
                    <w:t>12</w:t>
                  </w:r>
                </w:p>
              </w:tc>
              <w:tc>
                <w:tcPr>
                  <w:tcW w:w="1230" w:type="pct"/>
                  <w:tcBorders>
                    <w:top w:val="single" w:color="auto" w:sz="4" w:space="0"/>
                    <w:left w:val="single" w:color="auto" w:sz="4" w:space="0"/>
                    <w:bottom w:val="single" w:color="auto" w:sz="4" w:space="0"/>
                    <w:right w:val="single" w:color="auto" w:sz="4" w:space="0"/>
                  </w:tcBorders>
                  <w:vAlign w:val="center"/>
                </w:tcPr>
                <w:p w14:paraId="60F1656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TA012</w:t>
                  </w:r>
                </w:p>
              </w:tc>
              <w:tc>
                <w:tcPr>
                  <w:tcW w:w="1237" w:type="pct"/>
                  <w:tcBorders>
                    <w:top w:val="single" w:color="auto" w:sz="4" w:space="0"/>
                    <w:left w:val="single" w:color="auto" w:sz="4" w:space="0"/>
                    <w:bottom w:val="single" w:color="auto" w:sz="4" w:space="0"/>
                    <w:right w:val="single" w:color="auto" w:sz="4" w:space="0"/>
                  </w:tcBorders>
                  <w:vAlign w:val="center"/>
                </w:tcPr>
                <w:p w14:paraId="274E573D">
                  <w:pPr>
                    <w:jc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aps w:val="0"/>
                      <w:color w:val="auto"/>
                      <w:spacing w:val="0"/>
                      <w:sz w:val="21"/>
                      <w:szCs w:val="21"/>
                      <w:shd w:val="clear" w:fill="FFFFFF"/>
                    </w:rPr>
                    <w:t>SNCR</w:t>
                  </w:r>
                </w:p>
              </w:tc>
              <w:tc>
                <w:tcPr>
                  <w:tcW w:w="1504" w:type="pct"/>
                  <w:tcBorders>
                    <w:top w:val="single" w:color="auto" w:sz="4" w:space="0"/>
                    <w:left w:val="single" w:color="auto" w:sz="4" w:space="0"/>
                    <w:bottom w:val="single" w:color="auto" w:sz="4" w:space="0"/>
                    <w:right w:val="single" w:color="auto" w:sz="4" w:space="0"/>
                  </w:tcBorders>
                  <w:vAlign w:val="center"/>
                </w:tcPr>
                <w:p w14:paraId="76176998">
                  <w:pPr>
                    <w:jc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aps w:val="0"/>
                      <w:color w:val="auto"/>
                      <w:spacing w:val="0"/>
                      <w:sz w:val="21"/>
                      <w:szCs w:val="21"/>
                      <w:shd w:val="clear" w:fill="FFFFFF"/>
                    </w:rPr>
                    <w:t>选择性非催化还原法SNCR</w:t>
                  </w:r>
                  <w:r>
                    <w:rPr>
                      <w:rFonts w:hint="default" w:ascii="Times New Roman" w:hAnsi="Times New Roman" w:eastAsia="宋体" w:cs="Times New Roman"/>
                      <w:i w:val="0"/>
                      <w:iCs w:val="0"/>
                      <w:caps w:val="0"/>
                      <w:color w:val="auto"/>
                      <w:spacing w:val="0"/>
                      <w:sz w:val="21"/>
                      <w:szCs w:val="21"/>
                      <w:shd w:val="clear" w:fill="FFFFFF"/>
                      <w:lang w:val="en-US" w:eastAsia="zh-CN"/>
                    </w:rPr>
                    <w:t>工艺</w:t>
                  </w:r>
                </w:p>
              </w:tc>
            </w:tr>
            <w:tr w14:paraId="79D5D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39025A1C">
                  <w:pPr>
                    <w:jc w:val="center"/>
                    <w:rPr>
                      <w:b/>
                      <w:color w:val="auto"/>
                      <w:sz w:val="21"/>
                      <w:szCs w:val="21"/>
                    </w:rPr>
                  </w:pPr>
                  <w:r>
                    <w:rPr>
                      <w:b/>
                      <w:color w:val="auto"/>
                      <w:sz w:val="21"/>
                      <w:szCs w:val="21"/>
                    </w:rPr>
                    <w:t>废水污染治理设施</w:t>
                  </w:r>
                </w:p>
              </w:tc>
            </w:tr>
            <w:tr w14:paraId="01F56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2072D033">
                  <w:pPr>
                    <w:jc w:val="center"/>
                    <w:rPr>
                      <w:color w:val="auto"/>
                      <w:sz w:val="21"/>
                      <w:szCs w:val="21"/>
                    </w:rPr>
                  </w:pPr>
                  <w:r>
                    <w:rPr>
                      <w:color w:val="auto"/>
                      <w:sz w:val="21"/>
                      <w:szCs w:val="21"/>
                    </w:rPr>
                    <w:t>TW001</w:t>
                  </w:r>
                </w:p>
              </w:tc>
              <w:tc>
                <w:tcPr>
                  <w:tcW w:w="1230" w:type="pct"/>
                  <w:tcBorders>
                    <w:top w:val="single" w:color="auto" w:sz="4" w:space="0"/>
                    <w:left w:val="single" w:color="auto" w:sz="4" w:space="0"/>
                    <w:bottom w:val="single" w:color="auto" w:sz="4" w:space="0"/>
                    <w:right w:val="single" w:color="auto" w:sz="4" w:space="0"/>
                  </w:tcBorders>
                  <w:vAlign w:val="center"/>
                </w:tcPr>
                <w:p w14:paraId="41ECBCFE">
                  <w:pPr>
                    <w:jc w:val="center"/>
                    <w:rPr>
                      <w:color w:val="auto"/>
                      <w:sz w:val="21"/>
                      <w:szCs w:val="21"/>
                    </w:rPr>
                  </w:pPr>
                  <w:r>
                    <w:rPr>
                      <w:color w:val="auto"/>
                      <w:sz w:val="21"/>
                      <w:szCs w:val="21"/>
                    </w:rPr>
                    <w:t>TW001</w:t>
                  </w:r>
                </w:p>
              </w:tc>
              <w:tc>
                <w:tcPr>
                  <w:tcW w:w="1237" w:type="pct"/>
                  <w:tcBorders>
                    <w:top w:val="single" w:color="auto" w:sz="4" w:space="0"/>
                    <w:left w:val="single" w:color="auto" w:sz="4" w:space="0"/>
                    <w:bottom w:val="single" w:color="auto" w:sz="4" w:space="0"/>
                    <w:right w:val="single" w:color="auto" w:sz="4" w:space="0"/>
                  </w:tcBorders>
                  <w:vAlign w:val="center"/>
                </w:tcPr>
                <w:p w14:paraId="6C28C7F6">
                  <w:pPr>
                    <w:jc w:val="center"/>
                    <w:rPr>
                      <w:color w:val="auto"/>
                      <w:sz w:val="21"/>
                      <w:szCs w:val="21"/>
                    </w:rPr>
                  </w:pPr>
                  <w:r>
                    <w:rPr>
                      <w:rFonts w:ascii="Arial" w:hAnsi="Arial" w:eastAsia="宋体" w:cs="Arial"/>
                      <w:i w:val="0"/>
                      <w:iCs w:val="0"/>
                      <w:caps w:val="0"/>
                      <w:color w:val="auto"/>
                      <w:spacing w:val="0"/>
                      <w:sz w:val="21"/>
                      <w:szCs w:val="21"/>
                      <w:shd w:val="clear" w:fill="FFFFFF"/>
                    </w:rPr>
                    <w:t>废水收集池</w:t>
                  </w:r>
                </w:p>
              </w:tc>
              <w:tc>
                <w:tcPr>
                  <w:tcW w:w="1504" w:type="pct"/>
                  <w:tcBorders>
                    <w:top w:val="single" w:color="auto" w:sz="4" w:space="0"/>
                    <w:left w:val="single" w:color="auto" w:sz="4" w:space="0"/>
                    <w:bottom w:val="single" w:color="auto" w:sz="4" w:space="0"/>
                    <w:right w:val="single" w:color="auto" w:sz="4" w:space="0"/>
                  </w:tcBorders>
                  <w:vAlign w:val="center"/>
                </w:tcPr>
                <w:p w14:paraId="2BDEF6E4">
                  <w:pPr>
                    <w:jc w:val="center"/>
                    <w:rPr>
                      <w:rFonts w:hint="default" w:eastAsia="宋体"/>
                      <w:color w:val="auto"/>
                      <w:sz w:val="21"/>
                      <w:szCs w:val="21"/>
                      <w:lang w:val="en-US" w:eastAsia="zh-CN"/>
                    </w:rPr>
                  </w:pPr>
                  <w:r>
                    <w:rPr>
                      <w:rFonts w:ascii="Arial" w:hAnsi="Arial" w:eastAsia="宋体" w:cs="Arial"/>
                      <w:i w:val="0"/>
                      <w:iCs w:val="0"/>
                      <w:caps w:val="0"/>
                      <w:color w:val="auto"/>
                      <w:spacing w:val="0"/>
                      <w:sz w:val="21"/>
                      <w:szCs w:val="21"/>
                      <w:shd w:val="clear" w:fill="FFFFFF"/>
                    </w:rPr>
                    <w:t>脱硫废水通过沟道进入工艺循环</w:t>
                  </w:r>
                  <w:r>
                    <w:rPr>
                      <w:rFonts w:hint="eastAsia" w:ascii="Arial" w:hAnsi="Arial" w:eastAsia="宋体" w:cs="Arial"/>
                      <w:i w:val="0"/>
                      <w:iCs w:val="0"/>
                      <w:caps w:val="0"/>
                      <w:color w:val="auto"/>
                      <w:spacing w:val="0"/>
                      <w:sz w:val="21"/>
                      <w:szCs w:val="21"/>
                      <w:shd w:val="clear" w:fill="FFFFFF"/>
                      <w:lang w:val="en-US" w:eastAsia="zh-CN"/>
                    </w:rPr>
                    <w:t>水池待用</w:t>
                  </w:r>
                </w:p>
              </w:tc>
            </w:tr>
            <w:tr w14:paraId="6A6A7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65E99B31">
                  <w:pPr>
                    <w:jc w:val="center"/>
                    <w:rPr>
                      <w:color w:val="auto"/>
                      <w:sz w:val="21"/>
                      <w:szCs w:val="21"/>
                    </w:rPr>
                  </w:pPr>
                  <w:r>
                    <w:rPr>
                      <w:color w:val="auto"/>
                      <w:sz w:val="21"/>
                      <w:szCs w:val="21"/>
                    </w:rPr>
                    <w:t>TW002</w:t>
                  </w:r>
                </w:p>
              </w:tc>
              <w:tc>
                <w:tcPr>
                  <w:tcW w:w="1230" w:type="pct"/>
                  <w:tcBorders>
                    <w:top w:val="single" w:color="auto" w:sz="4" w:space="0"/>
                    <w:left w:val="single" w:color="auto" w:sz="4" w:space="0"/>
                    <w:bottom w:val="single" w:color="auto" w:sz="4" w:space="0"/>
                    <w:right w:val="single" w:color="auto" w:sz="4" w:space="0"/>
                  </w:tcBorders>
                  <w:vAlign w:val="center"/>
                </w:tcPr>
                <w:p w14:paraId="58FBDB8F">
                  <w:pPr>
                    <w:jc w:val="center"/>
                    <w:rPr>
                      <w:color w:val="auto"/>
                      <w:sz w:val="21"/>
                      <w:szCs w:val="21"/>
                    </w:rPr>
                  </w:pPr>
                  <w:r>
                    <w:rPr>
                      <w:color w:val="auto"/>
                      <w:sz w:val="21"/>
                      <w:szCs w:val="21"/>
                    </w:rPr>
                    <w:t>TW002</w:t>
                  </w:r>
                </w:p>
              </w:tc>
              <w:tc>
                <w:tcPr>
                  <w:tcW w:w="1237" w:type="pct"/>
                  <w:tcBorders>
                    <w:top w:val="single" w:color="auto" w:sz="4" w:space="0"/>
                    <w:left w:val="single" w:color="auto" w:sz="4" w:space="0"/>
                    <w:bottom w:val="single" w:color="auto" w:sz="4" w:space="0"/>
                    <w:right w:val="single" w:color="auto" w:sz="4" w:space="0"/>
                  </w:tcBorders>
                  <w:vAlign w:val="center"/>
                </w:tcPr>
                <w:p w14:paraId="5C5C0E1F">
                  <w:pPr>
                    <w:jc w:val="center"/>
                    <w:rPr>
                      <w:color w:val="auto"/>
                      <w:sz w:val="21"/>
                      <w:szCs w:val="21"/>
                    </w:rPr>
                  </w:pPr>
                  <w:r>
                    <w:rPr>
                      <w:rFonts w:ascii="Arial" w:hAnsi="Arial" w:eastAsia="宋体" w:cs="Arial"/>
                      <w:i w:val="0"/>
                      <w:iCs w:val="0"/>
                      <w:caps w:val="0"/>
                      <w:color w:val="auto"/>
                      <w:spacing w:val="0"/>
                      <w:sz w:val="21"/>
                      <w:szCs w:val="21"/>
                      <w:shd w:val="clear" w:fill="FFFFFF"/>
                    </w:rPr>
                    <w:t>废水收集池</w:t>
                  </w:r>
                </w:p>
              </w:tc>
              <w:tc>
                <w:tcPr>
                  <w:tcW w:w="1504" w:type="pct"/>
                  <w:tcBorders>
                    <w:top w:val="single" w:color="auto" w:sz="4" w:space="0"/>
                    <w:left w:val="single" w:color="auto" w:sz="4" w:space="0"/>
                    <w:bottom w:val="single" w:color="auto" w:sz="4" w:space="0"/>
                    <w:right w:val="single" w:color="auto" w:sz="4" w:space="0"/>
                  </w:tcBorders>
                  <w:vAlign w:val="center"/>
                </w:tcPr>
                <w:p w14:paraId="46EDB49B">
                  <w:pPr>
                    <w:jc w:val="center"/>
                    <w:rPr>
                      <w:color w:val="auto"/>
                      <w:sz w:val="21"/>
                      <w:szCs w:val="21"/>
                    </w:rPr>
                  </w:pPr>
                  <w:r>
                    <w:rPr>
                      <w:rFonts w:ascii="Arial" w:hAnsi="Arial" w:eastAsia="宋体" w:cs="Arial"/>
                      <w:i w:val="0"/>
                      <w:iCs w:val="0"/>
                      <w:caps w:val="0"/>
                      <w:color w:val="auto"/>
                      <w:spacing w:val="0"/>
                      <w:sz w:val="21"/>
                      <w:szCs w:val="21"/>
                      <w:shd w:val="clear" w:fill="FFFFFF"/>
                    </w:rPr>
                    <w:t>锅炉排污水</w:t>
                  </w:r>
                  <w:r>
                    <w:rPr>
                      <w:rFonts w:hint="eastAsia" w:ascii="Arial" w:hAnsi="Arial" w:eastAsia="宋体" w:cs="Arial"/>
                      <w:i w:val="0"/>
                      <w:iCs w:val="0"/>
                      <w:caps w:val="0"/>
                      <w:color w:val="auto"/>
                      <w:spacing w:val="0"/>
                      <w:sz w:val="21"/>
                      <w:szCs w:val="21"/>
                      <w:shd w:val="clear" w:fill="FFFFFF"/>
                      <w:lang w:eastAsia="zh-CN"/>
                    </w:rPr>
                    <w:t>、</w:t>
                  </w:r>
                  <w:r>
                    <w:rPr>
                      <w:rFonts w:hint="eastAsia" w:ascii="Arial" w:hAnsi="Arial" w:eastAsia="宋体" w:cs="Arial"/>
                      <w:i w:val="0"/>
                      <w:iCs w:val="0"/>
                      <w:caps w:val="0"/>
                      <w:color w:val="auto"/>
                      <w:spacing w:val="0"/>
                      <w:sz w:val="21"/>
                      <w:szCs w:val="21"/>
                      <w:shd w:val="clear" w:fill="FFFFFF"/>
                      <w:lang w:val="en-US" w:eastAsia="zh-CN"/>
                    </w:rPr>
                    <w:t>再生废水</w:t>
                  </w:r>
                  <w:r>
                    <w:rPr>
                      <w:rFonts w:ascii="Arial" w:hAnsi="Arial" w:eastAsia="宋体" w:cs="Arial"/>
                      <w:i w:val="0"/>
                      <w:iCs w:val="0"/>
                      <w:caps w:val="0"/>
                      <w:color w:val="auto"/>
                      <w:spacing w:val="0"/>
                      <w:sz w:val="21"/>
                      <w:szCs w:val="21"/>
                      <w:shd w:val="clear" w:fill="FFFFFF"/>
                    </w:rPr>
                    <w:t>通过沟道进入工艺循环</w:t>
                  </w:r>
                  <w:r>
                    <w:rPr>
                      <w:rFonts w:hint="eastAsia" w:ascii="Arial" w:hAnsi="Arial" w:eastAsia="宋体" w:cs="Arial"/>
                      <w:i w:val="0"/>
                      <w:iCs w:val="0"/>
                      <w:caps w:val="0"/>
                      <w:color w:val="auto"/>
                      <w:spacing w:val="0"/>
                      <w:sz w:val="21"/>
                      <w:szCs w:val="21"/>
                      <w:shd w:val="clear" w:fill="FFFFFF"/>
                      <w:lang w:val="en-US" w:eastAsia="zh-CN"/>
                    </w:rPr>
                    <w:t>水池待用</w:t>
                  </w:r>
                </w:p>
              </w:tc>
            </w:tr>
            <w:tr w14:paraId="7F61D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76A57668">
                  <w:pPr>
                    <w:jc w:val="center"/>
                    <w:rPr>
                      <w:color w:val="auto"/>
                      <w:sz w:val="21"/>
                      <w:szCs w:val="21"/>
                    </w:rPr>
                  </w:pPr>
                  <w:r>
                    <w:rPr>
                      <w:color w:val="auto"/>
                      <w:sz w:val="21"/>
                      <w:szCs w:val="21"/>
                    </w:rPr>
                    <w:t>TW003</w:t>
                  </w:r>
                </w:p>
              </w:tc>
              <w:tc>
                <w:tcPr>
                  <w:tcW w:w="1230" w:type="pct"/>
                  <w:tcBorders>
                    <w:top w:val="single" w:color="auto" w:sz="4" w:space="0"/>
                    <w:left w:val="single" w:color="auto" w:sz="4" w:space="0"/>
                    <w:bottom w:val="single" w:color="auto" w:sz="4" w:space="0"/>
                    <w:right w:val="single" w:color="auto" w:sz="4" w:space="0"/>
                  </w:tcBorders>
                  <w:vAlign w:val="center"/>
                </w:tcPr>
                <w:p w14:paraId="7C38DCE5">
                  <w:pPr>
                    <w:jc w:val="center"/>
                    <w:rPr>
                      <w:color w:val="auto"/>
                      <w:sz w:val="21"/>
                      <w:szCs w:val="21"/>
                    </w:rPr>
                  </w:pPr>
                  <w:r>
                    <w:rPr>
                      <w:color w:val="auto"/>
                      <w:sz w:val="21"/>
                      <w:szCs w:val="21"/>
                    </w:rPr>
                    <w:t>TW003</w:t>
                  </w:r>
                </w:p>
              </w:tc>
              <w:tc>
                <w:tcPr>
                  <w:tcW w:w="1237" w:type="pct"/>
                  <w:tcBorders>
                    <w:top w:val="single" w:color="auto" w:sz="4" w:space="0"/>
                    <w:left w:val="single" w:color="auto" w:sz="4" w:space="0"/>
                    <w:bottom w:val="single" w:color="auto" w:sz="4" w:space="0"/>
                    <w:right w:val="single" w:color="auto" w:sz="4" w:space="0"/>
                  </w:tcBorders>
                  <w:vAlign w:val="center"/>
                </w:tcPr>
                <w:p w14:paraId="572C11E0">
                  <w:pPr>
                    <w:jc w:val="center"/>
                    <w:rPr>
                      <w:color w:val="auto"/>
                      <w:sz w:val="21"/>
                      <w:szCs w:val="21"/>
                    </w:rPr>
                  </w:pPr>
                  <w:r>
                    <w:rPr>
                      <w:rFonts w:ascii="Arial" w:hAnsi="Arial" w:eastAsia="宋体" w:cs="Arial"/>
                      <w:i w:val="0"/>
                      <w:iCs w:val="0"/>
                      <w:caps w:val="0"/>
                      <w:color w:val="auto"/>
                      <w:spacing w:val="0"/>
                      <w:sz w:val="21"/>
                      <w:szCs w:val="21"/>
                      <w:shd w:val="clear" w:fill="FFFFFF"/>
                    </w:rPr>
                    <w:t>渣场渗滤液回收系统</w:t>
                  </w:r>
                </w:p>
              </w:tc>
              <w:tc>
                <w:tcPr>
                  <w:tcW w:w="1504" w:type="pct"/>
                  <w:tcBorders>
                    <w:top w:val="single" w:color="auto" w:sz="4" w:space="0"/>
                    <w:left w:val="single" w:color="auto" w:sz="4" w:space="0"/>
                    <w:bottom w:val="single" w:color="auto" w:sz="4" w:space="0"/>
                    <w:right w:val="single" w:color="auto" w:sz="4" w:space="0"/>
                  </w:tcBorders>
                  <w:vAlign w:val="center"/>
                </w:tcPr>
                <w:p w14:paraId="141C3187">
                  <w:pPr>
                    <w:jc w:val="center"/>
                    <w:rPr>
                      <w:rFonts w:hint="eastAsia" w:eastAsia="宋体"/>
                      <w:color w:val="auto"/>
                      <w:sz w:val="21"/>
                      <w:szCs w:val="21"/>
                      <w:lang w:eastAsia="zh-CN"/>
                    </w:rPr>
                  </w:pPr>
                  <w:r>
                    <w:rPr>
                      <w:rFonts w:hint="eastAsia"/>
                      <w:color w:val="auto"/>
                      <w:sz w:val="21"/>
                      <w:szCs w:val="21"/>
                      <w:lang w:val="en-US" w:eastAsia="zh-CN"/>
                    </w:rPr>
                    <w:t>循环利用</w:t>
                  </w:r>
                </w:p>
              </w:tc>
            </w:tr>
            <w:tr w14:paraId="17104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3BCD51A4">
                  <w:pPr>
                    <w:jc w:val="center"/>
                    <w:rPr>
                      <w:color w:val="auto"/>
                      <w:sz w:val="21"/>
                      <w:szCs w:val="21"/>
                    </w:rPr>
                  </w:pPr>
                  <w:r>
                    <w:rPr>
                      <w:color w:val="auto"/>
                      <w:sz w:val="21"/>
                      <w:szCs w:val="21"/>
                    </w:rPr>
                    <w:t>TW004</w:t>
                  </w:r>
                </w:p>
              </w:tc>
              <w:tc>
                <w:tcPr>
                  <w:tcW w:w="1230" w:type="pct"/>
                  <w:tcBorders>
                    <w:top w:val="single" w:color="auto" w:sz="4" w:space="0"/>
                    <w:left w:val="single" w:color="auto" w:sz="4" w:space="0"/>
                    <w:bottom w:val="single" w:color="auto" w:sz="4" w:space="0"/>
                    <w:right w:val="single" w:color="auto" w:sz="4" w:space="0"/>
                  </w:tcBorders>
                  <w:vAlign w:val="center"/>
                </w:tcPr>
                <w:p w14:paraId="69C765B4">
                  <w:pPr>
                    <w:jc w:val="center"/>
                    <w:rPr>
                      <w:color w:val="auto"/>
                      <w:sz w:val="21"/>
                      <w:szCs w:val="21"/>
                    </w:rPr>
                  </w:pPr>
                  <w:r>
                    <w:rPr>
                      <w:color w:val="auto"/>
                      <w:sz w:val="21"/>
                      <w:szCs w:val="21"/>
                    </w:rPr>
                    <w:t>TW004</w:t>
                  </w:r>
                </w:p>
              </w:tc>
              <w:tc>
                <w:tcPr>
                  <w:tcW w:w="1237" w:type="pct"/>
                  <w:tcBorders>
                    <w:top w:val="single" w:color="auto" w:sz="4" w:space="0"/>
                    <w:left w:val="single" w:color="auto" w:sz="4" w:space="0"/>
                    <w:bottom w:val="single" w:color="auto" w:sz="4" w:space="0"/>
                    <w:right w:val="single" w:color="auto" w:sz="4" w:space="0"/>
                  </w:tcBorders>
                  <w:vAlign w:val="center"/>
                </w:tcPr>
                <w:p w14:paraId="4E80A92F">
                  <w:pPr>
                    <w:jc w:val="center"/>
                    <w:rPr>
                      <w:rFonts w:hint="eastAsia" w:eastAsia="宋体"/>
                      <w:color w:val="auto"/>
                      <w:sz w:val="21"/>
                      <w:szCs w:val="21"/>
                      <w:lang w:eastAsia="zh-CN"/>
                    </w:rPr>
                  </w:pPr>
                  <w:r>
                    <w:rPr>
                      <w:rFonts w:hint="eastAsia"/>
                      <w:color w:val="auto"/>
                      <w:sz w:val="21"/>
                      <w:szCs w:val="21"/>
                      <w:lang w:val="en-US" w:eastAsia="zh-CN"/>
                    </w:rPr>
                    <w:t>雨水收集池</w:t>
                  </w:r>
                </w:p>
              </w:tc>
              <w:tc>
                <w:tcPr>
                  <w:tcW w:w="1504" w:type="pct"/>
                  <w:tcBorders>
                    <w:top w:val="single" w:color="auto" w:sz="4" w:space="0"/>
                    <w:left w:val="single" w:color="auto" w:sz="4" w:space="0"/>
                    <w:bottom w:val="single" w:color="auto" w:sz="4" w:space="0"/>
                    <w:right w:val="single" w:color="auto" w:sz="4" w:space="0"/>
                  </w:tcBorders>
                  <w:vAlign w:val="center"/>
                </w:tcPr>
                <w:p w14:paraId="6D0F9C1A">
                  <w:pPr>
                    <w:jc w:val="center"/>
                    <w:rPr>
                      <w:rFonts w:hint="eastAsia" w:eastAsia="宋体"/>
                      <w:color w:val="auto"/>
                      <w:sz w:val="21"/>
                      <w:szCs w:val="21"/>
                      <w:lang w:eastAsia="zh-CN"/>
                    </w:rPr>
                  </w:pPr>
                  <w:r>
                    <w:rPr>
                      <w:rFonts w:hint="eastAsia"/>
                      <w:color w:val="auto"/>
                      <w:sz w:val="21"/>
                      <w:szCs w:val="21"/>
                      <w:lang w:val="en-US" w:eastAsia="zh-CN"/>
                    </w:rPr>
                    <w:t>回用</w:t>
                  </w:r>
                </w:p>
              </w:tc>
            </w:tr>
            <w:tr w14:paraId="702B9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748F9147">
                  <w:pPr>
                    <w:jc w:val="center"/>
                    <w:rPr>
                      <w:color w:val="auto"/>
                      <w:sz w:val="21"/>
                      <w:szCs w:val="21"/>
                    </w:rPr>
                  </w:pPr>
                  <w:r>
                    <w:rPr>
                      <w:color w:val="auto"/>
                      <w:sz w:val="21"/>
                      <w:szCs w:val="21"/>
                    </w:rPr>
                    <w:t>TW005</w:t>
                  </w:r>
                </w:p>
              </w:tc>
              <w:tc>
                <w:tcPr>
                  <w:tcW w:w="1230" w:type="pct"/>
                  <w:tcBorders>
                    <w:top w:val="single" w:color="auto" w:sz="4" w:space="0"/>
                    <w:left w:val="single" w:color="auto" w:sz="4" w:space="0"/>
                    <w:bottom w:val="single" w:color="auto" w:sz="4" w:space="0"/>
                    <w:right w:val="single" w:color="auto" w:sz="4" w:space="0"/>
                  </w:tcBorders>
                  <w:vAlign w:val="center"/>
                </w:tcPr>
                <w:p w14:paraId="4DDF8E4F">
                  <w:pPr>
                    <w:jc w:val="center"/>
                    <w:rPr>
                      <w:color w:val="auto"/>
                      <w:sz w:val="21"/>
                      <w:szCs w:val="21"/>
                    </w:rPr>
                  </w:pPr>
                  <w:r>
                    <w:rPr>
                      <w:color w:val="auto"/>
                      <w:sz w:val="21"/>
                      <w:szCs w:val="21"/>
                    </w:rPr>
                    <w:t>TW005</w:t>
                  </w:r>
                </w:p>
              </w:tc>
              <w:tc>
                <w:tcPr>
                  <w:tcW w:w="1237" w:type="pct"/>
                  <w:tcBorders>
                    <w:top w:val="single" w:color="auto" w:sz="4" w:space="0"/>
                    <w:left w:val="single" w:color="auto" w:sz="4" w:space="0"/>
                    <w:bottom w:val="single" w:color="auto" w:sz="4" w:space="0"/>
                    <w:right w:val="single" w:color="auto" w:sz="4" w:space="0"/>
                  </w:tcBorders>
                  <w:vAlign w:val="center"/>
                </w:tcPr>
                <w:p w14:paraId="211525AC">
                  <w:pPr>
                    <w:jc w:val="center"/>
                    <w:rPr>
                      <w:rFonts w:hint="eastAsia" w:eastAsia="宋体"/>
                      <w:color w:val="auto"/>
                      <w:sz w:val="21"/>
                      <w:szCs w:val="21"/>
                      <w:lang w:eastAsia="zh-CN"/>
                    </w:rPr>
                  </w:pPr>
                  <w:r>
                    <w:rPr>
                      <w:rFonts w:hint="eastAsia"/>
                      <w:color w:val="auto"/>
                      <w:sz w:val="21"/>
                      <w:szCs w:val="21"/>
                      <w:lang w:val="en-US" w:eastAsia="zh-CN"/>
                    </w:rPr>
                    <w:t>生化处理设施</w:t>
                  </w:r>
                </w:p>
              </w:tc>
              <w:tc>
                <w:tcPr>
                  <w:tcW w:w="1504" w:type="pct"/>
                  <w:tcBorders>
                    <w:top w:val="single" w:color="auto" w:sz="4" w:space="0"/>
                    <w:left w:val="single" w:color="auto" w:sz="4" w:space="0"/>
                    <w:bottom w:val="single" w:color="auto" w:sz="4" w:space="0"/>
                    <w:right w:val="single" w:color="auto" w:sz="4" w:space="0"/>
                  </w:tcBorders>
                  <w:vAlign w:val="center"/>
                </w:tcPr>
                <w:p w14:paraId="7F66910C">
                  <w:pPr>
                    <w:jc w:val="center"/>
                    <w:rPr>
                      <w:rFonts w:hint="default" w:eastAsia="宋体"/>
                      <w:color w:val="auto"/>
                      <w:sz w:val="21"/>
                      <w:szCs w:val="21"/>
                      <w:lang w:val="en-US" w:eastAsia="zh-CN"/>
                    </w:rPr>
                  </w:pPr>
                  <w:r>
                    <w:rPr>
                      <w:rFonts w:hint="eastAsia"/>
                      <w:color w:val="auto"/>
                      <w:sz w:val="21"/>
                      <w:szCs w:val="21"/>
                      <w:lang w:val="en-US" w:eastAsia="zh-CN"/>
                    </w:rPr>
                    <w:t>隔油池、化粪池处理</w:t>
                  </w:r>
                </w:p>
              </w:tc>
            </w:tr>
          </w:tbl>
          <w:p w14:paraId="32604590">
            <w:pPr>
              <w:spacing w:before="120" w:beforeLines="50"/>
              <w:jc w:val="center"/>
              <w:rPr>
                <w:b/>
                <w:bCs/>
                <w:color w:val="auto"/>
                <w:sz w:val="24"/>
              </w:rPr>
            </w:pPr>
            <w:r>
              <w:rPr>
                <w:b/>
                <w:bCs/>
                <w:color w:val="auto"/>
                <w:sz w:val="24"/>
              </w:rPr>
              <w:t>表2-</w:t>
            </w:r>
            <w:r>
              <w:rPr>
                <w:rFonts w:hint="eastAsia"/>
                <w:b/>
                <w:bCs/>
                <w:color w:val="auto"/>
                <w:sz w:val="24"/>
              </w:rPr>
              <w:t>2</w:t>
            </w:r>
            <w:r>
              <w:rPr>
                <w:rFonts w:hint="eastAsia"/>
                <w:b/>
                <w:bCs/>
                <w:color w:val="auto"/>
                <w:sz w:val="24"/>
                <w:lang w:val="en-US" w:eastAsia="zh-CN"/>
              </w:rPr>
              <w:t>6</w:t>
            </w:r>
            <w:r>
              <w:rPr>
                <w:b/>
                <w:bCs/>
                <w:color w:val="auto"/>
                <w:sz w:val="24"/>
              </w:rPr>
              <w:t xml:space="preserve">  </w:t>
            </w:r>
            <w:r>
              <w:rPr>
                <w:rFonts w:hint="eastAsia"/>
                <w:b/>
                <w:bCs/>
                <w:color w:val="auto"/>
                <w:sz w:val="24"/>
                <w:lang w:eastAsia="zh-CN"/>
              </w:rPr>
              <w:t>云南常青树化工有限公司</w:t>
            </w:r>
            <w:r>
              <w:rPr>
                <w:b/>
                <w:bCs/>
                <w:color w:val="auto"/>
                <w:sz w:val="24"/>
              </w:rPr>
              <w:t>现有排放口一览表</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2"/>
              <w:gridCol w:w="1549"/>
              <w:gridCol w:w="2560"/>
              <w:gridCol w:w="2508"/>
            </w:tblGrid>
            <w:tr w14:paraId="343A3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5F34AC52">
                  <w:pPr>
                    <w:jc w:val="center"/>
                    <w:rPr>
                      <w:b/>
                      <w:color w:val="auto"/>
                      <w:sz w:val="21"/>
                      <w:szCs w:val="21"/>
                    </w:rPr>
                  </w:pPr>
                  <w:r>
                    <w:rPr>
                      <w:b/>
                      <w:color w:val="auto"/>
                      <w:sz w:val="21"/>
                      <w:szCs w:val="21"/>
                    </w:rPr>
                    <w:t>排放口许可编号</w:t>
                  </w:r>
                </w:p>
              </w:tc>
              <w:tc>
                <w:tcPr>
                  <w:tcW w:w="930" w:type="pct"/>
                  <w:tcBorders>
                    <w:top w:val="single" w:color="auto" w:sz="4" w:space="0"/>
                    <w:left w:val="single" w:color="auto" w:sz="4" w:space="0"/>
                    <w:bottom w:val="single" w:color="auto" w:sz="4" w:space="0"/>
                    <w:right w:val="single" w:color="auto" w:sz="4" w:space="0"/>
                  </w:tcBorders>
                  <w:vAlign w:val="center"/>
                </w:tcPr>
                <w:p w14:paraId="49E4132B">
                  <w:pPr>
                    <w:jc w:val="center"/>
                    <w:rPr>
                      <w:b/>
                      <w:color w:val="auto"/>
                      <w:sz w:val="21"/>
                      <w:szCs w:val="21"/>
                    </w:rPr>
                  </w:pPr>
                  <w:r>
                    <w:rPr>
                      <w:b/>
                      <w:color w:val="auto"/>
                      <w:sz w:val="21"/>
                      <w:szCs w:val="21"/>
                    </w:rPr>
                    <w:t>排放口企业内部编号</w:t>
                  </w:r>
                </w:p>
              </w:tc>
              <w:tc>
                <w:tcPr>
                  <w:tcW w:w="1537" w:type="pct"/>
                  <w:tcBorders>
                    <w:top w:val="single" w:color="auto" w:sz="4" w:space="0"/>
                    <w:left w:val="single" w:color="auto" w:sz="4" w:space="0"/>
                    <w:bottom w:val="single" w:color="auto" w:sz="4" w:space="0"/>
                    <w:right w:val="single" w:color="auto" w:sz="4" w:space="0"/>
                  </w:tcBorders>
                  <w:vAlign w:val="center"/>
                </w:tcPr>
                <w:p w14:paraId="276F58E8">
                  <w:pPr>
                    <w:jc w:val="center"/>
                    <w:rPr>
                      <w:b/>
                      <w:color w:val="auto"/>
                      <w:sz w:val="21"/>
                      <w:szCs w:val="21"/>
                    </w:rPr>
                  </w:pPr>
                  <w:r>
                    <w:rPr>
                      <w:b/>
                      <w:color w:val="auto"/>
                      <w:sz w:val="21"/>
                      <w:szCs w:val="21"/>
                    </w:rPr>
                    <w:t>排放口名称</w:t>
                  </w:r>
                </w:p>
              </w:tc>
              <w:tc>
                <w:tcPr>
                  <w:tcW w:w="1504" w:type="pct"/>
                  <w:tcBorders>
                    <w:top w:val="single" w:color="auto" w:sz="4" w:space="0"/>
                    <w:left w:val="single" w:color="auto" w:sz="4" w:space="0"/>
                    <w:bottom w:val="single" w:color="auto" w:sz="4" w:space="0"/>
                    <w:right w:val="single" w:color="auto" w:sz="4" w:space="0"/>
                  </w:tcBorders>
                  <w:vAlign w:val="center"/>
                </w:tcPr>
                <w:p w14:paraId="63A74BBF">
                  <w:pPr>
                    <w:jc w:val="center"/>
                    <w:rPr>
                      <w:b/>
                      <w:color w:val="auto"/>
                      <w:sz w:val="21"/>
                      <w:szCs w:val="21"/>
                    </w:rPr>
                  </w:pPr>
                  <w:r>
                    <w:rPr>
                      <w:b/>
                      <w:color w:val="auto"/>
                      <w:sz w:val="21"/>
                      <w:szCs w:val="21"/>
                    </w:rPr>
                    <w:t>排放口类型</w:t>
                  </w:r>
                </w:p>
              </w:tc>
            </w:tr>
            <w:tr w14:paraId="72CD1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0F9234E6">
                  <w:pPr>
                    <w:jc w:val="center"/>
                    <w:rPr>
                      <w:b/>
                      <w:color w:val="auto"/>
                      <w:sz w:val="21"/>
                      <w:szCs w:val="21"/>
                    </w:rPr>
                  </w:pPr>
                  <w:r>
                    <w:rPr>
                      <w:b/>
                      <w:color w:val="auto"/>
                      <w:sz w:val="21"/>
                      <w:szCs w:val="21"/>
                    </w:rPr>
                    <w:t>废气排放口</w:t>
                  </w:r>
                </w:p>
              </w:tc>
            </w:tr>
            <w:tr w14:paraId="64A4D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31E3D200">
                  <w:pPr>
                    <w:jc w:val="center"/>
                    <w:rPr>
                      <w:color w:val="auto"/>
                      <w:sz w:val="21"/>
                      <w:szCs w:val="21"/>
                    </w:rPr>
                  </w:pPr>
                  <w:r>
                    <w:rPr>
                      <w:color w:val="auto"/>
                      <w:sz w:val="21"/>
                      <w:szCs w:val="21"/>
                    </w:rPr>
                    <w:t>DA001</w:t>
                  </w:r>
                </w:p>
              </w:tc>
              <w:tc>
                <w:tcPr>
                  <w:tcW w:w="930" w:type="pct"/>
                  <w:tcBorders>
                    <w:top w:val="single" w:color="auto" w:sz="4" w:space="0"/>
                    <w:left w:val="single" w:color="auto" w:sz="4" w:space="0"/>
                    <w:bottom w:val="single" w:color="auto" w:sz="4" w:space="0"/>
                    <w:right w:val="single" w:color="auto" w:sz="4" w:space="0"/>
                  </w:tcBorders>
                  <w:vAlign w:val="center"/>
                </w:tcPr>
                <w:p w14:paraId="0E4FD78E">
                  <w:pPr>
                    <w:jc w:val="center"/>
                    <w:rPr>
                      <w:rFonts w:hint="eastAsia" w:eastAsia="宋体"/>
                      <w:color w:val="auto"/>
                      <w:sz w:val="21"/>
                      <w:szCs w:val="21"/>
                      <w:lang w:val="en-US" w:eastAsia="zh-CN"/>
                    </w:rPr>
                  </w:pPr>
                  <w:r>
                    <w:rPr>
                      <w:rFonts w:hint="eastAsia"/>
                      <w:color w:val="auto"/>
                      <w:sz w:val="21"/>
                      <w:szCs w:val="21"/>
                      <w:lang w:val="en-US" w:eastAsia="zh-CN"/>
                    </w:rPr>
                    <w:t>/</w:t>
                  </w:r>
                </w:p>
              </w:tc>
              <w:tc>
                <w:tcPr>
                  <w:tcW w:w="1537" w:type="pct"/>
                  <w:tcBorders>
                    <w:top w:val="single" w:color="auto" w:sz="4" w:space="0"/>
                    <w:left w:val="single" w:color="auto" w:sz="4" w:space="0"/>
                    <w:bottom w:val="single" w:color="auto" w:sz="4" w:space="0"/>
                    <w:right w:val="single" w:color="auto" w:sz="4" w:space="0"/>
                  </w:tcBorders>
                  <w:vAlign w:val="center"/>
                </w:tcPr>
                <w:p w14:paraId="02374DC6">
                  <w:pPr>
                    <w:jc w:val="center"/>
                    <w:rPr>
                      <w:rFonts w:hint="eastAsia" w:eastAsia="宋体"/>
                      <w:color w:val="auto"/>
                      <w:sz w:val="21"/>
                      <w:szCs w:val="21"/>
                      <w:lang w:val="en-US" w:eastAsia="zh-CN"/>
                    </w:rPr>
                  </w:pPr>
                  <w:r>
                    <w:rPr>
                      <w:rFonts w:hint="eastAsia"/>
                      <w:color w:val="auto"/>
                      <w:sz w:val="21"/>
                      <w:szCs w:val="21"/>
                      <w:lang w:val="en-US" w:eastAsia="zh-CN"/>
                    </w:rPr>
                    <w:t>硫酸尾气</w:t>
                  </w:r>
                </w:p>
              </w:tc>
              <w:tc>
                <w:tcPr>
                  <w:tcW w:w="1504" w:type="pct"/>
                  <w:tcBorders>
                    <w:top w:val="single" w:color="auto" w:sz="4" w:space="0"/>
                    <w:left w:val="single" w:color="auto" w:sz="4" w:space="0"/>
                    <w:bottom w:val="single" w:color="auto" w:sz="4" w:space="0"/>
                    <w:right w:val="single" w:color="auto" w:sz="4" w:space="0"/>
                  </w:tcBorders>
                  <w:vAlign w:val="center"/>
                </w:tcPr>
                <w:p w14:paraId="21EDEADC">
                  <w:pPr>
                    <w:jc w:val="center"/>
                    <w:rPr>
                      <w:color w:val="auto"/>
                      <w:sz w:val="21"/>
                      <w:szCs w:val="21"/>
                    </w:rPr>
                  </w:pPr>
                  <w:r>
                    <w:rPr>
                      <w:color w:val="auto"/>
                      <w:sz w:val="21"/>
                      <w:szCs w:val="21"/>
                    </w:rPr>
                    <w:t>主要排放口</w:t>
                  </w:r>
                </w:p>
              </w:tc>
            </w:tr>
            <w:tr w14:paraId="0FC7C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0AE3ADCB">
                  <w:pPr>
                    <w:jc w:val="center"/>
                    <w:rPr>
                      <w:color w:val="auto"/>
                      <w:sz w:val="21"/>
                      <w:szCs w:val="21"/>
                    </w:rPr>
                  </w:pPr>
                  <w:r>
                    <w:rPr>
                      <w:color w:val="auto"/>
                      <w:sz w:val="21"/>
                      <w:szCs w:val="21"/>
                    </w:rPr>
                    <w:t>DA002</w:t>
                  </w:r>
                </w:p>
              </w:tc>
              <w:tc>
                <w:tcPr>
                  <w:tcW w:w="930" w:type="pct"/>
                  <w:tcBorders>
                    <w:top w:val="single" w:color="auto" w:sz="4" w:space="0"/>
                    <w:left w:val="single" w:color="auto" w:sz="4" w:space="0"/>
                    <w:bottom w:val="single" w:color="auto" w:sz="4" w:space="0"/>
                    <w:right w:val="single" w:color="auto" w:sz="4" w:space="0"/>
                  </w:tcBorders>
                  <w:vAlign w:val="center"/>
                </w:tcPr>
                <w:p w14:paraId="61809F97">
                  <w:pPr>
                    <w:jc w:val="center"/>
                    <w:rPr>
                      <w:rFonts w:hint="eastAsia" w:eastAsia="宋体"/>
                      <w:color w:val="auto"/>
                      <w:sz w:val="21"/>
                      <w:szCs w:val="21"/>
                      <w:lang w:val="en-US" w:eastAsia="zh-CN"/>
                    </w:rPr>
                  </w:pPr>
                  <w:r>
                    <w:rPr>
                      <w:rFonts w:hint="eastAsia"/>
                      <w:color w:val="auto"/>
                      <w:sz w:val="21"/>
                      <w:szCs w:val="21"/>
                      <w:lang w:val="en-US" w:eastAsia="zh-CN"/>
                    </w:rPr>
                    <w:t>/</w:t>
                  </w:r>
                </w:p>
              </w:tc>
              <w:tc>
                <w:tcPr>
                  <w:tcW w:w="1537" w:type="pct"/>
                  <w:tcBorders>
                    <w:top w:val="single" w:color="auto" w:sz="4" w:space="0"/>
                    <w:left w:val="single" w:color="auto" w:sz="4" w:space="0"/>
                    <w:bottom w:val="single" w:color="auto" w:sz="4" w:space="0"/>
                    <w:right w:val="single" w:color="auto" w:sz="4" w:space="0"/>
                  </w:tcBorders>
                  <w:vAlign w:val="center"/>
                </w:tcPr>
                <w:p w14:paraId="43D19CEC">
                  <w:pPr>
                    <w:jc w:val="center"/>
                    <w:rPr>
                      <w:rFonts w:hint="default" w:eastAsia="宋体"/>
                      <w:color w:val="auto"/>
                      <w:sz w:val="21"/>
                      <w:szCs w:val="21"/>
                      <w:lang w:val="en-US" w:eastAsia="zh-CN"/>
                    </w:rPr>
                  </w:pPr>
                  <w:r>
                    <w:rPr>
                      <w:rFonts w:hint="eastAsia"/>
                      <w:color w:val="auto"/>
                      <w:sz w:val="21"/>
                      <w:szCs w:val="21"/>
                      <w:lang w:val="en-US" w:eastAsia="zh-CN"/>
                    </w:rPr>
                    <w:t>20吨锅炉尾气</w:t>
                  </w:r>
                </w:p>
              </w:tc>
              <w:tc>
                <w:tcPr>
                  <w:tcW w:w="1504" w:type="pct"/>
                  <w:tcBorders>
                    <w:top w:val="single" w:color="auto" w:sz="4" w:space="0"/>
                    <w:left w:val="single" w:color="auto" w:sz="4" w:space="0"/>
                    <w:bottom w:val="single" w:color="auto" w:sz="4" w:space="0"/>
                    <w:right w:val="single" w:color="auto" w:sz="4" w:space="0"/>
                  </w:tcBorders>
                  <w:vAlign w:val="center"/>
                </w:tcPr>
                <w:p w14:paraId="6B01EB14">
                  <w:pPr>
                    <w:jc w:val="center"/>
                    <w:rPr>
                      <w:color w:val="auto"/>
                      <w:sz w:val="21"/>
                      <w:szCs w:val="21"/>
                    </w:rPr>
                  </w:pPr>
                  <w:r>
                    <w:rPr>
                      <w:color w:val="auto"/>
                      <w:sz w:val="21"/>
                      <w:szCs w:val="21"/>
                    </w:rPr>
                    <w:t>主要排放口</w:t>
                  </w:r>
                </w:p>
              </w:tc>
            </w:tr>
            <w:tr w14:paraId="5B588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57261BE2">
                  <w:pPr>
                    <w:jc w:val="center"/>
                    <w:rPr>
                      <w:color w:val="auto"/>
                      <w:sz w:val="21"/>
                      <w:szCs w:val="21"/>
                    </w:rPr>
                  </w:pPr>
                  <w:r>
                    <w:rPr>
                      <w:color w:val="auto"/>
                      <w:sz w:val="21"/>
                      <w:szCs w:val="21"/>
                    </w:rPr>
                    <w:t>DA003</w:t>
                  </w:r>
                </w:p>
              </w:tc>
              <w:tc>
                <w:tcPr>
                  <w:tcW w:w="930" w:type="pct"/>
                  <w:tcBorders>
                    <w:top w:val="single" w:color="auto" w:sz="4" w:space="0"/>
                    <w:left w:val="single" w:color="auto" w:sz="4" w:space="0"/>
                    <w:bottom w:val="single" w:color="auto" w:sz="4" w:space="0"/>
                    <w:right w:val="single" w:color="auto" w:sz="4" w:space="0"/>
                  </w:tcBorders>
                  <w:vAlign w:val="center"/>
                </w:tcPr>
                <w:p w14:paraId="72D77560">
                  <w:pPr>
                    <w:jc w:val="center"/>
                    <w:rPr>
                      <w:rFonts w:hint="eastAsia" w:eastAsia="宋体"/>
                      <w:color w:val="auto"/>
                      <w:sz w:val="21"/>
                      <w:szCs w:val="21"/>
                      <w:lang w:val="en-US" w:eastAsia="zh-CN"/>
                    </w:rPr>
                  </w:pPr>
                  <w:r>
                    <w:rPr>
                      <w:rFonts w:hint="eastAsia"/>
                      <w:color w:val="auto"/>
                      <w:sz w:val="21"/>
                      <w:szCs w:val="21"/>
                      <w:lang w:val="en-US" w:eastAsia="zh-CN"/>
                    </w:rPr>
                    <w:t>/</w:t>
                  </w:r>
                </w:p>
              </w:tc>
              <w:tc>
                <w:tcPr>
                  <w:tcW w:w="1537" w:type="pct"/>
                  <w:tcBorders>
                    <w:top w:val="single" w:color="auto" w:sz="4" w:space="0"/>
                    <w:left w:val="single" w:color="auto" w:sz="4" w:space="0"/>
                    <w:bottom w:val="single" w:color="auto" w:sz="4" w:space="0"/>
                    <w:right w:val="single" w:color="auto" w:sz="4" w:space="0"/>
                  </w:tcBorders>
                  <w:vAlign w:val="center"/>
                </w:tcPr>
                <w:p w14:paraId="00906D7B">
                  <w:pPr>
                    <w:jc w:val="center"/>
                    <w:rPr>
                      <w:rFonts w:hint="default" w:eastAsia="宋体"/>
                      <w:color w:val="auto"/>
                      <w:sz w:val="21"/>
                      <w:szCs w:val="21"/>
                      <w:lang w:val="en-US" w:eastAsia="zh-CN"/>
                    </w:rPr>
                  </w:pPr>
                  <w:r>
                    <w:rPr>
                      <w:rFonts w:hint="eastAsia"/>
                      <w:color w:val="auto"/>
                      <w:sz w:val="21"/>
                      <w:szCs w:val="21"/>
                      <w:lang w:val="en-US" w:eastAsia="zh-CN"/>
                    </w:rPr>
                    <w:t>物料烘干机粉磨尾气</w:t>
                  </w:r>
                </w:p>
              </w:tc>
              <w:tc>
                <w:tcPr>
                  <w:tcW w:w="1504" w:type="pct"/>
                  <w:tcBorders>
                    <w:top w:val="single" w:color="auto" w:sz="4" w:space="0"/>
                    <w:left w:val="single" w:color="auto" w:sz="4" w:space="0"/>
                    <w:bottom w:val="single" w:color="auto" w:sz="4" w:space="0"/>
                    <w:right w:val="single" w:color="auto" w:sz="4" w:space="0"/>
                  </w:tcBorders>
                  <w:vAlign w:val="center"/>
                </w:tcPr>
                <w:p w14:paraId="38F59893">
                  <w:pPr>
                    <w:jc w:val="center"/>
                    <w:rPr>
                      <w:color w:val="auto"/>
                      <w:sz w:val="21"/>
                      <w:szCs w:val="21"/>
                    </w:rPr>
                  </w:pPr>
                  <w:r>
                    <w:rPr>
                      <w:color w:val="auto"/>
                      <w:sz w:val="21"/>
                      <w:szCs w:val="21"/>
                    </w:rPr>
                    <w:t>主要排放口</w:t>
                  </w:r>
                </w:p>
              </w:tc>
            </w:tr>
            <w:tr w14:paraId="2552C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60197440">
                  <w:pPr>
                    <w:jc w:val="center"/>
                    <w:rPr>
                      <w:color w:val="auto"/>
                      <w:sz w:val="21"/>
                      <w:szCs w:val="21"/>
                    </w:rPr>
                  </w:pPr>
                  <w:r>
                    <w:rPr>
                      <w:color w:val="auto"/>
                      <w:sz w:val="21"/>
                      <w:szCs w:val="21"/>
                    </w:rPr>
                    <w:t>DA004</w:t>
                  </w:r>
                </w:p>
              </w:tc>
              <w:tc>
                <w:tcPr>
                  <w:tcW w:w="930" w:type="pct"/>
                  <w:tcBorders>
                    <w:top w:val="single" w:color="auto" w:sz="4" w:space="0"/>
                    <w:left w:val="single" w:color="auto" w:sz="4" w:space="0"/>
                    <w:bottom w:val="single" w:color="auto" w:sz="4" w:space="0"/>
                    <w:right w:val="single" w:color="auto" w:sz="4" w:space="0"/>
                  </w:tcBorders>
                  <w:vAlign w:val="center"/>
                </w:tcPr>
                <w:p w14:paraId="7CE691ED">
                  <w:pPr>
                    <w:jc w:val="center"/>
                    <w:rPr>
                      <w:rFonts w:hint="eastAsia" w:eastAsia="宋体"/>
                      <w:color w:val="auto"/>
                      <w:sz w:val="21"/>
                      <w:szCs w:val="21"/>
                      <w:lang w:val="en-US" w:eastAsia="zh-CN"/>
                    </w:rPr>
                  </w:pPr>
                  <w:r>
                    <w:rPr>
                      <w:rFonts w:hint="eastAsia"/>
                      <w:color w:val="auto"/>
                      <w:sz w:val="21"/>
                      <w:szCs w:val="21"/>
                      <w:lang w:val="en-US" w:eastAsia="zh-CN"/>
                    </w:rPr>
                    <w:t>/</w:t>
                  </w:r>
                </w:p>
              </w:tc>
              <w:tc>
                <w:tcPr>
                  <w:tcW w:w="1537" w:type="pct"/>
                  <w:tcBorders>
                    <w:top w:val="single" w:color="auto" w:sz="4" w:space="0"/>
                    <w:left w:val="single" w:color="auto" w:sz="4" w:space="0"/>
                    <w:bottom w:val="single" w:color="auto" w:sz="4" w:space="0"/>
                    <w:right w:val="single" w:color="auto" w:sz="4" w:space="0"/>
                  </w:tcBorders>
                  <w:vAlign w:val="center"/>
                </w:tcPr>
                <w:p w14:paraId="575118DF">
                  <w:pPr>
                    <w:jc w:val="center"/>
                    <w:rPr>
                      <w:rFonts w:hint="default" w:eastAsia="宋体"/>
                      <w:color w:val="auto"/>
                      <w:sz w:val="21"/>
                      <w:szCs w:val="21"/>
                      <w:lang w:val="en-US" w:eastAsia="zh-CN"/>
                    </w:rPr>
                  </w:pPr>
                  <w:r>
                    <w:rPr>
                      <w:rFonts w:hint="eastAsia"/>
                      <w:color w:val="auto"/>
                      <w:sz w:val="21"/>
                      <w:szCs w:val="21"/>
                      <w:lang w:val="en-US" w:eastAsia="zh-CN"/>
                    </w:rPr>
                    <w:t>重钙/二胺尾气洗涤烟囱</w:t>
                  </w:r>
                </w:p>
              </w:tc>
              <w:tc>
                <w:tcPr>
                  <w:tcW w:w="1504" w:type="pct"/>
                  <w:tcBorders>
                    <w:top w:val="single" w:color="auto" w:sz="4" w:space="0"/>
                    <w:left w:val="single" w:color="auto" w:sz="4" w:space="0"/>
                    <w:bottom w:val="single" w:color="auto" w:sz="4" w:space="0"/>
                    <w:right w:val="single" w:color="auto" w:sz="4" w:space="0"/>
                  </w:tcBorders>
                  <w:vAlign w:val="center"/>
                </w:tcPr>
                <w:p w14:paraId="661BCC52">
                  <w:pPr>
                    <w:jc w:val="center"/>
                    <w:rPr>
                      <w:color w:val="auto"/>
                      <w:sz w:val="21"/>
                      <w:szCs w:val="21"/>
                    </w:rPr>
                  </w:pPr>
                  <w:r>
                    <w:rPr>
                      <w:color w:val="auto"/>
                      <w:sz w:val="21"/>
                      <w:szCs w:val="21"/>
                    </w:rPr>
                    <w:t>主要排放口</w:t>
                  </w:r>
                </w:p>
              </w:tc>
            </w:tr>
            <w:tr w14:paraId="18A9E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6FE0E5B9">
                  <w:pPr>
                    <w:jc w:val="center"/>
                    <w:rPr>
                      <w:color w:val="auto"/>
                      <w:sz w:val="21"/>
                      <w:szCs w:val="21"/>
                    </w:rPr>
                  </w:pPr>
                  <w:r>
                    <w:rPr>
                      <w:color w:val="auto"/>
                      <w:sz w:val="21"/>
                      <w:szCs w:val="21"/>
                    </w:rPr>
                    <w:t>DA005</w:t>
                  </w:r>
                </w:p>
              </w:tc>
              <w:tc>
                <w:tcPr>
                  <w:tcW w:w="930" w:type="pct"/>
                  <w:tcBorders>
                    <w:top w:val="single" w:color="auto" w:sz="4" w:space="0"/>
                    <w:left w:val="single" w:color="auto" w:sz="4" w:space="0"/>
                    <w:bottom w:val="single" w:color="auto" w:sz="4" w:space="0"/>
                    <w:right w:val="single" w:color="auto" w:sz="4" w:space="0"/>
                  </w:tcBorders>
                  <w:vAlign w:val="center"/>
                </w:tcPr>
                <w:p w14:paraId="19D31B07">
                  <w:pPr>
                    <w:jc w:val="center"/>
                    <w:rPr>
                      <w:rFonts w:hint="eastAsia" w:eastAsia="宋体"/>
                      <w:color w:val="auto"/>
                      <w:sz w:val="21"/>
                      <w:szCs w:val="21"/>
                      <w:lang w:val="en-US" w:eastAsia="zh-CN"/>
                    </w:rPr>
                  </w:pPr>
                  <w:r>
                    <w:rPr>
                      <w:rFonts w:hint="eastAsia"/>
                      <w:color w:val="auto"/>
                      <w:sz w:val="21"/>
                      <w:szCs w:val="21"/>
                      <w:lang w:val="en-US" w:eastAsia="zh-CN"/>
                    </w:rPr>
                    <w:t>/</w:t>
                  </w:r>
                </w:p>
              </w:tc>
              <w:tc>
                <w:tcPr>
                  <w:tcW w:w="1537" w:type="pct"/>
                  <w:tcBorders>
                    <w:top w:val="single" w:color="auto" w:sz="4" w:space="0"/>
                    <w:left w:val="single" w:color="auto" w:sz="4" w:space="0"/>
                    <w:bottom w:val="single" w:color="auto" w:sz="4" w:space="0"/>
                    <w:right w:val="single" w:color="auto" w:sz="4" w:space="0"/>
                  </w:tcBorders>
                  <w:vAlign w:val="center"/>
                </w:tcPr>
                <w:p w14:paraId="10205471">
                  <w:pPr>
                    <w:jc w:val="center"/>
                    <w:rPr>
                      <w:rFonts w:hint="default" w:eastAsia="宋体"/>
                      <w:color w:val="auto"/>
                      <w:sz w:val="21"/>
                      <w:szCs w:val="21"/>
                      <w:lang w:val="en-US" w:eastAsia="zh-CN"/>
                    </w:rPr>
                  </w:pPr>
                  <w:r>
                    <w:rPr>
                      <w:rFonts w:hint="eastAsia"/>
                      <w:color w:val="auto"/>
                      <w:sz w:val="21"/>
                      <w:szCs w:val="21"/>
                      <w:lang w:val="en-US" w:eastAsia="zh-CN"/>
                    </w:rPr>
                    <w:t>水溶肥1#烘干机排气筒</w:t>
                  </w:r>
                </w:p>
              </w:tc>
              <w:tc>
                <w:tcPr>
                  <w:tcW w:w="1504" w:type="pct"/>
                  <w:tcBorders>
                    <w:top w:val="single" w:color="auto" w:sz="4" w:space="0"/>
                    <w:left w:val="single" w:color="auto" w:sz="4" w:space="0"/>
                    <w:bottom w:val="single" w:color="auto" w:sz="4" w:space="0"/>
                    <w:right w:val="single" w:color="auto" w:sz="4" w:space="0"/>
                  </w:tcBorders>
                  <w:vAlign w:val="center"/>
                </w:tcPr>
                <w:p w14:paraId="02331569">
                  <w:pPr>
                    <w:jc w:val="center"/>
                    <w:rPr>
                      <w:color w:val="auto"/>
                      <w:sz w:val="21"/>
                      <w:szCs w:val="21"/>
                    </w:rPr>
                  </w:pPr>
                  <w:r>
                    <w:rPr>
                      <w:color w:val="auto"/>
                      <w:sz w:val="21"/>
                      <w:szCs w:val="21"/>
                    </w:rPr>
                    <w:t>主要排放口</w:t>
                  </w:r>
                </w:p>
              </w:tc>
            </w:tr>
            <w:tr w14:paraId="2C2AE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5C2D9424">
                  <w:pPr>
                    <w:jc w:val="center"/>
                    <w:rPr>
                      <w:color w:val="auto"/>
                      <w:sz w:val="21"/>
                      <w:szCs w:val="21"/>
                    </w:rPr>
                  </w:pPr>
                  <w:r>
                    <w:rPr>
                      <w:color w:val="auto"/>
                      <w:sz w:val="21"/>
                      <w:szCs w:val="21"/>
                    </w:rPr>
                    <w:t>DA006</w:t>
                  </w:r>
                </w:p>
              </w:tc>
              <w:tc>
                <w:tcPr>
                  <w:tcW w:w="930" w:type="pct"/>
                  <w:tcBorders>
                    <w:top w:val="single" w:color="auto" w:sz="4" w:space="0"/>
                    <w:left w:val="single" w:color="auto" w:sz="4" w:space="0"/>
                    <w:bottom w:val="single" w:color="auto" w:sz="4" w:space="0"/>
                    <w:right w:val="single" w:color="auto" w:sz="4" w:space="0"/>
                  </w:tcBorders>
                  <w:vAlign w:val="center"/>
                </w:tcPr>
                <w:p w14:paraId="19F6FB5C">
                  <w:pPr>
                    <w:jc w:val="center"/>
                    <w:rPr>
                      <w:rFonts w:hint="eastAsia" w:eastAsia="宋体"/>
                      <w:color w:val="auto"/>
                      <w:sz w:val="21"/>
                      <w:szCs w:val="21"/>
                      <w:lang w:val="en-US" w:eastAsia="zh-CN"/>
                    </w:rPr>
                  </w:pPr>
                  <w:r>
                    <w:rPr>
                      <w:rFonts w:hint="eastAsia"/>
                      <w:color w:val="auto"/>
                      <w:sz w:val="21"/>
                      <w:szCs w:val="21"/>
                      <w:lang w:val="en-US" w:eastAsia="zh-CN"/>
                    </w:rPr>
                    <w:t>/</w:t>
                  </w:r>
                </w:p>
              </w:tc>
              <w:tc>
                <w:tcPr>
                  <w:tcW w:w="1537" w:type="pct"/>
                  <w:tcBorders>
                    <w:top w:val="single" w:color="auto" w:sz="4" w:space="0"/>
                    <w:left w:val="single" w:color="auto" w:sz="4" w:space="0"/>
                    <w:bottom w:val="single" w:color="auto" w:sz="4" w:space="0"/>
                    <w:right w:val="single" w:color="auto" w:sz="4" w:space="0"/>
                  </w:tcBorders>
                  <w:vAlign w:val="center"/>
                </w:tcPr>
                <w:p w14:paraId="291A4283">
                  <w:pPr>
                    <w:jc w:val="center"/>
                    <w:rPr>
                      <w:color w:val="auto"/>
                      <w:sz w:val="21"/>
                      <w:szCs w:val="21"/>
                    </w:rPr>
                  </w:pPr>
                  <w:r>
                    <w:rPr>
                      <w:rFonts w:hint="eastAsia"/>
                      <w:color w:val="auto"/>
                      <w:sz w:val="21"/>
                      <w:szCs w:val="21"/>
                      <w:lang w:val="en-US" w:eastAsia="zh-CN"/>
                    </w:rPr>
                    <w:t>水溶肥2#烘干机排气筒</w:t>
                  </w:r>
                </w:p>
              </w:tc>
              <w:tc>
                <w:tcPr>
                  <w:tcW w:w="1504" w:type="pct"/>
                  <w:tcBorders>
                    <w:top w:val="single" w:color="auto" w:sz="4" w:space="0"/>
                    <w:left w:val="single" w:color="auto" w:sz="4" w:space="0"/>
                    <w:bottom w:val="single" w:color="auto" w:sz="4" w:space="0"/>
                    <w:right w:val="single" w:color="auto" w:sz="4" w:space="0"/>
                  </w:tcBorders>
                  <w:vAlign w:val="center"/>
                </w:tcPr>
                <w:p w14:paraId="6BE3B0F0">
                  <w:pPr>
                    <w:jc w:val="center"/>
                    <w:rPr>
                      <w:color w:val="auto"/>
                      <w:sz w:val="21"/>
                      <w:szCs w:val="21"/>
                    </w:rPr>
                  </w:pPr>
                  <w:r>
                    <w:rPr>
                      <w:color w:val="auto"/>
                      <w:sz w:val="21"/>
                      <w:szCs w:val="21"/>
                    </w:rPr>
                    <w:t>主要排放口</w:t>
                  </w:r>
                </w:p>
              </w:tc>
            </w:tr>
            <w:tr w14:paraId="135BE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16FE9CE4">
                  <w:pPr>
                    <w:jc w:val="center"/>
                    <w:rPr>
                      <w:color w:val="auto"/>
                      <w:sz w:val="21"/>
                      <w:szCs w:val="21"/>
                    </w:rPr>
                  </w:pPr>
                  <w:r>
                    <w:rPr>
                      <w:color w:val="auto"/>
                      <w:sz w:val="21"/>
                      <w:szCs w:val="21"/>
                    </w:rPr>
                    <w:t>DA007</w:t>
                  </w:r>
                </w:p>
              </w:tc>
              <w:tc>
                <w:tcPr>
                  <w:tcW w:w="930" w:type="pct"/>
                  <w:tcBorders>
                    <w:top w:val="single" w:color="auto" w:sz="4" w:space="0"/>
                    <w:left w:val="single" w:color="auto" w:sz="4" w:space="0"/>
                    <w:bottom w:val="single" w:color="auto" w:sz="4" w:space="0"/>
                    <w:right w:val="single" w:color="auto" w:sz="4" w:space="0"/>
                  </w:tcBorders>
                  <w:vAlign w:val="center"/>
                </w:tcPr>
                <w:p w14:paraId="5CCCC2C0">
                  <w:pPr>
                    <w:jc w:val="center"/>
                    <w:rPr>
                      <w:rFonts w:hint="eastAsia" w:eastAsia="宋体"/>
                      <w:color w:val="auto"/>
                      <w:sz w:val="21"/>
                      <w:szCs w:val="21"/>
                      <w:lang w:val="en-US" w:eastAsia="zh-CN"/>
                    </w:rPr>
                  </w:pPr>
                  <w:r>
                    <w:rPr>
                      <w:rFonts w:hint="eastAsia"/>
                      <w:color w:val="auto"/>
                      <w:sz w:val="21"/>
                      <w:szCs w:val="21"/>
                      <w:lang w:val="en-US" w:eastAsia="zh-CN"/>
                    </w:rPr>
                    <w:t>/</w:t>
                  </w:r>
                </w:p>
              </w:tc>
              <w:tc>
                <w:tcPr>
                  <w:tcW w:w="1537" w:type="pct"/>
                  <w:tcBorders>
                    <w:top w:val="single" w:color="auto" w:sz="4" w:space="0"/>
                    <w:left w:val="single" w:color="auto" w:sz="4" w:space="0"/>
                    <w:bottom w:val="single" w:color="auto" w:sz="4" w:space="0"/>
                    <w:right w:val="single" w:color="auto" w:sz="4" w:space="0"/>
                  </w:tcBorders>
                  <w:vAlign w:val="center"/>
                </w:tcPr>
                <w:p w14:paraId="7EB6700B">
                  <w:pPr>
                    <w:jc w:val="center"/>
                    <w:rPr>
                      <w:rFonts w:hint="default" w:eastAsia="宋体"/>
                      <w:color w:val="auto"/>
                      <w:sz w:val="21"/>
                      <w:szCs w:val="21"/>
                      <w:lang w:val="en-US" w:eastAsia="zh-CN"/>
                    </w:rPr>
                  </w:pPr>
                  <w:r>
                    <w:rPr>
                      <w:rFonts w:hint="eastAsia"/>
                      <w:color w:val="auto"/>
                      <w:sz w:val="21"/>
                      <w:szCs w:val="21"/>
                      <w:lang w:val="en-US" w:eastAsia="zh-CN"/>
                    </w:rPr>
                    <w:t>50吨锅炉烟囱</w:t>
                  </w:r>
                </w:p>
              </w:tc>
              <w:tc>
                <w:tcPr>
                  <w:tcW w:w="1504" w:type="pct"/>
                  <w:tcBorders>
                    <w:top w:val="single" w:color="auto" w:sz="4" w:space="0"/>
                    <w:left w:val="single" w:color="auto" w:sz="4" w:space="0"/>
                    <w:bottom w:val="single" w:color="auto" w:sz="4" w:space="0"/>
                    <w:right w:val="single" w:color="auto" w:sz="4" w:space="0"/>
                  </w:tcBorders>
                  <w:vAlign w:val="center"/>
                </w:tcPr>
                <w:p w14:paraId="49EF2571">
                  <w:pPr>
                    <w:jc w:val="center"/>
                    <w:rPr>
                      <w:color w:val="auto"/>
                      <w:sz w:val="21"/>
                      <w:szCs w:val="21"/>
                    </w:rPr>
                  </w:pPr>
                  <w:r>
                    <w:rPr>
                      <w:color w:val="auto"/>
                      <w:sz w:val="21"/>
                      <w:szCs w:val="21"/>
                    </w:rPr>
                    <w:t>主要排放口</w:t>
                  </w:r>
                </w:p>
              </w:tc>
            </w:tr>
            <w:tr w14:paraId="046A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45708B5E">
                  <w:pPr>
                    <w:jc w:val="center"/>
                    <w:rPr>
                      <w:b/>
                      <w:color w:val="auto"/>
                      <w:sz w:val="21"/>
                      <w:szCs w:val="21"/>
                    </w:rPr>
                  </w:pPr>
                  <w:r>
                    <w:rPr>
                      <w:b/>
                      <w:color w:val="auto"/>
                      <w:sz w:val="21"/>
                      <w:szCs w:val="21"/>
                    </w:rPr>
                    <w:t>废水排放口</w:t>
                  </w:r>
                </w:p>
              </w:tc>
            </w:tr>
            <w:tr w14:paraId="27A0E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7FB45EFA">
                  <w:pPr>
                    <w:jc w:val="center"/>
                    <w:rPr>
                      <w:color w:val="auto"/>
                      <w:sz w:val="21"/>
                      <w:szCs w:val="21"/>
                    </w:rPr>
                  </w:pPr>
                  <w:r>
                    <w:rPr>
                      <w:color w:val="auto"/>
                      <w:sz w:val="21"/>
                      <w:szCs w:val="21"/>
                    </w:rPr>
                    <w:t>DW001</w:t>
                  </w:r>
                </w:p>
              </w:tc>
              <w:tc>
                <w:tcPr>
                  <w:tcW w:w="930" w:type="pct"/>
                  <w:tcBorders>
                    <w:top w:val="single" w:color="auto" w:sz="4" w:space="0"/>
                    <w:left w:val="single" w:color="auto" w:sz="4" w:space="0"/>
                    <w:bottom w:val="single" w:color="auto" w:sz="4" w:space="0"/>
                    <w:right w:val="single" w:color="auto" w:sz="4" w:space="0"/>
                  </w:tcBorders>
                  <w:vAlign w:val="center"/>
                </w:tcPr>
                <w:p w14:paraId="592C344F">
                  <w:pPr>
                    <w:jc w:val="center"/>
                    <w:rPr>
                      <w:color w:val="auto"/>
                      <w:sz w:val="21"/>
                      <w:szCs w:val="21"/>
                    </w:rPr>
                  </w:pPr>
                  <w:r>
                    <w:rPr>
                      <w:color w:val="auto"/>
                      <w:sz w:val="21"/>
                      <w:szCs w:val="21"/>
                    </w:rPr>
                    <w:t>YS001</w:t>
                  </w:r>
                </w:p>
              </w:tc>
              <w:tc>
                <w:tcPr>
                  <w:tcW w:w="1537" w:type="pct"/>
                  <w:tcBorders>
                    <w:top w:val="single" w:color="auto" w:sz="4" w:space="0"/>
                    <w:left w:val="single" w:color="auto" w:sz="4" w:space="0"/>
                    <w:bottom w:val="single" w:color="auto" w:sz="4" w:space="0"/>
                    <w:right w:val="single" w:color="auto" w:sz="4" w:space="0"/>
                  </w:tcBorders>
                  <w:vAlign w:val="center"/>
                </w:tcPr>
                <w:p w14:paraId="1574433D">
                  <w:pPr>
                    <w:jc w:val="center"/>
                    <w:rPr>
                      <w:color w:val="auto"/>
                      <w:sz w:val="21"/>
                      <w:szCs w:val="21"/>
                    </w:rPr>
                  </w:pPr>
                  <w:r>
                    <w:rPr>
                      <w:color w:val="auto"/>
                      <w:sz w:val="21"/>
                      <w:szCs w:val="21"/>
                    </w:rPr>
                    <w:t>雨水</w:t>
                  </w:r>
                  <w:r>
                    <w:rPr>
                      <w:rFonts w:hint="eastAsia"/>
                      <w:color w:val="auto"/>
                      <w:sz w:val="21"/>
                      <w:szCs w:val="21"/>
                      <w:lang w:val="en-US" w:eastAsia="zh-CN"/>
                    </w:rPr>
                    <w:t>总</w:t>
                  </w:r>
                  <w:r>
                    <w:rPr>
                      <w:color w:val="auto"/>
                      <w:sz w:val="21"/>
                      <w:szCs w:val="21"/>
                    </w:rPr>
                    <w:t>排口</w:t>
                  </w:r>
                </w:p>
              </w:tc>
              <w:tc>
                <w:tcPr>
                  <w:tcW w:w="1504" w:type="pct"/>
                  <w:tcBorders>
                    <w:top w:val="single" w:color="auto" w:sz="4" w:space="0"/>
                    <w:left w:val="single" w:color="auto" w:sz="4" w:space="0"/>
                    <w:bottom w:val="single" w:color="auto" w:sz="4" w:space="0"/>
                    <w:right w:val="single" w:color="auto" w:sz="4" w:space="0"/>
                  </w:tcBorders>
                  <w:vAlign w:val="center"/>
                </w:tcPr>
                <w:p w14:paraId="70B07298">
                  <w:pPr>
                    <w:jc w:val="center"/>
                    <w:rPr>
                      <w:color w:val="auto"/>
                      <w:sz w:val="21"/>
                      <w:szCs w:val="21"/>
                    </w:rPr>
                  </w:pPr>
                  <w:r>
                    <w:rPr>
                      <w:color w:val="auto"/>
                      <w:sz w:val="21"/>
                      <w:szCs w:val="21"/>
                    </w:rPr>
                    <w:t>雨水排放口</w:t>
                  </w:r>
                </w:p>
              </w:tc>
            </w:tr>
          </w:tbl>
          <w:p w14:paraId="3B95ED59">
            <w:pPr>
              <w:spacing w:line="360" w:lineRule="auto"/>
              <w:ind w:firstLine="480" w:firstLineChars="200"/>
              <w:jc w:val="left"/>
              <w:rPr>
                <w:bCs/>
                <w:color w:val="auto"/>
                <w:sz w:val="24"/>
              </w:rPr>
            </w:pPr>
            <w:r>
              <w:rPr>
                <w:bCs/>
                <w:color w:val="auto"/>
                <w:sz w:val="24"/>
              </w:rPr>
              <w:t>根据昆明市生态环境局于2022年</w:t>
            </w:r>
            <w:r>
              <w:rPr>
                <w:rFonts w:hint="eastAsia"/>
                <w:bCs/>
                <w:color w:val="auto"/>
                <w:sz w:val="24"/>
                <w:lang w:val="en-US" w:eastAsia="zh-CN"/>
              </w:rPr>
              <w:t>10</w:t>
            </w:r>
            <w:r>
              <w:rPr>
                <w:bCs/>
                <w:color w:val="auto"/>
                <w:sz w:val="24"/>
              </w:rPr>
              <w:t>月</w:t>
            </w:r>
            <w:r>
              <w:rPr>
                <w:rFonts w:hint="eastAsia"/>
                <w:bCs/>
                <w:color w:val="auto"/>
                <w:sz w:val="24"/>
                <w:lang w:val="en-US" w:eastAsia="zh-CN"/>
              </w:rPr>
              <w:t>9</w:t>
            </w:r>
            <w:r>
              <w:rPr>
                <w:bCs/>
                <w:color w:val="auto"/>
                <w:sz w:val="24"/>
              </w:rPr>
              <w:t>日下发给</w:t>
            </w:r>
            <w:r>
              <w:rPr>
                <w:rFonts w:hint="eastAsia"/>
                <w:bCs/>
                <w:color w:val="auto"/>
                <w:sz w:val="24"/>
                <w:lang w:eastAsia="zh-CN"/>
              </w:rPr>
              <w:t>云南常青树化工有限公司</w:t>
            </w:r>
            <w:r>
              <w:rPr>
                <w:bCs/>
                <w:color w:val="auto"/>
                <w:sz w:val="24"/>
              </w:rPr>
              <w:t>的《排污许可证》附件14（证书编号为：91530129</w:t>
            </w:r>
            <w:r>
              <w:rPr>
                <w:rFonts w:hint="eastAsia"/>
                <w:bCs/>
                <w:color w:val="auto"/>
                <w:sz w:val="24"/>
                <w:lang w:val="en-US" w:eastAsia="zh-CN"/>
              </w:rPr>
              <w:t>753573495C001U</w:t>
            </w:r>
            <w:r>
              <w:rPr>
                <w:bCs/>
                <w:color w:val="auto"/>
                <w:sz w:val="24"/>
              </w:rPr>
              <w:t>，有效期限：自2022年</w:t>
            </w:r>
            <w:r>
              <w:rPr>
                <w:rFonts w:hint="eastAsia"/>
                <w:bCs/>
                <w:color w:val="auto"/>
                <w:sz w:val="24"/>
                <w:lang w:val="en-US" w:eastAsia="zh-CN"/>
              </w:rPr>
              <w:t>10</w:t>
            </w:r>
            <w:r>
              <w:rPr>
                <w:bCs/>
                <w:color w:val="auto"/>
                <w:sz w:val="24"/>
              </w:rPr>
              <w:t>月</w:t>
            </w:r>
            <w:r>
              <w:rPr>
                <w:rFonts w:hint="eastAsia"/>
                <w:bCs/>
                <w:color w:val="auto"/>
                <w:sz w:val="24"/>
                <w:lang w:val="en-US" w:eastAsia="zh-CN"/>
              </w:rPr>
              <w:t>11</w:t>
            </w:r>
            <w:r>
              <w:rPr>
                <w:bCs/>
                <w:color w:val="auto"/>
                <w:sz w:val="24"/>
              </w:rPr>
              <w:t>日至2027年</w:t>
            </w:r>
            <w:r>
              <w:rPr>
                <w:rFonts w:hint="eastAsia"/>
                <w:bCs/>
                <w:color w:val="auto"/>
                <w:sz w:val="24"/>
                <w:lang w:val="en-US" w:eastAsia="zh-CN"/>
              </w:rPr>
              <w:t>10</w:t>
            </w:r>
            <w:r>
              <w:rPr>
                <w:bCs/>
                <w:color w:val="auto"/>
                <w:sz w:val="24"/>
              </w:rPr>
              <w:t>月</w:t>
            </w:r>
            <w:r>
              <w:rPr>
                <w:rFonts w:hint="eastAsia"/>
                <w:bCs/>
                <w:color w:val="auto"/>
                <w:sz w:val="24"/>
                <w:lang w:val="en-US" w:eastAsia="zh-CN"/>
              </w:rPr>
              <w:t>10</w:t>
            </w:r>
            <w:r>
              <w:rPr>
                <w:bCs/>
                <w:color w:val="auto"/>
                <w:sz w:val="24"/>
              </w:rPr>
              <w:t>日止）可知，</w:t>
            </w:r>
            <w:r>
              <w:rPr>
                <w:rFonts w:hint="eastAsia"/>
                <w:bCs/>
                <w:color w:val="auto"/>
                <w:sz w:val="24"/>
                <w:lang w:eastAsia="zh-CN"/>
              </w:rPr>
              <w:t>云南常青树化工有限公司</w:t>
            </w:r>
            <w:r>
              <w:rPr>
                <w:bCs/>
                <w:color w:val="auto"/>
                <w:sz w:val="24"/>
              </w:rPr>
              <w:t>生产排污所涉及的行业类别有：</w:t>
            </w:r>
            <w:r>
              <w:rPr>
                <w:rFonts w:hint="eastAsia"/>
                <w:bCs/>
                <w:color w:val="auto"/>
                <w:sz w:val="24"/>
                <w:lang w:val="en-US" w:eastAsia="zh-CN"/>
              </w:rPr>
              <w:t>磷肥制造，专项化学用品制造，黏土砖瓦机建筑砌块制造，锅炉</w:t>
            </w:r>
            <w:r>
              <w:rPr>
                <w:bCs/>
                <w:color w:val="auto"/>
                <w:sz w:val="24"/>
              </w:rPr>
              <w:t>。根据《排污许可证副本》和《排污许可证执行报告（202</w:t>
            </w:r>
            <w:r>
              <w:rPr>
                <w:rFonts w:hint="eastAsia"/>
                <w:bCs/>
                <w:color w:val="auto"/>
                <w:sz w:val="24"/>
                <w:lang w:val="en-US" w:eastAsia="zh-CN"/>
              </w:rPr>
              <w:t>3</w:t>
            </w:r>
            <w:r>
              <w:rPr>
                <w:bCs/>
                <w:color w:val="auto"/>
                <w:sz w:val="24"/>
              </w:rPr>
              <w:t>年年报）》可知现有项目排污情况为：</w:t>
            </w:r>
          </w:p>
          <w:p w14:paraId="2776D008">
            <w:pPr>
              <w:spacing w:line="360" w:lineRule="auto"/>
              <w:ind w:firstLine="480" w:firstLineChars="200"/>
              <w:jc w:val="left"/>
              <w:rPr>
                <w:bCs/>
                <w:color w:val="auto"/>
                <w:sz w:val="24"/>
              </w:rPr>
            </w:pPr>
            <w:r>
              <w:rPr>
                <w:bCs/>
                <w:color w:val="auto"/>
                <w:sz w:val="24"/>
              </w:rPr>
              <w:t>主要污染物类别为废气和废水。其中废气的主要污染物种类为：颗粒物、SO</w:t>
            </w:r>
            <w:r>
              <w:rPr>
                <w:bCs/>
                <w:color w:val="auto"/>
                <w:sz w:val="24"/>
                <w:vertAlign w:val="subscript"/>
              </w:rPr>
              <w:t>2</w:t>
            </w:r>
            <w:r>
              <w:rPr>
                <w:bCs/>
                <w:color w:val="auto"/>
                <w:sz w:val="24"/>
              </w:rPr>
              <w:t>、NOx、VOCs、其他特征污染物（氟化物，</w:t>
            </w:r>
            <w:r>
              <w:rPr>
                <w:rFonts w:hint="eastAsia"/>
                <w:bCs/>
                <w:color w:val="auto"/>
                <w:sz w:val="24"/>
                <w:lang w:val="en-US" w:eastAsia="zh-CN"/>
              </w:rPr>
              <w:t>氨（氨气）</w:t>
            </w:r>
            <w:r>
              <w:rPr>
                <w:bCs/>
                <w:color w:val="auto"/>
                <w:sz w:val="24"/>
              </w:rPr>
              <w:t>，林格曼黑度，汞及其化合物）；废水的主要污染物种类为：COD、氨氮、其他特征污染物（pH值、溶解性总固体、</w:t>
            </w:r>
            <w:r>
              <w:rPr>
                <w:rFonts w:hint="eastAsia"/>
                <w:bCs/>
                <w:color w:val="auto"/>
                <w:sz w:val="24"/>
                <w:lang w:val="en-US" w:eastAsia="zh-CN"/>
              </w:rPr>
              <w:t>总氮、</w:t>
            </w:r>
            <w:r>
              <w:rPr>
                <w:bCs/>
                <w:color w:val="auto"/>
                <w:sz w:val="24"/>
              </w:rPr>
              <w:t>总磷（以P计）、</w:t>
            </w:r>
            <w:r>
              <w:rPr>
                <w:rFonts w:hint="eastAsia"/>
                <w:bCs/>
                <w:color w:val="auto"/>
                <w:sz w:val="24"/>
                <w:lang w:val="en-US" w:eastAsia="zh-CN"/>
              </w:rPr>
              <w:t>氟化物、</w:t>
            </w:r>
            <w:r>
              <w:rPr>
                <w:bCs/>
                <w:color w:val="auto"/>
                <w:sz w:val="24"/>
              </w:rPr>
              <w:t>悬浮物、</w:t>
            </w:r>
            <w:r>
              <w:rPr>
                <w:rFonts w:hint="eastAsia"/>
                <w:bCs/>
                <w:color w:val="auto"/>
                <w:sz w:val="24"/>
                <w:lang w:val="en-US" w:eastAsia="zh-CN"/>
              </w:rPr>
              <w:t>硫化物</w:t>
            </w:r>
            <w:r>
              <w:rPr>
                <w:bCs/>
                <w:color w:val="auto"/>
                <w:sz w:val="24"/>
              </w:rPr>
              <w:t>、总汞、总镉、总砷、总铅</w:t>
            </w:r>
            <w:r>
              <w:rPr>
                <w:rFonts w:hint="eastAsia"/>
                <w:bCs/>
                <w:color w:val="auto"/>
                <w:sz w:val="24"/>
                <w:lang w:eastAsia="zh-CN"/>
              </w:rPr>
              <w:t>、</w:t>
            </w:r>
            <w:r>
              <w:rPr>
                <w:rFonts w:hint="eastAsia"/>
                <w:bCs/>
                <w:color w:val="auto"/>
                <w:sz w:val="24"/>
                <w:lang w:val="en-US" w:eastAsia="zh-CN"/>
              </w:rPr>
              <w:t>表面活性剂、五日生化需氧量、动植物油</w:t>
            </w:r>
            <w:r>
              <w:rPr>
                <w:bCs/>
                <w:color w:val="auto"/>
                <w:sz w:val="24"/>
              </w:rPr>
              <w:t>）。</w:t>
            </w:r>
          </w:p>
          <w:p w14:paraId="5292D3D9">
            <w:pPr>
              <w:spacing w:line="360" w:lineRule="auto"/>
              <w:ind w:firstLine="480" w:firstLineChars="200"/>
              <w:jc w:val="left"/>
              <w:rPr>
                <w:bCs/>
                <w:color w:val="auto"/>
                <w:sz w:val="24"/>
              </w:rPr>
            </w:pPr>
            <w:r>
              <w:rPr>
                <w:rFonts w:hint="eastAsia"/>
                <w:bCs/>
                <w:color w:val="auto"/>
                <w:sz w:val="24"/>
                <w:lang w:eastAsia="zh-CN"/>
              </w:rPr>
              <w:t>（</w:t>
            </w:r>
            <w:r>
              <w:rPr>
                <w:rFonts w:hint="eastAsia"/>
                <w:bCs/>
                <w:color w:val="auto"/>
                <w:sz w:val="24"/>
                <w:lang w:val="en-US" w:eastAsia="zh-CN"/>
              </w:rPr>
              <w:t>1</w:t>
            </w:r>
            <w:r>
              <w:rPr>
                <w:rFonts w:hint="eastAsia"/>
                <w:bCs/>
                <w:color w:val="auto"/>
                <w:sz w:val="24"/>
                <w:lang w:eastAsia="zh-CN"/>
              </w:rPr>
              <w:t>）</w:t>
            </w:r>
            <w:r>
              <w:rPr>
                <w:bCs/>
                <w:color w:val="auto"/>
                <w:sz w:val="24"/>
              </w:rPr>
              <w:t>废气</w:t>
            </w:r>
          </w:p>
          <w:p w14:paraId="526C191A">
            <w:pPr>
              <w:spacing w:line="360" w:lineRule="auto"/>
              <w:ind w:firstLine="480" w:firstLineChars="200"/>
              <w:jc w:val="left"/>
              <w:rPr>
                <w:rFonts w:hint="default"/>
                <w:bCs/>
                <w:color w:val="auto"/>
                <w:sz w:val="24"/>
                <w:lang w:val="en-US" w:eastAsia="zh-CN"/>
              </w:rPr>
            </w:pPr>
            <w:r>
              <w:rPr>
                <w:rFonts w:hint="eastAsia"/>
                <w:bCs/>
                <w:color w:val="auto"/>
                <w:sz w:val="24"/>
              </w:rPr>
              <w:t>①</w:t>
            </w:r>
            <w:r>
              <w:rPr>
                <w:rFonts w:hint="eastAsia"/>
                <w:bCs/>
                <w:color w:val="auto"/>
                <w:sz w:val="24"/>
                <w:lang w:val="en-US" w:eastAsia="zh-CN"/>
              </w:rPr>
              <w:t>有组织废气</w:t>
            </w:r>
          </w:p>
          <w:p w14:paraId="64CA92F7">
            <w:pPr>
              <w:jc w:val="center"/>
              <w:rPr>
                <w:b/>
                <w:bCs/>
                <w:color w:val="auto"/>
                <w:sz w:val="24"/>
              </w:rPr>
            </w:pPr>
            <w:r>
              <w:rPr>
                <w:b/>
                <w:bCs/>
                <w:color w:val="auto"/>
                <w:sz w:val="24"/>
              </w:rPr>
              <w:t>表2-</w:t>
            </w:r>
            <w:r>
              <w:rPr>
                <w:rFonts w:hint="eastAsia"/>
                <w:b/>
                <w:bCs/>
                <w:color w:val="auto"/>
                <w:sz w:val="24"/>
                <w:lang w:val="en-US" w:eastAsia="zh-CN"/>
              </w:rPr>
              <w:t>27</w:t>
            </w:r>
            <w:r>
              <w:rPr>
                <w:b/>
                <w:bCs/>
                <w:color w:val="auto"/>
                <w:sz w:val="24"/>
              </w:rPr>
              <w:t xml:space="preserve">  </w:t>
            </w:r>
            <w:r>
              <w:rPr>
                <w:rFonts w:hint="eastAsia"/>
                <w:b/>
                <w:bCs/>
                <w:color w:val="auto"/>
                <w:sz w:val="24"/>
                <w:lang w:eastAsia="zh-CN"/>
              </w:rPr>
              <w:t>云南常青树化工有限公司</w:t>
            </w:r>
            <w:r>
              <w:rPr>
                <w:b/>
                <w:bCs/>
                <w:color w:val="auto"/>
                <w:sz w:val="24"/>
              </w:rPr>
              <w:t>废气排放一览表</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423"/>
              <w:gridCol w:w="423"/>
              <w:gridCol w:w="423"/>
              <w:gridCol w:w="423"/>
              <w:gridCol w:w="893"/>
              <w:gridCol w:w="1003"/>
              <w:gridCol w:w="1003"/>
              <w:gridCol w:w="1003"/>
              <w:gridCol w:w="1001"/>
              <w:gridCol w:w="999"/>
            </w:tblGrid>
            <w:tr w14:paraId="575F1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pct"/>
                  <w:vMerge w:val="restart"/>
                  <w:tcBorders>
                    <w:top w:val="single" w:color="auto" w:sz="4" w:space="0"/>
                    <w:left w:val="single" w:color="auto" w:sz="4" w:space="0"/>
                    <w:right w:val="single" w:color="auto" w:sz="4" w:space="0"/>
                  </w:tcBorders>
                  <w:vAlign w:val="center"/>
                </w:tcPr>
                <w:p w14:paraId="31F9EA34">
                  <w:pPr>
                    <w:jc w:val="center"/>
                    <w:rPr>
                      <w:color w:val="auto"/>
                      <w:sz w:val="21"/>
                      <w:szCs w:val="21"/>
                    </w:rPr>
                  </w:pPr>
                  <w:r>
                    <w:rPr>
                      <w:color w:val="auto"/>
                      <w:sz w:val="21"/>
                      <w:szCs w:val="21"/>
                    </w:rPr>
                    <w:t>污染物种类</w:t>
                  </w:r>
                </w:p>
              </w:tc>
              <w:tc>
                <w:tcPr>
                  <w:tcW w:w="1552" w:type="pct"/>
                  <w:gridSpan w:val="5"/>
                  <w:tcBorders>
                    <w:top w:val="single" w:color="auto" w:sz="4" w:space="0"/>
                    <w:left w:val="single" w:color="auto" w:sz="4" w:space="0"/>
                    <w:bottom w:val="single" w:color="auto" w:sz="4" w:space="0"/>
                    <w:right w:val="single" w:color="auto" w:sz="4" w:space="0"/>
                  </w:tcBorders>
                  <w:vAlign w:val="center"/>
                </w:tcPr>
                <w:p w14:paraId="4DD92728">
                  <w:pPr>
                    <w:jc w:val="center"/>
                    <w:rPr>
                      <w:color w:val="auto"/>
                      <w:sz w:val="21"/>
                      <w:szCs w:val="21"/>
                    </w:rPr>
                  </w:pPr>
                  <w:r>
                    <w:rPr>
                      <w:color w:val="auto"/>
                      <w:sz w:val="21"/>
                      <w:szCs w:val="21"/>
                    </w:rPr>
                    <w:t>许可排放量（吨）</w:t>
                  </w:r>
                </w:p>
              </w:tc>
              <w:tc>
                <w:tcPr>
                  <w:tcW w:w="3006" w:type="pct"/>
                  <w:gridSpan w:val="5"/>
                  <w:tcBorders>
                    <w:top w:val="single" w:color="auto" w:sz="4" w:space="0"/>
                    <w:left w:val="single" w:color="auto" w:sz="4" w:space="0"/>
                    <w:bottom w:val="single" w:color="auto" w:sz="4" w:space="0"/>
                    <w:right w:val="single" w:color="auto" w:sz="4" w:space="0"/>
                  </w:tcBorders>
                  <w:vAlign w:val="center"/>
                </w:tcPr>
                <w:p w14:paraId="79C4AC83">
                  <w:pPr>
                    <w:jc w:val="center"/>
                    <w:rPr>
                      <w:color w:val="auto"/>
                      <w:sz w:val="21"/>
                      <w:szCs w:val="21"/>
                    </w:rPr>
                  </w:pPr>
                  <w:r>
                    <w:rPr>
                      <w:color w:val="auto"/>
                      <w:sz w:val="21"/>
                      <w:szCs w:val="21"/>
                    </w:rPr>
                    <w:t>实际排放量（吨）</w:t>
                  </w:r>
                </w:p>
              </w:tc>
            </w:tr>
            <w:tr w14:paraId="26338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pct"/>
                  <w:vMerge w:val="continue"/>
                  <w:tcBorders>
                    <w:left w:val="single" w:color="auto" w:sz="4" w:space="0"/>
                    <w:bottom w:val="single" w:color="auto" w:sz="4" w:space="0"/>
                    <w:right w:val="single" w:color="auto" w:sz="4" w:space="0"/>
                  </w:tcBorders>
                  <w:vAlign w:val="center"/>
                </w:tcPr>
                <w:p w14:paraId="4F0BF58E">
                  <w:pPr>
                    <w:jc w:val="center"/>
                    <w:rPr>
                      <w:color w:val="auto"/>
                      <w:sz w:val="21"/>
                      <w:szCs w:val="21"/>
                    </w:rPr>
                  </w:pPr>
                </w:p>
              </w:tc>
              <w:tc>
                <w:tcPr>
                  <w:tcW w:w="254" w:type="pct"/>
                  <w:tcBorders>
                    <w:top w:val="single" w:color="auto" w:sz="4" w:space="0"/>
                    <w:left w:val="single" w:color="auto" w:sz="4" w:space="0"/>
                    <w:bottom w:val="single" w:color="auto" w:sz="4" w:space="0"/>
                    <w:right w:val="single" w:color="auto" w:sz="4" w:space="0"/>
                  </w:tcBorders>
                  <w:vAlign w:val="center"/>
                </w:tcPr>
                <w:p w14:paraId="1CB3479A">
                  <w:pPr>
                    <w:jc w:val="center"/>
                    <w:rPr>
                      <w:color w:val="auto"/>
                      <w:sz w:val="21"/>
                      <w:szCs w:val="21"/>
                    </w:rPr>
                  </w:pPr>
                  <w:r>
                    <w:rPr>
                      <w:color w:val="auto"/>
                      <w:sz w:val="21"/>
                      <w:szCs w:val="21"/>
                    </w:rPr>
                    <w:t>1季度</w:t>
                  </w:r>
                </w:p>
              </w:tc>
              <w:tc>
                <w:tcPr>
                  <w:tcW w:w="254" w:type="pct"/>
                  <w:tcBorders>
                    <w:top w:val="single" w:color="auto" w:sz="4" w:space="0"/>
                    <w:left w:val="single" w:color="auto" w:sz="4" w:space="0"/>
                    <w:bottom w:val="single" w:color="auto" w:sz="4" w:space="0"/>
                    <w:right w:val="single" w:color="auto" w:sz="4" w:space="0"/>
                  </w:tcBorders>
                  <w:vAlign w:val="center"/>
                </w:tcPr>
                <w:p w14:paraId="3ACB14A5">
                  <w:pPr>
                    <w:jc w:val="center"/>
                    <w:rPr>
                      <w:color w:val="auto"/>
                      <w:sz w:val="21"/>
                      <w:szCs w:val="21"/>
                    </w:rPr>
                  </w:pPr>
                  <w:r>
                    <w:rPr>
                      <w:color w:val="auto"/>
                      <w:sz w:val="21"/>
                      <w:szCs w:val="21"/>
                    </w:rPr>
                    <w:t>2季度</w:t>
                  </w:r>
                </w:p>
              </w:tc>
              <w:tc>
                <w:tcPr>
                  <w:tcW w:w="254" w:type="pct"/>
                  <w:tcBorders>
                    <w:top w:val="single" w:color="auto" w:sz="4" w:space="0"/>
                    <w:left w:val="single" w:color="auto" w:sz="4" w:space="0"/>
                    <w:bottom w:val="single" w:color="auto" w:sz="4" w:space="0"/>
                    <w:right w:val="single" w:color="auto" w:sz="4" w:space="0"/>
                  </w:tcBorders>
                  <w:vAlign w:val="center"/>
                </w:tcPr>
                <w:p w14:paraId="095A5B88">
                  <w:pPr>
                    <w:jc w:val="center"/>
                    <w:rPr>
                      <w:color w:val="auto"/>
                      <w:sz w:val="21"/>
                      <w:szCs w:val="21"/>
                    </w:rPr>
                  </w:pPr>
                  <w:r>
                    <w:rPr>
                      <w:color w:val="auto"/>
                      <w:sz w:val="21"/>
                      <w:szCs w:val="21"/>
                    </w:rPr>
                    <w:t>3季度</w:t>
                  </w:r>
                </w:p>
              </w:tc>
              <w:tc>
                <w:tcPr>
                  <w:tcW w:w="254" w:type="pct"/>
                  <w:tcBorders>
                    <w:top w:val="single" w:color="auto" w:sz="4" w:space="0"/>
                    <w:left w:val="single" w:color="auto" w:sz="4" w:space="0"/>
                    <w:bottom w:val="single" w:color="auto" w:sz="4" w:space="0"/>
                    <w:right w:val="single" w:color="auto" w:sz="4" w:space="0"/>
                  </w:tcBorders>
                  <w:vAlign w:val="center"/>
                </w:tcPr>
                <w:p w14:paraId="3F4B3DFA">
                  <w:pPr>
                    <w:jc w:val="center"/>
                    <w:rPr>
                      <w:color w:val="auto"/>
                      <w:sz w:val="21"/>
                      <w:szCs w:val="21"/>
                    </w:rPr>
                  </w:pPr>
                  <w:r>
                    <w:rPr>
                      <w:color w:val="auto"/>
                      <w:sz w:val="21"/>
                      <w:szCs w:val="21"/>
                    </w:rPr>
                    <w:t>4季度</w:t>
                  </w:r>
                </w:p>
              </w:tc>
              <w:tc>
                <w:tcPr>
                  <w:tcW w:w="535" w:type="pct"/>
                  <w:tcBorders>
                    <w:top w:val="single" w:color="auto" w:sz="4" w:space="0"/>
                    <w:left w:val="single" w:color="auto" w:sz="4" w:space="0"/>
                    <w:bottom w:val="single" w:color="auto" w:sz="4" w:space="0"/>
                    <w:right w:val="single" w:color="auto" w:sz="4" w:space="0"/>
                  </w:tcBorders>
                  <w:vAlign w:val="center"/>
                </w:tcPr>
                <w:p w14:paraId="4D5A8A0B">
                  <w:pPr>
                    <w:jc w:val="center"/>
                    <w:rPr>
                      <w:color w:val="auto"/>
                      <w:sz w:val="21"/>
                      <w:szCs w:val="21"/>
                    </w:rPr>
                  </w:pPr>
                  <w:r>
                    <w:rPr>
                      <w:color w:val="auto"/>
                      <w:sz w:val="21"/>
                      <w:szCs w:val="21"/>
                    </w:rPr>
                    <w:t>年度合计</w:t>
                  </w:r>
                </w:p>
              </w:tc>
              <w:tc>
                <w:tcPr>
                  <w:tcW w:w="602" w:type="pct"/>
                  <w:tcBorders>
                    <w:top w:val="single" w:color="auto" w:sz="4" w:space="0"/>
                    <w:left w:val="single" w:color="auto" w:sz="4" w:space="0"/>
                    <w:bottom w:val="single" w:color="auto" w:sz="4" w:space="0"/>
                    <w:right w:val="single" w:color="auto" w:sz="4" w:space="0"/>
                  </w:tcBorders>
                  <w:vAlign w:val="center"/>
                </w:tcPr>
                <w:p w14:paraId="4CAE58F1">
                  <w:pPr>
                    <w:jc w:val="center"/>
                    <w:rPr>
                      <w:color w:val="auto"/>
                      <w:sz w:val="21"/>
                      <w:szCs w:val="21"/>
                    </w:rPr>
                  </w:pPr>
                  <w:r>
                    <w:rPr>
                      <w:color w:val="auto"/>
                      <w:sz w:val="21"/>
                      <w:szCs w:val="21"/>
                    </w:rPr>
                    <w:t>1季度</w:t>
                  </w:r>
                </w:p>
              </w:tc>
              <w:tc>
                <w:tcPr>
                  <w:tcW w:w="602" w:type="pct"/>
                  <w:tcBorders>
                    <w:top w:val="single" w:color="auto" w:sz="4" w:space="0"/>
                    <w:left w:val="single" w:color="auto" w:sz="4" w:space="0"/>
                    <w:bottom w:val="single" w:color="auto" w:sz="4" w:space="0"/>
                    <w:right w:val="single" w:color="auto" w:sz="4" w:space="0"/>
                  </w:tcBorders>
                  <w:vAlign w:val="center"/>
                </w:tcPr>
                <w:p w14:paraId="2A777D2D">
                  <w:pPr>
                    <w:jc w:val="center"/>
                    <w:rPr>
                      <w:color w:val="auto"/>
                      <w:sz w:val="21"/>
                      <w:szCs w:val="21"/>
                    </w:rPr>
                  </w:pPr>
                  <w:r>
                    <w:rPr>
                      <w:color w:val="auto"/>
                      <w:sz w:val="21"/>
                      <w:szCs w:val="21"/>
                    </w:rPr>
                    <w:t>2季度</w:t>
                  </w:r>
                </w:p>
              </w:tc>
              <w:tc>
                <w:tcPr>
                  <w:tcW w:w="602" w:type="pct"/>
                  <w:tcBorders>
                    <w:top w:val="single" w:color="auto" w:sz="4" w:space="0"/>
                    <w:left w:val="single" w:color="auto" w:sz="4" w:space="0"/>
                    <w:bottom w:val="single" w:color="auto" w:sz="4" w:space="0"/>
                    <w:right w:val="single" w:color="auto" w:sz="4" w:space="0"/>
                  </w:tcBorders>
                  <w:vAlign w:val="center"/>
                </w:tcPr>
                <w:p w14:paraId="51B49B53">
                  <w:pPr>
                    <w:jc w:val="center"/>
                    <w:rPr>
                      <w:color w:val="auto"/>
                      <w:sz w:val="21"/>
                      <w:szCs w:val="21"/>
                    </w:rPr>
                  </w:pPr>
                  <w:r>
                    <w:rPr>
                      <w:color w:val="auto"/>
                      <w:sz w:val="21"/>
                      <w:szCs w:val="21"/>
                    </w:rPr>
                    <w:t>3季度</w:t>
                  </w:r>
                </w:p>
              </w:tc>
              <w:tc>
                <w:tcPr>
                  <w:tcW w:w="601" w:type="pct"/>
                  <w:tcBorders>
                    <w:top w:val="single" w:color="auto" w:sz="4" w:space="0"/>
                    <w:left w:val="single" w:color="auto" w:sz="4" w:space="0"/>
                    <w:bottom w:val="single" w:color="auto" w:sz="4" w:space="0"/>
                    <w:right w:val="single" w:color="auto" w:sz="4" w:space="0"/>
                  </w:tcBorders>
                  <w:vAlign w:val="center"/>
                </w:tcPr>
                <w:p w14:paraId="6710E7C4">
                  <w:pPr>
                    <w:jc w:val="center"/>
                    <w:rPr>
                      <w:color w:val="auto"/>
                      <w:sz w:val="21"/>
                      <w:szCs w:val="21"/>
                    </w:rPr>
                  </w:pPr>
                  <w:r>
                    <w:rPr>
                      <w:color w:val="auto"/>
                      <w:sz w:val="21"/>
                      <w:szCs w:val="21"/>
                    </w:rPr>
                    <w:t>4季度</w:t>
                  </w:r>
                </w:p>
              </w:tc>
              <w:tc>
                <w:tcPr>
                  <w:tcW w:w="596" w:type="pct"/>
                  <w:tcBorders>
                    <w:top w:val="single" w:color="auto" w:sz="4" w:space="0"/>
                    <w:left w:val="single" w:color="auto" w:sz="4" w:space="0"/>
                    <w:bottom w:val="single" w:color="auto" w:sz="4" w:space="0"/>
                    <w:right w:val="single" w:color="auto" w:sz="4" w:space="0"/>
                  </w:tcBorders>
                  <w:vAlign w:val="center"/>
                </w:tcPr>
                <w:p w14:paraId="54193C2A">
                  <w:pPr>
                    <w:jc w:val="center"/>
                    <w:rPr>
                      <w:color w:val="auto"/>
                      <w:sz w:val="21"/>
                      <w:szCs w:val="21"/>
                    </w:rPr>
                  </w:pPr>
                  <w:r>
                    <w:rPr>
                      <w:color w:val="auto"/>
                      <w:sz w:val="21"/>
                      <w:szCs w:val="21"/>
                    </w:rPr>
                    <w:t>年度合计</w:t>
                  </w:r>
                </w:p>
              </w:tc>
            </w:tr>
            <w:tr w14:paraId="3FE81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pct"/>
                  <w:tcBorders>
                    <w:top w:val="single" w:color="auto" w:sz="4" w:space="0"/>
                    <w:left w:val="single" w:color="auto" w:sz="4" w:space="0"/>
                    <w:bottom w:val="single" w:color="auto" w:sz="4" w:space="0"/>
                    <w:right w:val="single" w:color="auto" w:sz="4" w:space="0"/>
                  </w:tcBorders>
                  <w:vAlign w:val="center"/>
                </w:tcPr>
                <w:p w14:paraId="2AAFB977">
                  <w:pPr>
                    <w:jc w:val="center"/>
                    <w:rPr>
                      <w:color w:val="auto"/>
                      <w:sz w:val="21"/>
                      <w:szCs w:val="21"/>
                    </w:rPr>
                  </w:pPr>
                  <w:r>
                    <w:rPr>
                      <w:color w:val="auto"/>
                      <w:sz w:val="21"/>
                      <w:szCs w:val="21"/>
                    </w:rPr>
                    <w:t>颗粒物</w:t>
                  </w:r>
                </w:p>
              </w:tc>
              <w:tc>
                <w:tcPr>
                  <w:tcW w:w="254" w:type="pct"/>
                  <w:tcBorders>
                    <w:top w:val="single" w:color="auto" w:sz="4" w:space="0"/>
                    <w:left w:val="single" w:color="auto" w:sz="4" w:space="0"/>
                    <w:bottom w:val="single" w:color="auto" w:sz="4" w:space="0"/>
                    <w:right w:val="single" w:color="auto" w:sz="4" w:space="0"/>
                  </w:tcBorders>
                  <w:vAlign w:val="center"/>
                </w:tcPr>
                <w:p w14:paraId="15B43726">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3014E666">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7C171126">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376FF15F">
                  <w:pPr>
                    <w:jc w:val="center"/>
                    <w:rPr>
                      <w:color w:val="auto"/>
                      <w:sz w:val="21"/>
                      <w:szCs w:val="21"/>
                    </w:rPr>
                  </w:pPr>
                  <w:r>
                    <w:rPr>
                      <w:color w:val="auto"/>
                      <w:sz w:val="21"/>
                      <w:szCs w:val="21"/>
                    </w:rPr>
                    <w:t>-</w:t>
                  </w:r>
                </w:p>
              </w:tc>
              <w:tc>
                <w:tcPr>
                  <w:tcW w:w="535" w:type="pct"/>
                  <w:tcBorders>
                    <w:top w:val="single" w:color="auto" w:sz="4" w:space="0"/>
                    <w:left w:val="single" w:color="auto" w:sz="4" w:space="0"/>
                    <w:bottom w:val="single" w:color="auto" w:sz="4" w:space="0"/>
                    <w:right w:val="single" w:color="auto" w:sz="4" w:space="0"/>
                  </w:tcBorders>
                  <w:vAlign w:val="center"/>
                </w:tcPr>
                <w:p w14:paraId="10322133">
                  <w:pPr>
                    <w:jc w:val="center"/>
                    <w:rPr>
                      <w:rFonts w:hint="default" w:eastAsia="宋体"/>
                      <w:color w:val="auto"/>
                      <w:sz w:val="21"/>
                      <w:szCs w:val="21"/>
                      <w:lang w:val="en-US" w:eastAsia="zh-CN"/>
                    </w:rPr>
                  </w:pPr>
                  <w:r>
                    <w:rPr>
                      <w:rFonts w:hint="eastAsia"/>
                      <w:color w:val="auto"/>
                      <w:sz w:val="21"/>
                      <w:szCs w:val="21"/>
                      <w:lang w:val="en-US" w:eastAsia="zh-CN"/>
                    </w:rPr>
                    <w:t>58.25</w:t>
                  </w:r>
                </w:p>
              </w:tc>
              <w:tc>
                <w:tcPr>
                  <w:tcW w:w="602" w:type="pct"/>
                  <w:tcBorders>
                    <w:top w:val="single" w:color="auto" w:sz="4" w:space="0"/>
                    <w:left w:val="single" w:color="auto" w:sz="4" w:space="0"/>
                    <w:bottom w:val="single" w:color="auto" w:sz="4" w:space="0"/>
                    <w:right w:val="single" w:color="auto" w:sz="4" w:space="0"/>
                  </w:tcBorders>
                  <w:vAlign w:val="center"/>
                </w:tcPr>
                <w:p w14:paraId="02197771">
                  <w:pPr>
                    <w:jc w:val="center"/>
                    <w:rPr>
                      <w:rFonts w:hint="default" w:eastAsia="宋体"/>
                      <w:color w:val="auto"/>
                      <w:sz w:val="21"/>
                      <w:szCs w:val="21"/>
                      <w:lang w:val="en-US" w:eastAsia="zh-CN"/>
                    </w:rPr>
                  </w:pPr>
                  <w:r>
                    <w:rPr>
                      <w:rFonts w:hint="eastAsia"/>
                      <w:color w:val="auto"/>
                      <w:sz w:val="21"/>
                      <w:szCs w:val="21"/>
                      <w:lang w:val="en-US" w:eastAsia="zh-CN"/>
                    </w:rPr>
                    <w:t>7.8743</w:t>
                  </w:r>
                </w:p>
              </w:tc>
              <w:tc>
                <w:tcPr>
                  <w:tcW w:w="602" w:type="pct"/>
                  <w:tcBorders>
                    <w:top w:val="single" w:color="auto" w:sz="4" w:space="0"/>
                    <w:left w:val="single" w:color="auto" w:sz="4" w:space="0"/>
                    <w:bottom w:val="single" w:color="auto" w:sz="4" w:space="0"/>
                    <w:right w:val="single" w:color="auto" w:sz="4" w:space="0"/>
                  </w:tcBorders>
                  <w:vAlign w:val="center"/>
                </w:tcPr>
                <w:p w14:paraId="3277B0B6">
                  <w:pPr>
                    <w:jc w:val="center"/>
                    <w:rPr>
                      <w:rFonts w:hint="default" w:eastAsia="宋体"/>
                      <w:color w:val="auto"/>
                      <w:sz w:val="21"/>
                      <w:szCs w:val="21"/>
                      <w:lang w:val="en-US" w:eastAsia="zh-CN"/>
                    </w:rPr>
                  </w:pPr>
                  <w:r>
                    <w:rPr>
                      <w:rFonts w:hint="eastAsia"/>
                      <w:color w:val="auto"/>
                      <w:sz w:val="21"/>
                      <w:szCs w:val="21"/>
                      <w:lang w:val="en-US" w:eastAsia="zh-CN"/>
                    </w:rPr>
                    <w:t>12.2289</w:t>
                  </w:r>
                </w:p>
              </w:tc>
              <w:tc>
                <w:tcPr>
                  <w:tcW w:w="602" w:type="pct"/>
                  <w:tcBorders>
                    <w:top w:val="single" w:color="auto" w:sz="4" w:space="0"/>
                    <w:left w:val="single" w:color="auto" w:sz="4" w:space="0"/>
                    <w:bottom w:val="single" w:color="auto" w:sz="4" w:space="0"/>
                    <w:right w:val="single" w:color="auto" w:sz="4" w:space="0"/>
                  </w:tcBorders>
                  <w:vAlign w:val="center"/>
                </w:tcPr>
                <w:p w14:paraId="7CB3346B">
                  <w:pPr>
                    <w:jc w:val="center"/>
                    <w:rPr>
                      <w:rFonts w:hint="default" w:eastAsia="宋体"/>
                      <w:color w:val="auto"/>
                      <w:sz w:val="21"/>
                      <w:szCs w:val="21"/>
                      <w:lang w:val="en-US" w:eastAsia="zh-CN"/>
                    </w:rPr>
                  </w:pPr>
                  <w:r>
                    <w:rPr>
                      <w:rFonts w:hint="eastAsia"/>
                      <w:color w:val="auto"/>
                      <w:sz w:val="21"/>
                      <w:szCs w:val="21"/>
                      <w:lang w:val="en-US" w:eastAsia="zh-CN"/>
                    </w:rPr>
                    <w:t>9.073</w:t>
                  </w:r>
                </w:p>
              </w:tc>
              <w:tc>
                <w:tcPr>
                  <w:tcW w:w="601" w:type="pct"/>
                  <w:tcBorders>
                    <w:top w:val="single" w:color="auto" w:sz="4" w:space="0"/>
                    <w:left w:val="single" w:color="auto" w:sz="4" w:space="0"/>
                    <w:bottom w:val="single" w:color="auto" w:sz="4" w:space="0"/>
                    <w:right w:val="single" w:color="auto" w:sz="4" w:space="0"/>
                  </w:tcBorders>
                  <w:vAlign w:val="center"/>
                </w:tcPr>
                <w:p w14:paraId="1CD9A471">
                  <w:pPr>
                    <w:jc w:val="center"/>
                    <w:rPr>
                      <w:rFonts w:hint="default" w:eastAsia="宋体"/>
                      <w:color w:val="auto"/>
                      <w:sz w:val="21"/>
                      <w:szCs w:val="21"/>
                      <w:lang w:val="en-US" w:eastAsia="zh-CN"/>
                    </w:rPr>
                  </w:pPr>
                  <w:r>
                    <w:rPr>
                      <w:rFonts w:hint="eastAsia"/>
                      <w:color w:val="auto"/>
                      <w:sz w:val="21"/>
                      <w:szCs w:val="21"/>
                      <w:lang w:val="en-US" w:eastAsia="zh-CN"/>
                    </w:rPr>
                    <w:t>5.31628</w:t>
                  </w:r>
                </w:p>
              </w:tc>
              <w:tc>
                <w:tcPr>
                  <w:tcW w:w="596" w:type="pct"/>
                  <w:tcBorders>
                    <w:top w:val="single" w:color="auto" w:sz="4" w:space="0"/>
                    <w:left w:val="single" w:color="auto" w:sz="4" w:space="0"/>
                    <w:bottom w:val="single" w:color="auto" w:sz="4" w:space="0"/>
                    <w:right w:val="single" w:color="auto" w:sz="4" w:space="0"/>
                  </w:tcBorders>
                  <w:vAlign w:val="center"/>
                </w:tcPr>
                <w:p w14:paraId="4F91D4D0">
                  <w:pPr>
                    <w:jc w:val="center"/>
                    <w:rPr>
                      <w:rFonts w:hint="default" w:eastAsia="宋体"/>
                      <w:color w:val="auto"/>
                      <w:sz w:val="21"/>
                      <w:szCs w:val="21"/>
                      <w:lang w:val="en-US" w:eastAsia="zh-CN"/>
                    </w:rPr>
                  </w:pPr>
                  <w:r>
                    <w:rPr>
                      <w:rFonts w:hint="eastAsia"/>
                      <w:color w:val="auto"/>
                      <w:sz w:val="21"/>
                      <w:szCs w:val="21"/>
                      <w:lang w:val="en-US" w:eastAsia="zh-CN"/>
                    </w:rPr>
                    <w:t>34.49248</w:t>
                  </w:r>
                </w:p>
              </w:tc>
            </w:tr>
            <w:tr w14:paraId="38BE7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pct"/>
                  <w:tcBorders>
                    <w:top w:val="single" w:color="auto" w:sz="4" w:space="0"/>
                    <w:left w:val="single" w:color="auto" w:sz="4" w:space="0"/>
                    <w:bottom w:val="single" w:color="auto" w:sz="4" w:space="0"/>
                    <w:right w:val="single" w:color="auto" w:sz="4" w:space="0"/>
                  </w:tcBorders>
                  <w:vAlign w:val="center"/>
                </w:tcPr>
                <w:p w14:paraId="4C132727">
                  <w:pPr>
                    <w:jc w:val="center"/>
                    <w:rPr>
                      <w:color w:val="auto"/>
                      <w:sz w:val="21"/>
                      <w:szCs w:val="21"/>
                    </w:rPr>
                  </w:pPr>
                  <w:r>
                    <w:rPr>
                      <w:color w:val="auto"/>
                      <w:sz w:val="21"/>
                      <w:szCs w:val="21"/>
                    </w:rPr>
                    <w:t>SO</w:t>
                  </w:r>
                  <w:r>
                    <w:rPr>
                      <w:color w:val="auto"/>
                      <w:sz w:val="21"/>
                      <w:szCs w:val="21"/>
                      <w:vertAlign w:val="subscript"/>
                    </w:rPr>
                    <w:t>2</w:t>
                  </w:r>
                </w:p>
              </w:tc>
              <w:tc>
                <w:tcPr>
                  <w:tcW w:w="254" w:type="pct"/>
                  <w:tcBorders>
                    <w:top w:val="single" w:color="auto" w:sz="4" w:space="0"/>
                    <w:left w:val="single" w:color="auto" w:sz="4" w:space="0"/>
                    <w:bottom w:val="single" w:color="auto" w:sz="4" w:space="0"/>
                    <w:right w:val="single" w:color="auto" w:sz="4" w:space="0"/>
                  </w:tcBorders>
                  <w:vAlign w:val="center"/>
                </w:tcPr>
                <w:p w14:paraId="44F65C62">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612BBBB9">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421E2D5A">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4EADE5BE">
                  <w:pPr>
                    <w:jc w:val="center"/>
                    <w:rPr>
                      <w:color w:val="auto"/>
                      <w:sz w:val="21"/>
                      <w:szCs w:val="21"/>
                    </w:rPr>
                  </w:pPr>
                  <w:r>
                    <w:rPr>
                      <w:color w:val="auto"/>
                      <w:sz w:val="21"/>
                      <w:szCs w:val="21"/>
                    </w:rPr>
                    <w:t>-</w:t>
                  </w:r>
                </w:p>
              </w:tc>
              <w:tc>
                <w:tcPr>
                  <w:tcW w:w="535" w:type="pct"/>
                  <w:tcBorders>
                    <w:top w:val="single" w:color="auto" w:sz="4" w:space="0"/>
                    <w:left w:val="single" w:color="auto" w:sz="4" w:space="0"/>
                    <w:bottom w:val="single" w:color="auto" w:sz="4" w:space="0"/>
                    <w:right w:val="single" w:color="auto" w:sz="4" w:space="0"/>
                  </w:tcBorders>
                  <w:vAlign w:val="center"/>
                </w:tcPr>
                <w:p w14:paraId="0B8CABC7">
                  <w:pPr>
                    <w:jc w:val="center"/>
                    <w:rPr>
                      <w:rFonts w:hint="default" w:eastAsia="宋体"/>
                      <w:color w:val="auto"/>
                      <w:sz w:val="21"/>
                      <w:szCs w:val="21"/>
                      <w:lang w:val="en-US" w:eastAsia="zh-CN"/>
                    </w:rPr>
                  </w:pPr>
                  <w:r>
                    <w:rPr>
                      <w:rFonts w:hint="eastAsia"/>
                      <w:color w:val="auto"/>
                      <w:sz w:val="21"/>
                      <w:szCs w:val="21"/>
                      <w:lang w:val="en-US" w:eastAsia="zh-CN"/>
                    </w:rPr>
                    <w:t>184.65</w:t>
                  </w:r>
                </w:p>
              </w:tc>
              <w:tc>
                <w:tcPr>
                  <w:tcW w:w="602" w:type="pct"/>
                  <w:tcBorders>
                    <w:top w:val="single" w:color="auto" w:sz="4" w:space="0"/>
                    <w:left w:val="single" w:color="auto" w:sz="4" w:space="0"/>
                    <w:bottom w:val="single" w:color="auto" w:sz="4" w:space="0"/>
                    <w:right w:val="single" w:color="auto" w:sz="4" w:space="0"/>
                  </w:tcBorders>
                  <w:vAlign w:val="center"/>
                </w:tcPr>
                <w:p w14:paraId="402A8E8C">
                  <w:pPr>
                    <w:jc w:val="center"/>
                    <w:rPr>
                      <w:rFonts w:hint="default" w:eastAsia="宋体"/>
                      <w:color w:val="auto"/>
                      <w:sz w:val="21"/>
                      <w:szCs w:val="21"/>
                      <w:lang w:val="en-US" w:eastAsia="zh-CN"/>
                    </w:rPr>
                  </w:pPr>
                  <w:r>
                    <w:rPr>
                      <w:rFonts w:hint="eastAsia"/>
                      <w:color w:val="auto"/>
                      <w:sz w:val="21"/>
                      <w:szCs w:val="21"/>
                      <w:lang w:val="en-US" w:eastAsia="zh-CN"/>
                    </w:rPr>
                    <w:t>6.1036</w:t>
                  </w:r>
                </w:p>
              </w:tc>
              <w:tc>
                <w:tcPr>
                  <w:tcW w:w="602" w:type="pct"/>
                  <w:tcBorders>
                    <w:top w:val="single" w:color="auto" w:sz="4" w:space="0"/>
                    <w:left w:val="single" w:color="auto" w:sz="4" w:space="0"/>
                    <w:bottom w:val="single" w:color="auto" w:sz="4" w:space="0"/>
                    <w:right w:val="single" w:color="auto" w:sz="4" w:space="0"/>
                  </w:tcBorders>
                  <w:vAlign w:val="center"/>
                </w:tcPr>
                <w:p w14:paraId="4F2C0268">
                  <w:pPr>
                    <w:jc w:val="center"/>
                    <w:rPr>
                      <w:rFonts w:hint="default" w:eastAsia="宋体"/>
                      <w:color w:val="auto"/>
                      <w:sz w:val="21"/>
                      <w:szCs w:val="21"/>
                      <w:lang w:val="en-US" w:eastAsia="zh-CN"/>
                    </w:rPr>
                  </w:pPr>
                  <w:r>
                    <w:rPr>
                      <w:rFonts w:hint="eastAsia"/>
                      <w:color w:val="auto"/>
                      <w:sz w:val="21"/>
                      <w:szCs w:val="21"/>
                      <w:lang w:val="en-US" w:eastAsia="zh-CN"/>
                    </w:rPr>
                    <w:t>30.252</w:t>
                  </w:r>
                </w:p>
              </w:tc>
              <w:tc>
                <w:tcPr>
                  <w:tcW w:w="602" w:type="pct"/>
                  <w:tcBorders>
                    <w:top w:val="single" w:color="auto" w:sz="4" w:space="0"/>
                    <w:left w:val="single" w:color="auto" w:sz="4" w:space="0"/>
                    <w:bottom w:val="single" w:color="auto" w:sz="4" w:space="0"/>
                    <w:right w:val="single" w:color="auto" w:sz="4" w:space="0"/>
                  </w:tcBorders>
                  <w:vAlign w:val="center"/>
                </w:tcPr>
                <w:p w14:paraId="6E8D7DF9">
                  <w:pPr>
                    <w:jc w:val="center"/>
                    <w:rPr>
                      <w:rFonts w:hint="default" w:eastAsia="宋体"/>
                      <w:color w:val="auto"/>
                      <w:sz w:val="21"/>
                      <w:szCs w:val="21"/>
                      <w:lang w:val="en-US" w:eastAsia="zh-CN"/>
                    </w:rPr>
                  </w:pPr>
                  <w:r>
                    <w:rPr>
                      <w:rFonts w:hint="eastAsia"/>
                      <w:color w:val="auto"/>
                      <w:sz w:val="21"/>
                      <w:szCs w:val="21"/>
                      <w:lang w:val="en-US" w:eastAsia="zh-CN"/>
                    </w:rPr>
                    <w:t>11.0729</w:t>
                  </w:r>
                </w:p>
              </w:tc>
              <w:tc>
                <w:tcPr>
                  <w:tcW w:w="601" w:type="pct"/>
                  <w:tcBorders>
                    <w:top w:val="single" w:color="auto" w:sz="4" w:space="0"/>
                    <w:left w:val="single" w:color="auto" w:sz="4" w:space="0"/>
                    <w:bottom w:val="single" w:color="auto" w:sz="4" w:space="0"/>
                    <w:right w:val="single" w:color="auto" w:sz="4" w:space="0"/>
                  </w:tcBorders>
                  <w:vAlign w:val="center"/>
                </w:tcPr>
                <w:p w14:paraId="742D4D5D">
                  <w:pPr>
                    <w:jc w:val="center"/>
                    <w:rPr>
                      <w:rFonts w:hint="default" w:eastAsia="宋体"/>
                      <w:color w:val="auto"/>
                      <w:sz w:val="21"/>
                      <w:szCs w:val="21"/>
                      <w:lang w:val="en-US" w:eastAsia="zh-CN"/>
                    </w:rPr>
                  </w:pPr>
                  <w:r>
                    <w:rPr>
                      <w:rFonts w:hint="eastAsia"/>
                      <w:color w:val="auto"/>
                      <w:sz w:val="21"/>
                      <w:szCs w:val="21"/>
                      <w:lang w:val="en-US" w:eastAsia="zh-CN"/>
                    </w:rPr>
                    <w:t>4.95186</w:t>
                  </w:r>
                </w:p>
              </w:tc>
              <w:tc>
                <w:tcPr>
                  <w:tcW w:w="596" w:type="pct"/>
                  <w:tcBorders>
                    <w:top w:val="single" w:color="auto" w:sz="4" w:space="0"/>
                    <w:left w:val="single" w:color="auto" w:sz="4" w:space="0"/>
                    <w:bottom w:val="single" w:color="auto" w:sz="4" w:space="0"/>
                    <w:right w:val="single" w:color="auto" w:sz="4" w:space="0"/>
                  </w:tcBorders>
                  <w:vAlign w:val="center"/>
                </w:tcPr>
                <w:p w14:paraId="36E78B14">
                  <w:pPr>
                    <w:jc w:val="center"/>
                    <w:rPr>
                      <w:rFonts w:hint="default" w:eastAsia="宋体"/>
                      <w:color w:val="auto"/>
                      <w:sz w:val="21"/>
                      <w:szCs w:val="21"/>
                      <w:lang w:val="en-US" w:eastAsia="zh-CN"/>
                    </w:rPr>
                  </w:pPr>
                  <w:r>
                    <w:rPr>
                      <w:rFonts w:hint="eastAsia"/>
                      <w:color w:val="auto"/>
                      <w:sz w:val="21"/>
                      <w:szCs w:val="21"/>
                      <w:lang w:val="en-US" w:eastAsia="zh-CN"/>
                    </w:rPr>
                    <w:t>52.38036</w:t>
                  </w:r>
                </w:p>
              </w:tc>
            </w:tr>
            <w:tr w14:paraId="07743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pct"/>
                  <w:tcBorders>
                    <w:top w:val="single" w:color="auto" w:sz="4" w:space="0"/>
                    <w:left w:val="single" w:color="auto" w:sz="4" w:space="0"/>
                    <w:bottom w:val="single" w:color="auto" w:sz="4" w:space="0"/>
                    <w:right w:val="single" w:color="auto" w:sz="4" w:space="0"/>
                  </w:tcBorders>
                  <w:vAlign w:val="center"/>
                </w:tcPr>
                <w:p w14:paraId="629FAC3B">
                  <w:pPr>
                    <w:jc w:val="center"/>
                    <w:rPr>
                      <w:color w:val="auto"/>
                      <w:sz w:val="21"/>
                      <w:szCs w:val="21"/>
                    </w:rPr>
                  </w:pPr>
                  <w:r>
                    <w:rPr>
                      <w:color w:val="auto"/>
                      <w:sz w:val="21"/>
                      <w:szCs w:val="21"/>
                    </w:rPr>
                    <w:t>NO</w:t>
                  </w:r>
                  <w:r>
                    <w:rPr>
                      <w:color w:val="auto"/>
                      <w:sz w:val="21"/>
                      <w:szCs w:val="21"/>
                      <w:vertAlign w:val="subscript"/>
                    </w:rPr>
                    <w:t>X</w:t>
                  </w:r>
                </w:p>
              </w:tc>
              <w:tc>
                <w:tcPr>
                  <w:tcW w:w="254" w:type="pct"/>
                  <w:tcBorders>
                    <w:top w:val="single" w:color="auto" w:sz="4" w:space="0"/>
                    <w:left w:val="single" w:color="auto" w:sz="4" w:space="0"/>
                    <w:bottom w:val="single" w:color="auto" w:sz="4" w:space="0"/>
                    <w:right w:val="single" w:color="auto" w:sz="4" w:space="0"/>
                  </w:tcBorders>
                  <w:vAlign w:val="center"/>
                </w:tcPr>
                <w:p w14:paraId="3080361C">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4AF6D157">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26751B4B">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0F363C71">
                  <w:pPr>
                    <w:jc w:val="center"/>
                    <w:rPr>
                      <w:color w:val="auto"/>
                      <w:sz w:val="21"/>
                      <w:szCs w:val="21"/>
                    </w:rPr>
                  </w:pPr>
                  <w:r>
                    <w:rPr>
                      <w:color w:val="auto"/>
                      <w:sz w:val="21"/>
                      <w:szCs w:val="21"/>
                    </w:rPr>
                    <w:t>-</w:t>
                  </w:r>
                </w:p>
              </w:tc>
              <w:tc>
                <w:tcPr>
                  <w:tcW w:w="535" w:type="pct"/>
                  <w:tcBorders>
                    <w:top w:val="single" w:color="auto" w:sz="4" w:space="0"/>
                    <w:left w:val="single" w:color="auto" w:sz="4" w:space="0"/>
                    <w:bottom w:val="single" w:color="auto" w:sz="4" w:space="0"/>
                    <w:right w:val="single" w:color="auto" w:sz="4" w:space="0"/>
                  </w:tcBorders>
                  <w:vAlign w:val="center"/>
                </w:tcPr>
                <w:p w14:paraId="5194ABAC">
                  <w:pPr>
                    <w:jc w:val="center"/>
                    <w:rPr>
                      <w:rFonts w:hint="default" w:eastAsia="宋体"/>
                      <w:color w:val="auto"/>
                      <w:sz w:val="21"/>
                      <w:szCs w:val="21"/>
                      <w:lang w:val="en-US" w:eastAsia="zh-CN"/>
                    </w:rPr>
                  </w:pPr>
                  <w:r>
                    <w:rPr>
                      <w:rFonts w:hint="eastAsia"/>
                      <w:color w:val="auto"/>
                      <w:sz w:val="21"/>
                      <w:szCs w:val="21"/>
                      <w:lang w:val="en-US" w:eastAsia="zh-CN"/>
                    </w:rPr>
                    <w:t>205.07</w:t>
                  </w:r>
                </w:p>
              </w:tc>
              <w:tc>
                <w:tcPr>
                  <w:tcW w:w="602" w:type="pct"/>
                  <w:tcBorders>
                    <w:top w:val="single" w:color="auto" w:sz="4" w:space="0"/>
                    <w:left w:val="single" w:color="auto" w:sz="4" w:space="0"/>
                    <w:bottom w:val="single" w:color="auto" w:sz="4" w:space="0"/>
                    <w:right w:val="single" w:color="auto" w:sz="4" w:space="0"/>
                  </w:tcBorders>
                  <w:vAlign w:val="center"/>
                </w:tcPr>
                <w:p w14:paraId="750B05FA">
                  <w:pPr>
                    <w:jc w:val="center"/>
                    <w:rPr>
                      <w:rFonts w:hint="default" w:eastAsia="宋体"/>
                      <w:color w:val="auto"/>
                      <w:sz w:val="21"/>
                      <w:szCs w:val="21"/>
                      <w:lang w:val="en-US" w:eastAsia="zh-CN"/>
                    </w:rPr>
                  </w:pPr>
                  <w:r>
                    <w:rPr>
                      <w:rFonts w:hint="eastAsia"/>
                      <w:color w:val="auto"/>
                      <w:sz w:val="21"/>
                      <w:szCs w:val="21"/>
                      <w:lang w:val="en-US" w:eastAsia="zh-CN"/>
                    </w:rPr>
                    <w:t>21.61</w:t>
                  </w:r>
                </w:p>
              </w:tc>
              <w:tc>
                <w:tcPr>
                  <w:tcW w:w="602" w:type="pct"/>
                  <w:tcBorders>
                    <w:top w:val="single" w:color="auto" w:sz="4" w:space="0"/>
                    <w:left w:val="single" w:color="auto" w:sz="4" w:space="0"/>
                    <w:bottom w:val="single" w:color="auto" w:sz="4" w:space="0"/>
                    <w:right w:val="single" w:color="auto" w:sz="4" w:space="0"/>
                  </w:tcBorders>
                  <w:vAlign w:val="center"/>
                </w:tcPr>
                <w:p w14:paraId="32691874">
                  <w:pPr>
                    <w:jc w:val="center"/>
                    <w:rPr>
                      <w:rFonts w:hint="default" w:eastAsia="宋体"/>
                      <w:color w:val="auto"/>
                      <w:sz w:val="21"/>
                      <w:szCs w:val="21"/>
                      <w:lang w:val="en-US" w:eastAsia="zh-CN"/>
                    </w:rPr>
                  </w:pPr>
                  <w:r>
                    <w:rPr>
                      <w:rFonts w:hint="eastAsia"/>
                      <w:color w:val="auto"/>
                      <w:sz w:val="21"/>
                      <w:szCs w:val="21"/>
                      <w:lang w:val="en-US" w:eastAsia="zh-CN"/>
                    </w:rPr>
                    <w:t>73.4493</w:t>
                  </w:r>
                </w:p>
              </w:tc>
              <w:tc>
                <w:tcPr>
                  <w:tcW w:w="602" w:type="pct"/>
                  <w:tcBorders>
                    <w:top w:val="single" w:color="auto" w:sz="4" w:space="0"/>
                    <w:left w:val="single" w:color="auto" w:sz="4" w:space="0"/>
                    <w:bottom w:val="single" w:color="auto" w:sz="4" w:space="0"/>
                    <w:right w:val="single" w:color="auto" w:sz="4" w:space="0"/>
                  </w:tcBorders>
                  <w:vAlign w:val="center"/>
                </w:tcPr>
                <w:p w14:paraId="5BC8A610">
                  <w:pPr>
                    <w:jc w:val="center"/>
                    <w:rPr>
                      <w:rFonts w:hint="default" w:eastAsia="宋体"/>
                      <w:color w:val="auto"/>
                      <w:sz w:val="21"/>
                      <w:szCs w:val="21"/>
                      <w:lang w:val="en-US" w:eastAsia="zh-CN"/>
                    </w:rPr>
                  </w:pPr>
                  <w:r>
                    <w:rPr>
                      <w:rFonts w:hint="eastAsia"/>
                      <w:color w:val="auto"/>
                      <w:sz w:val="21"/>
                      <w:szCs w:val="21"/>
                      <w:lang w:val="en-US" w:eastAsia="zh-CN"/>
                    </w:rPr>
                    <w:t>33.393</w:t>
                  </w:r>
                </w:p>
              </w:tc>
              <w:tc>
                <w:tcPr>
                  <w:tcW w:w="601" w:type="pct"/>
                  <w:tcBorders>
                    <w:top w:val="single" w:color="auto" w:sz="4" w:space="0"/>
                    <w:left w:val="single" w:color="auto" w:sz="4" w:space="0"/>
                    <w:bottom w:val="single" w:color="auto" w:sz="4" w:space="0"/>
                    <w:right w:val="single" w:color="auto" w:sz="4" w:space="0"/>
                  </w:tcBorders>
                  <w:vAlign w:val="center"/>
                </w:tcPr>
                <w:p w14:paraId="2ADB9CD2">
                  <w:pPr>
                    <w:jc w:val="center"/>
                    <w:rPr>
                      <w:rFonts w:hint="default" w:eastAsia="宋体"/>
                      <w:color w:val="auto"/>
                      <w:sz w:val="21"/>
                      <w:szCs w:val="21"/>
                      <w:lang w:val="en-US" w:eastAsia="zh-CN"/>
                    </w:rPr>
                  </w:pPr>
                  <w:r>
                    <w:rPr>
                      <w:rFonts w:hint="eastAsia"/>
                      <w:color w:val="auto"/>
                      <w:sz w:val="21"/>
                      <w:szCs w:val="21"/>
                      <w:lang w:val="en-US" w:eastAsia="zh-CN"/>
                    </w:rPr>
                    <w:t>16.67966</w:t>
                  </w:r>
                </w:p>
              </w:tc>
              <w:tc>
                <w:tcPr>
                  <w:tcW w:w="596" w:type="pct"/>
                  <w:tcBorders>
                    <w:top w:val="single" w:color="auto" w:sz="4" w:space="0"/>
                    <w:left w:val="single" w:color="auto" w:sz="4" w:space="0"/>
                    <w:bottom w:val="single" w:color="auto" w:sz="4" w:space="0"/>
                    <w:right w:val="single" w:color="auto" w:sz="4" w:space="0"/>
                  </w:tcBorders>
                  <w:vAlign w:val="center"/>
                </w:tcPr>
                <w:p w14:paraId="0B583577">
                  <w:pPr>
                    <w:jc w:val="center"/>
                    <w:rPr>
                      <w:rFonts w:hint="default" w:eastAsia="宋体"/>
                      <w:color w:val="auto"/>
                      <w:sz w:val="21"/>
                      <w:szCs w:val="21"/>
                      <w:lang w:val="en-US" w:eastAsia="zh-CN"/>
                    </w:rPr>
                  </w:pPr>
                  <w:r>
                    <w:rPr>
                      <w:rFonts w:hint="eastAsia"/>
                      <w:color w:val="auto"/>
                      <w:sz w:val="21"/>
                      <w:szCs w:val="21"/>
                      <w:lang w:val="en-US" w:eastAsia="zh-CN"/>
                    </w:rPr>
                    <w:t>145.13196</w:t>
                  </w:r>
                </w:p>
              </w:tc>
            </w:tr>
            <w:tr w14:paraId="7F0EF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pct"/>
                  <w:tcBorders>
                    <w:top w:val="single" w:color="auto" w:sz="4" w:space="0"/>
                    <w:left w:val="single" w:color="auto" w:sz="4" w:space="0"/>
                    <w:bottom w:val="single" w:color="auto" w:sz="4" w:space="0"/>
                    <w:right w:val="single" w:color="auto" w:sz="4" w:space="0"/>
                  </w:tcBorders>
                  <w:vAlign w:val="center"/>
                </w:tcPr>
                <w:p w14:paraId="6DEB64F8">
                  <w:pPr>
                    <w:jc w:val="center"/>
                    <w:rPr>
                      <w:color w:val="auto"/>
                      <w:sz w:val="21"/>
                      <w:szCs w:val="21"/>
                    </w:rPr>
                  </w:pPr>
                  <w:r>
                    <w:rPr>
                      <w:color w:val="auto"/>
                      <w:sz w:val="21"/>
                      <w:szCs w:val="21"/>
                    </w:rPr>
                    <w:t>VOC</w:t>
                  </w:r>
                  <w:r>
                    <w:rPr>
                      <w:color w:val="auto"/>
                      <w:sz w:val="21"/>
                      <w:szCs w:val="21"/>
                      <w:vertAlign w:val="subscript"/>
                    </w:rPr>
                    <w:t>S</w:t>
                  </w:r>
                </w:p>
              </w:tc>
              <w:tc>
                <w:tcPr>
                  <w:tcW w:w="254" w:type="pct"/>
                  <w:tcBorders>
                    <w:top w:val="single" w:color="auto" w:sz="4" w:space="0"/>
                    <w:left w:val="single" w:color="auto" w:sz="4" w:space="0"/>
                    <w:bottom w:val="single" w:color="auto" w:sz="4" w:space="0"/>
                    <w:right w:val="single" w:color="auto" w:sz="4" w:space="0"/>
                  </w:tcBorders>
                  <w:vAlign w:val="center"/>
                </w:tcPr>
                <w:p w14:paraId="47CBA6B2">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4AA9F4D9">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03BE8326">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42D00BCE">
                  <w:pPr>
                    <w:jc w:val="center"/>
                    <w:rPr>
                      <w:color w:val="auto"/>
                      <w:sz w:val="21"/>
                      <w:szCs w:val="21"/>
                    </w:rPr>
                  </w:pPr>
                  <w:r>
                    <w:rPr>
                      <w:color w:val="auto"/>
                      <w:sz w:val="21"/>
                      <w:szCs w:val="21"/>
                    </w:rPr>
                    <w:t>-</w:t>
                  </w:r>
                </w:p>
              </w:tc>
              <w:tc>
                <w:tcPr>
                  <w:tcW w:w="535" w:type="pct"/>
                  <w:tcBorders>
                    <w:top w:val="single" w:color="auto" w:sz="4" w:space="0"/>
                    <w:left w:val="single" w:color="auto" w:sz="4" w:space="0"/>
                    <w:bottom w:val="single" w:color="auto" w:sz="4" w:space="0"/>
                    <w:right w:val="single" w:color="auto" w:sz="4" w:space="0"/>
                  </w:tcBorders>
                  <w:vAlign w:val="center"/>
                </w:tcPr>
                <w:p w14:paraId="2626369B">
                  <w:pPr>
                    <w:jc w:val="center"/>
                    <w:rPr>
                      <w:color w:val="auto"/>
                      <w:sz w:val="21"/>
                      <w:szCs w:val="21"/>
                    </w:rPr>
                  </w:pPr>
                  <w:r>
                    <w:rPr>
                      <w:color w:val="auto"/>
                      <w:sz w:val="21"/>
                      <w:szCs w:val="21"/>
                    </w:rPr>
                    <w:t>/</w:t>
                  </w:r>
                </w:p>
              </w:tc>
              <w:tc>
                <w:tcPr>
                  <w:tcW w:w="602" w:type="pct"/>
                  <w:tcBorders>
                    <w:top w:val="single" w:color="auto" w:sz="4" w:space="0"/>
                    <w:left w:val="single" w:color="auto" w:sz="4" w:space="0"/>
                    <w:bottom w:val="single" w:color="auto" w:sz="4" w:space="0"/>
                    <w:right w:val="single" w:color="auto" w:sz="4" w:space="0"/>
                  </w:tcBorders>
                  <w:vAlign w:val="center"/>
                </w:tcPr>
                <w:p w14:paraId="420C53F8">
                  <w:pPr>
                    <w:jc w:val="center"/>
                    <w:rPr>
                      <w:color w:val="auto"/>
                      <w:sz w:val="21"/>
                      <w:szCs w:val="21"/>
                    </w:rPr>
                  </w:pPr>
                  <w:r>
                    <w:rPr>
                      <w:color w:val="auto"/>
                      <w:sz w:val="21"/>
                      <w:szCs w:val="21"/>
                    </w:rPr>
                    <w:t>0</w:t>
                  </w:r>
                </w:p>
              </w:tc>
              <w:tc>
                <w:tcPr>
                  <w:tcW w:w="602" w:type="pct"/>
                  <w:tcBorders>
                    <w:top w:val="single" w:color="auto" w:sz="4" w:space="0"/>
                    <w:left w:val="single" w:color="auto" w:sz="4" w:space="0"/>
                    <w:bottom w:val="single" w:color="auto" w:sz="4" w:space="0"/>
                    <w:right w:val="single" w:color="auto" w:sz="4" w:space="0"/>
                  </w:tcBorders>
                  <w:vAlign w:val="center"/>
                </w:tcPr>
                <w:p w14:paraId="44E12772">
                  <w:pPr>
                    <w:jc w:val="center"/>
                    <w:rPr>
                      <w:color w:val="auto"/>
                      <w:sz w:val="21"/>
                      <w:szCs w:val="21"/>
                    </w:rPr>
                  </w:pPr>
                  <w:r>
                    <w:rPr>
                      <w:color w:val="auto"/>
                      <w:sz w:val="21"/>
                      <w:szCs w:val="21"/>
                    </w:rPr>
                    <w:t>0</w:t>
                  </w:r>
                </w:p>
              </w:tc>
              <w:tc>
                <w:tcPr>
                  <w:tcW w:w="602" w:type="pct"/>
                  <w:tcBorders>
                    <w:top w:val="single" w:color="auto" w:sz="4" w:space="0"/>
                    <w:left w:val="single" w:color="auto" w:sz="4" w:space="0"/>
                    <w:bottom w:val="single" w:color="auto" w:sz="4" w:space="0"/>
                    <w:right w:val="single" w:color="auto" w:sz="4" w:space="0"/>
                  </w:tcBorders>
                  <w:vAlign w:val="center"/>
                </w:tcPr>
                <w:p w14:paraId="38A31E07">
                  <w:pPr>
                    <w:jc w:val="center"/>
                    <w:rPr>
                      <w:color w:val="auto"/>
                      <w:sz w:val="21"/>
                      <w:szCs w:val="21"/>
                    </w:rPr>
                  </w:pPr>
                  <w:r>
                    <w:rPr>
                      <w:color w:val="auto"/>
                      <w:sz w:val="21"/>
                      <w:szCs w:val="21"/>
                    </w:rPr>
                    <w:t>0</w:t>
                  </w:r>
                </w:p>
              </w:tc>
              <w:tc>
                <w:tcPr>
                  <w:tcW w:w="601" w:type="pct"/>
                  <w:tcBorders>
                    <w:top w:val="single" w:color="auto" w:sz="4" w:space="0"/>
                    <w:left w:val="single" w:color="auto" w:sz="4" w:space="0"/>
                    <w:bottom w:val="single" w:color="auto" w:sz="4" w:space="0"/>
                    <w:right w:val="single" w:color="auto" w:sz="4" w:space="0"/>
                  </w:tcBorders>
                  <w:vAlign w:val="center"/>
                </w:tcPr>
                <w:p w14:paraId="4BA72F95">
                  <w:pPr>
                    <w:jc w:val="center"/>
                    <w:rPr>
                      <w:color w:val="auto"/>
                      <w:sz w:val="21"/>
                      <w:szCs w:val="21"/>
                    </w:rPr>
                  </w:pPr>
                  <w:r>
                    <w:rPr>
                      <w:color w:val="auto"/>
                      <w:sz w:val="21"/>
                      <w:szCs w:val="21"/>
                    </w:rPr>
                    <w:t>0</w:t>
                  </w:r>
                </w:p>
              </w:tc>
              <w:tc>
                <w:tcPr>
                  <w:tcW w:w="596" w:type="pct"/>
                  <w:tcBorders>
                    <w:top w:val="single" w:color="auto" w:sz="4" w:space="0"/>
                    <w:left w:val="single" w:color="auto" w:sz="4" w:space="0"/>
                    <w:bottom w:val="single" w:color="auto" w:sz="4" w:space="0"/>
                    <w:right w:val="single" w:color="auto" w:sz="4" w:space="0"/>
                  </w:tcBorders>
                  <w:vAlign w:val="center"/>
                </w:tcPr>
                <w:p w14:paraId="77E4759C">
                  <w:pPr>
                    <w:jc w:val="center"/>
                    <w:rPr>
                      <w:color w:val="auto"/>
                      <w:sz w:val="21"/>
                      <w:szCs w:val="21"/>
                    </w:rPr>
                  </w:pPr>
                  <w:r>
                    <w:rPr>
                      <w:color w:val="auto"/>
                      <w:sz w:val="21"/>
                      <w:szCs w:val="21"/>
                    </w:rPr>
                    <w:t>0</w:t>
                  </w:r>
                </w:p>
              </w:tc>
            </w:tr>
            <w:tr w14:paraId="3103C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pct"/>
                  <w:tcBorders>
                    <w:top w:val="single" w:color="auto" w:sz="4" w:space="0"/>
                    <w:left w:val="single" w:color="auto" w:sz="4" w:space="0"/>
                    <w:bottom w:val="single" w:color="auto" w:sz="4" w:space="0"/>
                    <w:right w:val="single" w:color="auto" w:sz="4" w:space="0"/>
                  </w:tcBorders>
                  <w:vAlign w:val="center"/>
                </w:tcPr>
                <w:p w14:paraId="31A7DF7A">
                  <w:pPr>
                    <w:jc w:val="center"/>
                    <w:rPr>
                      <w:color w:val="auto"/>
                      <w:sz w:val="21"/>
                      <w:szCs w:val="21"/>
                    </w:rPr>
                  </w:pPr>
                  <w:r>
                    <w:rPr>
                      <w:color w:val="auto"/>
                      <w:sz w:val="21"/>
                      <w:szCs w:val="21"/>
                    </w:rPr>
                    <w:t>氟化物</w:t>
                  </w:r>
                </w:p>
              </w:tc>
              <w:tc>
                <w:tcPr>
                  <w:tcW w:w="254" w:type="pct"/>
                  <w:tcBorders>
                    <w:top w:val="single" w:color="auto" w:sz="4" w:space="0"/>
                    <w:left w:val="single" w:color="auto" w:sz="4" w:space="0"/>
                    <w:bottom w:val="single" w:color="auto" w:sz="4" w:space="0"/>
                    <w:right w:val="single" w:color="auto" w:sz="4" w:space="0"/>
                  </w:tcBorders>
                  <w:vAlign w:val="center"/>
                </w:tcPr>
                <w:p w14:paraId="4792A842">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05E18D75">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736A99CC">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76DAA271">
                  <w:pPr>
                    <w:jc w:val="center"/>
                    <w:rPr>
                      <w:color w:val="auto"/>
                      <w:sz w:val="21"/>
                      <w:szCs w:val="21"/>
                    </w:rPr>
                  </w:pPr>
                  <w:r>
                    <w:rPr>
                      <w:color w:val="auto"/>
                      <w:sz w:val="21"/>
                      <w:szCs w:val="21"/>
                    </w:rPr>
                    <w:t>-</w:t>
                  </w:r>
                </w:p>
              </w:tc>
              <w:tc>
                <w:tcPr>
                  <w:tcW w:w="535" w:type="pct"/>
                  <w:tcBorders>
                    <w:top w:val="single" w:color="auto" w:sz="4" w:space="0"/>
                    <w:left w:val="single" w:color="auto" w:sz="4" w:space="0"/>
                    <w:bottom w:val="single" w:color="auto" w:sz="4" w:space="0"/>
                    <w:right w:val="single" w:color="auto" w:sz="4" w:space="0"/>
                  </w:tcBorders>
                  <w:vAlign w:val="center"/>
                </w:tcPr>
                <w:p w14:paraId="7ECB207B">
                  <w:pPr>
                    <w:jc w:val="center"/>
                    <w:rPr>
                      <w:rFonts w:hint="default" w:eastAsia="宋体"/>
                      <w:color w:val="auto"/>
                      <w:sz w:val="21"/>
                      <w:szCs w:val="21"/>
                      <w:lang w:val="en-US" w:eastAsia="zh-CN"/>
                    </w:rPr>
                  </w:pPr>
                  <w:r>
                    <w:rPr>
                      <w:rFonts w:hint="eastAsia"/>
                      <w:color w:val="auto"/>
                      <w:sz w:val="21"/>
                      <w:szCs w:val="21"/>
                      <w:lang w:val="en-US" w:eastAsia="zh-CN"/>
                    </w:rPr>
                    <w:t>0.275</w:t>
                  </w:r>
                </w:p>
              </w:tc>
              <w:tc>
                <w:tcPr>
                  <w:tcW w:w="602" w:type="pct"/>
                  <w:tcBorders>
                    <w:top w:val="single" w:color="auto" w:sz="4" w:space="0"/>
                    <w:left w:val="single" w:color="auto" w:sz="4" w:space="0"/>
                    <w:bottom w:val="single" w:color="auto" w:sz="4" w:space="0"/>
                    <w:right w:val="single" w:color="auto" w:sz="4" w:space="0"/>
                  </w:tcBorders>
                  <w:vAlign w:val="center"/>
                </w:tcPr>
                <w:p w14:paraId="74DD9CB6">
                  <w:pPr>
                    <w:jc w:val="center"/>
                    <w:rPr>
                      <w:rFonts w:hint="default" w:eastAsia="宋体"/>
                      <w:color w:val="auto"/>
                      <w:sz w:val="21"/>
                      <w:szCs w:val="21"/>
                      <w:lang w:val="en-US" w:eastAsia="zh-CN"/>
                    </w:rPr>
                  </w:pPr>
                  <w:r>
                    <w:rPr>
                      <w:rFonts w:hint="eastAsia"/>
                      <w:color w:val="auto"/>
                      <w:sz w:val="21"/>
                      <w:szCs w:val="21"/>
                      <w:lang w:val="en-US" w:eastAsia="zh-CN"/>
                    </w:rPr>
                    <w:t>0.011</w:t>
                  </w:r>
                </w:p>
              </w:tc>
              <w:tc>
                <w:tcPr>
                  <w:tcW w:w="602" w:type="pct"/>
                  <w:tcBorders>
                    <w:top w:val="single" w:color="auto" w:sz="4" w:space="0"/>
                    <w:left w:val="single" w:color="auto" w:sz="4" w:space="0"/>
                    <w:bottom w:val="single" w:color="auto" w:sz="4" w:space="0"/>
                    <w:right w:val="single" w:color="auto" w:sz="4" w:space="0"/>
                  </w:tcBorders>
                  <w:vAlign w:val="center"/>
                </w:tcPr>
                <w:p w14:paraId="1B1677CF">
                  <w:pPr>
                    <w:jc w:val="center"/>
                    <w:rPr>
                      <w:rFonts w:hint="default" w:eastAsia="宋体"/>
                      <w:color w:val="auto"/>
                      <w:sz w:val="21"/>
                      <w:szCs w:val="21"/>
                      <w:lang w:val="en-US" w:eastAsia="zh-CN"/>
                    </w:rPr>
                  </w:pPr>
                  <w:r>
                    <w:rPr>
                      <w:rFonts w:hint="eastAsia"/>
                      <w:color w:val="auto"/>
                      <w:sz w:val="21"/>
                      <w:szCs w:val="21"/>
                      <w:lang w:val="en-US" w:eastAsia="zh-CN"/>
                    </w:rPr>
                    <w:t>0.013</w:t>
                  </w:r>
                </w:p>
              </w:tc>
              <w:tc>
                <w:tcPr>
                  <w:tcW w:w="602" w:type="pct"/>
                  <w:tcBorders>
                    <w:top w:val="single" w:color="auto" w:sz="4" w:space="0"/>
                    <w:left w:val="single" w:color="auto" w:sz="4" w:space="0"/>
                    <w:bottom w:val="single" w:color="auto" w:sz="4" w:space="0"/>
                    <w:right w:val="single" w:color="auto" w:sz="4" w:space="0"/>
                  </w:tcBorders>
                  <w:vAlign w:val="center"/>
                </w:tcPr>
                <w:p w14:paraId="455163D8">
                  <w:pPr>
                    <w:jc w:val="center"/>
                    <w:rPr>
                      <w:rFonts w:hint="default" w:eastAsia="宋体"/>
                      <w:color w:val="auto"/>
                      <w:sz w:val="21"/>
                      <w:szCs w:val="21"/>
                      <w:lang w:val="en-US" w:eastAsia="zh-CN"/>
                    </w:rPr>
                  </w:pPr>
                  <w:r>
                    <w:rPr>
                      <w:rFonts w:hint="eastAsia"/>
                      <w:color w:val="auto"/>
                      <w:sz w:val="21"/>
                      <w:szCs w:val="21"/>
                      <w:lang w:val="en-US" w:eastAsia="zh-CN"/>
                    </w:rPr>
                    <w:t>0.138</w:t>
                  </w:r>
                </w:p>
              </w:tc>
              <w:tc>
                <w:tcPr>
                  <w:tcW w:w="601" w:type="pct"/>
                  <w:tcBorders>
                    <w:top w:val="single" w:color="auto" w:sz="4" w:space="0"/>
                    <w:left w:val="single" w:color="auto" w:sz="4" w:space="0"/>
                    <w:bottom w:val="single" w:color="auto" w:sz="4" w:space="0"/>
                    <w:right w:val="single" w:color="auto" w:sz="4" w:space="0"/>
                  </w:tcBorders>
                  <w:vAlign w:val="center"/>
                </w:tcPr>
                <w:p w14:paraId="646A1DF9">
                  <w:pPr>
                    <w:jc w:val="center"/>
                    <w:rPr>
                      <w:rFonts w:hint="default" w:eastAsia="宋体"/>
                      <w:color w:val="auto"/>
                      <w:sz w:val="21"/>
                      <w:szCs w:val="21"/>
                      <w:lang w:val="en-US" w:eastAsia="zh-CN"/>
                    </w:rPr>
                  </w:pPr>
                  <w:r>
                    <w:rPr>
                      <w:rFonts w:hint="eastAsia"/>
                      <w:color w:val="auto"/>
                      <w:sz w:val="21"/>
                      <w:szCs w:val="21"/>
                      <w:lang w:val="en-US" w:eastAsia="zh-CN"/>
                    </w:rPr>
                    <w:t>0.100</w:t>
                  </w:r>
                </w:p>
              </w:tc>
              <w:tc>
                <w:tcPr>
                  <w:tcW w:w="596" w:type="pct"/>
                  <w:tcBorders>
                    <w:top w:val="single" w:color="auto" w:sz="4" w:space="0"/>
                    <w:left w:val="single" w:color="auto" w:sz="4" w:space="0"/>
                    <w:bottom w:val="single" w:color="auto" w:sz="4" w:space="0"/>
                    <w:right w:val="single" w:color="auto" w:sz="4" w:space="0"/>
                  </w:tcBorders>
                  <w:vAlign w:val="center"/>
                </w:tcPr>
                <w:p w14:paraId="4CE52374">
                  <w:pPr>
                    <w:jc w:val="center"/>
                    <w:rPr>
                      <w:rFonts w:hint="default" w:eastAsia="宋体"/>
                      <w:color w:val="auto"/>
                      <w:sz w:val="21"/>
                      <w:szCs w:val="21"/>
                      <w:lang w:val="en-US" w:eastAsia="zh-CN"/>
                    </w:rPr>
                  </w:pPr>
                  <w:r>
                    <w:rPr>
                      <w:rFonts w:hint="eastAsia"/>
                      <w:color w:val="auto"/>
                      <w:sz w:val="21"/>
                      <w:szCs w:val="21"/>
                      <w:lang w:val="en-US" w:eastAsia="zh-CN"/>
                    </w:rPr>
                    <w:t>0.262</w:t>
                  </w:r>
                </w:p>
              </w:tc>
            </w:tr>
            <w:tr w14:paraId="367E8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pct"/>
                  <w:tcBorders>
                    <w:top w:val="single" w:color="auto" w:sz="4" w:space="0"/>
                    <w:left w:val="single" w:color="auto" w:sz="4" w:space="0"/>
                    <w:bottom w:val="single" w:color="auto" w:sz="4" w:space="0"/>
                    <w:right w:val="single" w:color="auto" w:sz="4" w:space="0"/>
                  </w:tcBorders>
                  <w:vAlign w:val="center"/>
                </w:tcPr>
                <w:p w14:paraId="55AB826C">
                  <w:pPr>
                    <w:jc w:val="center"/>
                    <w:rPr>
                      <w:rFonts w:hint="default" w:eastAsia="宋体"/>
                      <w:color w:val="auto"/>
                      <w:sz w:val="21"/>
                      <w:szCs w:val="21"/>
                      <w:lang w:val="en-US" w:eastAsia="zh-CN"/>
                    </w:rPr>
                  </w:pPr>
                  <w:r>
                    <w:rPr>
                      <w:rFonts w:hint="eastAsia"/>
                      <w:color w:val="auto"/>
                      <w:sz w:val="21"/>
                      <w:szCs w:val="21"/>
                      <w:lang w:val="en-US" w:eastAsia="zh-CN"/>
                    </w:rPr>
                    <w:t>氨气</w:t>
                  </w:r>
                </w:p>
              </w:tc>
              <w:tc>
                <w:tcPr>
                  <w:tcW w:w="254" w:type="pct"/>
                  <w:tcBorders>
                    <w:top w:val="single" w:color="auto" w:sz="4" w:space="0"/>
                    <w:left w:val="single" w:color="auto" w:sz="4" w:space="0"/>
                    <w:bottom w:val="single" w:color="auto" w:sz="4" w:space="0"/>
                    <w:right w:val="single" w:color="auto" w:sz="4" w:space="0"/>
                  </w:tcBorders>
                  <w:vAlign w:val="center"/>
                </w:tcPr>
                <w:p w14:paraId="53D68F0E">
                  <w:pPr>
                    <w:jc w:val="center"/>
                    <w:rPr>
                      <w:rFonts w:ascii="Times New Roman" w:hAnsi="Times New Roman" w:eastAsia="宋体" w:cs="Times New Roman"/>
                      <w:color w:val="auto"/>
                      <w:sz w:val="21"/>
                      <w:szCs w:val="21"/>
                      <w:lang w:val="en-US" w:eastAsia="zh-CN" w:bidi="ar-SA"/>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179B5234">
                  <w:pPr>
                    <w:jc w:val="center"/>
                    <w:rPr>
                      <w:rFonts w:ascii="Times New Roman" w:hAnsi="Times New Roman" w:eastAsia="宋体" w:cs="Times New Roman"/>
                      <w:color w:val="auto"/>
                      <w:sz w:val="21"/>
                      <w:szCs w:val="21"/>
                      <w:lang w:val="en-US" w:eastAsia="zh-CN" w:bidi="ar-SA"/>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441BCC4C">
                  <w:pPr>
                    <w:jc w:val="center"/>
                    <w:rPr>
                      <w:rFonts w:ascii="Times New Roman" w:hAnsi="Times New Roman" w:eastAsia="宋体" w:cs="Times New Roman"/>
                      <w:color w:val="auto"/>
                      <w:sz w:val="21"/>
                      <w:szCs w:val="21"/>
                      <w:lang w:val="en-US" w:eastAsia="zh-CN" w:bidi="ar-SA"/>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4AD08297">
                  <w:pPr>
                    <w:jc w:val="center"/>
                    <w:rPr>
                      <w:rFonts w:ascii="Times New Roman" w:hAnsi="Times New Roman" w:eastAsia="宋体" w:cs="Times New Roman"/>
                      <w:color w:val="auto"/>
                      <w:sz w:val="21"/>
                      <w:szCs w:val="21"/>
                      <w:lang w:val="en-US" w:eastAsia="zh-CN" w:bidi="ar-SA"/>
                    </w:rPr>
                  </w:pPr>
                  <w:r>
                    <w:rPr>
                      <w:color w:val="auto"/>
                      <w:sz w:val="21"/>
                      <w:szCs w:val="21"/>
                    </w:rPr>
                    <w:t>-</w:t>
                  </w:r>
                </w:p>
              </w:tc>
              <w:tc>
                <w:tcPr>
                  <w:tcW w:w="535" w:type="pct"/>
                  <w:tcBorders>
                    <w:top w:val="single" w:color="auto" w:sz="4" w:space="0"/>
                    <w:left w:val="single" w:color="auto" w:sz="4" w:space="0"/>
                    <w:bottom w:val="single" w:color="auto" w:sz="4" w:space="0"/>
                    <w:right w:val="single" w:color="auto" w:sz="4" w:space="0"/>
                  </w:tcBorders>
                  <w:vAlign w:val="center"/>
                </w:tcPr>
                <w:p w14:paraId="555803B6">
                  <w:pPr>
                    <w:jc w:val="center"/>
                    <w:rPr>
                      <w:color w:val="auto"/>
                      <w:sz w:val="21"/>
                      <w:szCs w:val="21"/>
                    </w:rPr>
                  </w:pPr>
                  <w:r>
                    <w:rPr>
                      <w:rFonts w:hint="eastAsia"/>
                      <w:color w:val="auto"/>
                      <w:sz w:val="21"/>
                      <w:szCs w:val="21"/>
                      <w:lang w:val="en-US" w:eastAsia="zh-CN"/>
                    </w:rPr>
                    <w:t>4.12</w:t>
                  </w:r>
                </w:p>
              </w:tc>
              <w:tc>
                <w:tcPr>
                  <w:tcW w:w="602" w:type="pct"/>
                  <w:tcBorders>
                    <w:top w:val="single" w:color="auto" w:sz="4" w:space="0"/>
                    <w:left w:val="single" w:color="auto" w:sz="4" w:space="0"/>
                    <w:bottom w:val="single" w:color="auto" w:sz="4" w:space="0"/>
                    <w:right w:val="single" w:color="auto" w:sz="4" w:space="0"/>
                  </w:tcBorders>
                  <w:vAlign w:val="center"/>
                </w:tcPr>
                <w:p w14:paraId="73EABAE0">
                  <w:pPr>
                    <w:jc w:val="center"/>
                    <w:rPr>
                      <w:rFonts w:hint="default" w:eastAsia="宋体"/>
                      <w:color w:val="auto"/>
                      <w:sz w:val="21"/>
                      <w:szCs w:val="21"/>
                      <w:lang w:val="en-US" w:eastAsia="zh-CN"/>
                    </w:rPr>
                  </w:pPr>
                  <w:r>
                    <w:rPr>
                      <w:rFonts w:hint="eastAsia"/>
                      <w:color w:val="auto"/>
                      <w:sz w:val="21"/>
                      <w:szCs w:val="21"/>
                      <w:lang w:val="en-US" w:eastAsia="zh-CN"/>
                    </w:rPr>
                    <w:t>0.3918</w:t>
                  </w:r>
                </w:p>
              </w:tc>
              <w:tc>
                <w:tcPr>
                  <w:tcW w:w="602" w:type="pct"/>
                  <w:tcBorders>
                    <w:top w:val="single" w:color="auto" w:sz="4" w:space="0"/>
                    <w:left w:val="single" w:color="auto" w:sz="4" w:space="0"/>
                    <w:bottom w:val="single" w:color="auto" w:sz="4" w:space="0"/>
                    <w:right w:val="single" w:color="auto" w:sz="4" w:space="0"/>
                  </w:tcBorders>
                  <w:vAlign w:val="center"/>
                </w:tcPr>
                <w:p w14:paraId="3737C89F">
                  <w:pPr>
                    <w:jc w:val="center"/>
                    <w:rPr>
                      <w:rFonts w:hint="default" w:eastAsia="宋体"/>
                      <w:color w:val="auto"/>
                      <w:sz w:val="21"/>
                      <w:szCs w:val="21"/>
                      <w:lang w:val="en-US" w:eastAsia="zh-CN"/>
                    </w:rPr>
                  </w:pPr>
                  <w:r>
                    <w:rPr>
                      <w:rFonts w:hint="eastAsia"/>
                      <w:color w:val="auto"/>
                      <w:sz w:val="21"/>
                      <w:szCs w:val="21"/>
                      <w:lang w:val="en-US" w:eastAsia="zh-CN"/>
                    </w:rPr>
                    <w:t>0.386</w:t>
                  </w:r>
                </w:p>
              </w:tc>
              <w:tc>
                <w:tcPr>
                  <w:tcW w:w="602" w:type="pct"/>
                  <w:tcBorders>
                    <w:top w:val="single" w:color="auto" w:sz="4" w:space="0"/>
                    <w:left w:val="single" w:color="auto" w:sz="4" w:space="0"/>
                    <w:bottom w:val="single" w:color="auto" w:sz="4" w:space="0"/>
                    <w:right w:val="single" w:color="auto" w:sz="4" w:space="0"/>
                  </w:tcBorders>
                  <w:vAlign w:val="center"/>
                </w:tcPr>
                <w:p w14:paraId="3172B69D">
                  <w:pPr>
                    <w:jc w:val="center"/>
                    <w:rPr>
                      <w:rFonts w:hint="default" w:eastAsia="宋体"/>
                      <w:color w:val="auto"/>
                      <w:sz w:val="21"/>
                      <w:szCs w:val="21"/>
                      <w:lang w:val="en-US" w:eastAsia="zh-CN"/>
                    </w:rPr>
                  </w:pPr>
                  <w:r>
                    <w:rPr>
                      <w:rFonts w:hint="eastAsia"/>
                      <w:color w:val="auto"/>
                      <w:sz w:val="21"/>
                      <w:szCs w:val="21"/>
                      <w:lang w:val="en-US" w:eastAsia="zh-CN"/>
                    </w:rPr>
                    <w:t>0.28006</w:t>
                  </w:r>
                </w:p>
              </w:tc>
              <w:tc>
                <w:tcPr>
                  <w:tcW w:w="601" w:type="pct"/>
                  <w:tcBorders>
                    <w:top w:val="single" w:color="auto" w:sz="4" w:space="0"/>
                    <w:left w:val="single" w:color="auto" w:sz="4" w:space="0"/>
                    <w:bottom w:val="single" w:color="auto" w:sz="4" w:space="0"/>
                    <w:right w:val="single" w:color="auto" w:sz="4" w:space="0"/>
                  </w:tcBorders>
                  <w:vAlign w:val="center"/>
                </w:tcPr>
                <w:p w14:paraId="5BA88319">
                  <w:pPr>
                    <w:jc w:val="center"/>
                    <w:rPr>
                      <w:rFonts w:hint="default" w:eastAsia="宋体"/>
                      <w:color w:val="auto"/>
                      <w:sz w:val="21"/>
                      <w:szCs w:val="21"/>
                      <w:lang w:val="en-US" w:eastAsia="zh-CN"/>
                    </w:rPr>
                  </w:pPr>
                  <w:r>
                    <w:rPr>
                      <w:rFonts w:hint="eastAsia"/>
                      <w:color w:val="auto"/>
                      <w:sz w:val="21"/>
                      <w:szCs w:val="21"/>
                      <w:lang w:val="en-US" w:eastAsia="zh-CN"/>
                    </w:rPr>
                    <w:t>0.24793</w:t>
                  </w:r>
                </w:p>
              </w:tc>
              <w:tc>
                <w:tcPr>
                  <w:tcW w:w="596" w:type="pct"/>
                  <w:tcBorders>
                    <w:top w:val="single" w:color="auto" w:sz="4" w:space="0"/>
                    <w:left w:val="single" w:color="auto" w:sz="4" w:space="0"/>
                    <w:bottom w:val="single" w:color="auto" w:sz="4" w:space="0"/>
                    <w:right w:val="single" w:color="auto" w:sz="4" w:space="0"/>
                  </w:tcBorders>
                  <w:vAlign w:val="center"/>
                </w:tcPr>
                <w:p w14:paraId="4AA606AE">
                  <w:pPr>
                    <w:jc w:val="center"/>
                    <w:rPr>
                      <w:rFonts w:hint="default" w:eastAsia="宋体"/>
                      <w:color w:val="auto"/>
                      <w:sz w:val="21"/>
                      <w:szCs w:val="21"/>
                      <w:lang w:val="en-US" w:eastAsia="zh-CN"/>
                    </w:rPr>
                  </w:pPr>
                  <w:r>
                    <w:rPr>
                      <w:rFonts w:hint="eastAsia"/>
                      <w:color w:val="auto"/>
                      <w:sz w:val="21"/>
                      <w:szCs w:val="21"/>
                      <w:lang w:val="en-US" w:eastAsia="zh-CN"/>
                    </w:rPr>
                    <w:t>1.30579</w:t>
                  </w:r>
                </w:p>
              </w:tc>
            </w:tr>
          </w:tbl>
          <w:p w14:paraId="6F89E11F">
            <w:pPr>
              <w:spacing w:line="360" w:lineRule="auto"/>
              <w:ind w:firstLine="480" w:firstLineChars="200"/>
              <w:jc w:val="left"/>
              <w:rPr>
                <w:bCs/>
                <w:color w:val="auto"/>
                <w:sz w:val="24"/>
              </w:rPr>
            </w:pPr>
            <w:r>
              <w:rPr>
                <w:bCs/>
                <w:color w:val="auto"/>
                <w:sz w:val="24"/>
              </w:rPr>
              <w:t>根据上表可知，根据</w:t>
            </w:r>
            <w:r>
              <w:rPr>
                <w:rFonts w:hint="eastAsia"/>
                <w:bCs/>
                <w:color w:val="auto"/>
                <w:sz w:val="24"/>
              </w:rPr>
              <w:t>《排污许可证执行报告（202</w:t>
            </w:r>
            <w:r>
              <w:rPr>
                <w:rFonts w:hint="eastAsia"/>
                <w:bCs/>
                <w:color w:val="auto"/>
                <w:sz w:val="24"/>
                <w:lang w:val="en-US" w:eastAsia="zh-CN"/>
              </w:rPr>
              <w:t>3</w:t>
            </w:r>
            <w:r>
              <w:rPr>
                <w:rFonts w:hint="eastAsia"/>
                <w:bCs/>
                <w:color w:val="auto"/>
                <w:sz w:val="24"/>
              </w:rPr>
              <w:t>年年报）》</w:t>
            </w:r>
            <w:r>
              <w:rPr>
                <w:rFonts w:hint="eastAsia"/>
                <w:bCs/>
                <w:color w:val="auto"/>
                <w:sz w:val="24"/>
                <w:lang w:eastAsia="zh-CN"/>
              </w:rPr>
              <w:t>，云南常青树化工有限公司</w:t>
            </w:r>
            <w:r>
              <w:rPr>
                <w:bCs/>
                <w:color w:val="auto"/>
                <w:sz w:val="24"/>
              </w:rPr>
              <w:t>202</w:t>
            </w:r>
            <w:r>
              <w:rPr>
                <w:rFonts w:hint="eastAsia"/>
                <w:bCs/>
                <w:color w:val="auto"/>
                <w:sz w:val="24"/>
                <w:lang w:val="en-US" w:eastAsia="zh-CN"/>
              </w:rPr>
              <w:t>3</w:t>
            </w:r>
            <w:r>
              <w:rPr>
                <w:bCs/>
                <w:color w:val="auto"/>
                <w:sz w:val="24"/>
              </w:rPr>
              <w:t>年废气实际排放量满足排污许可证上的许可排放量。</w:t>
            </w:r>
          </w:p>
          <w:p w14:paraId="3AE7E585">
            <w:pPr>
              <w:spacing w:line="360" w:lineRule="auto"/>
              <w:ind w:firstLine="480" w:firstLineChars="200"/>
              <w:jc w:val="left"/>
              <w:rPr>
                <w:rFonts w:hint="default" w:eastAsia="宋体"/>
                <w:bCs/>
                <w:color w:val="auto"/>
                <w:sz w:val="24"/>
                <w:lang w:val="en-US" w:eastAsia="zh-CN"/>
              </w:rPr>
            </w:pPr>
            <w:r>
              <w:rPr>
                <w:rFonts w:hint="eastAsia" w:ascii="宋体" w:hAnsi="宋体" w:eastAsia="宋体" w:cs="宋体"/>
                <w:bCs/>
                <w:color w:val="auto"/>
                <w:sz w:val="24"/>
              </w:rPr>
              <w:t>②</w:t>
            </w:r>
            <w:r>
              <w:rPr>
                <w:rFonts w:hint="eastAsia" w:eastAsia="宋体"/>
                <w:bCs/>
                <w:color w:val="auto"/>
                <w:sz w:val="24"/>
                <w:lang w:val="en-US" w:eastAsia="zh-CN"/>
              </w:rPr>
              <w:t>无组织废气</w:t>
            </w:r>
          </w:p>
          <w:p w14:paraId="4AA59634">
            <w:pPr>
              <w:spacing w:line="360" w:lineRule="auto"/>
              <w:ind w:firstLine="480" w:firstLineChars="200"/>
              <w:jc w:val="left"/>
              <w:rPr>
                <w:rFonts w:hint="default"/>
                <w:bCs/>
                <w:color w:val="auto"/>
                <w:sz w:val="24"/>
                <w:lang w:val="en-US" w:eastAsia="zh-CN"/>
              </w:rPr>
            </w:pPr>
            <w:r>
              <w:rPr>
                <w:rFonts w:hint="eastAsia"/>
                <w:bCs/>
                <w:color w:val="auto"/>
                <w:sz w:val="24"/>
                <w:lang w:val="en-US" w:eastAsia="zh-CN"/>
              </w:rPr>
              <w:t>根据2023年3月16日、2023年6月27日、2023年9月24日、2023年12月27日云南常青树化工有限公司委托云南浩辰环保科技有限公司对无组织废气的自行监测报告，具体监测结果见表2-28。</w:t>
            </w:r>
          </w:p>
          <w:p w14:paraId="3289EAF1">
            <w:pPr>
              <w:jc w:val="center"/>
              <w:rPr>
                <w:rFonts w:hint="default" w:ascii="Times New Roman" w:hAnsi="Times New Roman" w:eastAsia="宋体" w:cs="Times New Roman"/>
                <w:b/>
                <w:bCs w:val="0"/>
                <w:color w:val="auto"/>
                <w:sz w:val="24"/>
                <w:lang w:val="en-US" w:eastAsia="zh-CN"/>
              </w:rPr>
            </w:pPr>
            <w:r>
              <w:rPr>
                <w:rFonts w:hint="eastAsia" w:ascii="Times New Roman" w:hAnsi="Times New Roman" w:eastAsia="宋体" w:cs="Times New Roman"/>
                <w:b/>
                <w:bCs w:val="0"/>
                <w:color w:val="auto"/>
                <w:sz w:val="24"/>
                <w:lang w:val="en-US" w:eastAsia="zh-CN"/>
              </w:rPr>
              <w:t>表2-</w:t>
            </w:r>
            <w:r>
              <w:rPr>
                <w:rFonts w:hint="eastAsia" w:cs="Times New Roman"/>
                <w:b/>
                <w:bCs w:val="0"/>
                <w:color w:val="auto"/>
                <w:sz w:val="24"/>
                <w:lang w:val="en-US" w:eastAsia="zh-CN"/>
              </w:rPr>
              <w:t>28</w:t>
            </w:r>
            <w:r>
              <w:rPr>
                <w:rFonts w:hint="eastAsia" w:ascii="Times New Roman" w:hAnsi="Times New Roman" w:eastAsia="宋体" w:cs="Times New Roman"/>
                <w:b/>
                <w:bCs w:val="0"/>
                <w:color w:val="auto"/>
                <w:sz w:val="24"/>
                <w:lang w:val="en-US" w:eastAsia="zh-CN"/>
              </w:rPr>
              <w:t xml:space="preserve"> 无组织废气自行监测结果一览表   mg/m</w:t>
            </w:r>
            <w:r>
              <w:rPr>
                <w:rFonts w:hint="eastAsia" w:ascii="Times New Roman" w:hAnsi="Times New Roman" w:eastAsia="宋体" w:cs="Times New Roman"/>
                <w:b/>
                <w:bCs w:val="0"/>
                <w:color w:val="auto"/>
                <w:sz w:val="24"/>
                <w:vertAlign w:val="superscript"/>
                <w:lang w:val="en-US" w:eastAsia="zh-CN"/>
              </w:rPr>
              <w:t>3</w:t>
            </w:r>
          </w:p>
          <w:tbl>
            <w:tblPr>
              <w:tblStyle w:val="46"/>
              <w:tblW w:w="8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923"/>
              <w:gridCol w:w="1937"/>
              <w:gridCol w:w="2619"/>
              <w:gridCol w:w="1927"/>
            </w:tblGrid>
            <w:tr w14:paraId="49B7E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752" w:type="dxa"/>
                  <w:gridSpan w:val="2"/>
                  <w:vMerge w:val="restart"/>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14:paraId="03ABDE9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color w:val="auto"/>
                      <w:sz w:val="21"/>
                      <w:szCs w:val="21"/>
                      <w:vertAlign w:val="baseline"/>
                      <w:lang w:val="en-US" w:eastAsia="zh-CN"/>
                    </w:rPr>
                  </w:pPr>
                </w:p>
                <w:p w14:paraId="15C17F8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mc:AlternateContent>
                      <mc:Choice Requires="wpsCustomData">
                        <wpsCustomData:diagonalParaType/>
                      </mc:Choice>
                    </mc:AlternateContent>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监测</w:t>
                  </w:r>
                  <w:r>
                    <w:rPr>
                      <w:rFonts w:hint="eastAsia" w:ascii="Times New Roman" w:hAnsi="Times New Roman" w:eastAsia="宋体" w:cs="Times New Roman"/>
                      <w:b/>
                      <w:color w:val="auto"/>
                      <w:sz w:val="21"/>
                      <w:szCs w:val="21"/>
                      <w:vertAlign w:val="baseline"/>
                      <w:lang w:val="en-US" w:eastAsia="zh-CN"/>
                    </w:rPr>
                    <w:t>点及时间</w:t>
                  </w:r>
                </w:p>
                <w:p w14:paraId="12E5F44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监测</w:t>
                  </w:r>
                  <w:r>
                    <w:rPr>
                      <w:rFonts w:hint="eastAsia" w:ascii="Times New Roman" w:hAnsi="Times New Roman" w:eastAsia="宋体" w:cs="Times New Roman"/>
                      <w:b/>
                      <w:color w:val="auto"/>
                      <w:sz w:val="21"/>
                      <w:szCs w:val="21"/>
                      <w:vertAlign w:val="baseline"/>
                      <w:lang w:val="en-US" w:eastAsia="zh-CN"/>
                    </w:rPr>
                    <w:t>因子</w:t>
                  </w:r>
                </w:p>
              </w:tc>
              <w:tc>
                <w:tcPr>
                  <w:tcW w:w="6483" w:type="dxa"/>
                  <w:gridSpan w:val="3"/>
                  <w:noWrap w:val="0"/>
                  <w:vAlign w:val="center"/>
                </w:tcPr>
                <w:p w14:paraId="26B7E5F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自行监测数据</w:t>
                  </w:r>
                </w:p>
              </w:tc>
            </w:tr>
            <w:tr w14:paraId="392B6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752" w:type="dxa"/>
                  <w:gridSpan w:val="2"/>
                  <w:vMerge w:val="continue"/>
                  <w:noWrap w:val="0"/>
                  <w:vAlign w:val="center"/>
                </w:tcPr>
                <w:p w14:paraId="08E0186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vertAlign w:val="baseline"/>
                    </w:rPr>
                  </w:pPr>
                </w:p>
              </w:tc>
              <w:tc>
                <w:tcPr>
                  <w:tcW w:w="1937" w:type="dxa"/>
                  <w:noWrap w:val="0"/>
                  <w:vAlign w:val="center"/>
                </w:tcPr>
                <w:p w14:paraId="414B29B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olor w:val="auto"/>
                      <w:sz w:val="21"/>
                      <w:szCs w:val="21"/>
                      <w:vertAlign w:val="baseline"/>
                      <w:lang w:val="en-US" w:eastAsia="zh-CN"/>
                    </w:rPr>
                  </w:pPr>
                  <w:r>
                    <w:rPr>
                      <w:rFonts w:hint="eastAsia" w:cs="Times New Roman"/>
                      <w:b/>
                      <w:color w:val="auto"/>
                      <w:sz w:val="21"/>
                      <w:szCs w:val="21"/>
                      <w:vertAlign w:val="baseline"/>
                      <w:lang w:val="en-US" w:eastAsia="zh-CN"/>
                    </w:rPr>
                    <w:t>氨</w:t>
                  </w:r>
                </w:p>
              </w:tc>
              <w:tc>
                <w:tcPr>
                  <w:tcW w:w="2619" w:type="dxa"/>
                  <w:noWrap w:val="0"/>
                  <w:vAlign w:val="center"/>
                </w:tcPr>
                <w:p w14:paraId="2988114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olor w:val="auto"/>
                      <w:sz w:val="21"/>
                      <w:szCs w:val="21"/>
                      <w:vertAlign w:val="baseline"/>
                      <w:lang w:val="en-US" w:eastAsia="zh-CN"/>
                    </w:rPr>
                  </w:pPr>
                  <w:r>
                    <w:rPr>
                      <w:rFonts w:hint="eastAsia" w:cs="Times New Roman"/>
                      <w:b/>
                      <w:color w:val="auto"/>
                      <w:sz w:val="21"/>
                      <w:szCs w:val="21"/>
                      <w:vertAlign w:val="baseline"/>
                      <w:lang w:val="en-US" w:eastAsia="zh-CN"/>
                    </w:rPr>
                    <w:t>总悬浮颗粒物（</w:t>
                  </w:r>
                  <w:r>
                    <w:rPr>
                      <w:rFonts w:hint="default" w:ascii="Times New Roman" w:hAnsi="Times New Roman" w:cs="Times New Roman"/>
                      <w:b/>
                      <w:color w:val="auto"/>
                      <w:sz w:val="21"/>
                      <w:szCs w:val="21"/>
                      <w:vertAlign w:val="baseline"/>
                      <w:lang w:val="en-US" w:eastAsia="zh-CN"/>
                    </w:rPr>
                    <w:t>μ</w:t>
                  </w:r>
                  <w:r>
                    <w:rPr>
                      <w:rFonts w:hint="eastAsia" w:cs="Times New Roman"/>
                      <w:b/>
                      <w:color w:val="auto"/>
                      <w:sz w:val="21"/>
                      <w:szCs w:val="21"/>
                      <w:vertAlign w:val="baseline"/>
                      <w:lang w:val="en-US" w:eastAsia="zh-CN"/>
                    </w:rPr>
                    <w:t>g/m</w:t>
                  </w:r>
                  <w:r>
                    <w:rPr>
                      <w:rFonts w:hint="eastAsia" w:cs="Times New Roman"/>
                      <w:b/>
                      <w:color w:val="auto"/>
                      <w:sz w:val="21"/>
                      <w:szCs w:val="21"/>
                      <w:vertAlign w:val="superscript"/>
                      <w:lang w:val="en-US" w:eastAsia="zh-CN"/>
                    </w:rPr>
                    <w:t>3</w:t>
                  </w:r>
                  <w:r>
                    <w:rPr>
                      <w:rFonts w:hint="eastAsia" w:cs="Times New Roman"/>
                      <w:b/>
                      <w:color w:val="auto"/>
                      <w:sz w:val="21"/>
                      <w:szCs w:val="21"/>
                      <w:vertAlign w:val="baseline"/>
                      <w:lang w:val="en-US" w:eastAsia="zh-CN"/>
                    </w:rPr>
                    <w:t>）</w:t>
                  </w:r>
                </w:p>
              </w:tc>
              <w:tc>
                <w:tcPr>
                  <w:tcW w:w="1927" w:type="dxa"/>
                  <w:noWrap w:val="0"/>
                  <w:vAlign w:val="center"/>
                </w:tcPr>
                <w:p w14:paraId="1B575C8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olor w:val="auto"/>
                      <w:sz w:val="21"/>
                      <w:szCs w:val="21"/>
                      <w:vertAlign w:val="baseline"/>
                      <w:lang w:val="en-US" w:eastAsia="zh-CN"/>
                    </w:rPr>
                  </w:pPr>
                  <w:r>
                    <w:rPr>
                      <w:rFonts w:hint="eastAsia" w:cs="Times New Roman"/>
                      <w:b/>
                      <w:color w:val="auto"/>
                      <w:sz w:val="21"/>
                      <w:szCs w:val="21"/>
                      <w:vertAlign w:val="baseline"/>
                      <w:lang w:val="en-US" w:eastAsia="zh-CN"/>
                    </w:rPr>
                    <w:t>氟化物（</w:t>
                  </w:r>
                  <w:r>
                    <w:rPr>
                      <w:rFonts w:hint="default" w:ascii="Times New Roman" w:hAnsi="Times New Roman" w:cs="Times New Roman"/>
                      <w:b/>
                      <w:color w:val="auto"/>
                      <w:sz w:val="21"/>
                      <w:szCs w:val="21"/>
                      <w:vertAlign w:val="baseline"/>
                      <w:lang w:val="en-US" w:eastAsia="zh-CN"/>
                    </w:rPr>
                    <w:t>μ</w:t>
                  </w:r>
                  <w:r>
                    <w:rPr>
                      <w:rFonts w:hint="eastAsia" w:cs="Times New Roman"/>
                      <w:b/>
                      <w:color w:val="auto"/>
                      <w:sz w:val="21"/>
                      <w:szCs w:val="21"/>
                      <w:vertAlign w:val="baseline"/>
                      <w:lang w:val="en-US" w:eastAsia="zh-CN"/>
                    </w:rPr>
                    <w:t>g/m</w:t>
                  </w:r>
                  <w:r>
                    <w:rPr>
                      <w:rFonts w:hint="eastAsia" w:cs="Times New Roman"/>
                      <w:b/>
                      <w:color w:val="auto"/>
                      <w:sz w:val="21"/>
                      <w:szCs w:val="21"/>
                      <w:vertAlign w:val="superscript"/>
                      <w:lang w:val="en-US" w:eastAsia="zh-CN"/>
                    </w:rPr>
                    <w:t>3</w:t>
                  </w:r>
                  <w:r>
                    <w:rPr>
                      <w:rFonts w:hint="eastAsia" w:cs="Times New Roman"/>
                      <w:b/>
                      <w:color w:val="auto"/>
                      <w:sz w:val="21"/>
                      <w:szCs w:val="21"/>
                      <w:vertAlign w:val="baseline"/>
                      <w:lang w:val="en-US" w:eastAsia="zh-CN"/>
                    </w:rPr>
                    <w:t>）</w:t>
                  </w:r>
                </w:p>
              </w:tc>
            </w:tr>
            <w:tr w14:paraId="1FD05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28A18CF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上风向</w:t>
                  </w:r>
                </w:p>
              </w:tc>
              <w:tc>
                <w:tcPr>
                  <w:tcW w:w="923" w:type="dxa"/>
                  <w:vMerge w:val="restart"/>
                  <w:noWrap w:val="0"/>
                  <w:vAlign w:val="center"/>
                </w:tcPr>
                <w:p w14:paraId="5AF953C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2023.3.16</w:t>
                  </w:r>
                </w:p>
              </w:tc>
              <w:tc>
                <w:tcPr>
                  <w:tcW w:w="1937" w:type="dxa"/>
                  <w:noWrap w:val="0"/>
                  <w:vAlign w:val="center"/>
                </w:tcPr>
                <w:p w14:paraId="65F743C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0.03</w:t>
                  </w:r>
                </w:p>
              </w:tc>
              <w:tc>
                <w:tcPr>
                  <w:tcW w:w="2619" w:type="dxa"/>
                  <w:noWrap w:val="0"/>
                  <w:vAlign w:val="center"/>
                </w:tcPr>
                <w:p w14:paraId="67FA772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194</w:t>
                  </w:r>
                </w:p>
              </w:tc>
              <w:tc>
                <w:tcPr>
                  <w:tcW w:w="1927" w:type="dxa"/>
                  <w:noWrap w:val="0"/>
                  <w:vAlign w:val="center"/>
                </w:tcPr>
                <w:p w14:paraId="3F0D9FA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2.8</w:t>
                  </w:r>
                </w:p>
              </w:tc>
            </w:tr>
            <w:tr w14:paraId="6393A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6E604D9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769A68A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6AF5B6C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0.03</w:t>
                  </w:r>
                </w:p>
              </w:tc>
              <w:tc>
                <w:tcPr>
                  <w:tcW w:w="2619" w:type="dxa"/>
                  <w:noWrap w:val="0"/>
                  <w:vAlign w:val="center"/>
                </w:tcPr>
                <w:p w14:paraId="309209E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180</w:t>
                  </w:r>
                </w:p>
              </w:tc>
              <w:tc>
                <w:tcPr>
                  <w:tcW w:w="1927" w:type="dxa"/>
                  <w:noWrap w:val="0"/>
                  <w:vAlign w:val="center"/>
                </w:tcPr>
                <w:p w14:paraId="087AED1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2.6</w:t>
                  </w:r>
                </w:p>
              </w:tc>
            </w:tr>
            <w:tr w14:paraId="6C783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6D408AC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71855138">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default" w:eastAsia="宋体" w:cs="Times New Roman"/>
                      <w:b w:val="0"/>
                      <w:bCs w:val="0"/>
                      <w:color w:val="auto"/>
                      <w:sz w:val="21"/>
                      <w:szCs w:val="21"/>
                      <w:vertAlign w:val="baseline"/>
                      <w:lang w:val="en-US" w:eastAsia="zh-CN"/>
                    </w:rPr>
                  </w:pPr>
                </w:p>
              </w:tc>
              <w:tc>
                <w:tcPr>
                  <w:tcW w:w="1937" w:type="dxa"/>
                  <w:noWrap w:val="0"/>
                  <w:vAlign w:val="center"/>
                </w:tcPr>
                <w:p w14:paraId="1762148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0.04</w:t>
                  </w:r>
                </w:p>
              </w:tc>
              <w:tc>
                <w:tcPr>
                  <w:tcW w:w="2619" w:type="dxa"/>
                  <w:noWrap w:val="0"/>
                  <w:vAlign w:val="center"/>
                </w:tcPr>
                <w:p w14:paraId="2BB95CF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207</w:t>
                  </w:r>
                </w:p>
              </w:tc>
              <w:tc>
                <w:tcPr>
                  <w:tcW w:w="1927" w:type="dxa"/>
                  <w:noWrap w:val="0"/>
                  <w:vAlign w:val="center"/>
                </w:tcPr>
                <w:p w14:paraId="35B11E3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2.2</w:t>
                  </w:r>
                </w:p>
              </w:tc>
            </w:tr>
            <w:tr w14:paraId="3B10B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77B9576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下风向</w:t>
                  </w:r>
                  <w:r>
                    <w:rPr>
                      <w:rFonts w:hint="eastAsia" w:cs="Times New Roman"/>
                      <w:b w:val="0"/>
                      <w:bCs w:val="0"/>
                      <w:color w:val="auto"/>
                      <w:sz w:val="21"/>
                      <w:szCs w:val="21"/>
                      <w:vertAlign w:val="baseline"/>
                      <w:lang w:val="en-US" w:eastAsia="zh-CN"/>
                    </w:rPr>
                    <w:t>01</w:t>
                  </w:r>
                </w:p>
              </w:tc>
              <w:tc>
                <w:tcPr>
                  <w:tcW w:w="923" w:type="dxa"/>
                  <w:vMerge w:val="restart"/>
                  <w:noWrap w:val="0"/>
                  <w:vAlign w:val="center"/>
                </w:tcPr>
                <w:p w14:paraId="00F0794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202</w:t>
                  </w:r>
                  <w:r>
                    <w:rPr>
                      <w:rFonts w:hint="eastAsia" w:cs="Times New Roman"/>
                      <w:b w:val="0"/>
                      <w:bCs w:val="0"/>
                      <w:color w:val="auto"/>
                      <w:sz w:val="21"/>
                      <w:szCs w:val="21"/>
                      <w:vertAlign w:val="baseline"/>
                      <w:lang w:val="en-US" w:eastAsia="zh-CN"/>
                    </w:rPr>
                    <w:t>3</w:t>
                  </w:r>
                  <w:r>
                    <w:rPr>
                      <w:rFonts w:hint="eastAsia" w:eastAsia="宋体"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3.16</w:t>
                  </w:r>
                </w:p>
              </w:tc>
              <w:tc>
                <w:tcPr>
                  <w:tcW w:w="1937" w:type="dxa"/>
                  <w:noWrap w:val="0"/>
                  <w:vAlign w:val="center"/>
                </w:tcPr>
                <w:p w14:paraId="4043005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0.08</w:t>
                  </w:r>
                </w:p>
              </w:tc>
              <w:tc>
                <w:tcPr>
                  <w:tcW w:w="2619" w:type="dxa"/>
                  <w:noWrap w:val="0"/>
                  <w:vAlign w:val="center"/>
                </w:tcPr>
                <w:p w14:paraId="5D8239B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432</w:t>
                  </w:r>
                </w:p>
              </w:tc>
              <w:tc>
                <w:tcPr>
                  <w:tcW w:w="1927" w:type="dxa"/>
                  <w:noWrap w:val="0"/>
                  <w:vAlign w:val="center"/>
                </w:tcPr>
                <w:p w14:paraId="6A59361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3.6</w:t>
                  </w:r>
                </w:p>
              </w:tc>
            </w:tr>
            <w:tr w14:paraId="0A00E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327BB89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75468A3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5D156F6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0.06</w:t>
                  </w:r>
                </w:p>
              </w:tc>
              <w:tc>
                <w:tcPr>
                  <w:tcW w:w="2619" w:type="dxa"/>
                  <w:noWrap w:val="0"/>
                  <w:vAlign w:val="center"/>
                </w:tcPr>
                <w:p w14:paraId="6A0EA1C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458</w:t>
                  </w:r>
                </w:p>
              </w:tc>
              <w:tc>
                <w:tcPr>
                  <w:tcW w:w="1927" w:type="dxa"/>
                  <w:noWrap w:val="0"/>
                  <w:vAlign w:val="center"/>
                </w:tcPr>
                <w:p w14:paraId="0018BF1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3.5</w:t>
                  </w:r>
                </w:p>
              </w:tc>
            </w:tr>
            <w:tr w14:paraId="6987D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3C980AD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2A3113B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632CD8B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0.05</w:t>
                  </w:r>
                </w:p>
              </w:tc>
              <w:tc>
                <w:tcPr>
                  <w:tcW w:w="2619" w:type="dxa"/>
                  <w:noWrap w:val="0"/>
                  <w:vAlign w:val="center"/>
                </w:tcPr>
                <w:p w14:paraId="51E7009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467</w:t>
                  </w:r>
                </w:p>
              </w:tc>
              <w:tc>
                <w:tcPr>
                  <w:tcW w:w="1927" w:type="dxa"/>
                  <w:noWrap w:val="0"/>
                  <w:vAlign w:val="center"/>
                </w:tcPr>
                <w:p w14:paraId="6B78352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3.3</w:t>
                  </w:r>
                </w:p>
              </w:tc>
            </w:tr>
            <w:tr w14:paraId="05F0F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4CE3BE2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下风向</w:t>
                  </w:r>
                  <w:r>
                    <w:rPr>
                      <w:rFonts w:hint="eastAsia" w:cs="Times New Roman"/>
                      <w:b w:val="0"/>
                      <w:bCs w:val="0"/>
                      <w:color w:val="auto"/>
                      <w:sz w:val="21"/>
                      <w:szCs w:val="21"/>
                      <w:vertAlign w:val="baseline"/>
                      <w:lang w:val="en-US" w:eastAsia="zh-CN"/>
                    </w:rPr>
                    <w:t>02</w:t>
                  </w:r>
                </w:p>
              </w:tc>
              <w:tc>
                <w:tcPr>
                  <w:tcW w:w="923" w:type="dxa"/>
                  <w:vMerge w:val="restart"/>
                  <w:noWrap w:val="0"/>
                  <w:vAlign w:val="center"/>
                </w:tcPr>
                <w:p w14:paraId="53EA105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202</w:t>
                  </w:r>
                  <w:r>
                    <w:rPr>
                      <w:rFonts w:hint="eastAsia" w:cs="Times New Roman"/>
                      <w:b w:val="0"/>
                      <w:bCs w:val="0"/>
                      <w:color w:val="auto"/>
                      <w:sz w:val="21"/>
                      <w:szCs w:val="21"/>
                      <w:vertAlign w:val="baseline"/>
                      <w:lang w:val="en-US" w:eastAsia="zh-CN"/>
                    </w:rPr>
                    <w:t>3</w:t>
                  </w:r>
                  <w:r>
                    <w:rPr>
                      <w:rFonts w:hint="eastAsia" w:eastAsia="宋体"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3.16</w:t>
                  </w:r>
                </w:p>
              </w:tc>
              <w:tc>
                <w:tcPr>
                  <w:tcW w:w="1937" w:type="dxa"/>
                  <w:noWrap w:val="0"/>
                  <w:vAlign w:val="center"/>
                </w:tcPr>
                <w:p w14:paraId="4757A23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0.08</w:t>
                  </w:r>
                </w:p>
              </w:tc>
              <w:tc>
                <w:tcPr>
                  <w:tcW w:w="2619" w:type="dxa"/>
                  <w:noWrap w:val="0"/>
                  <w:vAlign w:val="center"/>
                </w:tcPr>
                <w:p w14:paraId="69B3A9F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404</w:t>
                  </w:r>
                </w:p>
              </w:tc>
              <w:tc>
                <w:tcPr>
                  <w:tcW w:w="1927" w:type="dxa"/>
                  <w:noWrap w:val="0"/>
                  <w:vAlign w:val="center"/>
                </w:tcPr>
                <w:p w14:paraId="314640C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w:t>
                  </w:r>
                </w:p>
              </w:tc>
            </w:tr>
            <w:tr w14:paraId="2D9CF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0FC1C90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15F8442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169ECC4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0.08</w:t>
                  </w:r>
                </w:p>
              </w:tc>
              <w:tc>
                <w:tcPr>
                  <w:tcW w:w="2619" w:type="dxa"/>
                  <w:noWrap w:val="0"/>
                  <w:vAlign w:val="center"/>
                </w:tcPr>
                <w:p w14:paraId="0AA0B3D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500</w:t>
                  </w:r>
                </w:p>
              </w:tc>
              <w:tc>
                <w:tcPr>
                  <w:tcW w:w="1927" w:type="dxa"/>
                  <w:noWrap w:val="0"/>
                  <w:vAlign w:val="center"/>
                </w:tcPr>
                <w:p w14:paraId="6AD17B9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2.3</w:t>
                  </w:r>
                </w:p>
              </w:tc>
            </w:tr>
            <w:tr w14:paraId="2D37F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121BB0B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7DECBF9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3A8073C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0.06</w:t>
                  </w:r>
                </w:p>
              </w:tc>
              <w:tc>
                <w:tcPr>
                  <w:tcW w:w="2619" w:type="dxa"/>
                  <w:noWrap w:val="0"/>
                  <w:vAlign w:val="center"/>
                </w:tcPr>
                <w:p w14:paraId="77E265A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468</w:t>
                  </w:r>
                </w:p>
              </w:tc>
              <w:tc>
                <w:tcPr>
                  <w:tcW w:w="1927" w:type="dxa"/>
                  <w:noWrap w:val="0"/>
                  <w:vAlign w:val="center"/>
                </w:tcPr>
                <w:p w14:paraId="48DAA45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2.6</w:t>
                  </w:r>
                </w:p>
              </w:tc>
            </w:tr>
            <w:tr w14:paraId="3F19D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2B7910D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下风向</w:t>
                  </w:r>
                  <w:r>
                    <w:rPr>
                      <w:rFonts w:hint="eastAsia" w:cs="Times New Roman"/>
                      <w:b w:val="0"/>
                      <w:bCs w:val="0"/>
                      <w:color w:val="auto"/>
                      <w:sz w:val="21"/>
                      <w:szCs w:val="21"/>
                      <w:vertAlign w:val="baseline"/>
                      <w:lang w:val="en-US" w:eastAsia="zh-CN"/>
                    </w:rPr>
                    <w:t>03</w:t>
                  </w:r>
                </w:p>
              </w:tc>
              <w:tc>
                <w:tcPr>
                  <w:tcW w:w="923" w:type="dxa"/>
                  <w:vMerge w:val="restart"/>
                  <w:noWrap w:val="0"/>
                  <w:vAlign w:val="center"/>
                </w:tcPr>
                <w:p w14:paraId="43B38E3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202</w:t>
                  </w:r>
                  <w:r>
                    <w:rPr>
                      <w:rFonts w:hint="eastAsia" w:cs="Times New Roman"/>
                      <w:b w:val="0"/>
                      <w:bCs w:val="0"/>
                      <w:color w:val="auto"/>
                      <w:sz w:val="21"/>
                      <w:szCs w:val="21"/>
                      <w:vertAlign w:val="baseline"/>
                      <w:lang w:val="en-US" w:eastAsia="zh-CN"/>
                    </w:rPr>
                    <w:t>3</w:t>
                  </w:r>
                  <w:r>
                    <w:rPr>
                      <w:rFonts w:hint="eastAsia" w:eastAsia="宋体"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3.16</w:t>
                  </w:r>
                </w:p>
              </w:tc>
              <w:tc>
                <w:tcPr>
                  <w:tcW w:w="1937" w:type="dxa"/>
                  <w:noWrap w:val="0"/>
                  <w:vAlign w:val="center"/>
                </w:tcPr>
                <w:p w14:paraId="3F3F047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0.05</w:t>
                  </w:r>
                </w:p>
              </w:tc>
              <w:tc>
                <w:tcPr>
                  <w:tcW w:w="2619" w:type="dxa"/>
                  <w:noWrap w:val="0"/>
                  <w:vAlign w:val="center"/>
                </w:tcPr>
                <w:p w14:paraId="1C07DD7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436</w:t>
                  </w:r>
                </w:p>
              </w:tc>
              <w:tc>
                <w:tcPr>
                  <w:tcW w:w="1927" w:type="dxa"/>
                  <w:noWrap w:val="0"/>
                  <w:vAlign w:val="center"/>
                </w:tcPr>
                <w:p w14:paraId="1DC0D25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2.2</w:t>
                  </w:r>
                </w:p>
              </w:tc>
            </w:tr>
            <w:tr w14:paraId="55318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1D44E01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04DECEF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4F9D557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0.06</w:t>
                  </w:r>
                </w:p>
              </w:tc>
              <w:tc>
                <w:tcPr>
                  <w:tcW w:w="2619" w:type="dxa"/>
                  <w:noWrap w:val="0"/>
                  <w:vAlign w:val="center"/>
                </w:tcPr>
                <w:p w14:paraId="4007ABA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452</w:t>
                  </w:r>
                </w:p>
              </w:tc>
              <w:tc>
                <w:tcPr>
                  <w:tcW w:w="1927" w:type="dxa"/>
                  <w:noWrap w:val="0"/>
                  <w:vAlign w:val="center"/>
                </w:tcPr>
                <w:p w14:paraId="5B7CECB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2.5</w:t>
                  </w:r>
                </w:p>
              </w:tc>
            </w:tr>
            <w:tr w14:paraId="0503B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16AA422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2D9538A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56D4B77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0.07</w:t>
                  </w:r>
                </w:p>
              </w:tc>
              <w:tc>
                <w:tcPr>
                  <w:tcW w:w="2619" w:type="dxa"/>
                  <w:noWrap w:val="0"/>
                  <w:vAlign w:val="center"/>
                </w:tcPr>
                <w:p w14:paraId="25D858D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479</w:t>
                  </w:r>
                </w:p>
              </w:tc>
              <w:tc>
                <w:tcPr>
                  <w:tcW w:w="1927" w:type="dxa"/>
                  <w:noWrap w:val="0"/>
                  <w:vAlign w:val="center"/>
                </w:tcPr>
                <w:p w14:paraId="33022CC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2.4</w:t>
                  </w:r>
                </w:p>
              </w:tc>
            </w:tr>
            <w:tr w14:paraId="0EDDB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69888A8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上风向</w:t>
                  </w:r>
                </w:p>
              </w:tc>
              <w:tc>
                <w:tcPr>
                  <w:tcW w:w="923" w:type="dxa"/>
                  <w:vMerge w:val="restart"/>
                  <w:noWrap w:val="0"/>
                  <w:vAlign w:val="center"/>
                </w:tcPr>
                <w:p w14:paraId="3A70DBD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2023.6.27</w:t>
                  </w:r>
                </w:p>
              </w:tc>
              <w:tc>
                <w:tcPr>
                  <w:tcW w:w="1937" w:type="dxa"/>
                  <w:noWrap w:val="0"/>
                  <w:vAlign w:val="center"/>
                </w:tcPr>
                <w:p w14:paraId="5AA3184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0.04</w:t>
                  </w:r>
                </w:p>
              </w:tc>
              <w:tc>
                <w:tcPr>
                  <w:tcW w:w="2619" w:type="dxa"/>
                  <w:noWrap w:val="0"/>
                  <w:vAlign w:val="center"/>
                </w:tcPr>
                <w:p w14:paraId="51C253F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185</w:t>
                  </w:r>
                </w:p>
              </w:tc>
              <w:tc>
                <w:tcPr>
                  <w:tcW w:w="1927" w:type="dxa"/>
                  <w:noWrap w:val="0"/>
                  <w:vAlign w:val="center"/>
                </w:tcPr>
                <w:p w14:paraId="138AD7E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3.1</w:t>
                  </w:r>
                </w:p>
              </w:tc>
            </w:tr>
            <w:tr w14:paraId="58D56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188305C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58F3F5D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3788EAC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0.04</w:t>
                  </w:r>
                </w:p>
              </w:tc>
              <w:tc>
                <w:tcPr>
                  <w:tcW w:w="2619" w:type="dxa"/>
                  <w:noWrap w:val="0"/>
                  <w:vAlign w:val="center"/>
                </w:tcPr>
                <w:p w14:paraId="66673F5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190</w:t>
                  </w:r>
                </w:p>
              </w:tc>
              <w:tc>
                <w:tcPr>
                  <w:tcW w:w="1927" w:type="dxa"/>
                  <w:noWrap w:val="0"/>
                  <w:vAlign w:val="center"/>
                </w:tcPr>
                <w:p w14:paraId="4492BEE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3.0</w:t>
                  </w:r>
                </w:p>
              </w:tc>
            </w:tr>
            <w:tr w14:paraId="0C190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5D1848D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1F9D4FA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5DE3277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0.04</w:t>
                  </w:r>
                </w:p>
              </w:tc>
              <w:tc>
                <w:tcPr>
                  <w:tcW w:w="2619" w:type="dxa"/>
                  <w:noWrap w:val="0"/>
                  <w:vAlign w:val="center"/>
                </w:tcPr>
                <w:p w14:paraId="1AA0D5C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180</w:t>
                  </w:r>
                </w:p>
              </w:tc>
              <w:tc>
                <w:tcPr>
                  <w:tcW w:w="1927" w:type="dxa"/>
                  <w:noWrap w:val="0"/>
                  <w:vAlign w:val="center"/>
                </w:tcPr>
                <w:p w14:paraId="02B3451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2.8</w:t>
                  </w:r>
                </w:p>
              </w:tc>
            </w:tr>
            <w:tr w14:paraId="174A8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0B2FA1D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下风向</w:t>
                  </w:r>
                  <w:r>
                    <w:rPr>
                      <w:rFonts w:hint="eastAsia" w:cs="Times New Roman"/>
                      <w:b w:val="0"/>
                      <w:bCs w:val="0"/>
                      <w:color w:val="auto"/>
                      <w:sz w:val="21"/>
                      <w:szCs w:val="21"/>
                      <w:vertAlign w:val="baseline"/>
                      <w:lang w:val="en-US" w:eastAsia="zh-CN"/>
                    </w:rPr>
                    <w:t>01</w:t>
                  </w:r>
                </w:p>
              </w:tc>
              <w:tc>
                <w:tcPr>
                  <w:tcW w:w="923" w:type="dxa"/>
                  <w:vMerge w:val="restart"/>
                  <w:noWrap w:val="0"/>
                  <w:vAlign w:val="center"/>
                </w:tcPr>
                <w:p w14:paraId="033FB2F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2023.6.27</w:t>
                  </w:r>
                </w:p>
              </w:tc>
              <w:tc>
                <w:tcPr>
                  <w:tcW w:w="1937" w:type="dxa"/>
                  <w:noWrap w:val="0"/>
                  <w:vAlign w:val="center"/>
                </w:tcPr>
                <w:p w14:paraId="57BCE3F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0.09</w:t>
                  </w:r>
                </w:p>
              </w:tc>
              <w:tc>
                <w:tcPr>
                  <w:tcW w:w="2619" w:type="dxa"/>
                  <w:noWrap w:val="0"/>
                  <w:vAlign w:val="center"/>
                </w:tcPr>
                <w:p w14:paraId="19CF673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531</w:t>
                  </w:r>
                </w:p>
              </w:tc>
              <w:tc>
                <w:tcPr>
                  <w:tcW w:w="1927" w:type="dxa"/>
                  <w:noWrap w:val="0"/>
                  <w:vAlign w:val="center"/>
                </w:tcPr>
                <w:p w14:paraId="2B08498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2.6</w:t>
                  </w:r>
                </w:p>
              </w:tc>
            </w:tr>
            <w:tr w14:paraId="35FB1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4B78F57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6ABCAAA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4631852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0.09</w:t>
                  </w:r>
                </w:p>
              </w:tc>
              <w:tc>
                <w:tcPr>
                  <w:tcW w:w="2619" w:type="dxa"/>
                  <w:noWrap w:val="0"/>
                  <w:vAlign w:val="center"/>
                </w:tcPr>
                <w:p w14:paraId="00EA25F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523</w:t>
                  </w:r>
                </w:p>
              </w:tc>
              <w:tc>
                <w:tcPr>
                  <w:tcW w:w="1927" w:type="dxa"/>
                  <w:noWrap w:val="0"/>
                  <w:vAlign w:val="center"/>
                </w:tcPr>
                <w:p w14:paraId="47FA8C0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2.9</w:t>
                  </w:r>
                </w:p>
              </w:tc>
            </w:tr>
            <w:tr w14:paraId="654B5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579A884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5428622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1FB4670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0.11</w:t>
                  </w:r>
                </w:p>
              </w:tc>
              <w:tc>
                <w:tcPr>
                  <w:tcW w:w="2619" w:type="dxa"/>
                  <w:noWrap w:val="0"/>
                  <w:vAlign w:val="center"/>
                </w:tcPr>
                <w:p w14:paraId="796308E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546</w:t>
                  </w:r>
                </w:p>
              </w:tc>
              <w:tc>
                <w:tcPr>
                  <w:tcW w:w="1927" w:type="dxa"/>
                  <w:noWrap w:val="0"/>
                  <w:vAlign w:val="center"/>
                </w:tcPr>
                <w:p w14:paraId="00ABB98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2.5</w:t>
                  </w:r>
                </w:p>
              </w:tc>
            </w:tr>
            <w:tr w14:paraId="7D560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4074618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下风向</w:t>
                  </w:r>
                  <w:r>
                    <w:rPr>
                      <w:rFonts w:hint="eastAsia" w:cs="Times New Roman"/>
                      <w:b w:val="0"/>
                      <w:bCs w:val="0"/>
                      <w:color w:val="auto"/>
                      <w:sz w:val="21"/>
                      <w:szCs w:val="21"/>
                      <w:vertAlign w:val="baseline"/>
                      <w:lang w:val="en-US" w:eastAsia="zh-CN"/>
                    </w:rPr>
                    <w:t>02</w:t>
                  </w:r>
                </w:p>
              </w:tc>
              <w:tc>
                <w:tcPr>
                  <w:tcW w:w="923" w:type="dxa"/>
                  <w:vMerge w:val="restart"/>
                  <w:noWrap w:val="0"/>
                  <w:vAlign w:val="center"/>
                </w:tcPr>
                <w:p w14:paraId="266E067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2023.6.27</w:t>
                  </w:r>
                </w:p>
              </w:tc>
              <w:tc>
                <w:tcPr>
                  <w:tcW w:w="1937" w:type="dxa"/>
                  <w:noWrap w:val="0"/>
                  <w:vAlign w:val="center"/>
                </w:tcPr>
                <w:p w14:paraId="6E35C57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0.09</w:t>
                  </w:r>
                </w:p>
              </w:tc>
              <w:tc>
                <w:tcPr>
                  <w:tcW w:w="2619" w:type="dxa"/>
                  <w:noWrap w:val="0"/>
                  <w:vAlign w:val="center"/>
                </w:tcPr>
                <w:p w14:paraId="6024251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473</w:t>
                  </w:r>
                </w:p>
              </w:tc>
              <w:tc>
                <w:tcPr>
                  <w:tcW w:w="1927" w:type="dxa"/>
                  <w:noWrap w:val="0"/>
                  <w:vAlign w:val="center"/>
                </w:tcPr>
                <w:p w14:paraId="77BA443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3.3</w:t>
                  </w:r>
                </w:p>
              </w:tc>
            </w:tr>
            <w:tr w14:paraId="537A8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1300A1B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1C0B2F9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47AF3A9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0.10</w:t>
                  </w:r>
                </w:p>
              </w:tc>
              <w:tc>
                <w:tcPr>
                  <w:tcW w:w="2619" w:type="dxa"/>
                  <w:noWrap w:val="0"/>
                  <w:vAlign w:val="center"/>
                </w:tcPr>
                <w:p w14:paraId="511AB2D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549</w:t>
                  </w:r>
                </w:p>
              </w:tc>
              <w:tc>
                <w:tcPr>
                  <w:tcW w:w="1927" w:type="dxa"/>
                  <w:noWrap w:val="0"/>
                  <w:vAlign w:val="center"/>
                </w:tcPr>
                <w:p w14:paraId="5E86640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3.2</w:t>
                  </w:r>
                </w:p>
              </w:tc>
            </w:tr>
            <w:tr w14:paraId="6B8C4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73DF0CF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247AF40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1A06097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0.10</w:t>
                  </w:r>
                </w:p>
              </w:tc>
              <w:tc>
                <w:tcPr>
                  <w:tcW w:w="2619" w:type="dxa"/>
                  <w:noWrap w:val="0"/>
                  <w:vAlign w:val="center"/>
                </w:tcPr>
                <w:p w14:paraId="2A87A27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546</w:t>
                  </w:r>
                </w:p>
              </w:tc>
              <w:tc>
                <w:tcPr>
                  <w:tcW w:w="1927" w:type="dxa"/>
                  <w:noWrap w:val="0"/>
                  <w:vAlign w:val="center"/>
                </w:tcPr>
                <w:p w14:paraId="01A8B56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3.0</w:t>
                  </w:r>
                </w:p>
              </w:tc>
            </w:tr>
            <w:tr w14:paraId="43312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5B5E8F5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下风向</w:t>
                  </w:r>
                  <w:r>
                    <w:rPr>
                      <w:rFonts w:hint="eastAsia" w:cs="Times New Roman"/>
                      <w:b w:val="0"/>
                      <w:bCs w:val="0"/>
                      <w:color w:val="auto"/>
                      <w:sz w:val="21"/>
                      <w:szCs w:val="21"/>
                      <w:vertAlign w:val="baseline"/>
                      <w:lang w:val="en-US" w:eastAsia="zh-CN"/>
                    </w:rPr>
                    <w:t>03</w:t>
                  </w:r>
                </w:p>
              </w:tc>
              <w:tc>
                <w:tcPr>
                  <w:tcW w:w="923" w:type="dxa"/>
                  <w:vMerge w:val="restart"/>
                  <w:noWrap w:val="0"/>
                  <w:vAlign w:val="center"/>
                </w:tcPr>
                <w:p w14:paraId="7CE2E1B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2023.6.27</w:t>
                  </w:r>
                </w:p>
              </w:tc>
              <w:tc>
                <w:tcPr>
                  <w:tcW w:w="1937" w:type="dxa"/>
                  <w:noWrap w:val="0"/>
                  <w:vAlign w:val="center"/>
                </w:tcPr>
                <w:p w14:paraId="2C7D7F1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0.08</w:t>
                  </w:r>
                </w:p>
              </w:tc>
              <w:tc>
                <w:tcPr>
                  <w:tcW w:w="2619" w:type="dxa"/>
                  <w:noWrap w:val="0"/>
                  <w:vAlign w:val="center"/>
                </w:tcPr>
                <w:p w14:paraId="2605CA3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503</w:t>
                  </w:r>
                </w:p>
              </w:tc>
              <w:tc>
                <w:tcPr>
                  <w:tcW w:w="1927" w:type="dxa"/>
                  <w:noWrap w:val="0"/>
                  <w:vAlign w:val="center"/>
                </w:tcPr>
                <w:p w14:paraId="38F07B9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2.6</w:t>
                  </w:r>
                </w:p>
              </w:tc>
            </w:tr>
            <w:tr w14:paraId="6EDAC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3132EFE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7143CD1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640C4C6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0.09</w:t>
                  </w:r>
                </w:p>
              </w:tc>
              <w:tc>
                <w:tcPr>
                  <w:tcW w:w="2619" w:type="dxa"/>
                  <w:noWrap w:val="0"/>
                  <w:vAlign w:val="center"/>
                </w:tcPr>
                <w:p w14:paraId="10613F7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529</w:t>
                  </w:r>
                </w:p>
              </w:tc>
              <w:tc>
                <w:tcPr>
                  <w:tcW w:w="1927" w:type="dxa"/>
                  <w:noWrap w:val="0"/>
                  <w:vAlign w:val="center"/>
                </w:tcPr>
                <w:p w14:paraId="73BE041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2.8</w:t>
                  </w:r>
                </w:p>
              </w:tc>
            </w:tr>
            <w:tr w14:paraId="5D6CE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4581F15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1CB642F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3FFDFEB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0.08</w:t>
                  </w:r>
                </w:p>
              </w:tc>
              <w:tc>
                <w:tcPr>
                  <w:tcW w:w="2619" w:type="dxa"/>
                  <w:noWrap w:val="0"/>
                  <w:vAlign w:val="center"/>
                </w:tcPr>
                <w:p w14:paraId="6653103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554</w:t>
                  </w:r>
                </w:p>
              </w:tc>
              <w:tc>
                <w:tcPr>
                  <w:tcW w:w="1927" w:type="dxa"/>
                  <w:noWrap w:val="0"/>
                  <w:vAlign w:val="center"/>
                </w:tcPr>
                <w:p w14:paraId="4F7D4F6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2.5</w:t>
                  </w:r>
                </w:p>
              </w:tc>
            </w:tr>
            <w:tr w14:paraId="58C08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6907B73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上风向</w:t>
                  </w:r>
                </w:p>
              </w:tc>
              <w:tc>
                <w:tcPr>
                  <w:tcW w:w="923" w:type="dxa"/>
                  <w:vMerge w:val="restart"/>
                  <w:noWrap w:val="0"/>
                  <w:vAlign w:val="center"/>
                </w:tcPr>
                <w:p w14:paraId="16C4EB7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2023.9.24</w:t>
                  </w:r>
                </w:p>
              </w:tc>
              <w:tc>
                <w:tcPr>
                  <w:tcW w:w="1937" w:type="dxa"/>
                  <w:noWrap w:val="0"/>
                  <w:vAlign w:val="center"/>
                </w:tcPr>
                <w:p w14:paraId="124DCF9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0.03</w:t>
                  </w:r>
                </w:p>
              </w:tc>
              <w:tc>
                <w:tcPr>
                  <w:tcW w:w="2619" w:type="dxa"/>
                  <w:noWrap w:val="0"/>
                  <w:vAlign w:val="center"/>
                </w:tcPr>
                <w:p w14:paraId="3F4B111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188</w:t>
                  </w:r>
                </w:p>
              </w:tc>
              <w:tc>
                <w:tcPr>
                  <w:tcW w:w="1927" w:type="dxa"/>
                  <w:noWrap w:val="0"/>
                  <w:vAlign w:val="center"/>
                </w:tcPr>
                <w:p w14:paraId="5ED9B4A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3.0</w:t>
                  </w:r>
                </w:p>
              </w:tc>
            </w:tr>
            <w:tr w14:paraId="10FF6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779A37B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1AF6A17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0CEFE32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0.04</w:t>
                  </w:r>
                </w:p>
              </w:tc>
              <w:tc>
                <w:tcPr>
                  <w:tcW w:w="2619" w:type="dxa"/>
                  <w:noWrap w:val="0"/>
                  <w:vAlign w:val="center"/>
                </w:tcPr>
                <w:p w14:paraId="5CE1B8F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194</w:t>
                  </w:r>
                </w:p>
              </w:tc>
              <w:tc>
                <w:tcPr>
                  <w:tcW w:w="1927" w:type="dxa"/>
                  <w:noWrap w:val="0"/>
                  <w:vAlign w:val="center"/>
                </w:tcPr>
                <w:p w14:paraId="0B15779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3.1</w:t>
                  </w:r>
                </w:p>
              </w:tc>
            </w:tr>
            <w:tr w14:paraId="41F81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5B00064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13F400C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20C5559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0.02</w:t>
                  </w:r>
                </w:p>
              </w:tc>
              <w:tc>
                <w:tcPr>
                  <w:tcW w:w="2619" w:type="dxa"/>
                  <w:noWrap w:val="0"/>
                  <w:vAlign w:val="center"/>
                </w:tcPr>
                <w:p w14:paraId="24C52AC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180</w:t>
                  </w:r>
                </w:p>
              </w:tc>
              <w:tc>
                <w:tcPr>
                  <w:tcW w:w="1927" w:type="dxa"/>
                  <w:noWrap w:val="0"/>
                  <w:vAlign w:val="center"/>
                </w:tcPr>
                <w:p w14:paraId="597E79A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2.9</w:t>
                  </w:r>
                </w:p>
              </w:tc>
            </w:tr>
            <w:tr w14:paraId="10145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0C6BFB5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下风向</w:t>
                  </w:r>
                  <w:r>
                    <w:rPr>
                      <w:rFonts w:hint="eastAsia" w:cs="Times New Roman"/>
                      <w:b w:val="0"/>
                      <w:bCs w:val="0"/>
                      <w:color w:val="auto"/>
                      <w:sz w:val="21"/>
                      <w:szCs w:val="21"/>
                      <w:vertAlign w:val="baseline"/>
                      <w:lang w:val="en-US" w:eastAsia="zh-CN"/>
                    </w:rPr>
                    <w:t>01</w:t>
                  </w:r>
                </w:p>
              </w:tc>
              <w:tc>
                <w:tcPr>
                  <w:tcW w:w="923" w:type="dxa"/>
                  <w:vMerge w:val="restart"/>
                  <w:noWrap w:val="0"/>
                  <w:vAlign w:val="center"/>
                </w:tcPr>
                <w:p w14:paraId="31E4E64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2023.9.24</w:t>
                  </w:r>
                </w:p>
              </w:tc>
              <w:tc>
                <w:tcPr>
                  <w:tcW w:w="1937" w:type="dxa"/>
                  <w:noWrap w:val="0"/>
                  <w:vAlign w:val="center"/>
                </w:tcPr>
                <w:p w14:paraId="30D0DD0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0.10</w:t>
                  </w:r>
                </w:p>
              </w:tc>
              <w:tc>
                <w:tcPr>
                  <w:tcW w:w="2619" w:type="dxa"/>
                  <w:noWrap w:val="0"/>
                  <w:vAlign w:val="center"/>
                </w:tcPr>
                <w:p w14:paraId="460E367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472</w:t>
                  </w:r>
                </w:p>
              </w:tc>
              <w:tc>
                <w:tcPr>
                  <w:tcW w:w="1927" w:type="dxa"/>
                  <w:noWrap w:val="0"/>
                  <w:vAlign w:val="center"/>
                </w:tcPr>
                <w:p w14:paraId="0A8BA7B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2.8</w:t>
                  </w:r>
                </w:p>
              </w:tc>
            </w:tr>
            <w:tr w14:paraId="56A94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3B2C492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1FD45EE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6CD886C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0.11</w:t>
                  </w:r>
                </w:p>
              </w:tc>
              <w:tc>
                <w:tcPr>
                  <w:tcW w:w="2619" w:type="dxa"/>
                  <w:noWrap w:val="0"/>
                  <w:vAlign w:val="center"/>
                </w:tcPr>
                <w:p w14:paraId="39C074A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464</w:t>
                  </w:r>
                </w:p>
              </w:tc>
              <w:tc>
                <w:tcPr>
                  <w:tcW w:w="1927" w:type="dxa"/>
                  <w:noWrap w:val="0"/>
                  <w:vAlign w:val="center"/>
                </w:tcPr>
                <w:p w14:paraId="7B16D1D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3.0</w:t>
                  </w:r>
                </w:p>
              </w:tc>
            </w:tr>
            <w:tr w14:paraId="0AF00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01E8DBC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5911C95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62FC6AB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0.10</w:t>
                  </w:r>
                </w:p>
              </w:tc>
              <w:tc>
                <w:tcPr>
                  <w:tcW w:w="2619" w:type="dxa"/>
                  <w:noWrap w:val="0"/>
                  <w:vAlign w:val="center"/>
                </w:tcPr>
                <w:p w14:paraId="678FE70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508</w:t>
                  </w:r>
                </w:p>
              </w:tc>
              <w:tc>
                <w:tcPr>
                  <w:tcW w:w="1927" w:type="dxa"/>
                  <w:noWrap w:val="0"/>
                  <w:vAlign w:val="center"/>
                </w:tcPr>
                <w:p w14:paraId="61B1CB7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2.9</w:t>
                  </w:r>
                </w:p>
              </w:tc>
            </w:tr>
            <w:tr w14:paraId="28E33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7E48503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下风向</w:t>
                  </w:r>
                  <w:r>
                    <w:rPr>
                      <w:rFonts w:hint="eastAsia" w:cs="Times New Roman"/>
                      <w:b w:val="0"/>
                      <w:bCs w:val="0"/>
                      <w:color w:val="auto"/>
                      <w:sz w:val="21"/>
                      <w:szCs w:val="21"/>
                      <w:vertAlign w:val="baseline"/>
                      <w:lang w:val="en-US" w:eastAsia="zh-CN"/>
                    </w:rPr>
                    <w:t>02</w:t>
                  </w:r>
                </w:p>
              </w:tc>
              <w:tc>
                <w:tcPr>
                  <w:tcW w:w="923" w:type="dxa"/>
                  <w:vMerge w:val="restart"/>
                  <w:noWrap w:val="0"/>
                  <w:vAlign w:val="center"/>
                </w:tcPr>
                <w:p w14:paraId="13B5A8C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2023.9.24</w:t>
                  </w:r>
                </w:p>
              </w:tc>
              <w:tc>
                <w:tcPr>
                  <w:tcW w:w="1937" w:type="dxa"/>
                  <w:noWrap w:val="0"/>
                  <w:vAlign w:val="center"/>
                </w:tcPr>
                <w:p w14:paraId="07F8945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0.10</w:t>
                  </w:r>
                </w:p>
              </w:tc>
              <w:tc>
                <w:tcPr>
                  <w:tcW w:w="2619" w:type="dxa"/>
                  <w:noWrap w:val="0"/>
                  <w:vAlign w:val="center"/>
                </w:tcPr>
                <w:p w14:paraId="4EB3FBB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484</w:t>
                  </w:r>
                </w:p>
              </w:tc>
              <w:tc>
                <w:tcPr>
                  <w:tcW w:w="1927" w:type="dxa"/>
                  <w:noWrap w:val="0"/>
                  <w:vAlign w:val="center"/>
                </w:tcPr>
                <w:p w14:paraId="478EA05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3.1</w:t>
                  </w:r>
                </w:p>
              </w:tc>
            </w:tr>
            <w:tr w14:paraId="0F70F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718A27E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182E8CD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0A29CFF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0.11</w:t>
                  </w:r>
                </w:p>
              </w:tc>
              <w:tc>
                <w:tcPr>
                  <w:tcW w:w="2619" w:type="dxa"/>
                  <w:noWrap w:val="0"/>
                  <w:vAlign w:val="center"/>
                </w:tcPr>
                <w:p w14:paraId="5221A87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526</w:t>
                  </w:r>
                </w:p>
              </w:tc>
              <w:tc>
                <w:tcPr>
                  <w:tcW w:w="1927" w:type="dxa"/>
                  <w:noWrap w:val="0"/>
                  <w:vAlign w:val="center"/>
                </w:tcPr>
                <w:p w14:paraId="7B94335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2.8</w:t>
                  </w:r>
                </w:p>
              </w:tc>
            </w:tr>
            <w:tr w14:paraId="35FC8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1E32F11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2704EE3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7E12C07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0.09</w:t>
                  </w:r>
                </w:p>
              </w:tc>
              <w:tc>
                <w:tcPr>
                  <w:tcW w:w="2619" w:type="dxa"/>
                  <w:noWrap w:val="0"/>
                  <w:vAlign w:val="center"/>
                </w:tcPr>
                <w:p w14:paraId="194E245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496</w:t>
                  </w:r>
                </w:p>
              </w:tc>
              <w:tc>
                <w:tcPr>
                  <w:tcW w:w="1927" w:type="dxa"/>
                  <w:noWrap w:val="0"/>
                  <w:vAlign w:val="center"/>
                </w:tcPr>
                <w:p w14:paraId="7EE360A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3.2</w:t>
                  </w:r>
                </w:p>
              </w:tc>
            </w:tr>
            <w:tr w14:paraId="05144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2D8EFBB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下风向</w:t>
                  </w:r>
                  <w:r>
                    <w:rPr>
                      <w:rFonts w:hint="eastAsia" w:cs="Times New Roman"/>
                      <w:b w:val="0"/>
                      <w:bCs w:val="0"/>
                      <w:color w:val="auto"/>
                      <w:sz w:val="21"/>
                      <w:szCs w:val="21"/>
                      <w:vertAlign w:val="baseline"/>
                      <w:lang w:val="en-US" w:eastAsia="zh-CN"/>
                    </w:rPr>
                    <w:t>03</w:t>
                  </w:r>
                </w:p>
              </w:tc>
              <w:tc>
                <w:tcPr>
                  <w:tcW w:w="923" w:type="dxa"/>
                  <w:vMerge w:val="restart"/>
                  <w:noWrap w:val="0"/>
                  <w:vAlign w:val="center"/>
                </w:tcPr>
                <w:p w14:paraId="1EE84FC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2023.9.24</w:t>
                  </w:r>
                </w:p>
              </w:tc>
              <w:tc>
                <w:tcPr>
                  <w:tcW w:w="1937" w:type="dxa"/>
                  <w:noWrap w:val="0"/>
                  <w:vAlign w:val="center"/>
                </w:tcPr>
                <w:p w14:paraId="319B919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0.08</w:t>
                  </w:r>
                </w:p>
              </w:tc>
              <w:tc>
                <w:tcPr>
                  <w:tcW w:w="2619" w:type="dxa"/>
                  <w:noWrap w:val="0"/>
                  <w:vAlign w:val="center"/>
                </w:tcPr>
                <w:p w14:paraId="46CD145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489</w:t>
                  </w:r>
                </w:p>
              </w:tc>
              <w:tc>
                <w:tcPr>
                  <w:tcW w:w="1927" w:type="dxa"/>
                  <w:noWrap w:val="0"/>
                  <w:vAlign w:val="center"/>
                </w:tcPr>
                <w:p w14:paraId="53F113B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3.1</w:t>
                  </w:r>
                </w:p>
              </w:tc>
            </w:tr>
            <w:tr w14:paraId="3D153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269095D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30D3A24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3A3E1EE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0.08</w:t>
                  </w:r>
                </w:p>
              </w:tc>
              <w:tc>
                <w:tcPr>
                  <w:tcW w:w="2619" w:type="dxa"/>
                  <w:noWrap w:val="0"/>
                  <w:vAlign w:val="center"/>
                </w:tcPr>
                <w:p w14:paraId="1780E70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510</w:t>
                  </w:r>
                </w:p>
              </w:tc>
              <w:tc>
                <w:tcPr>
                  <w:tcW w:w="1927" w:type="dxa"/>
                  <w:noWrap w:val="0"/>
                  <w:vAlign w:val="center"/>
                </w:tcPr>
                <w:p w14:paraId="014226C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3.0</w:t>
                  </w:r>
                </w:p>
              </w:tc>
            </w:tr>
            <w:tr w14:paraId="0D48D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25D8975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20C2E3A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1328743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0.07</w:t>
                  </w:r>
                </w:p>
              </w:tc>
              <w:tc>
                <w:tcPr>
                  <w:tcW w:w="2619" w:type="dxa"/>
                  <w:noWrap w:val="0"/>
                  <w:vAlign w:val="center"/>
                </w:tcPr>
                <w:p w14:paraId="2F8BD8E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523</w:t>
                  </w:r>
                </w:p>
              </w:tc>
              <w:tc>
                <w:tcPr>
                  <w:tcW w:w="1927" w:type="dxa"/>
                  <w:noWrap w:val="0"/>
                  <w:vAlign w:val="center"/>
                </w:tcPr>
                <w:p w14:paraId="0E4BE05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3.1</w:t>
                  </w:r>
                </w:p>
              </w:tc>
            </w:tr>
            <w:tr w14:paraId="5F0FD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668B146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上风向</w:t>
                  </w:r>
                </w:p>
              </w:tc>
              <w:tc>
                <w:tcPr>
                  <w:tcW w:w="923" w:type="dxa"/>
                  <w:vMerge w:val="restart"/>
                  <w:noWrap w:val="0"/>
                  <w:vAlign w:val="center"/>
                </w:tcPr>
                <w:p w14:paraId="2A8287C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2023.12.27</w:t>
                  </w:r>
                </w:p>
              </w:tc>
              <w:tc>
                <w:tcPr>
                  <w:tcW w:w="1937" w:type="dxa"/>
                  <w:noWrap w:val="0"/>
                  <w:vAlign w:val="center"/>
                </w:tcPr>
                <w:p w14:paraId="17101F8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0.04</w:t>
                  </w:r>
                </w:p>
              </w:tc>
              <w:tc>
                <w:tcPr>
                  <w:tcW w:w="2619" w:type="dxa"/>
                  <w:noWrap w:val="0"/>
                  <w:vAlign w:val="center"/>
                </w:tcPr>
                <w:p w14:paraId="047C799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190</w:t>
                  </w:r>
                </w:p>
              </w:tc>
              <w:tc>
                <w:tcPr>
                  <w:tcW w:w="1927" w:type="dxa"/>
                  <w:noWrap w:val="0"/>
                  <w:vAlign w:val="center"/>
                </w:tcPr>
                <w:p w14:paraId="1D89099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2.9</w:t>
                  </w:r>
                </w:p>
              </w:tc>
            </w:tr>
            <w:tr w14:paraId="348E3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7AB82E9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387B65B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33CBA42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0.03</w:t>
                  </w:r>
                </w:p>
              </w:tc>
              <w:tc>
                <w:tcPr>
                  <w:tcW w:w="2619" w:type="dxa"/>
                  <w:noWrap w:val="0"/>
                  <w:vAlign w:val="center"/>
                </w:tcPr>
                <w:p w14:paraId="21D4B20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200</w:t>
                  </w:r>
                </w:p>
              </w:tc>
              <w:tc>
                <w:tcPr>
                  <w:tcW w:w="1927" w:type="dxa"/>
                  <w:noWrap w:val="0"/>
                  <w:vAlign w:val="center"/>
                </w:tcPr>
                <w:p w14:paraId="67CE930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2.9</w:t>
                  </w:r>
                </w:p>
              </w:tc>
            </w:tr>
            <w:tr w14:paraId="6AF6B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2F5057C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7234991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302A49A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0.04</w:t>
                  </w:r>
                </w:p>
              </w:tc>
              <w:tc>
                <w:tcPr>
                  <w:tcW w:w="2619" w:type="dxa"/>
                  <w:noWrap w:val="0"/>
                  <w:vAlign w:val="center"/>
                </w:tcPr>
                <w:p w14:paraId="54F73C3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197</w:t>
                  </w:r>
                </w:p>
              </w:tc>
              <w:tc>
                <w:tcPr>
                  <w:tcW w:w="1927" w:type="dxa"/>
                  <w:noWrap w:val="0"/>
                  <w:vAlign w:val="center"/>
                </w:tcPr>
                <w:p w14:paraId="4E21482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3.1</w:t>
                  </w:r>
                </w:p>
              </w:tc>
            </w:tr>
            <w:tr w14:paraId="07438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79115F2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下风向</w:t>
                  </w:r>
                  <w:r>
                    <w:rPr>
                      <w:rFonts w:hint="eastAsia" w:cs="Times New Roman"/>
                      <w:b w:val="0"/>
                      <w:bCs w:val="0"/>
                      <w:color w:val="auto"/>
                      <w:sz w:val="21"/>
                      <w:szCs w:val="21"/>
                      <w:vertAlign w:val="baseline"/>
                      <w:lang w:val="en-US" w:eastAsia="zh-CN"/>
                    </w:rPr>
                    <w:t>01</w:t>
                  </w:r>
                </w:p>
              </w:tc>
              <w:tc>
                <w:tcPr>
                  <w:tcW w:w="923" w:type="dxa"/>
                  <w:vMerge w:val="restart"/>
                  <w:noWrap w:val="0"/>
                  <w:vAlign w:val="center"/>
                </w:tcPr>
                <w:p w14:paraId="3C5EC69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2023.12.27</w:t>
                  </w:r>
                </w:p>
              </w:tc>
              <w:tc>
                <w:tcPr>
                  <w:tcW w:w="1937" w:type="dxa"/>
                  <w:noWrap w:val="0"/>
                  <w:vAlign w:val="center"/>
                </w:tcPr>
                <w:p w14:paraId="382390B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0.09</w:t>
                  </w:r>
                </w:p>
              </w:tc>
              <w:tc>
                <w:tcPr>
                  <w:tcW w:w="2619" w:type="dxa"/>
                  <w:noWrap w:val="0"/>
                  <w:vAlign w:val="center"/>
                </w:tcPr>
                <w:p w14:paraId="62FAD9D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426</w:t>
                  </w:r>
                </w:p>
              </w:tc>
              <w:tc>
                <w:tcPr>
                  <w:tcW w:w="1927" w:type="dxa"/>
                  <w:noWrap w:val="0"/>
                  <w:vAlign w:val="center"/>
                </w:tcPr>
                <w:p w14:paraId="02B6B2E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2.9</w:t>
                  </w:r>
                </w:p>
              </w:tc>
            </w:tr>
            <w:tr w14:paraId="3FF20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2CA3C67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64864CB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0D3B23D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0.09</w:t>
                  </w:r>
                </w:p>
              </w:tc>
              <w:tc>
                <w:tcPr>
                  <w:tcW w:w="2619" w:type="dxa"/>
                  <w:noWrap w:val="0"/>
                  <w:vAlign w:val="center"/>
                </w:tcPr>
                <w:p w14:paraId="14047C1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418</w:t>
                  </w:r>
                </w:p>
              </w:tc>
              <w:tc>
                <w:tcPr>
                  <w:tcW w:w="1927" w:type="dxa"/>
                  <w:noWrap w:val="0"/>
                  <w:vAlign w:val="center"/>
                </w:tcPr>
                <w:p w14:paraId="2782FF3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3.3</w:t>
                  </w:r>
                </w:p>
              </w:tc>
            </w:tr>
            <w:tr w14:paraId="23B18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39BE835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74078B1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45300F3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0.08</w:t>
                  </w:r>
                </w:p>
              </w:tc>
              <w:tc>
                <w:tcPr>
                  <w:tcW w:w="2619" w:type="dxa"/>
                  <w:noWrap w:val="0"/>
                  <w:vAlign w:val="center"/>
                </w:tcPr>
                <w:p w14:paraId="6EB8E10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444</w:t>
                  </w:r>
                </w:p>
              </w:tc>
              <w:tc>
                <w:tcPr>
                  <w:tcW w:w="1927" w:type="dxa"/>
                  <w:noWrap w:val="0"/>
                  <w:vAlign w:val="center"/>
                </w:tcPr>
                <w:p w14:paraId="5DBEBE4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3.3</w:t>
                  </w:r>
                </w:p>
              </w:tc>
            </w:tr>
            <w:tr w14:paraId="4A869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5BCD5A3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下风向</w:t>
                  </w:r>
                  <w:r>
                    <w:rPr>
                      <w:rFonts w:hint="eastAsia" w:cs="Times New Roman"/>
                      <w:b w:val="0"/>
                      <w:bCs w:val="0"/>
                      <w:color w:val="auto"/>
                      <w:sz w:val="21"/>
                      <w:szCs w:val="21"/>
                      <w:vertAlign w:val="baseline"/>
                      <w:lang w:val="en-US" w:eastAsia="zh-CN"/>
                    </w:rPr>
                    <w:t>02</w:t>
                  </w:r>
                </w:p>
              </w:tc>
              <w:tc>
                <w:tcPr>
                  <w:tcW w:w="923" w:type="dxa"/>
                  <w:vMerge w:val="restart"/>
                  <w:noWrap w:val="0"/>
                  <w:vAlign w:val="center"/>
                </w:tcPr>
                <w:p w14:paraId="01321EC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2023.12.27</w:t>
                  </w:r>
                </w:p>
              </w:tc>
              <w:tc>
                <w:tcPr>
                  <w:tcW w:w="1937" w:type="dxa"/>
                  <w:noWrap w:val="0"/>
                  <w:vAlign w:val="center"/>
                </w:tcPr>
                <w:p w14:paraId="3A73658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0.09</w:t>
                  </w:r>
                </w:p>
              </w:tc>
              <w:tc>
                <w:tcPr>
                  <w:tcW w:w="2619" w:type="dxa"/>
                  <w:noWrap w:val="0"/>
                  <w:vAlign w:val="center"/>
                </w:tcPr>
                <w:p w14:paraId="76EDFC3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473</w:t>
                  </w:r>
                </w:p>
              </w:tc>
              <w:tc>
                <w:tcPr>
                  <w:tcW w:w="1927" w:type="dxa"/>
                  <w:noWrap w:val="0"/>
                  <w:vAlign w:val="center"/>
                </w:tcPr>
                <w:p w14:paraId="6BC5F93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3.1</w:t>
                  </w:r>
                </w:p>
              </w:tc>
            </w:tr>
            <w:tr w14:paraId="081DA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782E480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6CCEC51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3BCD834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0.10</w:t>
                  </w:r>
                </w:p>
              </w:tc>
              <w:tc>
                <w:tcPr>
                  <w:tcW w:w="2619" w:type="dxa"/>
                  <w:noWrap w:val="0"/>
                  <w:vAlign w:val="center"/>
                </w:tcPr>
                <w:p w14:paraId="7559612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508</w:t>
                  </w:r>
                </w:p>
              </w:tc>
              <w:tc>
                <w:tcPr>
                  <w:tcW w:w="1927" w:type="dxa"/>
                  <w:noWrap w:val="0"/>
                  <w:vAlign w:val="center"/>
                </w:tcPr>
                <w:p w14:paraId="5A52627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3.0</w:t>
                  </w:r>
                </w:p>
              </w:tc>
            </w:tr>
            <w:tr w14:paraId="2C2D4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486855D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5CFD3B6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41C18F5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0.09</w:t>
                  </w:r>
                </w:p>
              </w:tc>
              <w:tc>
                <w:tcPr>
                  <w:tcW w:w="2619" w:type="dxa"/>
                  <w:noWrap w:val="0"/>
                  <w:vAlign w:val="center"/>
                </w:tcPr>
                <w:p w14:paraId="10CA27E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476</w:t>
                  </w:r>
                </w:p>
              </w:tc>
              <w:tc>
                <w:tcPr>
                  <w:tcW w:w="1927" w:type="dxa"/>
                  <w:noWrap w:val="0"/>
                  <w:vAlign w:val="center"/>
                </w:tcPr>
                <w:p w14:paraId="52B9AC3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3.2</w:t>
                  </w:r>
                </w:p>
              </w:tc>
            </w:tr>
            <w:tr w14:paraId="28685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372FB7F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bidi="ar-SA"/>
                    </w:rPr>
                  </w:pPr>
                  <w:r>
                    <w:rPr>
                      <w:rFonts w:hint="eastAsia" w:eastAsia="宋体" w:cs="Times New Roman"/>
                      <w:b w:val="0"/>
                      <w:bCs w:val="0"/>
                      <w:color w:val="auto"/>
                      <w:sz w:val="21"/>
                      <w:szCs w:val="21"/>
                      <w:vertAlign w:val="baseline"/>
                      <w:lang w:val="en-US" w:eastAsia="zh-CN"/>
                    </w:rPr>
                    <w:t>下风向</w:t>
                  </w:r>
                  <w:r>
                    <w:rPr>
                      <w:rFonts w:hint="eastAsia" w:cs="Times New Roman"/>
                      <w:b w:val="0"/>
                      <w:bCs w:val="0"/>
                      <w:color w:val="auto"/>
                      <w:sz w:val="21"/>
                      <w:szCs w:val="21"/>
                      <w:vertAlign w:val="baseline"/>
                      <w:lang w:val="en-US" w:eastAsia="zh-CN"/>
                    </w:rPr>
                    <w:t>03</w:t>
                  </w:r>
                </w:p>
              </w:tc>
              <w:tc>
                <w:tcPr>
                  <w:tcW w:w="923" w:type="dxa"/>
                  <w:vMerge w:val="restart"/>
                  <w:noWrap w:val="0"/>
                  <w:vAlign w:val="center"/>
                </w:tcPr>
                <w:p w14:paraId="2F7FE9D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2023.12.27</w:t>
                  </w:r>
                </w:p>
              </w:tc>
              <w:tc>
                <w:tcPr>
                  <w:tcW w:w="1937" w:type="dxa"/>
                  <w:noWrap w:val="0"/>
                  <w:vAlign w:val="center"/>
                </w:tcPr>
                <w:p w14:paraId="32C65AF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0.08</w:t>
                  </w:r>
                </w:p>
              </w:tc>
              <w:tc>
                <w:tcPr>
                  <w:tcW w:w="2619" w:type="dxa"/>
                  <w:noWrap w:val="0"/>
                  <w:vAlign w:val="center"/>
                </w:tcPr>
                <w:p w14:paraId="2D74CD9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471</w:t>
                  </w:r>
                </w:p>
              </w:tc>
              <w:tc>
                <w:tcPr>
                  <w:tcW w:w="1927" w:type="dxa"/>
                  <w:noWrap w:val="0"/>
                  <w:vAlign w:val="center"/>
                </w:tcPr>
                <w:p w14:paraId="2919416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3.1</w:t>
                  </w:r>
                </w:p>
              </w:tc>
            </w:tr>
            <w:tr w14:paraId="0989F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4697957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21B2FC5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6FA2500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0.08</w:t>
                  </w:r>
                </w:p>
              </w:tc>
              <w:tc>
                <w:tcPr>
                  <w:tcW w:w="2619" w:type="dxa"/>
                  <w:noWrap w:val="0"/>
                  <w:vAlign w:val="center"/>
                </w:tcPr>
                <w:p w14:paraId="17925A5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490</w:t>
                  </w:r>
                </w:p>
              </w:tc>
              <w:tc>
                <w:tcPr>
                  <w:tcW w:w="1927" w:type="dxa"/>
                  <w:noWrap w:val="0"/>
                  <w:vAlign w:val="center"/>
                </w:tcPr>
                <w:p w14:paraId="7FB3946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3.3</w:t>
                  </w:r>
                </w:p>
              </w:tc>
            </w:tr>
            <w:tr w14:paraId="5F75E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6F7CEA9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0225A9D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7C5B226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0.07</w:t>
                  </w:r>
                </w:p>
              </w:tc>
              <w:tc>
                <w:tcPr>
                  <w:tcW w:w="2619" w:type="dxa"/>
                  <w:noWrap w:val="0"/>
                  <w:vAlign w:val="center"/>
                </w:tcPr>
                <w:p w14:paraId="67EE750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519</w:t>
                  </w:r>
                </w:p>
              </w:tc>
              <w:tc>
                <w:tcPr>
                  <w:tcW w:w="1927" w:type="dxa"/>
                  <w:noWrap w:val="0"/>
                  <w:vAlign w:val="center"/>
                </w:tcPr>
                <w:p w14:paraId="70787C8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3.3</w:t>
                  </w:r>
                </w:p>
              </w:tc>
            </w:tr>
          </w:tbl>
          <w:p w14:paraId="7785E29F">
            <w:pPr>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根据上表监测结果，</w:t>
            </w:r>
            <w:r>
              <w:rPr>
                <w:rFonts w:hint="eastAsia" w:cs="Times New Roman"/>
                <w:color w:val="auto"/>
                <w:sz w:val="24"/>
                <w:szCs w:val="24"/>
                <w:lang w:val="en-US" w:eastAsia="zh-CN"/>
              </w:rPr>
              <w:t>项目厂界无组织氨气满足《恶臭污染物排放标准》（GB14554-93），即氨气排放浓度</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1.5</w:t>
            </w:r>
            <w:r>
              <w:rPr>
                <w:rFonts w:hint="default" w:ascii="Times New Roman" w:hAnsi="Times New Roman" w:cs="Times New Roman"/>
                <w:color w:val="auto"/>
                <w:sz w:val="24"/>
                <w:szCs w:val="24"/>
                <w:lang w:val="en-US" w:eastAsia="zh-CN"/>
              </w:rPr>
              <w:t>mg/m</w:t>
            </w:r>
            <w:r>
              <w:rPr>
                <w:rFonts w:hint="default" w:ascii="Times New Roman" w:hAnsi="Times New Roman" w:cs="Times New Roman"/>
                <w:color w:val="auto"/>
                <w:sz w:val="24"/>
                <w:szCs w:val="24"/>
                <w:vertAlign w:val="superscript"/>
                <w:lang w:val="en-US" w:eastAsia="zh-CN"/>
              </w:rPr>
              <w:t>3</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氟化物</w:t>
            </w:r>
            <w:r>
              <w:rPr>
                <w:rFonts w:hint="eastAsia" w:cs="Times New Roman"/>
                <w:color w:val="auto"/>
                <w:sz w:val="24"/>
                <w:szCs w:val="24"/>
                <w:lang w:val="en-US" w:eastAsia="zh-CN"/>
              </w:rPr>
              <w:t>、总悬浮颗粒物</w:t>
            </w:r>
            <w:r>
              <w:rPr>
                <w:rFonts w:hint="default" w:ascii="Times New Roman" w:hAnsi="Times New Roman" w:cs="Times New Roman"/>
                <w:color w:val="auto"/>
                <w:sz w:val="24"/>
                <w:szCs w:val="24"/>
                <w:lang w:val="en-US" w:eastAsia="zh-CN"/>
              </w:rPr>
              <w:t>满足《大气污染物综合排放标准》（GB16297-1996）中限值要求，即氟化物排放浓度≤0.02mg/m</w:t>
            </w:r>
            <w:r>
              <w:rPr>
                <w:rFonts w:hint="default" w:ascii="Times New Roman" w:hAnsi="Times New Roman" w:cs="Times New Roman"/>
                <w:color w:val="auto"/>
                <w:sz w:val="24"/>
                <w:szCs w:val="24"/>
                <w:vertAlign w:val="superscript"/>
                <w:lang w:val="en-US" w:eastAsia="zh-CN"/>
              </w:rPr>
              <w:t>3</w:t>
            </w:r>
            <w:r>
              <w:rPr>
                <w:rFonts w:hint="eastAsia" w:cs="Times New Roman"/>
                <w:color w:val="auto"/>
                <w:sz w:val="24"/>
                <w:szCs w:val="24"/>
                <w:lang w:eastAsia="zh-CN"/>
              </w:rPr>
              <w:t>、</w:t>
            </w:r>
            <w:r>
              <w:rPr>
                <w:rFonts w:hint="eastAsia" w:cs="Times New Roman"/>
                <w:color w:val="auto"/>
                <w:sz w:val="24"/>
                <w:szCs w:val="24"/>
                <w:lang w:val="en-US" w:eastAsia="zh-CN"/>
              </w:rPr>
              <w:t>总悬浮颗粒物排放浓度</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1.0</w:t>
            </w:r>
            <w:r>
              <w:rPr>
                <w:rFonts w:hint="default" w:ascii="Times New Roman" w:hAnsi="Times New Roman" w:cs="Times New Roman"/>
                <w:color w:val="auto"/>
                <w:sz w:val="24"/>
                <w:szCs w:val="24"/>
                <w:lang w:val="en-US" w:eastAsia="zh-CN"/>
              </w:rPr>
              <w:t>mg/m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rPr>
              <w:t>。</w:t>
            </w:r>
          </w:p>
          <w:p w14:paraId="604453F6">
            <w:pPr>
              <w:spacing w:line="360" w:lineRule="auto"/>
              <w:ind w:firstLine="480" w:firstLineChars="200"/>
              <w:jc w:val="left"/>
              <w:rPr>
                <w:bCs/>
                <w:color w:val="auto"/>
                <w:sz w:val="24"/>
              </w:rPr>
            </w:pPr>
            <w:r>
              <w:rPr>
                <w:rFonts w:hint="eastAsia"/>
                <w:bCs/>
                <w:color w:val="auto"/>
                <w:sz w:val="24"/>
                <w:lang w:eastAsia="zh-CN"/>
              </w:rPr>
              <w:t>（</w:t>
            </w:r>
            <w:r>
              <w:rPr>
                <w:rFonts w:hint="eastAsia"/>
                <w:bCs/>
                <w:color w:val="auto"/>
                <w:sz w:val="24"/>
                <w:lang w:val="en-US" w:eastAsia="zh-CN"/>
              </w:rPr>
              <w:t>2</w:t>
            </w:r>
            <w:r>
              <w:rPr>
                <w:rFonts w:hint="eastAsia"/>
                <w:bCs/>
                <w:color w:val="auto"/>
                <w:sz w:val="24"/>
                <w:lang w:eastAsia="zh-CN"/>
              </w:rPr>
              <w:t>）</w:t>
            </w:r>
            <w:r>
              <w:rPr>
                <w:bCs/>
                <w:color w:val="auto"/>
                <w:sz w:val="24"/>
              </w:rPr>
              <w:t>废水</w:t>
            </w:r>
          </w:p>
          <w:p w14:paraId="70229551">
            <w:pPr>
              <w:spacing w:line="360" w:lineRule="auto"/>
              <w:ind w:firstLine="480" w:firstLineChars="200"/>
              <w:jc w:val="left"/>
              <w:rPr>
                <w:bCs/>
                <w:color w:val="auto"/>
                <w:sz w:val="24"/>
              </w:rPr>
            </w:pPr>
            <w:r>
              <w:rPr>
                <w:rFonts w:hint="eastAsia"/>
                <w:bCs/>
                <w:color w:val="auto"/>
                <w:sz w:val="24"/>
                <w:lang w:eastAsia="zh-CN"/>
              </w:rPr>
              <w:t>云南常青树化工有限公司</w:t>
            </w:r>
            <w:r>
              <w:rPr>
                <w:bCs/>
                <w:color w:val="auto"/>
                <w:sz w:val="24"/>
              </w:rPr>
              <w:t>实现雨污分流零排放，</w:t>
            </w:r>
            <w:r>
              <w:rPr>
                <w:rFonts w:hint="eastAsia"/>
                <w:bCs/>
                <w:color w:val="auto"/>
                <w:sz w:val="24"/>
              </w:rPr>
              <w:t>工艺废水、软化水再生废水、循环冷却废水、锅炉排污废水、脱硫设施废水通过管道收集后排入工艺循环水池中回用于生产系统，不外排</w:t>
            </w:r>
            <w:r>
              <w:rPr>
                <w:rFonts w:hint="eastAsia"/>
                <w:bCs/>
                <w:color w:val="auto"/>
                <w:sz w:val="24"/>
                <w:lang w:eastAsia="zh-CN"/>
              </w:rPr>
              <w:t>；</w:t>
            </w:r>
            <w:r>
              <w:rPr>
                <w:rFonts w:hint="eastAsia"/>
                <w:bCs/>
                <w:color w:val="auto"/>
                <w:sz w:val="24"/>
              </w:rPr>
              <w:t>生活污水通过隔油池、化粪池预处理后暂存4#清洁水、雨水收集池中，回用于生产。初期雨水收集后暂存回用于生产系统，不外排。</w:t>
            </w:r>
          </w:p>
          <w:p w14:paraId="4141EDBE">
            <w:pPr>
              <w:spacing w:line="360" w:lineRule="auto"/>
              <w:ind w:firstLine="480" w:firstLineChars="200"/>
              <w:jc w:val="left"/>
              <w:rPr>
                <w:bCs/>
                <w:color w:val="auto"/>
                <w:sz w:val="24"/>
              </w:rPr>
            </w:pPr>
            <w:r>
              <w:rPr>
                <w:rFonts w:hint="eastAsia"/>
                <w:bCs/>
                <w:color w:val="auto"/>
                <w:sz w:val="24"/>
                <w:lang w:eastAsia="zh-CN"/>
              </w:rPr>
              <w:t>（</w:t>
            </w:r>
            <w:r>
              <w:rPr>
                <w:rFonts w:hint="eastAsia"/>
                <w:bCs/>
                <w:color w:val="auto"/>
                <w:sz w:val="24"/>
                <w:lang w:val="en-US" w:eastAsia="zh-CN"/>
              </w:rPr>
              <w:t>3</w:t>
            </w:r>
            <w:r>
              <w:rPr>
                <w:rFonts w:hint="eastAsia"/>
                <w:bCs/>
                <w:color w:val="auto"/>
                <w:sz w:val="24"/>
                <w:lang w:eastAsia="zh-CN"/>
              </w:rPr>
              <w:t>）</w:t>
            </w:r>
            <w:r>
              <w:rPr>
                <w:bCs/>
                <w:color w:val="auto"/>
                <w:sz w:val="24"/>
              </w:rPr>
              <w:t>噪声</w:t>
            </w:r>
          </w:p>
          <w:p w14:paraId="2B2BE86A">
            <w:pPr>
              <w:spacing w:line="360" w:lineRule="auto"/>
              <w:ind w:firstLine="480" w:firstLineChars="200"/>
              <w:rPr>
                <w:rFonts w:hint="eastAsia" w:eastAsia="宋体"/>
                <w:bCs/>
                <w:color w:val="auto"/>
                <w:sz w:val="24"/>
                <w:lang w:eastAsia="zh-CN"/>
              </w:rPr>
            </w:pPr>
            <w:r>
              <w:rPr>
                <w:rFonts w:hint="eastAsia"/>
                <w:bCs/>
                <w:color w:val="auto"/>
                <w:sz w:val="24"/>
                <w:lang w:val="en-US" w:eastAsia="zh-CN"/>
              </w:rPr>
              <w:t>根据2023年3月16日、2023年6月27日、2023年9月24日、2023年12月27日云南云南常青树化工有限公司委托云南浩辰环保科技有限公司对厂界噪声的自行监测报告，</w:t>
            </w:r>
            <w:r>
              <w:rPr>
                <w:bCs/>
                <w:color w:val="auto"/>
                <w:sz w:val="24"/>
              </w:rPr>
              <w:t>监测结果详见表2-</w:t>
            </w:r>
            <w:r>
              <w:rPr>
                <w:rFonts w:hint="eastAsia"/>
                <w:bCs/>
                <w:color w:val="auto"/>
                <w:sz w:val="24"/>
                <w:lang w:val="en-US" w:eastAsia="zh-CN"/>
              </w:rPr>
              <w:t>29</w:t>
            </w:r>
            <w:r>
              <w:rPr>
                <w:rFonts w:hint="eastAsia"/>
                <w:bCs/>
                <w:color w:val="auto"/>
                <w:sz w:val="24"/>
                <w:lang w:eastAsia="zh-CN"/>
              </w:rPr>
              <w:t>。</w:t>
            </w:r>
          </w:p>
          <w:p w14:paraId="1727B61D">
            <w:pPr>
              <w:jc w:val="center"/>
              <w:rPr>
                <w:b/>
                <w:bCs/>
                <w:color w:val="auto"/>
                <w:sz w:val="24"/>
              </w:rPr>
            </w:pPr>
            <w:r>
              <w:rPr>
                <w:b/>
                <w:bCs/>
                <w:color w:val="auto"/>
                <w:sz w:val="24"/>
              </w:rPr>
              <w:t>表2-</w:t>
            </w:r>
            <w:r>
              <w:rPr>
                <w:rFonts w:hint="eastAsia"/>
                <w:b/>
                <w:bCs/>
                <w:color w:val="auto"/>
                <w:sz w:val="24"/>
                <w:lang w:val="en-US" w:eastAsia="zh-CN"/>
              </w:rPr>
              <w:t>29</w:t>
            </w:r>
            <w:r>
              <w:rPr>
                <w:b/>
                <w:bCs/>
                <w:color w:val="auto"/>
                <w:sz w:val="24"/>
              </w:rPr>
              <w:t xml:space="preserve">  厂界噪声监测结果一览表</w:t>
            </w:r>
          </w:p>
          <w:tbl>
            <w:tblPr>
              <w:tblStyle w:val="46"/>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642"/>
              <w:gridCol w:w="791"/>
              <w:gridCol w:w="831"/>
              <w:gridCol w:w="778"/>
              <w:gridCol w:w="709"/>
              <w:gridCol w:w="682"/>
              <w:gridCol w:w="695"/>
              <w:gridCol w:w="682"/>
              <w:gridCol w:w="682"/>
              <w:gridCol w:w="654"/>
              <w:gridCol w:w="704"/>
            </w:tblGrid>
            <w:tr w14:paraId="1D0FB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vAlign w:val="center"/>
                </w:tcPr>
                <w:p w14:paraId="7643537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检测点位置</w:t>
                  </w:r>
                </w:p>
              </w:tc>
              <w:tc>
                <w:tcPr>
                  <w:tcW w:w="1433" w:type="dxa"/>
                  <w:gridSpan w:val="2"/>
                  <w:vAlign w:val="center"/>
                </w:tcPr>
                <w:p w14:paraId="259FB14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2023.3.16</w:t>
                  </w:r>
                </w:p>
              </w:tc>
              <w:tc>
                <w:tcPr>
                  <w:tcW w:w="1609" w:type="dxa"/>
                  <w:gridSpan w:val="2"/>
                  <w:vAlign w:val="center"/>
                </w:tcPr>
                <w:p w14:paraId="42B1DF3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2023.6.27</w:t>
                  </w:r>
                </w:p>
              </w:tc>
              <w:tc>
                <w:tcPr>
                  <w:tcW w:w="1391" w:type="dxa"/>
                  <w:gridSpan w:val="2"/>
                  <w:vAlign w:val="center"/>
                </w:tcPr>
                <w:p w14:paraId="3F8694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2023.9.24</w:t>
                  </w:r>
                </w:p>
              </w:tc>
              <w:tc>
                <w:tcPr>
                  <w:tcW w:w="1377" w:type="dxa"/>
                  <w:gridSpan w:val="2"/>
                  <w:vAlign w:val="center"/>
                </w:tcPr>
                <w:p w14:paraId="05164A7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2023.12.27</w:t>
                  </w:r>
                </w:p>
              </w:tc>
              <w:tc>
                <w:tcPr>
                  <w:tcW w:w="1336" w:type="dxa"/>
                  <w:gridSpan w:val="2"/>
                  <w:vAlign w:val="center"/>
                </w:tcPr>
                <w:p w14:paraId="10E1C2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4"/>
                      <w:vertAlign w:val="baseline"/>
                      <w:lang w:eastAsia="zh-CN"/>
                    </w:rPr>
                  </w:pPr>
                  <w:r>
                    <w:rPr>
                      <w:rFonts w:hint="default" w:ascii="Times New Roman" w:hAnsi="Times New Roman" w:cs="Times New Roman"/>
                      <w:b w:val="0"/>
                      <w:bCs w:val="0"/>
                      <w:color w:val="auto"/>
                      <w:sz w:val="21"/>
                      <w:szCs w:val="21"/>
                      <w:highlight w:val="none"/>
                    </w:rPr>
                    <w:t>执行标准</w:t>
                  </w:r>
                </w:p>
              </w:tc>
              <w:tc>
                <w:tcPr>
                  <w:tcW w:w="704" w:type="dxa"/>
                  <w:vMerge w:val="restart"/>
                  <w:vAlign w:val="center"/>
                </w:tcPr>
                <w:p w14:paraId="65AEC22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结果</w:t>
                  </w:r>
                </w:p>
                <w:p w14:paraId="51A96E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4"/>
                      <w:vertAlign w:val="baseline"/>
                      <w:lang w:eastAsia="zh-CN"/>
                    </w:rPr>
                  </w:pPr>
                  <w:r>
                    <w:rPr>
                      <w:rFonts w:hint="default" w:ascii="Times New Roman" w:hAnsi="Times New Roman" w:cs="Times New Roman"/>
                      <w:b w:val="0"/>
                      <w:bCs w:val="0"/>
                      <w:color w:val="auto"/>
                      <w:sz w:val="21"/>
                      <w:szCs w:val="21"/>
                      <w:highlight w:val="none"/>
                    </w:rPr>
                    <w:t>评价</w:t>
                  </w:r>
                </w:p>
              </w:tc>
            </w:tr>
            <w:tr w14:paraId="7CDEE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vAlign w:val="center"/>
                </w:tcPr>
                <w:p w14:paraId="60F6B1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4"/>
                      <w:vertAlign w:val="baseline"/>
                      <w:lang w:eastAsia="zh-CN"/>
                    </w:rPr>
                  </w:pPr>
                </w:p>
              </w:tc>
              <w:tc>
                <w:tcPr>
                  <w:tcW w:w="642" w:type="dxa"/>
                  <w:vAlign w:val="center"/>
                </w:tcPr>
                <w:p w14:paraId="7B3A322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昼间dB(A)</w:t>
                  </w:r>
                </w:p>
              </w:tc>
              <w:tc>
                <w:tcPr>
                  <w:tcW w:w="791" w:type="dxa"/>
                  <w:vAlign w:val="center"/>
                </w:tcPr>
                <w:p w14:paraId="5C40B0D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夜间dB(A)</w:t>
                  </w:r>
                </w:p>
              </w:tc>
              <w:tc>
                <w:tcPr>
                  <w:tcW w:w="831" w:type="dxa"/>
                  <w:vAlign w:val="center"/>
                </w:tcPr>
                <w:p w14:paraId="3E9AC3A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昼间dB(A)</w:t>
                  </w:r>
                </w:p>
              </w:tc>
              <w:tc>
                <w:tcPr>
                  <w:tcW w:w="778" w:type="dxa"/>
                  <w:vAlign w:val="center"/>
                </w:tcPr>
                <w:p w14:paraId="434B418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夜间dB(A)</w:t>
                  </w:r>
                </w:p>
              </w:tc>
              <w:tc>
                <w:tcPr>
                  <w:tcW w:w="709" w:type="dxa"/>
                  <w:vAlign w:val="center"/>
                </w:tcPr>
                <w:p w14:paraId="639BDFA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昼间dB(A)</w:t>
                  </w:r>
                </w:p>
              </w:tc>
              <w:tc>
                <w:tcPr>
                  <w:tcW w:w="682" w:type="dxa"/>
                  <w:vAlign w:val="center"/>
                </w:tcPr>
                <w:p w14:paraId="23B0FFF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夜间dB(A)</w:t>
                  </w:r>
                </w:p>
              </w:tc>
              <w:tc>
                <w:tcPr>
                  <w:tcW w:w="695" w:type="dxa"/>
                  <w:vAlign w:val="center"/>
                </w:tcPr>
                <w:p w14:paraId="022007D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昼间dB(A)</w:t>
                  </w:r>
                </w:p>
              </w:tc>
              <w:tc>
                <w:tcPr>
                  <w:tcW w:w="682" w:type="dxa"/>
                  <w:vAlign w:val="center"/>
                </w:tcPr>
                <w:p w14:paraId="709D660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夜间dB(A)</w:t>
                  </w:r>
                </w:p>
              </w:tc>
              <w:tc>
                <w:tcPr>
                  <w:tcW w:w="682" w:type="dxa"/>
                  <w:vAlign w:val="center"/>
                </w:tcPr>
                <w:p w14:paraId="701ADA9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昼间dB(A)</w:t>
                  </w:r>
                </w:p>
              </w:tc>
              <w:tc>
                <w:tcPr>
                  <w:tcW w:w="654" w:type="dxa"/>
                  <w:vAlign w:val="center"/>
                </w:tcPr>
                <w:p w14:paraId="455F36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夜间dB(A)</w:t>
                  </w:r>
                </w:p>
              </w:tc>
              <w:tc>
                <w:tcPr>
                  <w:tcW w:w="704" w:type="dxa"/>
                  <w:vMerge w:val="continue"/>
                  <w:vAlign w:val="center"/>
                </w:tcPr>
                <w:p w14:paraId="5BDB17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4"/>
                      <w:vertAlign w:val="baseline"/>
                      <w:lang w:eastAsia="zh-CN"/>
                    </w:rPr>
                  </w:pPr>
                </w:p>
              </w:tc>
            </w:tr>
            <w:tr w14:paraId="6A993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Align w:val="center"/>
                </w:tcPr>
                <w:p w14:paraId="42EEDBD2">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color w:val="auto"/>
                      <w:sz w:val="21"/>
                      <w:szCs w:val="21"/>
                      <w:lang w:val="en-US" w:eastAsia="zh-CN"/>
                    </w:rPr>
                    <w:t>东厂界</w:t>
                  </w:r>
                </w:p>
              </w:tc>
              <w:tc>
                <w:tcPr>
                  <w:tcW w:w="642" w:type="dxa"/>
                  <w:vAlign w:val="center"/>
                </w:tcPr>
                <w:p w14:paraId="73812CF7">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56</w:t>
                  </w:r>
                </w:p>
              </w:tc>
              <w:tc>
                <w:tcPr>
                  <w:tcW w:w="791" w:type="dxa"/>
                  <w:vAlign w:val="center"/>
                </w:tcPr>
                <w:p w14:paraId="57D57491">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46</w:t>
                  </w:r>
                </w:p>
              </w:tc>
              <w:tc>
                <w:tcPr>
                  <w:tcW w:w="831" w:type="dxa"/>
                  <w:vAlign w:val="center"/>
                </w:tcPr>
                <w:p w14:paraId="0B0B55FE">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56</w:t>
                  </w:r>
                </w:p>
              </w:tc>
              <w:tc>
                <w:tcPr>
                  <w:tcW w:w="778" w:type="dxa"/>
                  <w:vAlign w:val="center"/>
                </w:tcPr>
                <w:p w14:paraId="51851AAC">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48</w:t>
                  </w:r>
                </w:p>
              </w:tc>
              <w:tc>
                <w:tcPr>
                  <w:tcW w:w="709" w:type="dxa"/>
                  <w:vAlign w:val="center"/>
                </w:tcPr>
                <w:p w14:paraId="051024D0">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55</w:t>
                  </w:r>
                </w:p>
              </w:tc>
              <w:tc>
                <w:tcPr>
                  <w:tcW w:w="682" w:type="dxa"/>
                  <w:vAlign w:val="center"/>
                </w:tcPr>
                <w:p w14:paraId="2EF3AC99">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45</w:t>
                  </w:r>
                </w:p>
              </w:tc>
              <w:tc>
                <w:tcPr>
                  <w:tcW w:w="695" w:type="dxa"/>
                  <w:vAlign w:val="center"/>
                </w:tcPr>
                <w:p w14:paraId="66EE43AD">
                  <w:pPr>
                    <w:snapToGrid w:val="0"/>
                    <w:spacing w:line="240" w:lineRule="auto"/>
                    <w:ind w:left="0" w:leftChars="0" w:firstLine="0" w:firstLineChars="0"/>
                    <w:jc w:val="center"/>
                    <w:rPr>
                      <w:rFonts w:hint="default"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57</w:t>
                  </w:r>
                </w:p>
              </w:tc>
              <w:tc>
                <w:tcPr>
                  <w:tcW w:w="682" w:type="dxa"/>
                  <w:vAlign w:val="center"/>
                </w:tcPr>
                <w:p w14:paraId="6C959D42">
                  <w:pPr>
                    <w:snapToGrid w:val="0"/>
                    <w:spacing w:line="240" w:lineRule="auto"/>
                    <w:ind w:left="0" w:leftChars="0" w:firstLine="0" w:firstLineChars="0"/>
                    <w:jc w:val="center"/>
                    <w:rPr>
                      <w:rFonts w:hint="default"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46</w:t>
                  </w:r>
                </w:p>
              </w:tc>
              <w:tc>
                <w:tcPr>
                  <w:tcW w:w="682" w:type="dxa"/>
                  <w:vMerge w:val="restart"/>
                  <w:vAlign w:val="center"/>
                </w:tcPr>
                <w:p w14:paraId="64F7B7D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60</w:t>
                  </w:r>
                </w:p>
              </w:tc>
              <w:tc>
                <w:tcPr>
                  <w:tcW w:w="654" w:type="dxa"/>
                  <w:vMerge w:val="restart"/>
                  <w:vAlign w:val="center"/>
                </w:tcPr>
                <w:p w14:paraId="6A254BA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50</w:t>
                  </w:r>
                </w:p>
              </w:tc>
              <w:tc>
                <w:tcPr>
                  <w:tcW w:w="704" w:type="dxa"/>
                  <w:vAlign w:val="center"/>
                </w:tcPr>
                <w:p w14:paraId="6CFDA28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达标</w:t>
                  </w:r>
                </w:p>
              </w:tc>
            </w:tr>
            <w:tr w14:paraId="67663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Align w:val="center"/>
                </w:tcPr>
                <w:p w14:paraId="759A7FFE">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color w:val="auto"/>
                      <w:sz w:val="21"/>
                      <w:szCs w:val="21"/>
                      <w:lang w:val="en-US" w:eastAsia="zh-CN"/>
                    </w:rPr>
                    <w:t>南厂界</w:t>
                  </w:r>
                </w:p>
              </w:tc>
              <w:tc>
                <w:tcPr>
                  <w:tcW w:w="642" w:type="dxa"/>
                  <w:vAlign w:val="center"/>
                </w:tcPr>
                <w:p w14:paraId="3A7FB775">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55</w:t>
                  </w:r>
                </w:p>
              </w:tc>
              <w:tc>
                <w:tcPr>
                  <w:tcW w:w="791" w:type="dxa"/>
                  <w:vAlign w:val="center"/>
                </w:tcPr>
                <w:p w14:paraId="38D1EDA6">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45</w:t>
                  </w:r>
                </w:p>
              </w:tc>
              <w:tc>
                <w:tcPr>
                  <w:tcW w:w="831" w:type="dxa"/>
                  <w:vAlign w:val="center"/>
                </w:tcPr>
                <w:p w14:paraId="5AC8F9E3">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54</w:t>
                  </w:r>
                </w:p>
              </w:tc>
              <w:tc>
                <w:tcPr>
                  <w:tcW w:w="778" w:type="dxa"/>
                  <w:vAlign w:val="center"/>
                </w:tcPr>
                <w:p w14:paraId="1C43667A">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46</w:t>
                  </w:r>
                </w:p>
              </w:tc>
              <w:tc>
                <w:tcPr>
                  <w:tcW w:w="709" w:type="dxa"/>
                  <w:vAlign w:val="center"/>
                </w:tcPr>
                <w:p w14:paraId="1FCD9EA8">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56</w:t>
                  </w:r>
                </w:p>
              </w:tc>
              <w:tc>
                <w:tcPr>
                  <w:tcW w:w="682" w:type="dxa"/>
                  <w:vAlign w:val="center"/>
                </w:tcPr>
                <w:p w14:paraId="010DAC9C">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45</w:t>
                  </w:r>
                </w:p>
              </w:tc>
              <w:tc>
                <w:tcPr>
                  <w:tcW w:w="695" w:type="dxa"/>
                  <w:vAlign w:val="center"/>
                </w:tcPr>
                <w:p w14:paraId="199FD838">
                  <w:pPr>
                    <w:snapToGrid w:val="0"/>
                    <w:spacing w:line="240" w:lineRule="auto"/>
                    <w:ind w:left="0" w:leftChars="0" w:firstLine="0" w:firstLineChars="0"/>
                    <w:jc w:val="center"/>
                    <w:rPr>
                      <w:rFonts w:hint="default"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55</w:t>
                  </w:r>
                </w:p>
              </w:tc>
              <w:tc>
                <w:tcPr>
                  <w:tcW w:w="682" w:type="dxa"/>
                  <w:vAlign w:val="center"/>
                </w:tcPr>
                <w:p w14:paraId="66F95C63">
                  <w:pPr>
                    <w:snapToGrid w:val="0"/>
                    <w:spacing w:line="240" w:lineRule="auto"/>
                    <w:ind w:left="0" w:leftChars="0" w:firstLine="0" w:firstLineChars="0"/>
                    <w:jc w:val="center"/>
                    <w:rPr>
                      <w:rFonts w:hint="default"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46</w:t>
                  </w:r>
                </w:p>
              </w:tc>
              <w:tc>
                <w:tcPr>
                  <w:tcW w:w="682" w:type="dxa"/>
                  <w:vMerge w:val="continue"/>
                  <w:vAlign w:val="center"/>
                </w:tcPr>
                <w:p w14:paraId="5D8885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4"/>
                      <w:vertAlign w:val="baseline"/>
                      <w:lang w:eastAsia="zh-CN"/>
                    </w:rPr>
                  </w:pPr>
                </w:p>
              </w:tc>
              <w:tc>
                <w:tcPr>
                  <w:tcW w:w="654" w:type="dxa"/>
                  <w:vMerge w:val="continue"/>
                  <w:vAlign w:val="center"/>
                </w:tcPr>
                <w:p w14:paraId="393E23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4"/>
                      <w:vertAlign w:val="baseline"/>
                      <w:lang w:eastAsia="zh-CN"/>
                    </w:rPr>
                  </w:pPr>
                </w:p>
              </w:tc>
              <w:tc>
                <w:tcPr>
                  <w:tcW w:w="704" w:type="dxa"/>
                  <w:vAlign w:val="center"/>
                </w:tcPr>
                <w:p w14:paraId="20BA66A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达标</w:t>
                  </w:r>
                </w:p>
              </w:tc>
            </w:tr>
            <w:tr w14:paraId="41B6C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Align w:val="center"/>
                </w:tcPr>
                <w:p w14:paraId="1F508B53">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color w:val="auto"/>
                      <w:sz w:val="21"/>
                      <w:szCs w:val="21"/>
                      <w:lang w:val="en-US" w:eastAsia="zh-CN"/>
                    </w:rPr>
                    <w:t>西厂界</w:t>
                  </w:r>
                </w:p>
              </w:tc>
              <w:tc>
                <w:tcPr>
                  <w:tcW w:w="642" w:type="dxa"/>
                  <w:vAlign w:val="center"/>
                </w:tcPr>
                <w:p w14:paraId="66744113">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55</w:t>
                  </w:r>
                </w:p>
              </w:tc>
              <w:tc>
                <w:tcPr>
                  <w:tcW w:w="791" w:type="dxa"/>
                  <w:vAlign w:val="center"/>
                </w:tcPr>
                <w:p w14:paraId="0CAB248A">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46</w:t>
                  </w:r>
                </w:p>
              </w:tc>
              <w:tc>
                <w:tcPr>
                  <w:tcW w:w="831" w:type="dxa"/>
                  <w:vAlign w:val="center"/>
                </w:tcPr>
                <w:p w14:paraId="1CA3A0C4">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55</w:t>
                  </w:r>
                </w:p>
              </w:tc>
              <w:tc>
                <w:tcPr>
                  <w:tcW w:w="778" w:type="dxa"/>
                  <w:vAlign w:val="center"/>
                </w:tcPr>
                <w:p w14:paraId="034DB445">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47</w:t>
                  </w:r>
                </w:p>
              </w:tc>
              <w:tc>
                <w:tcPr>
                  <w:tcW w:w="709" w:type="dxa"/>
                  <w:vAlign w:val="center"/>
                </w:tcPr>
                <w:p w14:paraId="1884470E">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54</w:t>
                  </w:r>
                </w:p>
              </w:tc>
              <w:tc>
                <w:tcPr>
                  <w:tcW w:w="682" w:type="dxa"/>
                  <w:vAlign w:val="center"/>
                </w:tcPr>
                <w:p w14:paraId="04E80F77">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46</w:t>
                  </w:r>
                </w:p>
              </w:tc>
              <w:tc>
                <w:tcPr>
                  <w:tcW w:w="695" w:type="dxa"/>
                  <w:vAlign w:val="center"/>
                </w:tcPr>
                <w:p w14:paraId="5227DC8D">
                  <w:pPr>
                    <w:snapToGrid w:val="0"/>
                    <w:spacing w:line="240" w:lineRule="auto"/>
                    <w:ind w:left="0" w:leftChars="0" w:firstLine="0" w:firstLineChars="0"/>
                    <w:jc w:val="center"/>
                    <w:rPr>
                      <w:rFonts w:hint="default"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56</w:t>
                  </w:r>
                </w:p>
              </w:tc>
              <w:tc>
                <w:tcPr>
                  <w:tcW w:w="682" w:type="dxa"/>
                  <w:vAlign w:val="center"/>
                </w:tcPr>
                <w:p w14:paraId="3267C4EB">
                  <w:pPr>
                    <w:snapToGrid w:val="0"/>
                    <w:spacing w:line="240" w:lineRule="auto"/>
                    <w:ind w:left="0" w:leftChars="0" w:firstLine="0" w:firstLineChars="0"/>
                    <w:jc w:val="center"/>
                    <w:rPr>
                      <w:rFonts w:hint="default"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45</w:t>
                  </w:r>
                </w:p>
              </w:tc>
              <w:tc>
                <w:tcPr>
                  <w:tcW w:w="682" w:type="dxa"/>
                  <w:vMerge w:val="continue"/>
                  <w:vAlign w:val="center"/>
                </w:tcPr>
                <w:p w14:paraId="2C20FE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4"/>
                      <w:vertAlign w:val="baseline"/>
                      <w:lang w:eastAsia="zh-CN"/>
                    </w:rPr>
                  </w:pPr>
                </w:p>
              </w:tc>
              <w:tc>
                <w:tcPr>
                  <w:tcW w:w="654" w:type="dxa"/>
                  <w:vMerge w:val="continue"/>
                  <w:vAlign w:val="center"/>
                </w:tcPr>
                <w:p w14:paraId="747ACD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4"/>
                      <w:vertAlign w:val="baseline"/>
                      <w:lang w:eastAsia="zh-CN"/>
                    </w:rPr>
                  </w:pPr>
                </w:p>
              </w:tc>
              <w:tc>
                <w:tcPr>
                  <w:tcW w:w="704" w:type="dxa"/>
                  <w:vAlign w:val="center"/>
                </w:tcPr>
                <w:p w14:paraId="3048D16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达标</w:t>
                  </w:r>
                </w:p>
              </w:tc>
            </w:tr>
            <w:tr w14:paraId="04C2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Align w:val="center"/>
                </w:tcPr>
                <w:p w14:paraId="22A8C023">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color w:val="auto"/>
                      <w:sz w:val="21"/>
                      <w:szCs w:val="21"/>
                      <w:lang w:val="en-US" w:eastAsia="zh-CN"/>
                    </w:rPr>
                    <w:t>北厂界</w:t>
                  </w:r>
                </w:p>
              </w:tc>
              <w:tc>
                <w:tcPr>
                  <w:tcW w:w="642" w:type="dxa"/>
                  <w:vAlign w:val="center"/>
                </w:tcPr>
                <w:p w14:paraId="058A0A08">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57</w:t>
                  </w:r>
                </w:p>
              </w:tc>
              <w:tc>
                <w:tcPr>
                  <w:tcW w:w="791" w:type="dxa"/>
                  <w:vAlign w:val="center"/>
                </w:tcPr>
                <w:p w14:paraId="3A3ACB03">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45</w:t>
                  </w:r>
                </w:p>
              </w:tc>
              <w:tc>
                <w:tcPr>
                  <w:tcW w:w="831" w:type="dxa"/>
                  <w:vAlign w:val="center"/>
                </w:tcPr>
                <w:p w14:paraId="411BD28D">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56</w:t>
                  </w:r>
                </w:p>
              </w:tc>
              <w:tc>
                <w:tcPr>
                  <w:tcW w:w="778" w:type="dxa"/>
                  <w:vAlign w:val="center"/>
                </w:tcPr>
                <w:p w14:paraId="793E59BC">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48</w:t>
                  </w:r>
                </w:p>
              </w:tc>
              <w:tc>
                <w:tcPr>
                  <w:tcW w:w="709" w:type="dxa"/>
                  <w:vAlign w:val="center"/>
                </w:tcPr>
                <w:p w14:paraId="10B9A29B">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56</w:t>
                  </w:r>
                </w:p>
              </w:tc>
              <w:tc>
                <w:tcPr>
                  <w:tcW w:w="682" w:type="dxa"/>
                  <w:vAlign w:val="center"/>
                </w:tcPr>
                <w:p w14:paraId="6BB8E15B">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44</w:t>
                  </w:r>
                </w:p>
              </w:tc>
              <w:tc>
                <w:tcPr>
                  <w:tcW w:w="695" w:type="dxa"/>
                  <w:vAlign w:val="center"/>
                </w:tcPr>
                <w:p w14:paraId="7D158504">
                  <w:pPr>
                    <w:snapToGrid w:val="0"/>
                    <w:spacing w:line="240" w:lineRule="auto"/>
                    <w:ind w:left="0" w:leftChars="0" w:firstLine="0" w:firstLineChars="0"/>
                    <w:jc w:val="center"/>
                    <w:rPr>
                      <w:rFonts w:hint="default"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57</w:t>
                  </w:r>
                </w:p>
              </w:tc>
              <w:tc>
                <w:tcPr>
                  <w:tcW w:w="682" w:type="dxa"/>
                  <w:vAlign w:val="center"/>
                </w:tcPr>
                <w:p w14:paraId="37D755C2">
                  <w:pPr>
                    <w:snapToGrid w:val="0"/>
                    <w:spacing w:line="240" w:lineRule="auto"/>
                    <w:ind w:left="0" w:leftChars="0" w:firstLine="0" w:firstLineChars="0"/>
                    <w:jc w:val="center"/>
                    <w:rPr>
                      <w:rFonts w:hint="default"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47</w:t>
                  </w:r>
                </w:p>
              </w:tc>
              <w:tc>
                <w:tcPr>
                  <w:tcW w:w="682" w:type="dxa"/>
                  <w:vMerge w:val="continue"/>
                  <w:vAlign w:val="center"/>
                </w:tcPr>
                <w:p w14:paraId="0FC673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4"/>
                      <w:vertAlign w:val="baseline"/>
                      <w:lang w:eastAsia="zh-CN"/>
                    </w:rPr>
                  </w:pPr>
                </w:p>
              </w:tc>
              <w:tc>
                <w:tcPr>
                  <w:tcW w:w="654" w:type="dxa"/>
                  <w:vMerge w:val="continue"/>
                  <w:vAlign w:val="center"/>
                </w:tcPr>
                <w:p w14:paraId="780376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4"/>
                      <w:vertAlign w:val="baseline"/>
                      <w:lang w:eastAsia="zh-CN"/>
                    </w:rPr>
                  </w:pPr>
                </w:p>
              </w:tc>
              <w:tc>
                <w:tcPr>
                  <w:tcW w:w="704" w:type="dxa"/>
                  <w:vAlign w:val="center"/>
                </w:tcPr>
                <w:p w14:paraId="40E8245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达标</w:t>
                  </w:r>
                </w:p>
              </w:tc>
            </w:tr>
            <w:tr w14:paraId="65269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4" w:type="dxa"/>
                  <w:gridSpan w:val="12"/>
                  <w:vAlign w:val="center"/>
                </w:tcPr>
                <w:p w14:paraId="7708850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bCs/>
                      <w:color w:val="auto"/>
                      <w:sz w:val="21"/>
                      <w:szCs w:val="21"/>
                    </w:rPr>
                  </w:pPr>
                  <w:r>
                    <w:rPr>
                      <w:bCs/>
                      <w:color w:val="auto"/>
                      <w:sz w:val="21"/>
                      <w:szCs w:val="21"/>
                    </w:rPr>
                    <w:t>执行标准：《工业企业厂界环境噪声排放标准》(GB 12348-2008)中</w:t>
                  </w:r>
                  <w:r>
                    <w:rPr>
                      <w:rFonts w:hint="eastAsia"/>
                      <w:bCs/>
                      <w:color w:val="auto"/>
                      <w:sz w:val="21"/>
                      <w:szCs w:val="21"/>
                      <w:lang w:val="en-US" w:eastAsia="zh-CN"/>
                    </w:rPr>
                    <w:t>2</w:t>
                  </w:r>
                  <w:r>
                    <w:rPr>
                      <w:bCs/>
                      <w:color w:val="auto"/>
                      <w:sz w:val="21"/>
                      <w:szCs w:val="21"/>
                    </w:rPr>
                    <w:t>类区标准，即：昼间≤6</w:t>
                  </w:r>
                  <w:r>
                    <w:rPr>
                      <w:rFonts w:hint="eastAsia"/>
                      <w:bCs/>
                      <w:color w:val="auto"/>
                      <w:sz w:val="21"/>
                      <w:szCs w:val="21"/>
                      <w:lang w:val="en-US" w:eastAsia="zh-CN"/>
                    </w:rPr>
                    <w:t>0</w:t>
                  </w:r>
                  <w:r>
                    <w:rPr>
                      <w:bCs/>
                      <w:color w:val="auto"/>
                      <w:sz w:val="21"/>
                      <w:szCs w:val="21"/>
                    </w:rPr>
                    <w:t>dB(A)，夜间≤5</w:t>
                  </w:r>
                  <w:r>
                    <w:rPr>
                      <w:rFonts w:hint="eastAsia"/>
                      <w:bCs/>
                      <w:color w:val="auto"/>
                      <w:sz w:val="21"/>
                      <w:szCs w:val="21"/>
                      <w:lang w:val="en-US" w:eastAsia="zh-CN"/>
                    </w:rPr>
                    <w:t>0</w:t>
                  </w:r>
                  <w:r>
                    <w:rPr>
                      <w:bCs/>
                      <w:color w:val="auto"/>
                      <w:sz w:val="21"/>
                      <w:szCs w:val="21"/>
                    </w:rPr>
                    <w:t>dB(A)。</w:t>
                  </w:r>
                </w:p>
              </w:tc>
            </w:tr>
          </w:tbl>
          <w:p w14:paraId="123D34D2">
            <w:pPr>
              <w:autoSpaceDE w:val="0"/>
              <w:autoSpaceDN w:val="0"/>
              <w:adjustRightInd w:val="0"/>
              <w:spacing w:before="120" w:beforeLines="50" w:line="360" w:lineRule="auto"/>
              <w:ind w:firstLine="480" w:firstLineChars="200"/>
              <w:rPr>
                <w:color w:val="auto"/>
                <w:sz w:val="24"/>
              </w:rPr>
            </w:pPr>
            <w:r>
              <w:rPr>
                <w:color w:val="auto"/>
                <w:sz w:val="24"/>
              </w:rPr>
              <w:t>根据</w:t>
            </w:r>
            <w:r>
              <w:rPr>
                <w:rFonts w:hint="eastAsia"/>
                <w:color w:val="auto"/>
                <w:sz w:val="24"/>
                <w:lang w:eastAsia="zh-CN"/>
              </w:rPr>
              <w:t>云南常青树化工有限公司</w:t>
            </w:r>
            <w:r>
              <w:rPr>
                <w:color w:val="auto"/>
                <w:sz w:val="24"/>
              </w:rPr>
              <w:t>厂界噪声监测结果可知，</w:t>
            </w:r>
            <w:r>
              <w:rPr>
                <w:rFonts w:hint="eastAsia"/>
                <w:color w:val="auto"/>
                <w:sz w:val="24"/>
                <w:lang w:eastAsia="zh-CN"/>
              </w:rPr>
              <w:t>云南常青树化工有限公司</w:t>
            </w:r>
            <w:r>
              <w:rPr>
                <w:color w:val="auto"/>
                <w:sz w:val="24"/>
              </w:rPr>
              <w:t>厂界噪声达到</w:t>
            </w:r>
            <w:r>
              <w:rPr>
                <w:bCs/>
                <w:color w:val="auto"/>
                <w:sz w:val="24"/>
              </w:rPr>
              <w:t>《工业企业厂界环境噪声排放标准》(GB 12348-2008)中</w:t>
            </w:r>
            <w:r>
              <w:rPr>
                <w:rFonts w:hint="eastAsia"/>
                <w:bCs/>
                <w:color w:val="auto"/>
                <w:sz w:val="24"/>
                <w:lang w:val="en-US" w:eastAsia="zh-CN"/>
              </w:rPr>
              <w:t>2</w:t>
            </w:r>
            <w:r>
              <w:rPr>
                <w:bCs/>
                <w:color w:val="auto"/>
                <w:sz w:val="24"/>
              </w:rPr>
              <w:t>类区标准</w:t>
            </w:r>
            <w:r>
              <w:rPr>
                <w:color w:val="auto"/>
                <w:sz w:val="24"/>
              </w:rPr>
              <w:t>。</w:t>
            </w:r>
          </w:p>
          <w:p w14:paraId="3265C67B">
            <w:pPr>
              <w:spacing w:line="360" w:lineRule="auto"/>
              <w:ind w:firstLine="480" w:firstLineChars="200"/>
              <w:jc w:val="left"/>
              <w:rPr>
                <w:bCs/>
                <w:color w:val="auto"/>
                <w:sz w:val="24"/>
              </w:rPr>
            </w:pPr>
            <w:r>
              <w:rPr>
                <w:rFonts w:hint="eastAsia"/>
                <w:bCs/>
                <w:color w:val="auto"/>
                <w:sz w:val="24"/>
                <w:lang w:eastAsia="zh-CN"/>
              </w:rPr>
              <w:t>（</w:t>
            </w:r>
            <w:r>
              <w:rPr>
                <w:rFonts w:hint="eastAsia"/>
                <w:bCs/>
                <w:color w:val="auto"/>
                <w:sz w:val="24"/>
                <w:lang w:val="en-US" w:eastAsia="zh-CN"/>
              </w:rPr>
              <w:t>4</w:t>
            </w:r>
            <w:r>
              <w:rPr>
                <w:rFonts w:hint="eastAsia"/>
                <w:bCs/>
                <w:color w:val="auto"/>
                <w:sz w:val="24"/>
                <w:lang w:eastAsia="zh-CN"/>
              </w:rPr>
              <w:t>）</w:t>
            </w:r>
            <w:r>
              <w:rPr>
                <w:bCs/>
                <w:color w:val="auto"/>
                <w:sz w:val="24"/>
              </w:rPr>
              <w:t>固废</w:t>
            </w:r>
          </w:p>
          <w:p w14:paraId="25CB4521">
            <w:pPr>
              <w:spacing w:line="360" w:lineRule="auto"/>
              <w:ind w:firstLine="480" w:firstLineChars="200"/>
              <w:jc w:val="left"/>
              <w:rPr>
                <w:rFonts w:hint="default" w:eastAsia="宋体"/>
                <w:color w:val="auto"/>
                <w:sz w:val="24"/>
                <w:lang w:val="en-US" w:eastAsia="zh-CN"/>
              </w:rPr>
            </w:pPr>
            <w:r>
              <w:rPr>
                <w:rFonts w:hint="eastAsia"/>
                <w:color w:val="auto"/>
                <w:sz w:val="24"/>
                <w:lang w:eastAsia="zh-CN"/>
              </w:rPr>
              <w:t>云南常青树化工有限公司</w:t>
            </w:r>
            <w:r>
              <w:rPr>
                <w:color w:val="auto"/>
                <w:sz w:val="24"/>
              </w:rPr>
              <w:t>运营期产生的固体废物主要包括磷石膏、</w:t>
            </w:r>
            <w:r>
              <w:rPr>
                <w:rFonts w:hint="eastAsia"/>
                <w:color w:val="auto"/>
                <w:sz w:val="24"/>
                <w:lang w:val="en-US" w:eastAsia="zh-CN"/>
              </w:rPr>
              <w:t>煤渣、</w:t>
            </w:r>
            <w:r>
              <w:rPr>
                <w:color w:val="auto"/>
                <w:sz w:val="24"/>
              </w:rPr>
              <w:t>生活垃圾等，</w:t>
            </w:r>
            <w:r>
              <w:rPr>
                <w:rFonts w:hint="eastAsia"/>
                <w:color w:val="auto"/>
                <w:sz w:val="24"/>
                <w:lang w:val="en-US" w:eastAsia="zh-CN"/>
              </w:rPr>
              <w:t>项目内设置有库容为365万m</w:t>
            </w:r>
            <w:r>
              <w:rPr>
                <w:rFonts w:hint="eastAsia"/>
                <w:color w:val="auto"/>
                <w:sz w:val="24"/>
                <w:vertAlign w:val="superscript"/>
                <w:lang w:val="en-US" w:eastAsia="zh-CN"/>
              </w:rPr>
              <w:t>3</w:t>
            </w:r>
            <w:r>
              <w:rPr>
                <w:rFonts w:hint="eastAsia"/>
                <w:color w:val="auto"/>
                <w:sz w:val="24"/>
                <w:lang w:val="en-US" w:eastAsia="zh-CN"/>
              </w:rPr>
              <w:t>的磷石膏渣场，堆放项目内的磷石膏；设置了封闭的煤棚放置煤渣；生活垃圾设置了1间带雨棚半封闭的生活垃圾堆存区，后交由环卫部门处置；危险废物暂存于危废暂存间内，后交由云南协快再生资源回收有限公司处置。</w:t>
            </w:r>
            <w:r>
              <w:rPr>
                <w:color w:val="auto"/>
                <w:sz w:val="24"/>
              </w:rPr>
              <w:t>项目实现了</w:t>
            </w:r>
            <w:r>
              <w:rPr>
                <w:bCs/>
                <w:color w:val="auto"/>
                <w:sz w:val="24"/>
              </w:rPr>
              <w:t>固废100%合理处置</w:t>
            </w:r>
            <w:r>
              <w:rPr>
                <w:color w:val="auto"/>
                <w:sz w:val="24"/>
              </w:rPr>
              <w:t>，对周边环境影响较小</w:t>
            </w:r>
            <w:r>
              <w:rPr>
                <w:bCs/>
                <w:color w:val="auto"/>
                <w:sz w:val="24"/>
              </w:rPr>
              <w:t>。</w:t>
            </w:r>
          </w:p>
          <w:p w14:paraId="56A3DED1">
            <w:pPr>
              <w:spacing w:line="360" w:lineRule="auto"/>
              <w:ind w:firstLine="480" w:firstLineChars="200"/>
              <w:jc w:val="left"/>
              <w:rPr>
                <w:rFonts w:hint="default" w:eastAsia="宋体"/>
                <w:bCs/>
                <w:color w:val="auto"/>
                <w:sz w:val="24"/>
                <w:lang w:val="en-US" w:eastAsia="zh-CN"/>
              </w:rPr>
            </w:pPr>
            <w:r>
              <w:rPr>
                <w:rFonts w:hint="eastAsia"/>
                <w:bCs/>
                <w:color w:val="auto"/>
                <w:sz w:val="24"/>
                <w:lang w:eastAsia="zh-CN"/>
              </w:rPr>
              <w:t>（</w:t>
            </w:r>
            <w:r>
              <w:rPr>
                <w:rFonts w:hint="eastAsia"/>
                <w:bCs/>
                <w:color w:val="auto"/>
                <w:sz w:val="24"/>
                <w:lang w:val="en-US" w:eastAsia="zh-CN"/>
              </w:rPr>
              <w:t>5</w:t>
            </w:r>
            <w:r>
              <w:rPr>
                <w:rFonts w:hint="eastAsia"/>
                <w:bCs/>
                <w:color w:val="auto"/>
                <w:sz w:val="24"/>
                <w:lang w:eastAsia="zh-CN"/>
              </w:rPr>
              <w:t>）</w:t>
            </w:r>
            <w:r>
              <w:rPr>
                <w:rFonts w:hint="eastAsia"/>
                <w:bCs/>
                <w:color w:val="auto"/>
                <w:sz w:val="24"/>
                <w:lang w:val="en-US" w:eastAsia="zh-CN"/>
              </w:rPr>
              <w:t>地下水</w:t>
            </w:r>
          </w:p>
          <w:p w14:paraId="1192FD92">
            <w:pPr>
              <w:spacing w:line="360" w:lineRule="auto"/>
              <w:ind w:firstLine="480" w:firstLineChars="200"/>
              <w:jc w:val="left"/>
              <w:rPr>
                <w:rFonts w:hint="default"/>
                <w:bCs/>
                <w:color w:val="auto"/>
                <w:sz w:val="24"/>
                <w:lang w:val="en-US"/>
              </w:rPr>
            </w:pPr>
            <w:r>
              <w:rPr>
                <w:rFonts w:hint="eastAsia"/>
                <w:bCs/>
                <w:color w:val="auto"/>
                <w:sz w:val="24"/>
                <w:lang w:eastAsia="zh-CN"/>
              </w:rPr>
              <w:t>云南常青树化工有限公司</w:t>
            </w:r>
            <w:r>
              <w:rPr>
                <w:rFonts w:hint="eastAsia"/>
                <w:bCs/>
                <w:color w:val="auto"/>
                <w:sz w:val="24"/>
                <w:lang w:val="en-US" w:eastAsia="zh-CN"/>
              </w:rPr>
              <w:t>共设有3个地下水监测井，分别位于厂区西侧、东侧和厂内。</w:t>
            </w:r>
            <w:r>
              <w:rPr>
                <w:rFonts w:hint="eastAsia"/>
                <w:bCs/>
                <w:color w:val="auto"/>
                <w:sz w:val="24"/>
                <w:lang w:eastAsia="zh-CN"/>
              </w:rPr>
              <w:t>云南常青树化工有限公司</w:t>
            </w:r>
            <w:r>
              <w:rPr>
                <w:rFonts w:hint="default" w:ascii="Times New Roman" w:hAnsi="Times New Roman" w:eastAsia="宋体" w:cs="Times New Roman"/>
                <w:color w:val="auto"/>
                <w:sz w:val="24"/>
                <w:lang w:val="en-US" w:eastAsia="zh-CN"/>
              </w:rPr>
              <w:t>委托</w:t>
            </w:r>
            <w:r>
              <w:rPr>
                <w:rFonts w:hint="eastAsia"/>
                <w:bCs/>
                <w:color w:val="auto"/>
                <w:sz w:val="24"/>
                <w:lang w:val="en-US" w:eastAsia="zh-CN"/>
              </w:rPr>
              <w:t>云南浩辰环保科技有限公司</w:t>
            </w:r>
            <w:r>
              <w:rPr>
                <w:rFonts w:hint="default" w:ascii="Times New Roman" w:hAnsi="Times New Roman" w:eastAsia="宋体" w:cs="Times New Roman"/>
                <w:color w:val="auto"/>
                <w:sz w:val="24"/>
                <w:lang w:val="en-US" w:eastAsia="zh-CN"/>
              </w:rPr>
              <w:t>于</w:t>
            </w:r>
            <w:r>
              <w:rPr>
                <w:rFonts w:hint="eastAsia"/>
                <w:bCs/>
                <w:color w:val="auto"/>
                <w:sz w:val="24"/>
                <w:lang w:val="en-US" w:eastAsia="zh-CN"/>
              </w:rPr>
              <w:t>2023年3月16日、2023年6月27日、2023年9月24日、2023年12月27日分别</w:t>
            </w:r>
            <w:r>
              <w:rPr>
                <w:rFonts w:hint="default" w:ascii="Times New Roman" w:hAnsi="Times New Roman" w:eastAsia="宋体" w:cs="Times New Roman"/>
                <w:color w:val="auto"/>
                <w:sz w:val="24"/>
                <w:lang w:val="en-US" w:eastAsia="zh-CN"/>
              </w:rPr>
              <w:t>对</w:t>
            </w:r>
            <w:r>
              <w:rPr>
                <w:rFonts w:hint="eastAsia" w:ascii="Times New Roman" w:hAnsi="Times New Roman" w:eastAsia="宋体" w:cs="Times New Roman"/>
                <w:color w:val="auto"/>
                <w:sz w:val="24"/>
                <w:szCs w:val="24"/>
                <w:lang w:val="en-US" w:eastAsia="zh-CN"/>
              </w:rPr>
              <w:t>1#上游监测井（位于厂区上游东侧263m）、2#下游监测井（位于厂区下游西侧约51m）、3#渣场监测井（位于项目内，渣场东侧约180m）</w:t>
            </w:r>
            <w:r>
              <w:rPr>
                <w:rFonts w:hint="eastAsia" w:ascii="Times New Roman" w:hAnsi="Times New Roman" w:eastAsia="宋体" w:cs="Times New Roman"/>
                <w:color w:val="auto"/>
                <w:sz w:val="24"/>
                <w:lang w:val="en-US" w:eastAsia="zh-CN"/>
              </w:rPr>
              <w:t>进行了监测</w:t>
            </w:r>
            <w:r>
              <w:rPr>
                <w:rFonts w:hint="default" w:ascii="Times New Roman" w:hAnsi="Times New Roman" w:eastAsia="宋体" w:cs="Times New Roman"/>
                <w:color w:val="auto"/>
                <w:sz w:val="24"/>
                <w:lang w:val="en-US" w:eastAsia="zh-CN"/>
              </w:rPr>
              <w:t>。监测点的监测结果见表</w:t>
            </w:r>
            <w:r>
              <w:rPr>
                <w:rFonts w:hint="eastAsia" w:ascii="Times New Roman" w:hAnsi="Times New Roman" w:eastAsia="宋体" w:cs="Times New Roman"/>
                <w:color w:val="auto"/>
                <w:sz w:val="24"/>
                <w:lang w:val="en-US" w:eastAsia="zh-CN"/>
              </w:rPr>
              <w:t>2-</w:t>
            </w:r>
            <w:r>
              <w:rPr>
                <w:rFonts w:hint="eastAsia" w:cs="Times New Roman"/>
                <w:color w:val="auto"/>
                <w:sz w:val="24"/>
                <w:lang w:val="en-US" w:eastAsia="zh-CN"/>
              </w:rPr>
              <w:t>30。</w:t>
            </w:r>
          </w:p>
          <w:p w14:paraId="7E3F2E42">
            <w:pPr>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2-</w:t>
            </w:r>
            <w:r>
              <w:rPr>
                <w:rFonts w:hint="eastAsia" w:cs="Times New Roman"/>
                <w:b/>
                <w:bCs/>
                <w:color w:val="auto"/>
                <w:sz w:val="24"/>
                <w:lang w:val="en-US" w:eastAsia="zh-CN"/>
              </w:rPr>
              <w:t>30</w:t>
            </w:r>
            <w:r>
              <w:rPr>
                <w:rFonts w:hint="default" w:ascii="Times New Roman" w:hAnsi="Times New Roman" w:eastAsia="宋体" w:cs="Times New Roman"/>
                <w:b/>
                <w:bCs/>
                <w:color w:val="auto"/>
                <w:sz w:val="24"/>
              </w:rPr>
              <w:t xml:space="preserve">  </w:t>
            </w:r>
            <w:r>
              <w:rPr>
                <w:rFonts w:hint="eastAsia" w:ascii="Times New Roman" w:hAnsi="Times New Roman" w:eastAsia="宋体" w:cs="Times New Roman"/>
                <w:b/>
                <w:bCs/>
                <w:color w:val="auto"/>
                <w:sz w:val="24"/>
                <w:lang w:val="en-US" w:eastAsia="zh-CN"/>
              </w:rPr>
              <w:t>202</w:t>
            </w:r>
            <w:r>
              <w:rPr>
                <w:rFonts w:hint="eastAsia" w:cs="Times New Roman"/>
                <w:b/>
                <w:bCs/>
                <w:color w:val="auto"/>
                <w:sz w:val="24"/>
                <w:lang w:val="en-US" w:eastAsia="zh-CN"/>
              </w:rPr>
              <w:t>3</w:t>
            </w:r>
            <w:r>
              <w:rPr>
                <w:rFonts w:hint="eastAsia" w:ascii="Times New Roman" w:hAnsi="Times New Roman" w:eastAsia="宋体" w:cs="Times New Roman"/>
                <w:b/>
                <w:bCs/>
                <w:color w:val="auto"/>
                <w:sz w:val="24"/>
                <w:lang w:val="en-US" w:eastAsia="zh-CN"/>
              </w:rPr>
              <w:t>年自行监测</w:t>
            </w:r>
            <w:r>
              <w:rPr>
                <w:rFonts w:hint="default" w:ascii="Times New Roman" w:hAnsi="Times New Roman" w:eastAsia="宋体" w:cs="Times New Roman"/>
                <w:b/>
                <w:bCs/>
                <w:color w:val="auto"/>
                <w:sz w:val="24"/>
                <w:lang w:val="en-US" w:eastAsia="zh-CN"/>
              </w:rPr>
              <w:t>地下水</w:t>
            </w:r>
            <w:r>
              <w:rPr>
                <w:rFonts w:hint="default" w:ascii="Times New Roman" w:hAnsi="Times New Roman" w:eastAsia="宋体" w:cs="Times New Roman"/>
                <w:b/>
                <w:bCs/>
                <w:color w:val="auto"/>
                <w:sz w:val="24"/>
              </w:rPr>
              <w:t>水质</w:t>
            </w:r>
            <w:r>
              <w:rPr>
                <w:rFonts w:hint="default" w:ascii="Times New Roman" w:hAnsi="Times New Roman" w:eastAsia="宋体" w:cs="Times New Roman"/>
                <w:b/>
                <w:bCs/>
                <w:color w:val="auto"/>
                <w:sz w:val="24"/>
                <w:lang w:val="en-US" w:eastAsia="zh-CN"/>
              </w:rPr>
              <w:t>监测</w:t>
            </w:r>
            <w:r>
              <w:rPr>
                <w:rFonts w:hint="default" w:ascii="Times New Roman" w:hAnsi="Times New Roman" w:eastAsia="宋体" w:cs="Times New Roman"/>
                <w:b/>
                <w:bCs/>
                <w:color w:val="auto"/>
                <w:sz w:val="24"/>
              </w:rPr>
              <w:t>表</w:t>
            </w:r>
            <w:r>
              <w:rPr>
                <w:rFonts w:hint="default" w:ascii="Times New Roman" w:hAnsi="Times New Roman" w:eastAsia="宋体" w:cs="Times New Roman"/>
                <w:b/>
                <w:bCs/>
                <w:color w:val="auto"/>
                <w:sz w:val="24"/>
                <w:lang w:val="en-US" w:eastAsia="zh-CN"/>
              </w:rPr>
              <w:t xml:space="preserve">  mg/L</w:t>
            </w:r>
          </w:p>
          <w:tbl>
            <w:tblPr>
              <w:tblStyle w:val="45"/>
              <w:tblW w:w="50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90"/>
              <w:gridCol w:w="864"/>
              <w:gridCol w:w="1074"/>
              <w:gridCol w:w="906"/>
              <w:gridCol w:w="1158"/>
              <w:gridCol w:w="891"/>
              <w:gridCol w:w="1146"/>
              <w:gridCol w:w="960"/>
            </w:tblGrid>
            <w:tr w14:paraId="3C0B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8"/>
                  <w:vAlign w:val="center"/>
                </w:tcPr>
                <w:p w14:paraId="7D358154">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2023.3.16</w:t>
                  </w:r>
                </w:p>
              </w:tc>
            </w:tr>
            <w:tr w14:paraId="6B68C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Merge w:val="restart"/>
                  <w:vAlign w:val="center"/>
                </w:tcPr>
                <w:p w14:paraId="352AF7D8">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项目</w:t>
                  </w:r>
                </w:p>
              </w:tc>
              <w:tc>
                <w:tcPr>
                  <w:tcW w:w="514" w:type="pct"/>
                  <w:vMerge w:val="restart"/>
                  <w:vAlign w:val="center"/>
                </w:tcPr>
                <w:p w14:paraId="70486258">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III类标准值</w:t>
                  </w:r>
                </w:p>
              </w:tc>
              <w:tc>
                <w:tcPr>
                  <w:tcW w:w="1180" w:type="pct"/>
                  <w:gridSpan w:val="2"/>
                  <w:vAlign w:val="center"/>
                </w:tcPr>
                <w:p w14:paraId="7B9A6D7A">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1#</w:t>
                  </w:r>
                </w:p>
              </w:tc>
              <w:tc>
                <w:tcPr>
                  <w:tcW w:w="1221" w:type="pct"/>
                  <w:gridSpan w:val="2"/>
                  <w:vAlign w:val="center"/>
                </w:tcPr>
                <w:p w14:paraId="405CC24F">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2#</w:t>
                  </w:r>
                </w:p>
              </w:tc>
              <w:tc>
                <w:tcPr>
                  <w:tcW w:w="1255" w:type="pct"/>
                  <w:gridSpan w:val="2"/>
                  <w:vAlign w:val="center"/>
                </w:tcPr>
                <w:p w14:paraId="590BD072">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3#</w:t>
                  </w:r>
                </w:p>
              </w:tc>
            </w:tr>
            <w:tr w14:paraId="59A04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Merge w:val="continue"/>
                  <w:vAlign w:val="center"/>
                </w:tcPr>
                <w:p w14:paraId="50E0FE5F">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p>
              </w:tc>
              <w:tc>
                <w:tcPr>
                  <w:tcW w:w="514" w:type="pct"/>
                  <w:vMerge w:val="continue"/>
                  <w:vAlign w:val="center"/>
                </w:tcPr>
                <w:p w14:paraId="65249770">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p>
              </w:tc>
              <w:tc>
                <w:tcPr>
                  <w:tcW w:w="640" w:type="pct"/>
                  <w:vAlign w:val="center"/>
                </w:tcPr>
                <w:p w14:paraId="3147D30D">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监测值</w:t>
                  </w:r>
                </w:p>
              </w:tc>
              <w:tc>
                <w:tcPr>
                  <w:tcW w:w="539" w:type="pct"/>
                  <w:vAlign w:val="center"/>
                </w:tcPr>
                <w:p w14:paraId="3680DD72">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评价</w:t>
                  </w:r>
                </w:p>
              </w:tc>
              <w:tc>
                <w:tcPr>
                  <w:tcW w:w="690" w:type="pct"/>
                  <w:vAlign w:val="center"/>
                </w:tcPr>
                <w:p w14:paraId="7BACB0B9">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监测值</w:t>
                  </w:r>
                </w:p>
              </w:tc>
              <w:tc>
                <w:tcPr>
                  <w:tcW w:w="531" w:type="pct"/>
                  <w:vAlign w:val="center"/>
                </w:tcPr>
                <w:p w14:paraId="6F1FC60C">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评价</w:t>
                  </w:r>
                </w:p>
              </w:tc>
              <w:tc>
                <w:tcPr>
                  <w:tcW w:w="683" w:type="pct"/>
                  <w:vAlign w:val="center"/>
                </w:tcPr>
                <w:p w14:paraId="7F1E441A">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监测值</w:t>
                  </w:r>
                </w:p>
              </w:tc>
              <w:tc>
                <w:tcPr>
                  <w:tcW w:w="572" w:type="pct"/>
                  <w:vAlign w:val="center"/>
                </w:tcPr>
                <w:p w14:paraId="1AF72D25">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评价</w:t>
                  </w:r>
                </w:p>
              </w:tc>
            </w:tr>
            <w:tr w14:paraId="0D62A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Align w:val="center"/>
                </w:tcPr>
                <w:p w14:paraId="21067495">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pH</w:t>
                  </w:r>
                </w:p>
              </w:tc>
              <w:tc>
                <w:tcPr>
                  <w:tcW w:w="514" w:type="pct"/>
                  <w:vAlign w:val="center"/>
                </w:tcPr>
                <w:p w14:paraId="351C283A">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6.5~8.5</w:t>
                  </w:r>
                </w:p>
              </w:tc>
              <w:tc>
                <w:tcPr>
                  <w:tcW w:w="640" w:type="pct"/>
                  <w:vAlign w:val="center"/>
                </w:tcPr>
                <w:p w14:paraId="1B95D53F">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7.49</w:t>
                  </w:r>
                </w:p>
              </w:tc>
              <w:tc>
                <w:tcPr>
                  <w:tcW w:w="539" w:type="pct"/>
                  <w:vAlign w:val="center"/>
                </w:tcPr>
                <w:p w14:paraId="17D637AE">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690" w:type="pct"/>
                  <w:vAlign w:val="center"/>
                </w:tcPr>
                <w:p w14:paraId="0446BE71">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7.41</w:t>
                  </w:r>
                </w:p>
              </w:tc>
              <w:tc>
                <w:tcPr>
                  <w:tcW w:w="531" w:type="pct"/>
                  <w:vAlign w:val="center"/>
                </w:tcPr>
                <w:p w14:paraId="073E2005">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683" w:type="pct"/>
                  <w:vAlign w:val="center"/>
                </w:tcPr>
                <w:p w14:paraId="161D19F1">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7.36</w:t>
                  </w:r>
                </w:p>
              </w:tc>
              <w:tc>
                <w:tcPr>
                  <w:tcW w:w="572" w:type="pct"/>
                  <w:vAlign w:val="center"/>
                </w:tcPr>
                <w:p w14:paraId="73221AA4">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2D8E9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Align w:val="center"/>
                </w:tcPr>
                <w:p w14:paraId="4D229590">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总磷</w:t>
                  </w:r>
                </w:p>
              </w:tc>
              <w:tc>
                <w:tcPr>
                  <w:tcW w:w="514" w:type="pct"/>
                  <w:vAlign w:val="center"/>
                </w:tcPr>
                <w:p w14:paraId="78EBB586">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40" w:type="pct"/>
                  <w:vAlign w:val="center"/>
                </w:tcPr>
                <w:p w14:paraId="60AFFC84">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0.01L</w:t>
                  </w:r>
                </w:p>
              </w:tc>
              <w:tc>
                <w:tcPr>
                  <w:tcW w:w="539" w:type="pct"/>
                  <w:vAlign w:val="center"/>
                </w:tcPr>
                <w:p w14:paraId="143E5C56">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90" w:type="pct"/>
                  <w:vAlign w:val="center"/>
                </w:tcPr>
                <w:p w14:paraId="3BEFC341">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531" w:type="pct"/>
                  <w:vAlign w:val="center"/>
                </w:tcPr>
                <w:p w14:paraId="4216F1F6">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83" w:type="pct"/>
                  <w:vAlign w:val="center"/>
                </w:tcPr>
                <w:p w14:paraId="523BA82A">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0.07</w:t>
                  </w:r>
                </w:p>
              </w:tc>
              <w:tc>
                <w:tcPr>
                  <w:tcW w:w="572" w:type="pct"/>
                  <w:vAlign w:val="center"/>
                </w:tcPr>
                <w:p w14:paraId="46D6744A">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21B17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Align w:val="center"/>
                </w:tcPr>
                <w:p w14:paraId="3C237B9E">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砷</w:t>
                  </w:r>
                </w:p>
              </w:tc>
              <w:tc>
                <w:tcPr>
                  <w:tcW w:w="514" w:type="pct"/>
                  <w:vAlign w:val="center"/>
                </w:tcPr>
                <w:p w14:paraId="35B494FA">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0.01</w:t>
                  </w:r>
                </w:p>
              </w:tc>
              <w:tc>
                <w:tcPr>
                  <w:tcW w:w="640" w:type="pct"/>
                  <w:vAlign w:val="center"/>
                </w:tcPr>
                <w:p w14:paraId="190A7B16">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0.0003L</w:t>
                  </w:r>
                </w:p>
              </w:tc>
              <w:tc>
                <w:tcPr>
                  <w:tcW w:w="539" w:type="pct"/>
                  <w:vAlign w:val="center"/>
                </w:tcPr>
                <w:p w14:paraId="2EC02C14">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690" w:type="pct"/>
                  <w:vAlign w:val="center"/>
                </w:tcPr>
                <w:p w14:paraId="1F4511C3">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0.0003L</w:t>
                  </w:r>
                </w:p>
              </w:tc>
              <w:tc>
                <w:tcPr>
                  <w:tcW w:w="531" w:type="pct"/>
                  <w:vAlign w:val="center"/>
                </w:tcPr>
                <w:p w14:paraId="2D7401A5">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683" w:type="pct"/>
                  <w:vAlign w:val="center"/>
                </w:tcPr>
                <w:p w14:paraId="34598C6C">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0.0003L</w:t>
                  </w:r>
                </w:p>
              </w:tc>
              <w:tc>
                <w:tcPr>
                  <w:tcW w:w="572" w:type="pct"/>
                  <w:vAlign w:val="center"/>
                </w:tcPr>
                <w:p w14:paraId="02095F63">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7DD0D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Align w:val="center"/>
                </w:tcPr>
                <w:p w14:paraId="58F5C622">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氟化物</w:t>
                  </w:r>
                </w:p>
              </w:tc>
              <w:tc>
                <w:tcPr>
                  <w:tcW w:w="514" w:type="pct"/>
                  <w:vAlign w:val="center"/>
                </w:tcPr>
                <w:p w14:paraId="43C0C293">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c>
                <w:tcPr>
                  <w:tcW w:w="640" w:type="pct"/>
                  <w:vAlign w:val="center"/>
                </w:tcPr>
                <w:p w14:paraId="6B7804F2">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0.05</w:t>
                  </w:r>
                </w:p>
              </w:tc>
              <w:tc>
                <w:tcPr>
                  <w:tcW w:w="539" w:type="pct"/>
                  <w:vAlign w:val="center"/>
                </w:tcPr>
                <w:p w14:paraId="447FFE2D">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690" w:type="pct"/>
                  <w:vAlign w:val="center"/>
                </w:tcPr>
                <w:p w14:paraId="7C55F459">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0.06</w:t>
                  </w:r>
                </w:p>
              </w:tc>
              <w:tc>
                <w:tcPr>
                  <w:tcW w:w="531" w:type="pct"/>
                  <w:vAlign w:val="center"/>
                </w:tcPr>
                <w:p w14:paraId="22A53FB7">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i/>
                      <w:iCs/>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683" w:type="pct"/>
                  <w:vAlign w:val="center"/>
                </w:tcPr>
                <w:p w14:paraId="13AC53C4">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0.05</w:t>
                  </w:r>
                </w:p>
              </w:tc>
              <w:tc>
                <w:tcPr>
                  <w:tcW w:w="572" w:type="pct"/>
                  <w:vAlign w:val="center"/>
                </w:tcPr>
                <w:p w14:paraId="3ACD8EC7">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71967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8"/>
                  <w:vAlign w:val="center"/>
                </w:tcPr>
                <w:p w14:paraId="6AFC3083">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bCs/>
                      <w:color w:val="auto"/>
                      <w:sz w:val="21"/>
                      <w:szCs w:val="21"/>
                      <w:highlight w:val="none"/>
                      <w:lang w:val="en-US" w:eastAsia="zh-CN"/>
                    </w:rPr>
                    <w:t>2023.6.27</w:t>
                  </w:r>
                </w:p>
              </w:tc>
            </w:tr>
            <w:tr w14:paraId="0A152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Merge w:val="restart"/>
                  <w:vAlign w:val="center"/>
                </w:tcPr>
                <w:p w14:paraId="4D1DBCDE">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项目</w:t>
                  </w:r>
                </w:p>
              </w:tc>
              <w:tc>
                <w:tcPr>
                  <w:tcW w:w="514" w:type="pct"/>
                  <w:vMerge w:val="restart"/>
                  <w:vAlign w:val="center"/>
                </w:tcPr>
                <w:p w14:paraId="07647B4B">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III类标准值</w:t>
                  </w:r>
                </w:p>
              </w:tc>
              <w:tc>
                <w:tcPr>
                  <w:tcW w:w="1180" w:type="pct"/>
                  <w:gridSpan w:val="2"/>
                  <w:vAlign w:val="center"/>
                </w:tcPr>
                <w:p w14:paraId="7E9794CD">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rPr>
                    <w:t>1#</w:t>
                  </w:r>
                </w:p>
              </w:tc>
              <w:tc>
                <w:tcPr>
                  <w:tcW w:w="1221" w:type="pct"/>
                  <w:gridSpan w:val="2"/>
                  <w:vAlign w:val="center"/>
                </w:tcPr>
                <w:p w14:paraId="719D04A4">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rPr>
                    <w:t>2#</w:t>
                  </w:r>
                </w:p>
              </w:tc>
              <w:tc>
                <w:tcPr>
                  <w:tcW w:w="1255" w:type="pct"/>
                  <w:gridSpan w:val="2"/>
                  <w:vAlign w:val="center"/>
                </w:tcPr>
                <w:p w14:paraId="3EBF358F">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rPr>
                    <w:t>3#</w:t>
                  </w:r>
                </w:p>
              </w:tc>
            </w:tr>
            <w:tr w14:paraId="62057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Merge w:val="continue"/>
                  <w:vAlign w:val="center"/>
                </w:tcPr>
                <w:p w14:paraId="47E2C0BB">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p>
              </w:tc>
              <w:tc>
                <w:tcPr>
                  <w:tcW w:w="514" w:type="pct"/>
                  <w:vMerge w:val="continue"/>
                  <w:vAlign w:val="center"/>
                </w:tcPr>
                <w:p w14:paraId="5791028C">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p>
              </w:tc>
              <w:tc>
                <w:tcPr>
                  <w:tcW w:w="640" w:type="pct"/>
                  <w:vAlign w:val="center"/>
                </w:tcPr>
                <w:p w14:paraId="7CD660FD">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监测值</w:t>
                  </w:r>
                </w:p>
              </w:tc>
              <w:tc>
                <w:tcPr>
                  <w:tcW w:w="539" w:type="pct"/>
                  <w:vAlign w:val="center"/>
                </w:tcPr>
                <w:p w14:paraId="5A234C7C">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评价</w:t>
                  </w:r>
                </w:p>
              </w:tc>
              <w:tc>
                <w:tcPr>
                  <w:tcW w:w="690" w:type="pct"/>
                  <w:vAlign w:val="center"/>
                </w:tcPr>
                <w:p w14:paraId="417AD17C">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监测值</w:t>
                  </w:r>
                </w:p>
              </w:tc>
              <w:tc>
                <w:tcPr>
                  <w:tcW w:w="531" w:type="pct"/>
                  <w:vAlign w:val="center"/>
                </w:tcPr>
                <w:p w14:paraId="5F8AA0AB">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评价</w:t>
                  </w:r>
                </w:p>
              </w:tc>
              <w:tc>
                <w:tcPr>
                  <w:tcW w:w="683" w:type="pct"/>
                  <w:vAlign w:val="center"/>
                </w:tcPr>
                <w:p w14:paraId="215AF072">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监测值</w:t>
                  </w:r>
                </w:p>
              </w:tc>
              <w:tc>
                <w:tcPr>
                  <w:tcW w:w="572" w:type="pct"/>
                  <w:vAlign w:val="center"/>
                </w:tcPr>
                <w:p w14:paraId="2749CE2F">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评价</w:t>
                  </w:r>
                </w:p>
              </w:tc>
            </w:tr>
            <w:tr w14:paraId="297BC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Align w:val="center"/>
                </w:tcPr>
                <w:p w14:paraId="7D17D9D3">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pH</w:t>
                  </w:r>
                </w:p>
              </w:tc>
              <w:tc>
                <w:tcPr>
                  <w:tcW w:w="514" w:type="pct"/>
                  <w:vAlign w:val="center"/>
                </w:tcPr>
                <w:p w14:paraId="545A2671">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6.5~8.5</w:t>
                  </w:r>
                </w:p>
              </w:tc>
              <w:tc>
                <w:tcPr>
                  <w:tcW w:w="640" w:type="pct"/>
                  <w:vAlign w:val="center"/>
                </w:tcPr>
                <w:p w14:paraId="0481C260">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7.43</w:t>
                  </w:r>
                </w:p>
              </w:tc>
              <w:tc>
                <w:tcPr>
                  <w:tcW w:w="539" w:type="pct"/>
                  <w:vAlign w:val="center"/>
                </w:tcPr>
                <w:p w14:paraId="5A361633">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690" w:type="pct"/>
                  <w:vAlign w:val="center"/>
                </w:tcPr>
                <w:p w14:paraId="780F3374">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8.63</w:t>
                  </w:r>
                </w:p>
              </w:tc>
              <w:tc>
                <w:tcPr>
                  <w:tcW w:w="531" w:type="pct"/>
                  <w:vAlign w:val="center"/>
                </w:tcPr>
                <w:p w14:paraId="7D2E8D31">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683" w:type="pct"/>
                  <w:vAlign w:val="center"/>
                </w:tcPr>
                <w:p w14:paraId="68DB4618">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8.76</w:t>
                  </w:r>
                </w:p>
              </w:tc>
              <w:tc>
                <w:tcPr>
                  <w:tcW w:w="572" w:type="pct"/>
                  <w:vAlign w:val="center"/>
                </w:tcPr>
                <w:p w14:paraId="25DD852E">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r>
            <w:tr w14:paraId="3805A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Align w:val="center"/>
                </w:tcPr>
                <w:p w14:paraId="3EE46431">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总磷</w:t>
                  </w:r>
                </w:p>
              </w:tc>
              <w:tc>
                <w:tcPr>
                  <w:tcW w:w="514" w:type="pct"/>
                  <w:vAlign w:val="center"/>
                </w:tcPr>
                <w:p w14:paraId="7647B812">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w:t>
                  </w:r>
                </w:p>
              </w:tc>
              <w:tc>
                <w:tcPr>
                  <w:tcW w:w="640" w:type="pct"/>
                  <w:vAlign w:val="center"/>
                </w:tcPr>
                <w:p w14:paraId="0201FE4D">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0.05</w:t>
                  </w:r>
                </w:p>
              </w:tc>
              <w:tc>
                <w:tcPr>
                  <w:tcW w:w="539" w:type="pct"/>
                  <w:vAlign w:val="center"/>
                </w:tcPr>
                <w:p w14:paraId="46BA5159">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w:t>
                  </w:r>
                </w:p>
              </w:tc>
              <w:tc>
                <w:tcPr>
                  <w:tcW w:w="690" w:type="pct"/>
                  <w:vAlign w:val="center"/>
                </w:tcPr>
                <w:p w14:paraId="1DB63348">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0.05</w:t>
                  </w:r>
                </w:p>
              </w:tc>
              <w:tc>
                <w:tcPr>
                  <w:tcW w:w="531" w:type="pct"/>
                  <w:vAlign w:val="center"/>
                </w:tcPr>
                <w:p w14:paraId="7D1AD1D6">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w:t>
                  </w:r>
                </w:p>
              </w:tc>
              <w:tc>
                <w:tcPr>
                  <w:tcW w:w="683" w:type="pct"/>
                  <w:vAlign w:val="center"/>
                </w:tcPr>
                <w:p w14:paraId="55058D3F">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0.18</w:t>
                  </w:r>
                </w:p>
              </w:tc>
              <w:tc>
                <w:tcPr>
                  <w:tcW w:w="572" w:type="pct"/>
                  <w:vAlign w:val="center"/>
                </w:tcPr>
                <w:p w14:paraId="1F1421A8">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w:t>
                  </w:r>
                </w:p>
              </w:tc>
            </w:tr>
            <w:tr w14:paraId="2E66F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Align w:val="center"/>
                </w:tcPr>
                <w:p w14:paraId="0844FD9D">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砷</w:t>
                  </w:r>
                </w:p>
              </w:tc>
              <w:tc>
                <w:tcPr>
                  <w:tcW w:w="514" w:type="pct"/>
                  <w:vAlign w:val="center"/>
                </w:tcPr>
                <w:p w14:paraId="5C76DAA0">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0.01</w:t>
                  </w:r>
                </w:p>
              </w:tc>
              <w:tc>
                <w:tcPr>
                  <w:tcW w:w="640" w:type="pct"/>
                  <w:vAlign w:val="center"/>
                </w:tcPr>
                <w:p w14:paraId="4386933F">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0.0003L</w:t>
                  </w:r>
                </w:p>
              </w:tc>
              <w:tc>
                <w:tcPr>
                  <w:tcW w:w="539" w:type="pct"/>
                  <w:vAlign w:val="center"/>
                </w:tcPr>
                <w:p w14:paraId="7FBA8BE4">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690" w:type="pct"/>
                  <w:vAlign w:val="center"/>
                </w:tcPr>
                <w:p w14:paraId="26E05AD0">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0.0003L</w:t>
                  </w:r>
                </w:p>
              </w:tc>
              <w:tc>
                <w:tcPr>
                  <w:tcW w:w="531" w:type="pct"/>
                  <w:vAlign w:val="center"/>
                </w:tcPr>
                <w:p w14:paraId="0AA34CBF">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683" w:type="pct"/>
                  <w:vAlign w:val="center"/>
                </w:tcPr>
                <w:p w14:paraId="6BE55100">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0.0003L</w:t>
                  </w:r>
                </w:p>
              </w:tc>
              <w:tc>
                <w:tcPr>
                  <w:tcW w:w="572" w:type="pct"/>
                  <w:vAlign w:val="center"/>
                </w:tcPr>
                <w:p w14:paraId="56C4DA2D">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r>
            <w:tr w14:paraId="03EBD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Align w:val="center"/>
                </w:tcPr>
                <w:p w14:paraId="7269F833">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氟化物</w:t>
                  </w:r>
                </w:p>
              </w:tc>
              <w:tc>
                <w:tcPr>
                  <w:tcW w:w="514" w:type="pct"/>
                  <w:vAlign w:val="center"/>
                </w:tcPr>
                <w:p w14:paraId="24680681">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c>
                <w:tcPr>
                  <w:tcW w:w="640" w:type="pct"/>
                  <w:vAlign w:val="center"/>
                </w:tcPr>
                <w:p w14:paraId="3B874D5A">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0.07</w:t>
                  </w:r>
                </w:p>
              </w:tc>
              <w:tc>
                <w:tcPr>
                  <w:tcW w:w="539" w:type="pct"/>
                  <w:vAlign w:val="center"/>
                </w:tcPr>
                <w:p w14:paraId="5E87400B">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690" w:type="pct"/>
                  <w:vAlign w:val="center"/>
                </w:tcPr>
                <w:p w14:paraId="2B91850C">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0.09</w:t>
                  </w:r>
                </w:p>
              </w:tc>
              <w:tc>
                <w:tcPr>
                  <w:tcW w:w="531" w:type="pct"/>
                  <w:vAlign w:val="center"/>
                </w:tcPr>
                <w:p w14:paraId="0903C297">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i/>
                      <w:iCs/>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683" w:type="pct"/>
                  <w:vAlign w:val="center"/>
                </w:tcPr>
                <w:p w14:paraId="0C73AD44">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0.05L</w:t>
                  </w:r>
                </w:p>
              </w:tc>
              <w:tc>
                <w:tcPr>
                  <w:tcW w:w="572" w:type="pct"/>
                  <w:vAlign w:val="center"/>
                </w:tcPr>
                <w:p w14:paraId="309FB580">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r>
            <w:tr w14:paraId="1F0EF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8"/>
                  <w:vAlign w:val="center"/>
                </w:tcPr>
                <w:p w14:paraId="4BAEAE03">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bCs/>
                      <w:color w:val="auto"/>
                      <w:sz w:val="21"/>
                      <w:szCs w:val="21"/>
                      <w:highlight w:val="none"/>
                      <w:lang w:val="en-US" w:eastAsia="zh-CN"/>
                    </w:rPr>
                    <w:t>2023.9.24</w:t>
                  </w:r>
                </w:p>
              </w:tc>
            </w:tr>
            <w:tr w14:paraId="48013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Merge w:val="restart"/>
                  <w:vAlign w:val="center"/>
                </w:tcPr>
                <w:p w14:paraId="0C325E73">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项目</w:t>
                  </w:r>
                </w:p>
              </w:tc>
              <w:tc>
                <w:tcPr>
                  <w:tcW w:w="514" w:type="pct"/>
                  <w:vMerge w:val="restart"/>
                  <w:vAlign w:val="center"/>
                </w:tcPr>
                <w:p w14:paraId="04BD0D74">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III类标准值</w:t>
                  </w:r>
                </w:p>
              </w:tc>
              <w:tc>
                <w:tcPr>
                  <w:tcW w:w="1180" w:type="pct"/>
                  <w:gridSpan w:val="2"/>
                  <w:vAlign w:val="center"/>
                </w:tcPr>
                <w:p w14:paraId="1432357C">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rPr>
                    <w:t>1#</w:t>
                  </w:r>
                </w:p>
              </w:tc>
              <w:tc>
                <w:tcPr>
                  <w:tcW w:w="1221" w:type="pct"/>
                  <w:gridSpan w:val="2"/>
                  <w:vAlign w:val="center"/>
                </w:tcPr>
                <w:p w14:paraId="5668884F">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rPr>
                    <w:t>2#</w:t>
                  </w:r>
                </w:p>
              </w:tc>
              <w:tc>
                <w:tcPr>
                  <w:tcW w:w="1255" w:type="pct"/>
                  <w:gridSpan w:val="2"/>
                  <w:vAlign w:val="center"/>
                </w:tcPr>
                <w:p w14:paraId="713FCA40">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rPr>
                    <w:t>3#</w:t>
                  </w:r>
                </w:p>
              </w:tc>
            </w:tr>
            <w:tr w14:paraId="47E53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Merge w:val="continue"/>
                  <w:vAlign w:val="center"/>
                </w:tcPr>
                <w:p w14:paraId="335BA502">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p>
              </w:tc>
              <w:tc>
                <w:tcPr>
                  <w:tcW w:w="514" w:type="pct"/>
                  <w:vMerge w:val="continue"/>
                  <w:vAlign w:val="center"/>
                </w:tcPr>
                <w:p w14:paraId="043EA768">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p>
              </w:tc>
              <w:tc>
                <w:tcPr>
                  <w:tcW w:w="640" w:type="pct"/>
                  <w:vAlign w:val="center"/>
                </w:tcPr>
                <w:p w14:paraId="03C62CC9">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监测值</w:t>
                  </w:r>
                </w:p>
              </w:tc>
              <w:tc>
                <w:tcPr>
                  <w:tcW w:w="539" w:type="pct"/>
                  <w:vAlign w:val="center"/>
                </w:tcPr>
                <w:p w14:paraId="6F671825">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评价</w:t>
                  </w:r>
                </w:p>
              </w:tc>
              <w:tc>
                <w:tcPr>
                  <w:tcW w:w="690" w:type="pct"/>
                  <w:vAlign w:val="center"/>
                </w:tcPr>
                <w:p w14:paraId="4D6CCEAB">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监测值</w:t>
                  </w:r>
                </w:p>
              </w:tc>
              <w:tc>
                <w:tcPr>
                  <w:tcW w:w="531" w:type="pct"/>
                  <w:vAlign w:val="center"/>
                </w:tcPr>
                <w:p w14:paraId="39A819BD">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评价</w:t>
                  </w:r>
                </w:p>
              </w:tc>
              <w:tc>
                <w:tcPr>
                  <w:tcW w:w="683" w:type="pct"/>
                  <w:vAlign w:val="center"/>
                </w:tcPr>
                <w:p w14:paraId="03BDD8E8">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监测值</w:t>
                  </w:r>
                </w:p>
              </w:tc>
              <w:tc>
                <w:tcPr>
                  <w:tcW w:w="572" w:type="pct"/>
                  <w:vAlign w:val="center"/>
                </w:tcPr>
                <w:p w14:paraId="507835A2">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评价</w:t>
                  </w:r>
                </w:p>
              </w:tc>
            </w:tr>
            <w:tr w14:paraId="0549E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Align w:val="center"/>
                </w:tcPr>
                <w:p w14:paraId="7E9EEFE5">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pH</w:t>
                  </w:r>
                </w:p>
              </w:tc>
              <w:tc>
                <w:tcPr>
                  <w:tcW w:w="514" w:type="pct"/>
                  <w:vAlign w:val="center"/>
                </w:tcPr>
                <w:p w14:paraId="19D7A396">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6.5~8.5</w:t>
                  </w:r>
                </w:p>
              </w:tc>
              <w:tc>
                <w:tcPr>
                  <w:tcW w:w="640" w:type="pct"/>
                  <w:vAlign w:val="center"/>
                </w:tcPr>
                <w:p w14:paraId="34AD98CC">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7.35</w:t>
                  </w:r>
                </w:p>
              </w:tc>
              <w:tc>
                <w:tcPr>
                  <w:tcW w:w="539" w:type="pct"/>
                  <w:vAlign w:val="center"/>
                </w:tcPr>
                <w:p w14:paraId="21AAD007">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690" w:type="pct"/>
                  <w:vAlign w:val="center"/>
                </w:tcPr>
                <w:p w14:paraId="693BDD5F">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7.38</w:t>
                  </w:r>
                </w:p>
              </w:tc>
              <w:tc>
                <w:tcPr>
                  <w:tcW w:w="531" w:type="pct"/>
                  <w:vAlign w:val="center"/>
                </w:tcPr>
                <w:p w14:paraId="5A3F39EC">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683" w:type="pct"/>
                  <w:vAlign w:val="center"/>
                </w:tcPr>
                <w:p w14:paraId="1220A007">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7.39</w:t>
                  </w:r>
                </w:p>
              </w:tc>
              <w:tc>
                <w:tcPr>
                  <w:tcW w:w="572" w:type="pct"/>
                  <w:vAlign w:val="center"/>
                </w:tcPr>
                <w:p w14:paraId="207C6F6A">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r>
            <w:tr w14:paraId="2D1F0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Align w:val="center"/>
                </w:tcPr>
                <w:p w14:paraId="6EDC80FD">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总磷</w:t>
                  </w:r>
                </w:p>
              </w:tc>
              <w:tc>
                <w:tcPr>
                  <w:tcW w:w="514" w:type="pct"/>
                  <w:vAlign w:val="center"/>
                </w:tcPr>
                <w:p w14:paraId="542B3BA8">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w:t>
                  </w:r>
                </w:p>
              </w:tc>
              <w:tc>
                <w:tcPr>
                  <w:tcW w:w="640" w:type="pct"/>
                  <w:vAlign w:val="center"/>
                </w:tcPr>
                <w:p w14:paraId="074BB10F">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0.01L</w:t>
                  </w:r>
                </w:p>
              </w:tc>
              <w:tc>
                <w:tcPr>
                  <w:tcW w:w="539" w:type="pct"/>
                  <w:vAlign w:val="center"/>
                </w:tcPr>
                <w:p w14:paraId="36250256">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w:t>
                  </w:r>
                </w:p>
              </w:tc>
              <w:tc>
                <w:tcPr>
                  <w:tcW w:w="690" w:type="pct"/>
                  <w:vAlign w:val="center"/>
                </w:tcPr>
                <w:p w14:paraId="777C5ADB">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0.09</w:t>
                  </w:r>
                </w:p>
              </w:tc>
              <w:tc>
                <w:tcPr>
                  <w:tcW w:w="531" w:type="pct"/>
                  <w:vAlign w:val="center"/>
                </w:tcPr>
                <w:p w14:paraId="48012DA6">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w:t>
                  </w:r>
                </w:p>
              </w:tc>
              <w:tc>
                <w:tcPr>
                  <w:tcW w:w="683" w:type="pct"/>
                  <w:vAlign w:val="center"/>
                </w:tcPr>
                <w:p w14:paraId="601FAB88">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0.01</w:t>
                  </w:r>
                </w:p>
              </w:tc>
              <w:tc>
                <w:tcPr>
                  <w:tcW w:w="572" w:type="pct"/>
                  <w:vAlign w:val="center"/>
                </w:tcPr>
                <w:p w14:paraId="4D4B64A6">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w:t>
                  </w:r>
                </w:p>
              </w:tc>
            </w:tr>
            <w:tr w14:paraId="7EA8B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Align w:val="center"/>
                </w:tcPr>
                <w:p w14:paraId="0D1BB831">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砷</w:t>
                  </w:r>
                </w:p>
              </w:tc>
              <w:tc>
                <w:tcPr>
                  <w:tcW w:w="514" w:type="pct"/>
                  <w:vAlign w:val="center"/>
                </w:tcPr>
                <w:p w14:paraId="0FA07040">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0.01</w:t>
                  </w:r>
                </w:p>
              </w:tc>
              <w:tc>
                <w:tcPr>
                  <w:tcW w:w="640" w:type="pct"/>
                  <w:vAlign w:val="center"/>
                </w:tcPr>
                <w:p w14:paraId="63FEAF3B">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0.0003L</w:t>
                  </w:r>
                </w:p>
              </w:tc>
              <w:tc>
                <w:tcPr>
                  <w:tcW w:w="539" w:type="pct"/>
                  <w:vAlign w:val="center"/>
                </w:tcPr>
                <w:p w14:paraId="285DA6A4">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690" w:type="pct"/>
                  <w:vAlign w:val="center"/>
                </w:tcPr>
                <w:p w14:paraId="0F227767">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0.0003L</w:t>
                  </w:r>
                </w:p>
              </w:tc>
              <w:tc>
                <w:tcPr>
                  <w:tcW w:w="531" w:type="pct"/>
                  <w:vAlign w:val="center"/>
                </w:tcPr>
                <w:p w14:paraId="2799DF44">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683" w:type="pct"/>
                  <w:vAlign w:val="center"/>
                </w:tcPr>
                <w:p w14:paraId="4F65172A">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0.0003L</w:t>
                  </w:r>
                </w:p>
              </w:tc>
              <w:tc>
                <w:tcPr>
                  <w:tcW w:w="572" w:type="pct"/>
                  <w:vAlign w:val="center"/>
                </w:tcPr>
                <w:p w14:paraId="689FEF4D">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r>
            <w:tr w14:paraId="656D3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Align w:val="center"/>
                </w:tcPr>
                <w:p w14:paraId="440E24D9">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氟化物</w:t>
                  </w:r>
                </w:p>
              </w:tc>
              <w:tc>
                <w:tcPr>
                  <w:tcW w:w="514" w:type="pct"/>
                  <w:vAlign w:val="center"/>
                </w:tcPr>
                <w:p w14:paraId="4C6A7FBC">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c>
                <w:tcPr>
                  <w:tcW w:w="640" w:type="pct"/>
                  <w:vAlign w:val="center"/>
                </w:tcPr>
                <w:p w14:paraId="4ADC8599">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0.05L</w:t>
                  </w:r>
                </w:p>
              </w:tc>
              <w:tc>
                <w:tcPr>
                  <w:tcW w:w="539" w:type="pct"/>
                  <w:vAlign w:val="center"/>
                </w:tcPr>
                <w:p w14:paraId="25495634">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690" w:type="pct"/>
                  <w:vAlign w:val="center"/>
                </w:tcPr>
                <w:p w14:paraId="551AD7D8">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0.05L</w:t>
                  </w:r>
                </w:p>
              </w:tc>
              <w:tc>
                <w:tcPr>
                  <w:tcW w:w="531" w:type="pct"/>
                  <w:vAlign w:val="center"/>
                </w:tcPr>
                <w:p w14:paraId="4A37F8DB">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i/>
                      <w:iCs/>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683" w:type="pct"/>
                  <w:vAlign w:val="center"/>
                </w:tcPr>
                <w:p w14:paraId="1A455B6A">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0.05L</w:t>
                  </w:r>
                </w:p>
              </w:tc>
              <w:tc>
                <w:tcPr>
                  <w:tcW w:w="572" w:type="pct"/>
                  <w:vAlign w:val="center"/>
                </w:tcPr>
                <w:p w14:paraId="0C5642C0">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r>
            <w:tr w14:paraId="75F91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8"/>
                  <w:vAlign w:val="center"/>
                </w:tcPr>
                <w:p w14:paraId="4C26EAE0">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bCs/>
                      <w:color w:val="auto"/>
                      <w:sz w:val="21"/>
                      <w:szCs w:val="21"/>
                      <w:highlight w:val="none"/>
                      <w:lang w:val="en-US" w:eastAsia="zh-CN"/>
                    </w:rPr>
                    <w:t>2023.12.27</w:t>
                  </w:r>
                </w:p>
              </w:tc>
            </w:tr>
            <w:tr w14:paraId="34D98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Merge w:val="restart"/>
                  <w:vAlign w:val="center"/>
                </w:tcPr>
                <w:p w14:paraId="52F725E1">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项目</w:t>
                  </w:r>
                </w:p>
              </w:tc>
              <w:tc>
                <w:tcPr>
                  <w:tcW w:w="514" w:type="pct"/>
                  <w:vMerge w:val="restart"/>
                  <w:vAlign w:val="center"/>
                </w:tcPr>
                <w:p w14:paraId="282FD18A">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III类标准值</w:t>
                  </w:r>
                </w:p>
              </w:tc>
              <w:tc>
                <w:tcPr>
                  <w:tcW w:w="1180" w:type="pct"/>
                  <w:gridSpan w:val="2"/>
                  <w:vAlign w:val="center"/>
                </w:tcPr>
                <w:p w14:paraId="09BAB68B">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1#</w:t>
                  </w:r>
                </w:p>
              </w:tc>
              <w:tc>
                <w:tcPr>
                  <w:tcW w:w="1221" w:type="pct"/>
                  <w:gridSpan w:val="2"/>
                  <w:vAlign w:val="center"/>
                </w:tcPr>
                <w:p w14:paraId="53F9DC53">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2#</w:t>
                  </w:r>
                </w:p>
              </w:tc>
              <w:tc>
                <w:tcPr>
                  <w:tcW w:w="1255" w:type="pct"/>
                  <w:gridSpan w:val="2"/>
                  <w:vAlign w:val="center"/>
                </w:tcPr>
                <w:p w14:paraId="1B6999A0">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3#</w:t>
                  </w:r>
                </w:p>
              </w:tc>
            </w:tr>
            <w:tr w14:paraId="4C1AC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Merge w:val="continue"/>
                  <w:vAlign w:val="center"/>
                </w:tcPr>
                <w:p w14:paraId="68833056">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p>
              </w:tc>
              <w:tc>
                <w:tcPr>
                  <w:tcW w:w="514" w:type="pct"/>
                  <w:vMerge w:val="continue"/>
                  <w:vAlign w:val="center"/>
                </w:tcPr>
                <w:p w14:paraId="12B094C0">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p>
              </w:tc>
              <w:tc>
                <w:tcPr>
                  <w:tcW w:w="640" w:type="pct"/>
                  <w:vAlign w:val="center"/>
                </w:tcPr>
                <w:p w14:paraId="4A2D4BF4">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监测值</w:t>
                  </w:r>
                </w:p>
              </w:tc>
              <w:tc>
                <w:tcPr>
                  <w:tcW w:w="539" w:type="pct"/>
                  <w:vAlign w:val="center"/>
                </w:tcPr>
                <w:p w14:paraId="2DB515E4">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评价</w:t>
                  </w:r>
                </w:p>
              </w:tc>
              <w:tc>
                <w:tcPr>
                  <w:tcW w:w="690" w:type="pct"/>
                  <w:vAlign w:val="center"/>
                </w:tcPr>
                <w:p w14:paraId="0A99A633">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监测值</w:t>
                  </w:r>
                </w:p>
              </w:tc>
              <w:tc>
                <w:tcPr>
                  <w:tcW w:w="531" w:type="pct"/>
                  <w:vAlign w:val="center"/>
                </w:tcPr>
                <w:p w14:paraId="5E87608A">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评价</w:t>
                  </w:r>
                </w:p>
              </w:tc>
              <w:tc>
                <w:tcPr>
                  <w:tcW w:w="683" w:type="pct"/>
                  <w:vAlign w:val="center"/>
                </w:tcPr>
                <w:p w14:paraId="36B0958E">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监测值</w:t>
                  </w:r>
                </w:p>
              </w:tc>
              <w:tc>
                <w:tcPr>
                  <w:tcW w:w="572" w:type="pct"/>
                  <w:vAlign w:val="center"/>
                </w:tcPr>
                <w:p w14:paraId="1A0393E1">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评价</w:t>
                  </w:r>
                </w:p>
              </w:tc>
            </w:tr>
            <w:tr w14:paraId="162B7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Align w:val="center"/>
                </w:tcPr>
                <w:p w14:paraId="4C4E934B">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pH</w:t>
                  </w:r>
                </w:p>
              </w:tc>
              <w:tc>
                <w:tcPr>
                  <w:tcW w:w="514" w:type="pct"/>
                  <w:vAlign w:val="center"/>
                </w:tcPr>
                <w:p w14:paraId="4BA9EFA9">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6.5~8.5</w:t>
                  </w:r>
                </w:p>
              </w:tc>
              <w:tc>
                <w:tcPr>
                  <w:tcW w:w="640" w:type="pct"/>
                  <w:vAlign w:val="center"/>
                </w:tcPr>
                <w:p w14:paraId="5AD7546C">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7.54</w:t>
                  </w:r>
                </w:p>
              </w:tc>
              <w:tc>
                <w:tcPr>
                  <w:tcW w:w="539" w:type="pct"/>
                  <w:vAlign w:val="center"/>
                </w:tcPr>
                <w:p w14:paraId="11216289">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690" w:type="pct"/>
                  <w:vAlign w:val="center"/>
                </w:tcPr>
                <w:p w14:paraId="5034155A">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7.45</w:t>
                  </w:r>
                </w:p>
              </w:tc>
              <w:tc>
                <w:tcPr>
                  <w:tcW w:w="531" w:type="pct"/>
                  <w:vAlign w:val="center"/>
                </w:tcPr>
                <w:p w14:paraId="41A46212">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683" w:type="pct"/>
                  <w:vAlign w:val="center"/>
                </w:tcPr>
                <w:p w14:paraId="58026647">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7.68</w:t>
                  </w:r>
                </w:p>
              </w:tc>
              <w:tc>
                <w:tcPr>
                  <w:tcW w:w="572" w:type="pct"/>
                  <w:vAlign w:val="center"/>
                </w:tcPr>
                <w:p w14:paraId="45B04927">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r>
            <w:tr w14:paraId="03685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Align w:val="center"/>
                </w:tcPr>
                <w:p w14:paraId="4F5BEE88">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总磷</w:t>
                  </w:r>
                </w:p>
              </w:tc>
              <w:tc>
                <w:tcPr>
                  <w:tcW w:w="514" w:type="pct"/>
                  <w:vAlign w:val="center"/>
                </w:tcPr>
                <w:p w14:paraId="7F9E2295">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w:t>
                  </w:r>
                </w:p>
              </w:tc>
              <w:tc>
                <w:tcPr>
                  <w:tcW w:w="640" w:type="pct"/>
                  <w:vAlign w:val="center"/>
                </w:tcPr>
                <w:p w14:paraId="14EFA153">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0.01</w:t>
                  </w:r>
                </w:p>
              </w:tc>
              <w:tc>
                <w:tcPr>
                  <w:tcW w:w="539" w:type="pct"/>
                  <w:vAlign w:val="center"/>
                </w:tcPr>
                <w:p w14:paraId="1E622997">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w:t>
                  </w:r>
                </w:p>
              </w:tc>
              <w:tc>
                <w:tcPr>
                  <w:tcW w:w="690" w:type="pct"/>
                  <w:vAlign w:val="center"/>
                </w:tcPr>
                <w:p w14:paraId="515D734D">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0.03</w:t>
                  </w:r>
                </w:p>
              </w:tc>
              <w:tc>
                <w:tcPr>
                  <w:tcW w:w="531" w:type="pct"/>
                  <w:vAlign w:val="center"/>
                </w:tcPr>
                <w:p w14:paraId="6EF649B6">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w:t>
                  </w:r>
                </w:p>
              </w:tc>
              <w:tc>
                <w:tcPr>
                  <w:tcW w:w="683" w:type="pct"/>
                  <w:vAlign w:val="center"/>
                </w:tcPr>
                <w:p w14:paraId="7A1C044D">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0.05</w:t>
                  </w:r>
                </w:p>
              </w:tc>
              <w:tc>
                <w:tcPr>
                  <w:tcW w:w="572" w:type="pct"/>
                  <w:vAlign w:val="center"/>
                </w:tcPr>
                <w:p w14:paraId="65637650">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w:t>
                  </w:r>
                </w:p>
              </w:tc>
            </w:tr>
            <w:tr w14:paraId="2E9B5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Align w:val="center"/>
                </w:tcPr>
                <w:p w14:paraId="4BFFE5A3">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砷</w:t>
                  </w:r>
                </w:p>
              </w:tc>
              <w:tc>
                <w:tcPr>
                  <w:tcW w:w="514" w:type="pct"/>
                  <w:vAlign w:val="center"/>
                </w:tcPr>
                <w:p w14:paraId="368E523C">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0.01</w:t>
                  </w:r>
                </w:p>
              </w:tc>
              <w:tc>
                <w:tcPr>
                  <w:tcW w:w="640" w:type="pct"/>
                  <w:vAlign w:val="center"/>
                </w:tcPr>
                <w:p w14:paraId="627EB688">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0.0003L</w:t>
                  </w:r>
                </w:p>
              </w:tc>
              <w:tc>
                <w:tcPr>
                  <w:tcW w:w="539" w:type="pct"/>
                  <w:vAlign w:val="center"/>
                </w:tcPr>
                <w:p w14:paraId="480F4CFD">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690" w:type="pct"/>
                  <w:vAlign w:val="center"/>
                </w:tcPr>
                <w:p w14:paraId="57A44E10">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0.0003L</w:t>
                  </w:r>
                </w:p>
              </w:tc>
              <w:tc>
                <w:tcPr>
                  <w:tcW w:w="531" w:type="pct"/>
                  <w:vAlign w:val="center"/>
                </w:tcPr>
                <w:p w14:paraId="6CF50A80">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683" w:type="pct"/>
                  <w:vAlign w:val="center"/>
                </w:tcPr>
                <w:p w14:paraId="7C2A5416">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0.0003L</w:t>
                  </w:r>
                </w:p>
              </w:tc>
              <w:tc>
                <w:tcPr>
                  <w:tcW w:w="572" w:type="pct"/>
                  <w:vAlign w:val="center"/>
                </w:tcPr>
                <w:p w14:paraId="69393E42">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r>
            <w:tr w14:paraId="2717B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Align w:val="center"/>
                </w:tcPr>
                <w:p w14:paraId="20637EC6">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氟化物</w:t>
                  </w:r>
                </w:p>
              </w:tc>
              <w:tc>
                <w:tcPr>
                  <w:tcW w:w="514" w:type="pct"/>
                  <w:vAlign w:val="center"/>
                </w:tcPr>
                <w:p w14:paraId="48F1F538">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c>
                <w:tcPr>
                  <w:tcW w:w="640" w:type="pct"/>
                  <w:vAlign w:val="center"/>
                </w:tcPr>
                <w:p w14:paraId="2130B4B1">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0.27</w:t>
                  </w:r>
                </w:p>
              </w:tc>
              <w:tc>
                <w:tcPr>
                  <w:tcW w:w="539" w:type="pct"/>
                  <w:vAlign w:val="center"/>
                </w:tcPr>
                <w:p w14:paraId="3A3993CB">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690" w:type="pct"/>
                  <w:vAlign w:val="center"/>
                </w:tcPr>
                <w:p w14:paraId="4223444C">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0.38</w:t>
                  </w:r>
                </w:p>
              </w:tc>
              <w:tc>
                <w:tcPr>
                  <w:tcW w:w="531" w:type="pct"/>
                  <w:vAlign w:val="center"/>
                </w:tcPr>
                <w:p w14:paraId="251C06A0">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683" w:type="pct"/>
                  <w:vAlign w:val="center"/>
                </w:tcPr>
                <w:p w14:paraId="45677451">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0.45</w:t>
                  </w:r>
                </w:p>
              </w:tc>
              <w:tc>
                <w:tcPr>
                  <w:tcW w:w="572" w:type="pct"/>
                  <w:vAlign w:val="center"/>
                </w:tcPr>
                <w:p w14:paraId="1C81D0EC">
                  <w:pPr>
                    <w:pStyle w:val="271"/>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r>
          </w:tbl>
          <w:p w14:paraId="350DA6F6">
            <w:pPr>
              <w:spacing w:line="360" w:lineRule="auto"/>
              <w:ind w:firstLine="480" w:firstLineChars="200"/>
              <w:jc w:val="both"/>
              <w:rPr>
                <w:rFonts w:hint="eastAsia"/>
                <w:bCs/>
                <w:color w:val="auto"/>
                <w:sz w:val="24"/>
              </w:rPr>
            </w:pPr>
            <w:r>
              <w:rPr>
                <w:rFonts w:hint="default" w:ascii="Times New Roman" w:hAnsi="Times New Roman" w:eastAsia="宋体" w:cs="Times New Roman"/>
                <w:color w:val="auto"/>
                <w:sz w:val="24"/>
                <w:lang w:val="zh-CN" w:eastAsia="zh-CN"/>
              </w:rPr>
              <w:t>根据以上监测结果，</w:t>
            </w:r>
            <w:r>
              <w:rPr>
                <w:rFonts w:hint="eastAsia" w:ascii="Times New Roman" w:hAnsi="Times New Roman" w:eastAsia="宋体" w:cs="Times New Roman"/>
                <w:color w:val="auto"/>
                <w:sz w:val="24"/>
                <w:lang w:val="zh-CN" w:eastAsia="zh-CN"/>
              </w:rPr>
              <w:t>各</w:t>
            </w:r>
            <w:r>
              <w:rPr>
                <w:rFonts w:hint="default" w:ascii="Times New Roman" w:hAnsi="Times New Roman" w:eastAsia="宋体" w:cs="Times New Roman"/>
                <w:color w:val="auto"/>
                <w:sz w:val="24"/>
                <w:lang w:val="en-US" w:eastAsia="zh-CN"/>
              </w:rPr>
              <w:t>监测井</w:t>
            </w:r>
            <w:r>
              <w:rPr>
                <w:rFonts w:hint="default" w:ascii="Times New Roman" w:hAnsi="Times New Roman" w:eastAsia="宋体" w:cs="Times New Roman"/>
                <w:color w:val="auto"/>
                <w:sz w:val="24"/>
                <w:lang w:val="zh-CN" w:eastAsia="zh-CN"/>
              </w:rPr>
              <w:t>监测指标能达到《地下水质量标准》（GB/T14848-2017）中III类标准限值的要求</w:t>
            </w:r>
            <w:r>
              <w:rPr>
                <w:rFonts w:hint="default" w:ascii="Times New Roman" w:hAnsi="Times New Roman" w:eastAsia="宋体" w:cs="Times New Roman"/>
                <w:color w:val="auto"/>
                <w:sz w:val="24"/>
                <w:lang w:val="en-US" w:eastAsia="zh-CN"/>
              </w:rPr>
              <w:t>。</w:t>
            </w:r>
          </w:p>
          <w:p w14:paraId="3AA07C68">
            <w:pPr>
              <w:spacing w:line="360" w:lineRule="auto"/>
              <w:ind w:firstLine="482" w:firstLineChars="200"/>
              <w:jc w:val="left"/>
              <w:rPr>
                <w:rFonts w:hint="default" w:eastAsia="宋体"/>
                <w:b/>
                <w:bCs w:val="0"/>
                <w:color w:val="auto"/>
                <w:sz w:val="24"/>
                <w:lang w:val="en-US" w:eastAsia="zh-CN"/>
              </w:rPr>
            </w:pPr>
            <w:r>
              <w:rPr>
                <w:rFonts w:hint="eastAsia"/>
                <w:b/>
                <w:bCs w:val="0"/>
                <w:color w:val="auto"/>
                <w:sz w:val="24"/>
                <w:lang w:val="en-US" w:eastAsia="zh-CN"/>
              </w:rPr>
              <w:t>二、与项目有关的厂区现有工程产污情况</w:t>
            </w:r>
          </w:p>
          <w:p w14:paraId="7BD6D609">
            <w:pPr>
              <w:spacing w:line="360" w:lineRule="auto"/>
              <w:ind w:firstLine="482" w:firstLineChars="200"/>
              <w:jc w:val="left"/>
              <w:rPr>
                <w:rFonts w:hint="default" w:eastAsia="宋体"/>
                <w:b/>
                <w:bCs w:val="0"/>
                <w:color w:val="auto"/>
                <w:sz w:val="24"/>
                <w:lang w:val="en-US" w:eastAsia="zh-CN"/>
              </w:rPr>
            </w:pPr>
            <w:r>
              <w:rPr>
                <w:rFonts w:hint="eastAsia"/>
                <w:b/>
                <w:bCs w:val="0"/>
                <w:color w:val="auto"/>
                <w:sz w:val="24"/>
                <w:lang w:val="en-US" w:eastAsia="zh-CN"/>
              </w:rPr>
              <w:t>1、50万吨/年水泥缓凝剂改造项目情况</w:t>
            </w:r>
          </w:p>
          <w:p w14:paraId="77F97C56">
            <w:pPr>
              <w:spacing w:line="360" w:lineRule="auto"/>
              <w:ind w:firstLine="480" w:firstLineChars="200"/>
              <w:jc w:val="left"/>
              <w:rPr>
                <w:rFonts w:hint="default" w:eastAsia="宋体"/>
                <w:color w:val="auto"/>
                <w:sz w:val="24"/>
                <w:lang w:val="en-US" w:eastAsia="zh-CN"/>
              </w:rPr>
            </w:pPr>
            <w:r>
              <w:rPr>
                <w:rFonts w:hint="eastAsia"/>
                <w:color w:val="auto"/>
                <w:sz w:val="24"/>
                <w:lang w:eastAsia="zh-CN"/>
              </w:rPr>
              <w:t>（</w:t>
            </w:r>
            <w:r>
              <w:rPr>
                <w:rFonts w:hint="eastAsia"/>
                <w:color w:val="auto"/>
                <w:sz w:val="24"/>
                <w:lang w:val="en-US" w:eastAsia="zh-CN"/>
              </w:rPr>
              <w:t>1</w:t>
            </w:r>
            <w:r>
              <w:rPr>
                <w:rFonts w:hint="eastAsia"/>
                <w:color w:val="auto"/>
                <w:sz w:val="24"/>
                <w:lang w:eastAsia="zh-CN"/>
              </w:rPr>
              <w:t>）</w:t>
            </w:r>
            <w:r>
              <w:rPr>
                <w:rFonts w:hint="eastAsia"/>
                <w:color w:val="auto"/>
                <w:sz w:val="24"/>
                <w:lang w:val="en-US" w:eastAsia="zh-CN"/>
              </w:rPr>
              <w:t>项目组成情况</w:t>
            </w:r>
          </w:p>
          <w:p w14:paraId="292506D4">
            <w:pPr>
              <w:spacing w:line="360" w:lineRule="auto"/>
              <w:ind w:firstLine="480" w:firstLineChars="200"/>
              <w:jc w:val="left"/>
              <w:rPr>
                <w:rFonts w:hint="default"/>
                <w:b w:val="0"/>
                <w:bCs w:val="0"/>
                <w:color w:val="auto"/>
                <w:sz w:val="24"/>
                <w:lang w:val="en-US"/>
              </w:rPr>
            </w:pPr>
            <w:r>
              <w:rPr>
                <w:color w:val="auto"/>
                <w:sz w:val="24"/>
              </w:rPr>
              <w:t>项</w:t>
            </w:r>
            <w:r>
              <w:rPr>
                <w:rFonts w:hint="eastAsia"/>
                <w:color w:val="auto"/>
                <w:sz w:val="24"/>
                <w:szCs w:val="24"/>
              </w:rPr>
              <w:t>目主要在</w:t>
            </w:r>
            <w:r>
              <w:rPr>
                <w:rFonts w:hint="eastAsia" w:ascii="Times New Roman" w:hAnsi="Times New Roman"/>
                <w:bCs w:val="0"/>
                <w:color w:val="auto"/>
                <w:sz w:val="24"/>
                <w:szCs w:val="24"/>
                <w:lang w:val="en-US" w:eastAsia="zh-CN"/>
              </w:rPr>
              <w:t>50万吨</w:t>
            </w:r>
            <w:r>
              <w:rPr>
                <w:rFonts w:hint="eastAsia" w:ascii="Times New Roman" w:hAnsi="Times New Roman" w:eastAsia="宋体" w:cs="Times New Roman"/>
                <w:color w:val="auto"/>
                <w:kern w:val="0"/>
                <w:sz w:val="24"/>
                <w:szCs w:val="24"/>
                <w:lang w:val="en-US" w:eastAsia="zh-CN" w:bidi="ar"/>
              </w:rPr>
              <w:t>/年球状水泥缓凝剂生产线</w:t>
            </w:r>
            <w:r>
              <w:rPr>
                <w:rFonts w:hint="eastAsia" w:ascii="Times New Roman" w:hAnsi="Times New Roman" w:cs="Times New Roman"/>
                <w:color w:val="auto"/>
                <w:kern w:val="0"/>
                <w:sz w:val="24"/>
                <w:szCs w:val="24"/>
                <w:lang w:val="en-US" w:eastAsia="zh-CN" w:bidi="ar"/>
              </w:rPr>
              <w:t>基础上</w:t>
            </w:r>
            <w:r>
              <w:rPr>
                <w:rFonts w:hint="eastAsia" w:cs="Times New Roman"/>
                <w:color w:val="auto"/>
                <w:kern w:val="0"/>
                <w:sz w:val="24"/>
                <w:szCs w:val="24"/>
                <w:lang w:val="en-US" w:eastAsia="zh-CN" w:bidi="ar"/>
              </w:rPr>
              <w:t>进行改扩建</w:t>
            </w:r>
            <w:r>
              <w:rPr>
                <w:rFonts w:hint="eastAsia" w:ascii="Times New Roman" w:hAnsi="Times New Roman" w:cs="Times New Roman"/>
                <w:color w:val="auto"/>
                <w:kern w:val="0"/>
                <w:sz w:val="24"/>
                <w:szCs w:val="24"/>
                <w:lang w:val="en-US" w:eastAsia="zh-CN" w:bidi="ar"/>
              </w:rPr>
              <w:t>，</w:t>
            </w:r>
            <w:r>
              <w:rPr>
                <w:rFonts w:hint="eastAsia" w:cs="Times New Roman"/>
                <w:b w:val="0"/>
                <w:bCs w:val="0"/>
                <w:color w:val="auto"/>
                <w:kern w:val="0"/>
                <w:sz w:val="24"/>
                <w:szCs w:val="24"/>
                <w:lang w:val="en-US" w:eastAsia="zh-CN" w:bidi="ar"/>
              </w:rPr>
              <w:t>《</w:t>
            </w:r>
            <w:r>
              <w:rPr>
                <w:rFonts w:hint="eastAsia"/>
                <w:b w:val="0"/>
                <w:bCs w:val="0"/>
                <w:color w:val="auto"/>
                <w:sz w:val="24"/>
                <w:lang w:val="en-US" w:eastAsia="zh-CN"/>
              </w:rPr>
              <w:t>50万吨/年水泥缓凝剂改造项目</w:t>
            </w:r>
            <w:r>
              <w:rPr>
                <w:rFonts w:hint="eastAsia" w:cs="Times New Roman"/>
                <w:b w:val="0"/>
                <w:bCs w:val="0"/>
                <w:color w:val="auto"/>
                <w:kern w:val="0"/>
                <w:sz w:val="24"/>
                <w:szCs w:val="24"/>
                <w:lang w:val="en-US" w:eastAsia="zh-CN" w:bidi="ar"/>
              </w:rPr>
              <w:t>》已于2020年3月19日取得昆明市生态环境局寻甸分局的批复（昆生环寻[2020]10号），并于2021年8月完成了自主验收。</w:t>
            </w:r>
          </w:p>
          <w:p w14:paraId="79F04E68">
            <w:pPr>
              <w:spacing w:line="360" w:lineRule="auto"/>
              <w:ind w:firstLine="480" w:firstLineChars="200"/>
              <w:jc w:val="left"/>
              <w:rPr>
                <w:rFonts w:hint="eastAsia"/>
                <w:b w:val="0"/>
                <w:bCs/>
                <w:color w:val="auto"/>
                <w:sz w:val="24"/>
              </w:rPr>
            </w:pPr>
            <w:r>
              <w:rPr>
                <w:rFonts w:hint="eastAsia" w:ascii="Times New Roman" w:hAnsi="Times New Roman" w:eastAsia="宋体" w:cs="Times New Roman"/>
                <w:color w:val="auto"/>
                <w:sz w:val="24"/>
                <w:lang w:val="en-US" w:eastAsia="zh-CN"/>
              </w:rPr>
              <w:t>该项目组成见表2-</w:t>
            </w:r>
            <w:r>
              <w:rPr>
                <w:rFonts w:hint="eastAsia" w:cs="Times New Roman"/>
                <w:color w:val="auto"/>
                <w:sz w:val="24"/>
                <w:lang w:val="en-US" w:eastAsia="zh-CN"/>
              </w:rPr>
              <w:t>31</w:t>
            </w:r>
            <w:r>
              <w:rPr>
                <w:rFonts w:hint="eastAsia" w:ascii="Times New Roman" w:hAnsi="Times New Roman" w:eastAsia="宋体" w:cs="Times New Roman"/>
                <w:color w:val="auto"/>
                <w:sz w:val="24"/>
                <w:lang w:val="en-US" w:eastAsia="zh-CN"/>
              </w:rPr>
              <w:t>。</w:t>
            </w:r>
          </w:p>
          <w:p w14:paraId="0884E8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lang w:val="en-US" w:eastAsia="zh-CN"/>
              </w:rPr>
            </w:pPr>
            <w:r>
              <w:rPr>
                <w:rFonts w:hint="eastAsia" w:cs="Times New Roman"/>
                <w:b/>
                <w:bCs/>
                <w:color w:val="auto"/>
                <w:sz w:val="24"/>
                <w:lang w:val="en-US" w:eastAsia="zh-CN"/>
              </w:rPr>
              <w:t xml:space="preserve">表2-31  </w:t>
            </w:r>
            <w:r>
              <w:rPr>
                <w:rFonts w:hint="eastAsia"/>
                <w:b/>
                <w:bCs/>
                <w:color w:val="auto"/>
                <w:sz w:val="24"/>
                <w:lang w:val="en-US" w:eastAsia="zh-CN"/>
              </w:rPr>
              <w:t>50万吨/年水泥缓凝剂改造项目</w:t>
            </w:r>
            <w:r>
              <w:rPr>
                <w:rFonts w:hint="eastAsia" w:ascii="Times New Roman" w:hAnsi="Times New Roman" w:eastAsia="宋体" w:cs="Times New Roman"/>
                <w:b/>
                <w:bCs/>
                <w:color w:val="auto"/>
                <w:sz w:val="24"/>
                <w:lang w:val="en-US" w:eastAsia="zh-CN"/>
              </w:rPr>
              <w:t>组成一览表</w:t>
            </w:r>
          </w:p>
          <w:tbl>
            <w:tblPr>
              <w:tblStyle w:val="46"/>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573"/>
              <w:gridCol w:w="5984"/>
            </w:tblGrid>
            <w:tr w14:paraId="2191C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Align w:val="center"/>
                </w:tcPr>
                <w:p w14:paraId="6C96182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项目分类</w:t>
                  </w:r>
                </w:p>
              </w:tc>
              <w:tc>
                <w:tcPr>
                  <w:tcW w:w="945" w:type="pct"/>
                  <w:vAlign w:val="center"/>
                </w:tcPr>
                <w:p w14:paraId="7C1EAE5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项目组成</w:t>
                  </w:r>
                </w:p>
              </w:tc>
              <w:tc>
                <w:tcPr>
                  <w:tcW w:w="3595" w:type="pct"/>
                  <w:vAlign w:val="center"/>
                </w:tcPr>
                <w:p w14:paraId="4940C02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建设内容</w:t>
                  </w:r>
                </w:p>
              </w:tc>
            </w:tr>
            <w:tr w14:paraId="7AE57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Align w:val="center"/>
                </w:tcPr>
                <w:p w14:paraId="61B4F5E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主体工程</w:t>
                  </w:r>
                </w:p>
              </w:tc>
              <w:tc>
                <w:tcPr>
                  <w:tcW w:w="945" w:type="pct"/>
                  <w:vAlign w:val="center"/>
                </w:tcPr>
                <w:p w14:paraId="7358DD5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 xml:space="preserve">50 万 t/a 球 </w:t>
                  </w:r>
                </w:p>
                <w:p w14:paraId="476C85C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状水泥缓凝剂生产线</w:t>
                  </w:r>
                </w:p>
              </w:tc>
              <w:tc>
                <w:tcPr>
                  <w:tcW w:w="3595" w:type="pct"/>
                  <w:vAlign w:val="center"/>
                </w:tcPr>
                <w:p w14:paraId="3DF9225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本项目利用 50t/h 循环流化床锅炉和</w:t>
                  </w:r>
                  <w:r>
                    <w:rPr>
                      <w:rFonts w:hint="eastAsia" w:cs="Times New Roman"/>
                      <w:color w:val="auto"/>
                      <w:sz w:val="21"/>
                      <w:highlight w:val="none"/>
                      <w:lang w:val="en-US" w:eastAsia="zh-CN"/>
                    </w:rPr>
                    <w:t>2</w:t>
                  </w:r>
                  <w:r>
                    <w:rPr>
                      <w:rFonts w:hint="eastAsia" w:ascii="Times New Roman" w:hAnsi="Times New Roman" w:cs="Times New Roman"/>
                      <w:color w:val="auto"/>
                      <w:sz w:val="21"/>
                      <w:highlight w:val="none"/>
                      <w:lang w:val="en-US" w:eastAsia="zh-CN"/>
                    </w:rPr>
                    <w:t>条免烧砖生产线厂房，不新增占地，项目占地面积为 17000m</w:t>
                  </w:r>
                  <w:r>
                    <w:rPr>
                      <w:rFonts w:hint="eastAsia" w:ascii="Times New Roman" w:hAnsi="Times New Roman" w:cs="Times New Roman"/>
                      <w:color w:val="auto"/>
                      <w:sz w:val="21"/>
                      <w:highlight w:val="none"/>
                      <w:vertAlign w:val="superscript"/>
                      <w:lang w:val="en-US" w:eastAsia="zh-CN"/>
                    </w:rPr>
                    <w:t>2</w:t>
                  </w:r>
                  <w:r>
                    <w:rPr>
                      <w:rFonts w:hint="eastAsia" w:ascii="Times New Roman" w:hAnsi="Times New Roman" w:cs="Times New Roman"/>
                      <w:color w:val="auto"/>
                      <w:sz w:val="21"/>
                      <w:highlight w:val="none"/>
                      <w:lang w:val="en-US" w:eastAsia="zh-CN"/>
                    </w:rPr>
                    <w:t xml:space="preserve">。项目建成后年产水泥缓凝剂 50 万t/a。 </w:t>
                  </w:r>
                  <w:r>
                    <w:rPr>
                      <w:rFonts w:hint="eastAsia" w:cs="Times New Roman"/>
                      <w:color w:val="auto"/>
                      <w:sz w:val="21"/>
                      <w:highlight w:val="none"/>
                      <w:lang w:val="en-US" w:eastAsia="zh-CN"/>
                    </w:rPr>
                    <w:t>主要设置有原辅料上料工序、搅拌成型工序、蒸养工序、卸料入库工序等。</w:t>
                  </w:r>
                </w:p>
              </w:tc>
            </w:tr>
            <w:tr w14:paraId="5876D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restart"/>
                  <w:vAlign w:val="center"/>
                </w:tcPr>
                <w:p w14:paraId="1EB6273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辅助工程</w:t>
                  </w:r>
                </w:p>
              </w:tc>
              <w:tc>
                <w:tcPr>
                  <w:tcW w:w="945" w:type="pct"/>
                  <w:vAlign w:val="center"/>
                </w:tcPr>
                <w:p w14:paraId="3B9F0B7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color w:val="auto"/>
                      <w:sz w:val="21"/>
                      <w:highlight w:val="none"/>
                      <w:lang w:val="en-US" w:eastAsia="zh-CN"/>
                    </w:rPr>
                  </w:pPr>
                  <w:r>
                    <w:rPr>
                      <w:rFonts w:hint="eastAsia" w:cs="Times New Roman"/>
                      <w:color w:val="auto"/>
                      <w:sz w:val="21"/>
                      <w:highlight w:val="none"/>
                      <w:lang w:val="en-US" w:eastAsia="zh-CN"/>
                    </w:rPr>
                    <w:t>原料库</w:t>
                  </w:r>
                </w:p>
              </w:tc>
              <w:tc>
                <w:tcPr>
                  <w:tcW w:w="3595" w:type="pct"/>
                  <w:vAlign w:val="center"/>
                </w:tcPr>
                <w:p w14:paraId="381F5B6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color w:val="auto"/>
                      <w:sz w:val="21"/>
                      <w:szCs w:val="21"/>
                      <w:lang w:val="en-US" w:eastAsia="zh-CN"/>
                    </w:rPr>
                    <w:t>占地面积约1590m</w:t>
                  </w:r>
                  <w:r>
                    <w:rPr>
                      <w:rFonts w:hint="eastAsia"/>
                      <w:color w:val="auto"/>
                      <w:sz w:val="21"/>
                      <w:szCs w:val="21"/>
                      <w:vertAlign w:val="superscript"/>
                      <w:lang w:val="en-US" w:eastAsia="zh-CN"/>
                    </w:rPr>
                    <w:t>2</w:t>
                  </w:r>
                  <w:r>
                    <w:rPr>
                      <w:rFonts w:hint="eastAsia"/>
                      <w:color w:val="auto"/>
                      <w:sz w:val="21"/>
                      <w:szCs w:val="21"/>
                      <w:lang w:val="en-US" w:eastAsia="zh-CN"/>
                    </w:rPr>
                    <w:t>，位于项目东北侧，主要用于原料磷石膏临时堆放，并设置有磷石膏受料仓及计量系统</w:t>
                  </w:r>
                </w:p>
              </w:tc>
            </w:tr>
            <w:tr w14:paraId="185EB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0506B91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color w:val="auto"/>
                      <w:sz w:val="21"/>
                      <w:highlight w:val="none"/>
                      <w:lang w:val="en-US" w:eastAsia="zh-CN"/>
                    </w:rPr>
                  </w:pPr>
                </w:p>
              </w:tc>
              <w:tc>
                <w:tcPr>
                  <w:tcW w:w="945" w:type="pct"/>
                  <w:vAlign w:val="center"/>
                </w:tcPr>
                <w:p w14:paraId="25CA4C9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color w:val="auto"/>
                      <w:sz w:val="21"/>
                      <w:highlight w:val="none"/>
                      <w:lang w:val="en-US" w:eastAsia="zh-CN"/>
                    </w:rPr>
                  </w:pPr>
                  <w:r>
                    <w:rPr>
                      <w:rFonts w:hint="eastAsia" w:cs="Times New Roman"/>
                      <w:color w:val="auto"/>
                      <w:sz w:val="21"/>
                      <w:highlight w:val="none"/>
                      <w:lang w:val="en-US" w:eastAsia="zh-CN"/>
                    </w:rPr>
                    <w:t>成品库房</w:t>
                  </w:r>
                </w:p>
              </w:tc>
              <w:tc>
                <w:tcPr>
                  <w:tcW w:w="3595" w:type="pct"/>
                  <w:vAlign w:val="center"/>
                </w:tcPr>
                <w:p w14:paraId="620BA78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color w:val="auto"/>
                      <w:sz w:val="21"/>
                      <w:szCs w:val="21"/>
                    </w:rPr>
                    <w:t>占地面积约</w:t>
                  </w:r>
                  <w:r>
                    <w:rPr>
                      <w:rFonts w:hint="eastAsia"/>
                      <w:color w:val="auto"/>
                      <w:sz w:val="21"/>
                      <w:szCs w:val="21"/>
                      <w:highlight w:val="none"/>
                      <w:lang w:val="en-US" w:eastAsia="zh-CN"/>
                    </w:rPr>
                    <w:t>5896</w:t>
                  </w:r>
                  <w:r>
                    <w:rPr>
                      <w:color w:val="auto"/>
                      <w:sz w:val="21"/>
                      <w:szCs w:val="21"/>
                      <w:highlight w:val="none"/>
                    </w:rPr>
                    <w:t>m</w:t>
                  </w:r>
                  <w:r>
                    <w:rPr>
                      <w:color w:val="auto"/>
                      <w:sz w:val="21"/>
                      <w:szCs w:val="21"/>
                      <w:highlight w:val="none"/>
                      <w:vertAlign w:val="superscript"/>
                    </w:rPr>
                    <w:t>2</w:t>
                  </w:r>
                  <w:r>
                    <w:rPr>
                      <w:color w:val="auto"/>
                      <w:sz w:val="21"/>
                      <w:szCs w:val="21"/>
                      <w:highlight w:val="none"/>
                    </w:rPr>
                    <w:t>，堆存</w:t>
                  </w:r>
                  <w:r>
                    <w:rPr>
                      <w:rFonts w:hint="eastAsia"/>
                      <w:color w:val="auto"/>
                      <w:sz w:val="21"/>
                      <w:szCs w:val="21"/>
                      <w:highlight w:val="none"/>
                    </w:rPr>
                    <w:t>2.5m高</w:t>
                  </w:r>
                  <w:r>
                    <w:rPr>
                      <w:rFonts w:hint="eastAsia"/>
                      <w:color w:val="auto"/>
                      <w:sz w:val="21"/>
                      <w:szCs w:val="21"/>
                    </w:rPr>
                    <w:t>，</w:t>
                  </w:r>
                  <w:r>
                    <w:rPr>
                      <w:color w:val="auto"/>
                      <w:sz w:val="21"/>
                      <w:szCs w:val="21"/>
                    </w:rPr>
                    <w:t>位于</w:t>
                  </w:r>
                  <w:r>
                    <w:rPr>
                      <w:rFonts w:hint="eastAsia"/>
                      <w:color w:val="auto"/>
                      <w:sz w:val="21"/>
                      <w:szCs w:val="21"/>
                      <w:lang w:val="en-US" w:eastAsia="zh-CN"/>
                    </w:rPr>
                    <w:t>生产区西侧</w:t>
                  </w:r>
                </w:p>
              </w:tc>
            </w:tr>
            <w:tr w14:paraId="518CC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5B2FEE7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color w:val="auto"/>
                      <w:sz w:val="21"/>
                      <w:highlight w:val="none"/>
                      <w:lang w:val="en-US" w:eastAsia="zh-CN"/>
                    </w:rPr>
                  </w:pPr>
                </w:p>
              </w:tc>
              <w:tc>
                <w:tcPr>
                  <w:tcW w:w="945" w:type="pct"/>
                  <w:vAlign w:val="center"/>
                </w:tcPr>
                <w:p w14:paraId="16B29FB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color w:val="auto"/>
                      <w:sz w:val="21"/>
                      <w:highlight w:val="none"/>
                      <w:lang w:val="en-US" w:eastAsia="zh-CN"/>
                    </w:rPr>
                  </w:pPr>
                  <w:r>
                    <w:rPr>
                      <w:rFonts w:hint="eastAsia" w:cs="Times New Roman"/>
                      <w:color w:val="auto"/>
                      <w:sz w:val="21"/>
                      <w:highlight w:val="none"/>
                      <w:lang w:val="en-US" w:eastAsia="zh-CN"/>
                    </w:rPr>
                    <w:t>石灰筒仓</w:t>
                  </w:r>
                </w:p>
              </w:tc>
              <w:tc>
                <w:tcPr>
                  <w:tcW w:w="3595" w:type="pct"/>
                  <w:vAlign w:val="center"/>
                </w:tcPr>
                <w:p w14:paraId="702C9AB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color w:val="auto"/>
                      <w:sz w:val="21"/>
                      <w:szCs w:val="21"/>
                    </w:rPr>
                    <w:t>1座</w:t>
                  </w:r>
                  <w:r>
                    <w:rPr>
                      <w:rFonts w:hint="eastAsia"/>
                      <w:color w:val="auto"/>
                      <w:sz w:val="21"/>
                      <w:szCs w:val="21"/>
                      <w:lang w:eastAsia="zh-CN"/>
                    </w:rPr>
                    <w:t>，</w:t>
                  </w:r>
                  <w:r>
                    <w:rPr>
                      <w:color w:val="auto"/>
                      <w:sz w:val="21"/>
                      <w:szCs w:val="21"/>
                    </w:rPr>
                    <w:t>容积</w:t>
                  </w:r>
                  <w:r>
                    <w:rPr>
                      <w:rFonts w:hint="eastAsia"/>
                      <w:color w:val="auto"/>
                      <w:sz w:val="21"/>
                      <w:szCs w:val="21"/>
                      <w:lang w:val="en-US" w:eastAsia="zh-CN"/>
                    </w:rPr>
                    <w:t>100m</w:t>
                  </w:r>
                  <w:r>
                    <w:rPr>
                      <w:rFonts w:hint="eastAsia"/>
                      <w:color w:val="auto"/>
                      <w:sz w:val="21"/>
                      <w:szCs w:val="21"/>
                      <w:vertAlign w:val="superscript"/>
                      <w:lang w:val="en-US" w:eastAsia="zh-CN"/>
                    </w:rPr>
                    <w:t>3</w:t>
                  </w:r>
                  <w:r>
                    <w:rPr>
                      <w:color w:val="auto"/>
                      <w:sz w:val="21"/>
                      <w:szCs w:val="21"/>
                    </w:rPr>
                    <w:t>，占地面积约为10m</w:t>
                  </w:r>
                  <w:r>
                    <w:rPr>
                      <w:color w:val="auto"/>
                      <w:sz w:val="21"/>
                      <w:szCs w:val="21"/>
                      <w:vertAlign w:val="superscript"/>
                    </w:rPr>
                    <w:t>2</w:t>
                  </w:r>
                  <w:r>
                    <w:rPr>
                      <w:color w:val="auto"/>
                      <w:sz w:val="21"/>
                      <w:szCs w:val="21"/>
                    </w:rPr>
                    <w:t>，位于</w:t>
                  </w:r>
                  <w:r>
                    <w:rPr>
                      <w:rFonts w:hint="eastAsia"/>
                      <w:color w:val="auto"/>
                      <w:sz w:val="21"/>
                      <w:szCs w:val="21"/>
                      <w:lang w:val="en-US" w:eastAsia="zh-CN"/>
                    </w:rPr>
                    <w:t>成球盘西侧</w:t>
                  </w:r>
                  <w:r>
                    <w:rPr>
                      <w:color w:val="auto"/>
                      <w:sz w:val="21"/>
                      <w:szCs w:val="21"/>
                    </w:rPr>
                    <w:t>，存放改性剂生石灰粉</w:t>
                  </w:r>
                </w:p>
              </w:tc>
            </w:tr>
            <w:tr w14:paraId="08BEE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5888B36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656211B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车间办公室</w:t>
                  </w:r>
                </w:p>
              </w:tc>
              <w:tc>
                <w:tcPr>
                  <w:tcW w:w="3595" w:type="pct"/>
                  <w:vAlign w:val="center"/>
                </w:tcPr>
                <w:p w14:paraId="11BF584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依托原有车间办公室，建筑面积为200m</w:t>
                  </w:r>
                  <w:r>
                    <w:rPr>
                      <w:rFonts w:hint="eastAsia" w:ascii="Times New Roman" w:hAnsi="Times New Roman" w:cs="Times New Roman"/>
                      <w:color w:val="auto"/>
                      <w:sz w:val="21"/>
                      <w:highlight w:val="none"/>
                      <w:vertAlign w:val="superscript"/>
                      <w:lang w:val="en-US" w:eastAsia="zh-CN"/>
                    </w:rPr>
                    <w:t>2</w:t>
                  </w:r>
                  <w:r>
                    <w:rPr>
                      <w:rFonts w:hint="eastAsia" w:ascii="Times New Roman" w:hAnsi="Times New Roman" w:cs="Times New Roman"/>
                      <w:color w:val="auto"/>
                      <w:sz w:val="21"/>
                      <w:highlight w:val="none"/>
                      <w:lang w:val="en-US" w:eastAsia="zh-CN"/>
                    </w:rPr>
                    <w:t xml:space="preserve"> </w:t>
                  </w:r>
                </w:p>
              </w:tc>
            </w:tr>
            <w:tr w14:paraId="66D0A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4BC40D6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32B6AB3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厕所</w:t>
                  </w:r>
                </w:p>
              </w:tc>
              <w:tc>
                <w:tcPr>
                  <w:tcW w:w="3595" w:type="pct"/>
                  <w:vAlign w:val="center"/>
                </w:tcPr>
                <w:p w14:paraId="635E0B3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依托原有生产车间卫生间，建筑面积为20m</w:t>
                  </w:r>
                  <w:r>
                    <w:rPr>
                      <w:rFonts w:hint="eastAsia" w:ascii="Times New Roman" w:hAnsi="Times New Roman" w:cs="Times New Roman"/>
                      <w:color w:val="auto"/>
                      <w:sz w:val="21"/>
                      <w:highlight w:val="none"/>
                      <w:vertAlign w:val="superscript"/>
                      <w:lang w:val="en-US" w:eastAsia="zh-CN"/>
                    </w:rPr>
                    <w:t>2</w:t>
                  </w:r>
                </w:p>
              </w:tc>
            </w:tr>
            <w:tr w14:paraId="207EA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1E72438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4F77C74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给水</w:t>
                  </w:r>
                </w:p>
              </w:tc>
              <w:tc>
                <w:tcPr>
                  <w:tcW w:w="3595" w:type="pct"/>
                  <w:vAlign w:val="center"/>
                </w:tcPr>
                <w:p w14:paraId="4E13708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依托厂区原有的供水系统</w:t>
                  </w:r>
                </w:p>
              </w:tc>
            </w:tr>
            <w:tr w14:paraId="3C6FB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6928B31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1F5AD32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color w:val="auto"/>
                      <w:sz w:val="21"/>
                      <w:highlight w:val="none"/>
                      <w:lang w:val="en-US" w:eastAsia="zh-CN"/>
                    </w:rPr>
                  </w:pPr>
                  <w:r>
                    <w:rPr>
                      <w:rFonts w:hint="eastAsia" w:cs="Times New Roman"/>
                      <w:color w:val="auto"/>
                      <w:sz w:val="21"/>
                      <w:highlight w:val="none"/>
                      <w:lang w:val="en-US" w:eastAsia="zh-CN"/>
                    </w:rPr>
                    <w:t xml:space="preserve">排水 </w:t>
                  </w:r>
                </w:p>
              </w:tc>
              <w:tc>
                <w:tcPr>
                  <w:tcW w:w="3595" w:type="pct"/>
                  <w:vAlign w:val="center"/>
                </w:tcPr>
                <w:p w14:paraId="7E20D78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项目用水由公司供水系统提供。采用雨污分流制，生产区内的初期雨水通过雨水收集沟排往雨水收集池，作为公司磷酸生产项目的生产工艺用水（泵密封用水、磷矿磨浆、磷石膏洗涤等），初期雨水不外排。废水主要为冷凝水和生活污水（洗手废水、冲厕废水），冷凝水小部分回用于成球工艺，其余通过管道进入</w:t>
                  </w:r>
                  <w:r>
                    <w:rPr>
                      <w:rFonts w:hint="eastAsia"/>
                      <w:color w:val="auto"/>
                      <w:sz w:val="21"/>
                      <w:szCs w:val="21"/>
                      <w:highlight w:val="none"/>
                      <w:lang w:val="en-US" w:eastAsia="zh-CN" w:bidi="ar"/>
                    </w:rPr>
                    <w:t>工艺循环水池</w:t>
                  </w:r>
                  <w:r>
                    <w:rPr>
                      <w:rFonts w:hint="eastAsia" w:ascii="Times New Roman" w:hAnsi="Times New Roman" w:cs="Times New Roman"/>
                      <w:color w:val="auto"/>
                      <w:sz w:val="21"/>
                      <w:szCs w:val="21"/>
                      <w:highlight w:val="none"/>
                      <w:lang w:val="en-US" w:eastAsia="zh-CN"/>
                    </w:rPr>
                    <w:t>储存后回用于磷酸生产线，不外排。生产区生活</w:t>
                  </w:r>
                  <w:r>
                    <w:rPr>
                      <w:rFonts w:hint="eastAsia" w:ascii="Times New Roman" w:hAnsi="Times New Roman" w:cs="Times New Roman"/>
                      <w:color w:val="auto"/>
                      <w:sz w:val="21"/>
                      <w:highlight w:val="none"/>
                      <w:lang w:val="en-US" w:eastAsia="zh-CN"/>
                    </w:rPr>
                    <w:t xml:space="preserve">污水经生活区化粪池处理后，排往公司清水池，用于磷酸生产，不外排。 </w:t>
                  </w:r>
                </w:p>
              </w:tc>
            </w:tr>
            <w:tr w14:paraId="7236F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034A6B4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0FC4438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供电</w:t>
                  </w:r>
                </w:p>
              </w:tc>
              <w:tc>
                <w:tcPr>
                  <w:tcW w:w="3595" w:type="pct"/>
                  <w:vAlign w:val="center"/>
                </w:tcPr>
                <w:p w14:paraId="5351F98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依托原有生产车间变压器及配电室</w:t>
                  </w:r>
                </w:p>
              </w:tc>
            </w:tr>
            <w:tr w14:paraId="36FB7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63FD52E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22C2F46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50t/h蒸汽锅炉</w:t>
                  </w:r>
                </w:p>
              </w:tc>
              <w:tc>
                <w:tcPr>
                  <w:tcW w:w="3595" w:type="pct"/>
                  <w:vAlign w:val="center"/>
                </w:tcPr>
                <w:p w14:paraId="606394A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项目</w:t>
                  </w:r>
                  <w:r>
                    <w:rPr>
                      <w:rFonts w:hint="eastAsia" w:cs="Times New Roman"/>
                      <w:color w:val="auto"/>
                      <w:sz w:val="21"/>
                      <w:highlight w:val="none"/>
                      <w:lang w:val="en-US" w:eastAsia="zh-CN"/>
                    </w:rPr>
                    <w:t>项目蒸汽依托</w:t>
                  </w:r>
                  <w:r>
                    <w:rPr>
                      <w:rFonts w:hint="eastAsia" w:ascii="Times New Roman" w:hAnsi="Times New Roman" w:cs="Times New Roman"/>
                      <w:color w:val="auto"/>
                      <w:sz w:val="21"/>
                      <w:highlight w:val="none"/>
                      <w:lang w:val="en-US" w:eastAsia="zh-CN"/>
                    </w:rPr>
                    <w:t>50t/h 循环流化床锅炉</w:t>
                  </w:r>
                  <w:r>
                    <w:rPr>
                      <w:rFonts w:hint="eastAsia" w:cs="Times New Roman"/>
                      <w:color w:val="auto"/>
                      <w:sz w:val="21"/>
                      <w:highlight w:val="none"/>
                      <w:lang w:val="en-US" w:eastAsia="zh-CN"/>
                    </w:rPr>
                    <w:t>，</w:t>
                  </w:r>
                  <w:r>
                    <w:rPr>
                      <w:rFonts w:hint="eastAsia" w:ascii="Times New Roman" w:hAnsi="Times New Roman" w:cs="Times New Roman"/>
                      <w:color w:val="auto"/>
                      <w:sz w:val="21"/>
                      <w:highlight w:val="none"/>
                      <w:lang w:val="en-US" w:eastAsia="zh-CN"/>
                    </w:rPr>
                    <w:t xml:space="preserve">燃料为褐煤，锅炉废气设置烟气氨法脱硫、烟气脱硝+布袋除尘，50m 高烟囱排气筒。 </w:t>
                  </w:r>
                </w:p>
              </w:tc>
            </w:tr>
            <w:tr w14:paraId="650F3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restart"/>
                  <w:vAlign w:val="center"/>
                </w:tcPr>
                <w:p w14:paraId="31EEDE1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环保工程</w:t>
                  </w:r>
                </w:p>
              </w:tc>
              <w:tc>
                <w:tcPr>
                  <w:tcW w:w="945" w:type="pct"/>
                  <w:vAlign w:val="center"/>
                </w:tcPr>
                <w:p w14:paraId="421835D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雨水沟及雨水收集池</w:t>
                  </w:r>
                </w:p>
              </w:tc>
              <w:tc>
                <w:tcPr>
                  <w:tcW w:w="3595" w:type="pct"/>
                  <w:vAlign w:val="center"/>
                </w:tcPr>
                <w:p w14:paraId="051D458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依托原有生产车间设置的150m雨水沟，雨水收集池容积为 3500m</w:t>
                  </w:r>
                  <w:r>
                    <w:rPr>
                      <w:rFonts w:hint="eastAsia" w:ascii="Times New Roman" w:hAnsi="Times New Roman" w:cs="Times New Roman"/>
                      <w:color w:val="auto"/>
                      <w:sz w:val="21"/>
                      <w:highlight w:val="none"/>
                      <w:vertAlign w:val="superscript"/>
                      <w:lang w:val="en-US" w:eastAsia="zh-CN"/>
                    </w:rPr>
                    <w:t>3</w:t>
                  </w:r>
                </w:p>
              </w:tc>
            </w:tr>
            <w:tr w14:paraId="2A51F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10E662F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005926A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化粪池</w:t>
                  </w:r>
                </w:p>
              </w:tc>
              <w:tc>
                <w:tcPr>
                  <w:tcW w:w="3595" w:type="pct"/>
                  <w:vAlign w:val="center"/>
                </w:tcPr>
                <w:p w14:paraId="7D913F0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依托厂区原有2个化粪池，总容积为80m</w:t>
                  </w:r>
                  <w:r>
                    <w:rPr>
                      <w:rFonts w:hint="eastAsia" w:cs="Times New Roman"/>
                      <w:color w:val="auto"/>
                      <w:sz w:val="21"/>
                      <w:highlight w:val="none"/>
                      <w:vertAlign w:val="superscript"/>
                      <w:lang w:val="en-US" w:eastAsia="zh-CN"/>
                    </w:rPr>
                    <w:t>3</w:t>
                  </w:r>
                  <w:r>
                    <w:rPr>
                      <w:rFonts w:hint="eastAsia" w:ascii="Times New Roman" w:hAnsi="Times New Roman" w:cs="Times New Roman"/>
                      <w:color w:val="auto"/>
                      <w:sz w:val="21"/>
                      <w:highlight w:val="none"/>
                      <w:lang w:val="en-US" w:eastAsia="zh-CN"/>
                    </w:rPr>
                    <w:t>，其中生活区 60m</w:t>
                  </w:r>
                  <w:r>
                    <w:rPr>
                      <w:rFonts w:hint="eastAsia" w:ascii="Times New Roman" w:hAnsi="Times New Roman" w:cs="Times New Roman"/>
                      <w:color w:val="auto"/>
                      <w:sz w:val="21"/>
                      <w:highlight w:val="none"/>
                      <w:vertAlign w:val="superscript"/>
                      <w:lang w:val="en-US" w:eastAsia="zh-CN"/>
                    </w:rPr>
                    <w:t>3</w:t>
                  </w:r>
                  <w:r>
                    <w:rPr>
                      <w:rFonts w:hint="eastAsia" w:ascii="Times New Roman" w:hAnsi="Times New Roman" w:cs="Times New Roman"/>
                      <w:color w:val="auto"/>
                      <w:sz w:val="21"/>
                      <w:highlight w:val="none"/>
                      <w:lang w:val="en-US" w:eastAsia="zh-CN"/>
                    </w:rPr>
                    <w:t>，办公区 20m</w:t>
                  </w:r>
                  <w:r>
                    <w:rPr>
                      <w:rFonts w:hint="eastAsia" w:cs="Times New Roman"/>
                      <w:color w:val="auto"/>
                      <w:sz w:val="21"/>
                      <w:highlight w:val="none"/>
                      <w:vertAlign w:val="superscript"/>
                      <w:lang w:val="en-US" w:eastAsia="zh-CN"/>
                    </w:rPr>
                    <w:t>3</w:t>
                  </w:r>
                  <w:r>
                    <w:rPr>
                      <w:rFonts w:hint="eastAsia" w:ascii="Times New Roman" w:hAnsi="Times New Roman" w:cs="Times New Roman"/>
                      <w:color w:val="auto"/>
                      <w:sz w:val="21"/>
                      <w:highlight w:val="none"/>
                      <w:lang w:val="en-US" w:eastAsia="zh-CN"/>
                    </w:rPr>
                    <w:t>，废水通过管道收集进</w:t>
                  </w:r>
                  <w:r>
                    <w:rPr>
                      <w:rFonts w:hint="eastAsia" w:ascii="Times New Roman" w:hAnsi="Times New Roman" w:cs="Times New Roman"/>
                      <w:color w:val="auto"/>
                      <w:sz w:val="21"/>
                      <w:szCs w:val="21"/>
                      <w:highlight w:val="none"/>
                      <w:lang w:val="en-US" w:eastAsia="zh-CN"/>
                    </w:rPr>
                    <w:t>入</w:t>
                  </w:r>
                  <w:r>
                    <w:rPr>
                      <w:rFonts w:hint="eastAsia"/>
                      <w:color w:val="auto"/>
                      <w:sz w:val="21"/>
                      <w:szCs w:val="21"/>
                      <w:highlight w:val="none"/>
                      <w:lang w:val="en-US" w:eastAsia="zh-CN" w:bidi="ar"/>
                    </w:rPr>
                    <w:t>工艺循环水池</w:t>
                  </w:r>
                  <w:r>
                    <w:rPr>
                      <w:rFonts w:hint="eastAsia" w:ascii="Times New Roman" w:hAnsi="Times New Roman" w:cs="Times New Roman"/>
                      <w:color w:val="auto"/>
                      <w:sz w:val="21"/>
                      <w:highlight w:val="none"/>
                      <w:lang w:val="en-US" w:eastAsia="zh-CN"/>
                    </w:rPr>
                    <w:t xml:space="preserve">用于磷酸生产 </w:t>
                  </w:r>
                </w:p>
              </w:tc>
            </w:tr>
            <w:tr w14:paraId="1B68F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373ED4C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5D45DCF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喷雾洒水降尘设施</w:t>
                  </w:r>
                </w:p>
              </w:tc>
              <w:tc>
                <w:tcPr>
                  <w:tcW w:w="3595" w:type="pct"/>
                  <w:vAlign w:val="center"/>
                </w:tcPr>
                <w:p w14:paraId="761C10D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锅炉干渣库设置喷水除尘，磷石膏堆场设置 2 套喷雾洒水降尘设施；另配置流动洒水车进行洒水除尘</w:t>
                  </w:r>
                </w:p>
              </w:tc>
            </w:tr>
            <w:tr w14:paraId="1593B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474CBCA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6DB6E41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皮带运输、</w:t>
                  </w:r>
                  <w:r>
                    <w:rPr>
                      <w:rFonts w:hint="eastAsia"/>
                      <w:color w:val="auto"/>
                      <w:sz w:val="21"/>
                      <w:szCs w:val="21"/>
                      <w:highlight w:val="none"/>
                    </w:rPr>
                    <w:t>计量系统</w:t>
                  </w:r>
                </w:p>
              </w:tc>
              <w:tc>
                <w:tcPr>
                  <w:tcW w:w="3595" w:type="pct"/>
                  <w:vAlign w:val="center"/>
                </w:tcPr>
                <w:p w14:paraId="74D1C37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color w:val="auto"/>
                      <w:sz w:val="21"/>
                      <w:szCs w:val="21"/>
                      <w:highlight w:val="none"/>
                      <w:lang w:val="en-US" w:eastAsia="zh-CN"/>
                    </w:rPr>
                    <w:t>采用彩钢瓦全封闭</w:t>
                  </w:r>
                </w:p>
              </w:tc>
            </w:tr>
            <w:tr w14:paraId="1022C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5BAC487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2ED0983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color w:val="auto"/>
                      <w:sz w:val="21"/>
                      <w:highlight w:val="none"/>
                      <w:lang w:val="en-US" w:eastAsia="zh-CN"/>
                    </w:rPr>
                  </w:pPr>
                  <w:r>
                    <w:rPr>
                      <w:rFonts w:hint="eastAsia" w:cs="Times New Roman"/>
                      <w:color w:val="auto"/>
                      <w:sz w:val="21"/>
                      <w:highlight w:val="none"/>
                      <w:lang w:val="en-US" w:eastAsia="zh-CN"/>
                    </w:rPr>
                    <w:t>原料库及成品库</w:t>
                  </w:r>
                </w:p>
              </w:tc>
              <w:tc>
                <w:tcPr>
                  <w:tcW w:w="3595" w:type="pct"/>
                  <w:vAlign w:val="center"/>
                </w:tcPr>
                <w:p w14:paraId="5B7A441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olor w:val="auto"/>
                      <w:sz w:val="21"/>
                      <w:szCs w:val="21"/>
                      <w:highlight w:val="none"/>
                      <w:lang w:val="en-US" w:eastAsia="zh-CN"/>
                    </w:rPr>
                  </w:pPr>
                  <w:r>
                    <w:rPr>
                      <w:rFonts w:hint="eastAsia"/>
                      <w:color w:val="auto"/>
                      <w:sz w:val="21"/>
                      <w:szCs w:val="21"/>
                      <w:lang w:val="en-US" w:eastAsia="zh-CN"/>
                    </w:rPr>
                    <w:t>原料库及成品库均三面封闭，仅留有一个出入口</w:t>
                  </w:r>
                </w:p>
              </w:tc>
            </w:tr>
            <w:tr w14:paraId="61750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75E7E42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7CDC354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color w:val="auto"/>
                      <w:sz w:val="21"/>
                      <w:highlight w:val="none"/>
                      <w:lang w:val="en-US" w:eastAsia="zh-CN"/>
                    </w:rPr>
                  </w:pPr>
                  <w:r>
                    <w:rPr>
                      <w:rFonts w:hint="eastAsia"/>
                      <w:color w:val="auto"/>
                      <w:sz w:val="21"/>
                      <w:szCs w:val="21"/>
                    </w:rPr>
                    <w:t>双轴搅拌机</w:t>
                  </w:r>
                </w:p>
              </w:tc>
              <w:tc>
                <w:tcPr>
                  <w:tcW w:w="3595" w:type="pct"/>
                  <w:vAlign w:val="center"/>
                </w:tcPr>
                <w:p w14:paraId="1D75545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olor w:val="auto"/>
                      <w:sz w:val="21"/>
                      <w:szCs w:val="21"/>
                      <w:lang w:val="en-US" w:eastAsia="zh-CN"/>
                    </w:rPr>
                  </w:pPr>
                  <w:r>
                    <w:rPr>
                      <w:rFonts w:hint="eastAsia"/>
                      <w:color w:val="auto"/>
                      <w:sz w:val="21"/>
                      <w:szCs w:val="21"/>
                    </w:rPr>
                    <w:t>设备机身为封闭式，下料口连接皮带输送系统</w:t>
                  </w:r>
                </w:p>
              </w:tc>
            </w:tr>
            <w:tr w14:paraId="658B7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6032D09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7A138B8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石灰筒仓</w:t>
                  </w:r>
                </w:p>
              </w:tc>
              <w:tc>
                <w:tcPr>
                  <w:tcW w:w="3595" w:type="pct"/>
                  <w:vAlign w:val="center"/>
                </w:tcPr>
                <w:p w14:paraId="6672364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石灰筒仓产生的落料粉尘经仓顶除尘器处理后呈无组织排放</w:t>
                  </w:r>
                </w:p>
              </w:tc>
            </w:tr>
            <w:tr w14:paraId="3B72D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1D9FA5F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Merge w:val="restart"/>
                  <w:vAlign w:val="center"/>
                </w:tcPr>
                <w:p w14:paraId="6A40EE3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 xml:space="preserve">50t/h 循环流化床锅炉废气处置措施 </w:t>
                  </w:r>
                </w:p>
              </w:tc>
              <w:tc>
                <w:tcPr>
                  <w:tcW w:w="3595" w:type="pct"/>
                  <w:vAlign w:val="center"/>
                </w:tcPr>
                <w:p w14:paraId="08200B7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项目 50t/h 循环流化床锅炉</w:t>
                  </w:r>
                  <w:r>
                    <w:rPr>
                      <w:rFonts w:hint="eastAsia" w:cs="Times New Roman"/>
                      <w:color w:val="auto"/>
                      <w:sz w:val="21"/>
                      <w:highlight w:val="none"/>
                      <w:lang w:val="en-US" w:eastAsia="zh-CN"/>
                    </w:rPr>
                    <w:t>烟气</w:t>
                  </w:r>
                  <w:r>
                    <w:rPr>
                      <w:rFonts w:hint="eastAsia" w:ascii="Times New Roman" w:hAnsi="Times New Roman" w:cs="Times New Roman"/>
                      <w:color w:val="auto"/>
                      <w:sz w:val="21"/>
                      <w:highlight w:val="none"/>
                      <w:lang w:val="en-US" w:eastAsia="zh-CN"/>
                    </w:rPr>
                    <w:t>采用</w:t>
                  </w:r>
                  <w:r>
                    <w:rPr>
                      <w:rFonts w:hint="eastAsia" w:cs="Times New Roman"/>
                      <w:color w:val="auto"/>
                      <w:sz w:val="21"/>
                      <w:highlight w:val="none"/>
                      <w:lang w:val="en-US" w:eastAsia="zh-CN"/>
                    </w:rPr>
                    <w:t>“布袋除尘器+脱硫塔+脱硝”处理</w:t>
                  </w:r>
                  <w:r>
                    <w:rPr>
                      <w:rFonts w:hint="eastAsia" w:ascii="Times New Roman" w:hAnsi="Times New Roman" w:cs="Times New Roman"/>
                      <w:color w:val="auto"/>
                      <w:sz w:val="21"/>
                      <w:highlight w:val="none"/>
                      <w:lang w:val="en-US" w:eastAsia="zh-CN"/>
                    </w:rPr>
                    <w:t>后通过 50m 排气筒</w:t>
                  </w:r>
                  <w:r>
                    <w:rPr>
                      <w:rFonts w:hint="eastAsia" w:cs="Times New Roman"/>
                      <w:color w:val="auto"/>
                      <w:sz w:val="21"/>
                      <w:highlight w:val="none"/>
                      <w:lang w:val="en-US" w:eastAsia="zh-CN"/>
                    </w:rPr>
                    <w:t>（DA007）</w:t>
                  </w:r>
                  <w:r>
                    <w:rPr>
                      <w:rFonts w:hint="eastAsia" w:ascii="Times New Roman" w:hAnsi="Times New Roman" w:cs="Times New Roman"/>
                      <w:color w:val="auto"/>
                      <w:sz w:val="21"/>
                      <w:highlight w:val="none"/>
                      <w:lang w:val="en-US" w:eastAsia="zh-CN"/>
                    </w:rPr>
                    <w:t xml:space="preserve">排放。 </w:t>
                  </w:r>
                </w:p>
              </w:tc>
            </w:tr>
            <w:tr w14:paraId="02F75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340E362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Merge w:val="continue"/>
                  <w:vAlign w:val="center"/>
                </w:tcPr>
                <w:p w14:paraId="6A36F87A">
                  <w:pPr>
                    <w:keepNext w:val="0"/>
                    <w:keepLines w:val="0"/>
                    <w:widowControl/>
                    <w:suppressLineNumbers w:val="0"/>
                    <w:jc w:val="left"/>
                    <w:rPr>
                      <w:rFonts w:hint="eastAsia" w:ascii="宋体" w:hAnsi="宋体" w:eastAsia="宋体" w:cs="宋体"/>
                      <w:color w:val="auto"/>
                      <w:kern w:val="0"/>
                      <w:sz w:val="21"/>
                      <w:szCs w:val="21"/>
                      <w:lang w:val="en-US" w:eastAsia="zh-CN" w:bidi="ar"/>
                    </w:rPr>
                  </w:pPr>
                </w:p>
              </w:tc>
              <w:tc>
                <w:tcPr>
                  <w:tcW w:w="3595" w:type="pct"/>
                  <w:vAlign w:val="center"/>
                </w:tcPr>
                <w:p w14:paraId="40682A5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 xml:space="preserve">50 吨锅炉烟囱外排口安装了污染源（烟气）自动监控系统，生产厂家为北京曼德克环境科技有限公司生产的 MDK116-A 型（烟气）排放连续监测系统，监测因子为二氧化硫、氮氧化物、颗粒物、氧含量、温度、压力、流速、湿度等 8 个指标，运维单位为云南沁誉环保科技有限公司，50 吨锅炉污染源（烟气）自动监控系统于 2021 年 5 月 15 日通过了验收。 </w:t>
                  </w:r>
                </w:p>
              </w:tc>
            </w:tr>
            <w:tr w14:paraId="6EDFD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6434274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12360E9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噪声治理</w:t>
                  </w:r>
                </w:p>
              </w:tc>
              <w:tc>
                <w:tcPr>
                  <w:tcW w:w="3595" w:type="pct"/>
                  <w:vAlign w:val="center"/>
                </w:tcPr>
                <w:p w14:paraId="3870433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项目生产设备合理布局，选用低噪声的设备</w:t>
                  </w:r>
                </w:p>
              </w:tc>
            </w:tr>
            <w:tr w14:paraId="17FD1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27A2147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20EDE18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危废暂存间</w:t>
                  </w:r>
                </w:p>
              </w:tc>
              <w:tc>
                <w:tcPr>
                  <w:tcW w:w="3595" w:type="pct"/>
                  <w:vAlign w:val="center"/>
                </w:tcPr>
                <w:p w14:paraId="0A52BB1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color w:val="auto"/>
                      <w:sz w:val="21"/>
                      <w:szCs w:val="21"/>
                      <w:lang w:val="en-US" w:eastAsia="zh-CN"/>
                    </w:rPr>
                    <w:t>依托厂区内现有危废暂存间，建筑面积15m</w:t>
                  </w:r>
                  <w:r>
                    <w:rPr>
                      <w:rFonts w:hint="eastAsia"/>
                      <w:color w:val="auto"/>
                      <w:sz w:val="21"/>
                      <w:szCs w:val="21"/>
                      <w:vertAlign w:val="superscript"/>
                      <w:lang w:val="en-US" w:eastAsia="zh-CN"/>
                    </w:rPr>
                    <w:t>2</w:t>
                  </w:r>
                  <w:r>
                    <w:rPr>
                      <w:rFonts w:hint="eastAsia"/>
                      <w:color w:val="auto"/>
                      <w:sz w:val="21"/>
                      <w:szCs w:val="21"/>
                      <w:lang w:val="en-US" w:eastAsia="zh-CN"/>
                    </w:rPr>
                    <w:t>，采取了“混凝土硬化+土工膜+2mmHDPE防渗膜”进行防渗</w:t>
                  </w:r>
                </w:p>
              </w:tc>
            </w:tr>
            <w:tr w14:paraId="02610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7E3B930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2660D8E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color w:val="auto"/>
                      <w:sz w:val="21"/>
                      <w:highlight w:val="none"/>
                      <w:lang w:val="en-US" w:eastAsia="zh-CN"/>
                    </w:rPr>
                  </w:pPr>
                  <w:r>
                    <w:rPr>
                      <w:rFonts w:hint="eastAsia" w:cs="Times New Roman"/>
                      <w:color w:val="auto"/>
                      <w:sz w:val="21"/>
                      <w:highlight w:val="none"/>
                      <w:lang w:val="en-US" w:eastAsia="zh-CN"/>
                    </w:rPr>
                    <w:t>原料库和成品库房防渗</w:t>
                  </w:r>
                </w:p>
              </w:tc>
              <w:tc>
                <w:tcPr>
                  <w:tcW w:w="3595" w:type="pct"/>
                  <w:vAlign w:val="center"/>
                </w:tcPr>
                <w:p w14:paraId="1C97D26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采取了粘土铺地压实（</w:t>
                  </w:r>
                  <w:r>
                    <w:rPr>
                      <w:color w:val="auto"/>
                      <w:sz w:val="21"/>
                      <w:szCs w:val="21"/>
                    </w:rPr>
                    <w:t>厚度</w:t>
                  </w:r>
                  <w:r>
                    <w:rPr>
                      <w:rFonts w:hint="eastAsia"/>
                      <w:color w:val="auto"/>
                      <w:sz w:val="21"/>
                      <w:szCs w:val="21"/>
                    </w:rPr>
                    <w:t>0.75</w:t>
                  </w:r>
                  <w:r>
                    <w:rPr>
                      <w:color w:val="auto"/>
                      <w:sz w:val="21"/>
                      <w:szCs w:val="21"/>
                    </w:rPr>
                    <w:t>m，K≤1×10</w:t>
                  </w:r>
                  <w:r>
                    <w:rPr>
                      <w:color w:val="auto"/>
                      <w:sz w:val="21"/>
                      <w:szCs w:val="21"/>
                      <w:vertAlign w:val="superscript"/>
                    </w:rPr>
                    <w:t>-7</w:t>
                  </w:r>
                  <w:r>
                    <w:rPr>
                      <w:color w:val="auto"/>
                      <w:sz w:val="21"/>
                      <w:szCs w:val="21"/>
                    </w:rPr>
                    <w:t>cm/s</w:t>
                  </w:r>
                  <w:r>
                    <w:rPr>
                      <w:rFonts w:hint="eastAsia"/>
                      <w:color w:val="auto"/>
                      <w:sz w:val="21"/>
                      <w:szCs w:val="21"/>
                      <w:lang w:val="en-US" w:eastAsia="zh-CN"/>
                    </w:rPr>
                    <w:t>），再在上层铺设</w:t>
                  </w:r>
                  <w:r>
                    <w:rPr>
                      <w:rFonts w:hint="eastAsia"/>
                      <w:color w:val="auto"/>
                      <w:sz w:val="21"/>
                      <w:szCs w:val="21"/>
                    </w:rPr>
                    <w:t>C</w:t>
                  </w:r>
                  <w:r>
                    <w:rPr>
                      <w:rFonts w:hint="eastAsia"/>
                      <w:color w:val="auto"/>
                      <w:sz w:val="21"/>
                      <w:szCs w:val="21"/>
                      <w:lang w:val="en-US" w:eastAsia="zh-CN"/>
                    </w:rPr>
                    <w:t>3</w:t>
                  </w:r>
                  <w:r>
                    <w:rPr>
                      <w:rFonts w:hint="eastAsia"/>
                      <w:color w:val="auto"/>
                      <w:sz w:val="21"/>
                      <w:szCs w:val="21"/>
                    </w:rPr>
                    <w:t>0</w:t>
                  </w:r>
                  <w:r>
                    <w:rPr>
                      <w:color w:val="auto"/>
                      <w:sz w:val="21"/>
                      <w:szCs w:val="21"/>
                    </w:rPr>
                    <w:t>混凝土（厚度</w:t>
                  </w:r>
                  <w:r>
                    <w:rPr>
                      <w:rFonts w:hint="eastAsia"/>
                      <w:color w:val="auto"/>
                      <w:sz w:val="21"/>
                      <w:szCs w:val="21"/>
                      <w:lang w:val="en-US" w:eastAsia="zh-CN"/>
                    </w:rPr>
                    <w:t>300</w:t>
                  </w:r>
                  <w:r>
                    <w:rPr>
                      <w:rFonts w:hint="eastAsia"/>
                      <w:color w:val="auto"/>
                      <w:sz w:val="21"/>
                      <w:szCs w:val="21"/>
                    </w:rPr>
                    <w:t>mm</w:t>
                  </w:r>
                  <w:r>
                    <w:rPr>
                      <w:rFonts w:hint="eastAsia"/>
                      <w:color w:val="auto"/>
                      <w:sz w:val="21"/>
                      <w:szCs w:val="21"/>
                      <w:lang w:eastAsia="zh-CN"/>
                    </w:rPr>
                    <w:t>、</w:t>
                  </w:r>
                  <w:r>
                    <w:rPr>
                      <w:rFonts w:hint="eastAsia"/>
                      <w:color w:val="auto"/>
                      <w:sz w:val="21"/>
                      <w:szCs w:val="21"/>
                      <w:lang w:val="en-US" w:eastAsia="zh-CN"/>
                    </w:rPr>
                    <w:t>抗渗等级为P8</w:t>
                  </w:r>
                  <w:r>
                    <w:rPr>
                      <w:color w:val="auto"/>
                      <w:sz w:val="21"/>
                      <w:szCs w:val="21"/>
                    </w:rPr>
                    <w:t>）</w:t>
                  </w:r>
                </w:p>
              </w:tc>
            </w:tr>
          </w:tbl>
          <w:p w14:paraId="4F5E044D">
            <w:pPr>
              <w:spacing w:line="360" w:lineRule="auto"/>
              <w:ind w:firstLine="480" w:firstLineChars="200"/>
              <w:jc w:val="left"/>
              <w:rPr>
                <w:rFonts w:hint="default"/>
                <w:bCs/>
                <w:color w:val="auto"/>
                <w:sz w:val="24"/>
                <w:lang w:val="en-US" w:eastAsia="zh-CN"/>
              </w:rPr>
            </w:pPr>
            <w:r>
              <w:rPr>
                <w:rFonts w:hint="eastAsia"/>
                <w:bCs/>
                <w:color w:val="auto"/>
                <w:sz w:val="24"/>
                <w:lang w:eastAsia="zh-CN"/>
              </w:rPr>
              <w:t>（</w:t>
            </w:r>
            <w:r>
              <w:rPr>
                <w:rFonts w:hint="eastAsia"/>
                <w:bCs/>
                <w:color w:val="auto"/>
                <w:sz w:val="24"/>
                <w:lang w:val="en-US" w:eastAsia="zh-CN"/>
              </w:rPr>
              <w:t>2</w:t>
            </w:r>
            <w:r>
              <w:rPr>
                <w:rFonts w:hint="eastAsia"/>
                <w:bCs/>
                <w:color w:val="auto"/>
                <w:sz w:val="24"/>
                <w:lang w:eastAsia="zh-CN"/>
              </w:rPr>
              <w:t>）</w:t>
            </w:r>
            <w:r>
              <w:rPr>
                <w:rFonts w:hint="eastAsia"/>
                <w:bCs/>
                <w:color w:val="auto"/>
                <w:sz w:val="24"/>
                <w:lang w:val="en-US" w:eastAsia="zh-CN"/>
              </w:rPr>
              <w:t>生产工艺</w:t>
            </w:r>
          </w:p>
          <w:p w14:paraId="059C9744">
            <w:pPr>
              <w:spacing w:line="360" w:lineRule="auto"/>
              <w:ind w:firstLine="480" w:firstLineChars="200"/>
              <w:jc w:val="left"/>
              <w:rPr>
                <w:rFonts w:hint="eastAsia"/>
                <w:bCs w:val="0"/>
                <w:color w:val="auto"/>
                <w:sz w:val="24"/>
                <w:szCs w:val="24"/>
                <w:lang w:val="en-US" w:eastAsia="zh-CN"/>
              </w:rPr>
            </w:pPr>
            <w:r>
              <w:rPr>
                <w:rFonts w:hint="eastAsia"/>
                <w:bCs w:val="0"/>
                <w:color w:val="auto"/>
                <w:sz w:val="24"/>
                <w:szCs w:val="24"/>
                <w:lang w:val="en-US" w:eastAsia="zh-CN"/>
              </w:rPr>
              <w:t>现有</w:t>
            </w:r>
            <w:r>
              <w:rPr>
                <w:rFonts w:hint="eastAsia" w:ascii="Times New Roman" w:hAnsi="Times New Roman"/>
                <w:bCs w:val="0"/>
                <w:color w:val="auto"/>
                <w:sz w:val="24"/>
                <w:szCs w:val="24"/>
                <w:lang w:val="en-US" w:eastAsia="zh-CN"/>
              </w:rPr>
              <w:t>50万吨</w:t>
            </w:r>
            <w:r>
              <w:rPr>
                <w:rFonts w:hint="eastAsia" w:ascii="Times New Roman" w:hAnsi="Times New Roman" w:eastAsia="宋体" w:cs="Times New Roman"/>
                <w:color w:val="auto"/>
                <w:kern w:val="0"/>
                <w:sz w:val="24"/>
                <w:szCs w:val="24"/>
                <w:lang w:val="en-US" w:eastAsia="zh-CN" w:bidi="ar"/>
              </w:rPr>
              <w:t>/年球状水泥缓凝剂生产线</w:t>
            </w:r>
            <w:r>
              <w:rPr>
                <w:rFonts w:hint="eastAsia" w:cs="Times New Roman"/>
                <w:color w:val="auto"/>
                <w:kern w:val="0"/>
                <w:sz w:val="24"/>
                <w:szCs w:val="24"/>
                <w:lang w:val="en-US" w:eastAsia="zh-CN" w:bidi="ar"/>
              </w:rPr>
              <w:t>工艺流程图见下图。</w:t>
            </w:r>
          </w:p>
          <w:p w14:paraId="0050DC7F">
            <w:pPr>
              <w:spacing w:line="360" w:lineRule="auto"/>
              <w:jc w:val="center"/>
              <w:rPr>
                <w:rFonts w:hint="eastAsia"/>
                <w:bCs/>
                <w:color w:val="auto"/>
                <w:sz w:val="24"/>
                <w:lang w:eastAsia="zh-CN"/>
              </w:rPr>
            </w:pPr>
            <w:r>
              <w:rPr>
                <w:rFonts w:hint="eastAsia"/>
                <w:bCs/>
                <w:color w:val="auto"/>
                <w:sz w:val="24"/>
                <w:lang w:eastAsia="zh-CN"/>
              </w:rPr>
              <w:object>
                <v:shape id="_x0000_i1027" o:spt="75" type="#_x0000_t75" style="height:406.2pt;width:320.7pt;" o:ole="t" filled="f" o:preferrelative="t" stroked="f" coordsize="21600,21600">
                  <v:path/>
                  <v:fill on="f" focussize="0,0"/>
                  <v:stroke on="f"/>
                  <v:imagedata r:id="rId18" o:title=""/>
                  <o:lock v:ext="edit" aspectratio="t"/>
                  <w10:wrap type="none"/>
                  <w10:anchorlock/>
                </v:shape>
                <o:OLEObject Type="Embed" ProgID="Visio.Drawing.15" ShapeID="_x0000_i1027" DrawAspect="Content" ObjectID="_1468075727" r:id="rId17">
                  <o:LockedField>false</o:LockedField>
                </o:OLEObject>
              </w:object>
            </w:r>
          </w:p>
          <w:p w14:paraId="7D336643">
            <w:pPr>
              <w:spacing w:line="360" w:lineRule="auto"/>
              <w:jc w:val="center"/>
              <w:rPr>
                <w:rFonts w:hint="default"/>
                <w:bCs/>
                <w:color w:val="auto"/>
                <w:sz w:val="24"/>
                <w:lang w:val="en-US" w:eastAsia="zh-CN"/>
              </w:rPr>
            </w:pPr>
            <w:r>
              <w:rPr>
                <w:rFonts w:hint="eastAsia"/>
                <w:b/>
                <w:bCs w:val="0"/>
                <w:color w:val="auto"/>
                <w:sz w:val="24"/>
                <w:lang w:val="en-US" w:eastAsia="zh-CN"/>
              </w:rPr>
              <w:t>图2-3  现有</w:t>
            </w:r>
            <w:r>
              <w:rPr>
                <w:rFonts w:hint="eastAsia" w:ascii="Times New Roman" w:hAnsi="Times New Roman"/>
                <w:b/>
                <w:bCs w:val="0"/>
                <w:color w:val="auto"/>
                <w:sz w:val="24"/>
                <w:szCs w:val="24"/>
                <w:lang w:val="en-US" w:eastAsia="zh-CN"/>
              </w:rPr>
              <w:t>50万吨</w:t>
            </w:r>
            <w:r>
              <w:rPr>
                <w:rFonts w:hint="eastAsia" w:ascii="Times New Roman" w:hAnsi="Times New Roman" w:eastAsia="宋体" w:cs="Times New Roman"/>
                <w:b/>
                <w:bCs w:val="0"/>
                <w:color w:val="auto"/>
                <w:kern w:val="0"/>
                <w:sz w:val="24"/>
                <w:szCs w:val="24"/>
                <w:lang w:val="en-US" w:eastAsia="zh-CN" w:bidi="ar"/>
              </w:rPr>
              <w:t>/年球状水泥缓凝剂生产线</w:t>
            </w:r>
            <w:r>
              <w:rPr>
                <w:rFonts w:hint="eastAsia" w:cs="Times New Roman"/>
                <w:b/>
                <w:bCs w:val="0"/>
                <w:color w:val="auto"/>
                <w:kern w:val="0"/>
                <w:sz w:val="24"/>
                <w:szCs w:val="24"/>
                <w:lang w:val="en-US" w:eastAsia="zh-CN" w:bidi="ar"/>
              </w:rPr>
              <w:t>工艺流程图</w:t>
            </w:r>
          </w:p>
          <w:p w14:paraId="7F7F7304">
            <w:pPr>
              <w:spacing w:line="360" w:lineRule="auto"/>
              <w:ind w:firstLine="482" w:firstLineChars="200"/>
              <w:jc w:val="left"/>
              <w:rPr>
                <w:rFonts w:hint="default"/>
                <w:bCs/>
                <w:color w:val="auto"/>
                <w:sz w:val="24"/>
                <w:lang w:val="en-US" w:eastAsia="zh-CN"/>
              </w:rPr>
            </w:pPr>
            <w:r>
              <w:rPr>
                <w:rFonts w:hint="eastAsia"/>
                <w:b/>
                <w:bCs w:val="0"/>
                <w:color w:val="auto"/>
                <w:sz w:val="24"/>
                <w:lang w:eastAsia="zh-CN"/>
              </w:rPr>
              <w:t>（</w:t>
            </w:r>
            <w:r>
              <w:rPr>
                <w:rFonts w:hint="eastAsia"/>
                <w:b/>
                <w:bCs w:val="0"/>
                <w:color w:val="auto"/>
                <w:sz w:val="24"/>
                <w:lang w:val="en-US" w:eastAsia="zh-CN"/>
              </w:rPr>
              <w:t>3</w:t>
            </w:r>
            <w:r>
              <w:rPr>
                <w:rFonts w:hint="eastAsia"/>
                <w:b/>
                <w:bCs w:val="0"/>
                <w:color w:val="auto"/>
                <w:sz w:val="24"/>
                <w:lang w:eastAsia="zh-CN"/>
              </w:rPr>
              <w:t>）</w:t>
            </w:r>
            <w:r>
              <w:rPr>
                <w:rFonts w:hint="eastAsia"/>
                <w:b/>
                <w:bCs w:val="0"/>
                <w:color w:val="auto"/>
                <w:sz w:val="24"/>
                <w:lang w:val="en-US" w:eastAsia="zh-CN"/>
              </w:rPr>
              <w:t>现有</w:t>
            </w:r>
            <w:r>
              <w:rPr>
                <w:rFonts w:hint="eastAsia" w:ascii="Times New Roman" w:hAnsi="Times New Roman"/>
                <w:b/>
                <w:bCs w:val="0"/>
                <w:color w:val="auto"/>
                <w:sz w:val="24"/>
                <w:szCs w:val="24"/>
                <w:lang w:val="en-US" w:eastAsia="zh-CN"/>
              </w:rPr>
              <w:t>50万吨</w:t>
            </w:r>
            <w:r>
              <w:rPr>
                <w:rFonts w:hint="eastAsia" w:ascii="Times New Roman" w:hAnsi="Times New Roman" w:eastAsia="宋体" w:cs="Times New Roman"/>
                <w:b/>
                <w:bCs w:val="0"/>
                <w:color w:val="auto"/>
                <w:kern w:val="0"/>
                <w:sz w:val="24"/>
                <w:szCs w:val="24"/>
                <w:lang w:val="en-US" w:eastAsia="zh-CN" w:bidi="ar"/>
              </w:rPr>
              <w:t>/年球状水泥缓凝剂生产线</w:t>
            </w:r>
            <w:r>
              <w:rPr>
                <w:rFonts w:hint="eastAsia" w:cs="Times New Roman"/>
                <w:b/>
                <w:bCs w:val="0"/>
                <w:color w:val="auto"/>
                <w:kern w:val="0"/>
                <w:sz w:val="24"/>
                <w:szCs w:val="24"/>
                <w:lang w:val="en-US" w:eastAsia="zh-CN" w:bidi="ar"/>
              </w:rPr>
              <w:t>污染物产排情况</w:t>
            </w:r>
          </w:p>
          <w:p w14:paraId="3554BBC6">
            <w:pPr>
              <w:spacing w:line="360" w:lineRule="auto"/>
              <w:ind w:firstLine="480" w:firstLineChars="200"/>
              <w:jc w:val="left"/>
              <w:rPr>
                <w:rFonts w:hint="default" w:eastAsia="宋体"/>
                <w:bCs/>
                <w:color w:val="auto"/>
                <w:sz w:val="24"/>
                <w:lang w:val="en-US" w:eastAsia="zh-CN"/>
              </w:rPr>
            </w:pPr>
            <w:r>
              <w:rPr>
                <w:rFonts w:hint="eastAsia" w:ascii="宋体" w:hAnsi="宋体" w:eastAsia="宋体" w:cs="宋体"/>
                <w:bCs/>
                <w:color w:val="auto"/>
                <w:sz w:val="24"/>
                <w:lang w:eastAsia="zh-CN"/>
              </w:rPr>
              <w:t>①</w:t>
            </w:r>
            <w:r>
              <w:rPr>
                <w:rFonts w:hint="eastAsia"/>
                <w:bCs/>
                <w:color w:val="auto"/>
                <w:sz w:val="24"/>
                <w:lang w:val="en-US" w:eastAsia="zh-CN"/>
              </w:rPr>
              <w:t>废气</w:t>
            </w:r>
          </w:p>
          <w:p w14:paraId="011ECEDE">
            <w:pPr>
              <w:spacing w:line="360" w:lineRule="auto"/>
              <w:ind w:firstLine="480" w:firstLineChars="200"/>
              <w:jc w:val="left"/>
              <w:rPr>
                <w:rFonts w:hint="default"/>
                <w:b w:val="0"/>
                <w:bCs/>
                <w:color w:val="auto"/>
                <w:sz w:val="24"/>
                <w:lang w:val="en-US" w:eastAsia="zh-CN"/>
              </w:rPr>
            </w:pPr>
            <w:r>
              <w:rPr>
                <w:rFonts w:hint="eastAsia"/>
                <w:b w:val="0"/>
                <w:bCs/>
                <w:color w:val="auto"/>
                <w:sz w:val="24"/>
                <w:lang w:val="en-US" w:eastAsia="zh-CN"/>
              </w:rPr>
              <w:t>现有</w:t>
            </w:r>
            <w:r>
              <w:rPr>
                <w:rFonts w:hint="eastAsia" w:ascii="Times New Roman" w:hAnsi="Times New Roman"/>
                <w:b w:val="0"/>
                <w:bCs/>
                <w:color w:val="auto"/>
                <w:sz w:val="24"/>
                <w:szCs w:val="24"/>
                <w:lang w:val="en-US" w:eastAsia="zh-CN"/>
              </w:rPr>
              <w:t>50万吨</w:t>
            </w:r>
            <w:r>
              <w:rPr>
                <w:rFonts w:hint="eastAsia" w:ascii="Times New Roman" w:hAnsi="Times New Roman" w:eastAsia="宋体" w:cs="Times New Roman"/>
                <w:b w:val="0"/>
                <w:bCs/>
                <w:color w:val="auto"/>
                <w:kern w:val="0"/>
                <w:sz w:val="24"/>
                <w:szCs w:val="24"/>
                <w:lang w:val="en-US" w:eastAsia="zh-CN" w:bidi="ar"/>
              </w:rPr>
              <w:t>/年球状水泥缓凝剂生产线</w:t>
            </w:r>
            <w:r>
              <w:rPr>
                <w:rFonts w:hint="eastAsia" w:cs="Times New Roman"/>
                <w:b w:val="0"/>
                <w:bCs/>
                <w:color w:val="auto"/>
                <w:kern w:val="0"/>
                <w:sz w:val="24"/>
                <w:szCs w:val="24"/>
                <w:lang w:val="en-US" w:eastAsia="zh-CN" w:bidi="ar"/>
              </w:rPr>
              <w:t>废气主要来源于生产过程中产生的粉尘和50t/h循环流化床锅炉燃烧废气。</w:t>
            </w:r>
          </w:p>
          <w:p w14:paraId="2E2441BF">
            <w:pPr>
              <w:spacing w:line="360" w:lineRule="auto"/>
              <w:ind w:firstLine="480" w:firstLineChars="200"/>
              <w:jc w:val="left"/>
              <w:rPr>
                <w:rFonts w:hint="default" w:eastAsia="宋体"/>
                <w:bCs/>
                <w:color w:val="auto"/>
                <w:sz w:val="24"/>
                <w:lang w:val="en-US" w:eastAsia="zh-CN"/>
              </w:rPr>
            </w:pPr>
            <w:r>
              <w:rPr>
                <w:rFonts w:hint="eastAsia"/>
                <w:bCs/>
                <w:color w:val="auto"/>
                <w:sz w:val="24"/>
                <w:lang w:val="en-US" w:eastAsia="zh-CN"/>
              </w:rPr>
              <w:t>云南常青树化工有限公司50t/h循环流化床锅炉燃烧废气</w:t>
            </w:r>
            <w:r>
              <w:rPr>
                <w:rFonts w:hint="eastAsia" w:ascii="Times New Roman" w:hAnsi="Times New Roman" w:cs="Times New Roman"/>
                <w:color w:val="auto"/>
                <w:sz w:val="24"/>
                <w:szCs w:val="24"/>
                <w:highlight w:val="none"/>
                <w:lang w:val="en-US" w:eastAsia="zh-CN"/>
              </w:rPr>
              <w:t>采用</w:t>
            </w:r>
            <w:r>
              <w:rPr>
                <w:rFonts w:hint="eastAsia" w:cs="Times New Roman"/>
                <w:color w:val="auto"/>
                <w:sz w:val="24"/>
                <w:szCs w:val="24"/>
                <w:highlight w:val="none"/>
                <w:lang w:val="en-US" w:eastAsia="zh-CN"/>
              </w:rPr>
              <w:t>“布袋除尘器+脱硫塔+脱硝”处理</w:t>
            </w:r>
            <w:r>
              <w:rPr>
                <w:rFonts w:hint="eastAsia" w:ascii="Times New Roman" w:hAnsi="Times New Roman" w:cs="Times New Roman"/>
                <w:color w:val="auto"/>
                <w:sz w:val="24"/>
                <w:szCs w:val="24"/>
                <w:highlight w:val="none"/>
                <w:lang w:val="en-US" w:eastAsia="zh-CN"/>
              </w:rPr>
              <w:t>后通过 50m 排气筒</w:t>
            </w:r>
            <w:r>
              <w:rPr>
                <w:rFonts w:hint="eastAsia" w:cs="Times New Roman"/>
                <w:color w:val="auto"/>
                <w:sz w:val="24"/>
                <w:szCs w:val="24"/>
                <w:highlight w:val="none"/>
                <w:lang w:val="en-US" w:eastAsia="zh-CN"/>
              </w:rPr>
              <w:t>（DA007）</w:t>
            </w:r>
            <w:r>
              <w:rPr>
                <w:rFonts w:hint="eastAsia" w:ascii="Times New Roman" w:hAnsi="Times New Roman" w:cs="Times New Roman"/>
                <w:color w:val="auto"/>
                <w:sz w:val="24"/>
                <w:szCs w:val="24"/>
                <w:highlight w:val="none"/>
                <w:lang w:val="en-US" w:eastAsia="zh-CN"/>
              </w:rPr>
              <w:t>排放</w:t>
            </w:r>
            <w:r>
              <w:rPr>
                <w:rFonts w:hint="eastAsia" w:cs="Times New Roman"/>
                <w:color w:val="auto"/>
                <w:sz w:val="24"/>
                <w:szCs w:val="24"/>
                <w:highlight w:val="none"/>
                <w:lang w:val="en-US" w:eastAsia="zh-CN"/>
              </w:rPr>
              <w:t>。</w:t>
            </w:r>
            <w:r>
              <w:rPr>
                <w:rFonts w:hint="eastAsia"/>
                <w:bCs/>
                <w:color w:val="auto"/>
                <w:sz w:val="24"/>
                <w:lang w:val="en-US" w:eastAsia="zh-CN"/>
              </w:rPr>
              <w:t>于2021年4月22日于昆明市生态环境监控中心完成联网（详见附件16），于2021年5月15日完成自主验收。</w:t>
            </w:r>
            <w:r>
              <w:rPr>
                <w:rFonts w:hint="default" w:ascii="Times New Roman" w:hAnsi="Times New Roman" w:eastAsia="宋体" w:cs="Times New Roman"/>
                <w:color w:val="auto"/>
                <w:sz w:val="24"/>
                <w:lang w:val="en-US" w:eastAsia="zh-CN"/>
              </w:rPr>
              <w:t>项目在正常运行期间，在线监测未出现超标情况。</w:t>
            </w:r>
            <w:r>
              <w:rPr>
                <w:rFonts w:hint="eastAsia" w:cs="Times New Roman"/>
                <w:color w:val="auto"/>
                <w:sz w:val="24"/>
                <w:lang w:val="en-US" w:eastAsia="zh-CN"/>
              </w:rPr>
              <w:t>2023年</w:t>
            </w:r>
            <w:r>
              <w:rPr>
                <w:rFonts w:hint="default" w:ascii="Times New Roman" w:hAnsi="Times New Roman" w:eastAsia="宋体" w:cs="Times New Roman"/>
                <w:color w:val="auto"/>
                <w:sz w:val="24"/>
                <w:lang w:val="en-US" w:eastAsia="zh-CN"/>
              </w:rPr>
              <w:t>在线监测数据统计见表</w:t>
            </w:r>
            <w:r>
              <w:rPr>
                <w:rFonts w:hint="eastAsia" w:ascii="Times New Roman" w:hAnsi="Times New Roman" w:eastAsia="宋体" w:cs="Times New Roman"/>
                <w:color w:val="auto"/>
                <w:sz w:val="24"/>
                <w:lang w:val="en-US" w:eastAsia="zh-CN"/>
              </w:rPr>
              <w:t>2-</w:t>
            </w:r>
            <w:r>
              <w:rPr>
                <w:rFonts w:hint="eastAsia" w:cs="Times New Roman"/>
                <w:color w:val="auto"/>
                <w:sz w:val="24"/>
                <w:lang w:val="en-US" w:eastAsia="zh-CN"/>
              </w:rPr>
              <w:t>32</w:t>
            </w:r>
            <w:r>
              <w:rPr>
                <w:rFonts w:hint="default" w:ascii="Times New Roman" w:hAnsi="Times New Roman" w:eastAsia="宋体" w:cs="Times New Roman"/>
                <w:color w:val="auto"/>
                <w:sz w:val="24"/>
                <w:lang w:val="en-US" w:eastAsia="zh-CN"/>
              </w:rPr>
              <w:t>。</w:t>
            </w:r>
          </w:p>
          <w:p w14:paraId="6DEEDC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color w:val="auto"/>
                <w:sz w:val="24"/>
                <w:highlight w:val="yellow"/>
                <w:lang w:eastAsia="zh-CN"/>
              </w:rPr>
            </w:pPr>
            <w:r>
              <w:rPr>
                <w:rFonts w:hint="default" w:ascii="Times New Roman" w:hAnsi="Times New Roman" w:eastAsia="宋体" w:cs="Times New Roman"/>
                <w:b/>
                <w:bCs/>
                <w:color w:val="auto"/>
                <w:sz w:val="24"/>
                <w:szCs w:val="24"/>
                <w:highlight w:val="none"/>
                <w:lang w:val="en-US" w:eastAsia="zh-CN"/>
              </w:rPr>
              <w:t>表</w:t>
            </w:r>
            <w:r>
              <w:rPr>
                <w:rFonts w:hint="eastAsia" w:ascii="Times New Roman" w:hAnsi="Times New Roman" w:eastAsia="宋体" w:cs="Times New Roman"/>
                <w:b/>
                <w:bCs/>
                <w:color w:val="auto"/>
                <w:sz w:val="24"/>
                <w:szCs w:val="24"/>
                <w:highlight w:val="none"/>
                <w:lang w:val="en-US" w:eastAsia="zh-CN"/>
              </w:rPr>
              <w:t>2-</w:t>
            </w:r>
            <w:r>
              <w:rPr>
                <w:rFonts w:hint="eastAsia" w:cs="Times New Roman"/>
                <w:b/>
                <w:bCs/>
                <w:color w:val="auto"/>
                <w:sz w:val="24"/>
                <w:szCs w:val="24"/>
                <w:highlight w:val="none"/>
                <w:lang w:val="en-US" w:eastAsia="zh-CN"/>
              </w:rPr>
              <w:t>32</w:t>
            </w:r>
            <w:r>
              <w:rPr>
                <w:rFonts w:hint="default" w:ascii="Times New Roman" w:hAnsi="Times New Roman" w:eastAsia="宋体" w:cs="Times New Roman"/>
                <w:b/>
                <w:bCs/>
                <w:color w:val="auto"/>
                <w:sz w:val="24"/>
                <w:szCs w:val="24"/>
                <w:highlight w:val="none"/>
                <w:lang w:val="en-US" w:eastAsia="zh-CN"/>
              </w:rPr>
              <w:t xml:space="preserve">  废气在线监测数据统计表</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93"/>
              <w:gridCol w:w="287"/>
              <w:gridCol w:w="400"/>
              <w:gridCol w:w="533"/>
              <w:gridCol w:w="533"/>
              <w:gridCol w:w="533"/>
              <w:gridCol w:w="533"/>
              <w:gridCol w:w="533"/>
              <w:gridCol w:w="533"/>
              <w:gridCol w:w="533"/>
              <w:gridCol w:w="533"/>
              <w:gridCol w:w="533"/>
              <w:gridCol w:w="533"/>
              <w:gridCol w:w="533"/>
              <w:gridCol w:w="551"/>
              <w:gridCol w:w="554"/>
              <w:gridCol w:w="381"/>
            </w:tblGrid>
            <w:tr w14:paraId="1AEE1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75" w:type="pct"/>
                  <w:vMerge w:val="restart"/>
                  <w:vAlign w:val="center"/>
                </w:tcPr>
                <w:p w14:paraId="4C4C5B0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监测点</w:t>
                  </w:r>
                </w:p>
              </w:tc>
              <w:tc>
                <w:tcPr>
                  <w:tcW w:w="412" w:type="pct"/>
                  <w:gridSpan w:val="2"/>
                  <w:vMerge w:val="restart"/>
                  <w:vAlign w:val="center"/>
                </w:tcPr>
                <w:p w14:paraId="63E3E5EB">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污染物</w:t>
                  </w:r>
                </w:p>
              </w:tc>
              <w:tc>
                <w:tcPr>
                  <w:tcW w:w="3850" w:type="pct"/>
                  <w:gridSpan w:val="12"/>
                  <w:vAlign w:val="center"/>
                </w:tcPr>
                <w:p w14:paraId="281FBF56">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在线监测数据（mg/m</w:t>
                  </w:r>
                  <w:r>
                    <w:rPr>
                      <w:rFonts w:hint="default" w:ascii="Times New Roman" w:hAnsi="Times New Roman" w:eastAsia="宋体" w:cs="Times New Roman"/>
                      <w:color w:val="auto"/>
                      <w:kern w:val="0"/>
                      <w:sz w:val="21"/>
                      <w:szCs w:val="21"/>
                      <w:highlight w:val="none"/>
                      <w:vertAlign w:val="superscript"/>
                      <w:lang w:val="en-US" w:eastAsia="zh-CN"/>
                    </w:rPr>
                    <w:t>3</w:t>
                  </w:r>
                  <w:r>
                    <w:rPr>
                      <w:rFonts w:hint="default" w:ascii="Times New Roman" w:hAnsi="Times New Roman" w:eastAsia="宋体" w:cs="Times New Roman"/>
                      <w:color w:val="auto"/>
                      <w:kern w:val="0"/>
                      <w:sz w:val="21"/>
                      <w:szCs w:val="21"/>
                      <w:highlight w:val="none"/>
                      <w:lang w:val="en-US" w:eastAsia="zh-CN"/>
                    </w:rPr>
                    <w:t>）</w:t>
                  </w:r>
                </w:p>
              </w:tc>
              <w:tc>
                <w:tcPr>
                  <w:tcW w:w="332" w:type="pct"/>
                  <w:vMerge w:val="restart"/>
                  <w:vAlign w:val="center"/>
                </w:tcPr>
                <w:p w14:paraId="540D70CA">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标准值</w:t>
                  </w:r>
                </w:p>
                <w:p w14:paraId="3840B3B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（mg/m</w:t>
                  </w:r>
                  <w:r>
                    <w:rPr>
                      <w:rFonts w:hint="default" w:ascii="Times New Roman" w:hAnsi="Times New Roman" w:eastAsia="宋体" w:cs="Times New Roman"/>
                      <w:color w:val="auto"/>
                      <w:kern w:val="0"/>
                      <w:sz w:val="21"/>
                      <w:szCs w:val="21"/>
                      <w:highlight w:val="none"/>
                      <w:vertAlign w:val="superscript"/>
                      <w:lang w:val="en-US" w:eastAsia="zh-CN"/>
                    </w:rPr>
                    <w:t>3</w:t>
                  </w:r>
                  <w:r>
                    <w:rPr>
                      <w:rFonts w:hint="default" w:ascii="Times New Roman" w:hAnsi="Times New Roman" w:eastAsia="宋体" w:cs="Times New Roman"/>
                      <w:color w:val="auto"/>
                      <w:kern w:val="0"/>
                      <w:sz w:val="21"/>
                      <w:szCs w:val="21"/>
                      <w:highlight w:val="none"/>
                      <w:lang w:val="en-US" w:eastAsia="zh-CN"/>
                    </w:rPr>
                    <w:t>）</w:t>
                  </w:r>
                </w:p>
              </w:tc>
              <w:tc>
                <w:tcPr>
                  <w:tcW w:w="228" w:type="pct"/>
                  <w:vMerge w:val="restart"/>
                  <w:vAlign w:val="center"/>
                </w:tcPr>
                <w:p w14:paraId="5B09F4A0">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评价</w:t>
                  </w:r>
                </w:p>
              </w:tc>
            </w:tr>
            <w:tr w14:paraId="2E5E9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75" w:type="pct"/>
                  <w:vMerge w:val="continue"/>
                  <w:vAlign w:val="center"/>
                </w:tcPr>
                <w:p w14:paraId="2832F0AB">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12" w:type="pct"/>
                  <w:gridSpan w:val="2"/>
                  <w:vMerge w:val="continue"/>
                  <w:vAlign w:val="center"/>
                </w:tcPr>
                <w:p w14:paraId="76FBF9F5">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319" w:type="pct"/>
                  <w:vAlign w:val="center"/>
                </w:tcPr>
                <w:p w14:paraId="6C891C75">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202</w:t>
                  </w:r>
                  <w:r>
                    <w:rPr>
                      <w:rFonts w:hint="eastAsia" w:ascii="Times New Roman" w:hAnsi="Times New Roman" w:cs="Times New Roman"/>
                      <w:color w:val="auto"/>
                      <w:kern w:val="0"/>
                      <w:sz w:val="21"/>
                      <w:szCs w:val="21"/>
                      <w:highlight w:val="none"/>
                      <w:lang w:val="en-US" w:eastAsia="zh-CN"/>
                    </w:rPr>
                    <w:t>3</w:t>
                  </w:r>
                  <w:r>
                    <w:rPr>
                      <w:rFonts w:hint="eastAsia" w:cs="Times New Roman"/>
                      <w:color w:val="auto"/>
                      <w:kern w:val="0"/>
                      <w:sz w:val="21"/>
                      <w:szCs w:val="21"/>
                      <w:highlight w:val="none"/>
                      <w:lang w:val="en-US" w:eastAsia="zh-CN"/>
                    </w:rPr>
                    <w:t>.1</w:t>
                  </w:r>
                </w:p>
              </w:tc>
              <w:tc>
                <w:tcPr>
                  <w:tcW w:w="319" w:type="pct"/>
                  <w:vAlign w:val="center"/>
                </w:tcPr>
                <w:p w14:paraId="49456139">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2023.2</w:t>
                  </w:r>
                </w:p>
              </w:tc>
              <w:tc>
                <w:tcPr>
                  <w:tcW w:w="319" w:type="pct"/>
                  <w:vAlign w:val="center"/>
                </w:tcPr>
                <w:p w14:paraId="5D39BFE2">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2023.3</w:t>
                  </w:r>
                </w:p>
              </w:tc>
              <w:tc>
                <w:tcPr>
                  <w:tcW w:w="319" w:type="pct"/>
                  <w:vAlign w:val="center"/>
                </w:tcPr>
                <w:p w14:paraId="389F20BF">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2023.4</w:t>
                  </w:r>
                </w:p>
              </w:tc>
              <w:tc>
                <w:tcPr>
                  <w:tcW w:w="319" w:type="pct"/>
                  <w:vAlign w:val="center"/>
                </w:tcPr>
                <w:p w14:paraId="165DA120">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2023.5</w:t>
                  </w:r>
                </w:p>
              </w:tc>
              <w:tc>
                <w:tcPr>
                  <w:tcW w:w="319" w:type="pct"/>
                  <w:vAlign w:val="center"/>
                </w:tcPr>
                <w:p w14:paraId="5A59C15B">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2023.6</w:t>
                  </w:r>
                </w:p>
              </w:tc>
              <w:tc>
                <w:tcPr>
                  <w:tcW w:w="319" w:type="pct"/>
                  <w:vAlign w:val="center"/>
                </w:tcPr>
                <w:p w14:paraId="4CDFCBDB">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2023.7</w:t>
                  </w:r>
                </w:p>
              </w:tc>
              <w:tc>
                <w:tcPr>
                  <w:tcW w:w="319" w:type="pct"/>
                  <w:vAlign w:val="center"/>
                </w:tcPr>
                <w:p w14:paraId="4F7727BB">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2023.8</w:t>
                  </w:r>
                </w:p>
              </w:tc>
              <w:tc>
                <w:tcPr>
                  <w:tcW w:w="319" w:type="pct"/>
                  <w:vAlign w:val="center"/>
                </w:tcPr>
                <w:p w14:paraId="498B945E">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2023.9</w:t>
                  </w:r>
                </w:p>
              </w:tc>
              <w:tc>
                <w:tcPr>
                  <w:tcW w:w="319" w:type="pct"/>
                  <w:vAlign w:val="center"/>
                </w:tcPr>
                <w:p w14:paraId="38E9455D">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2023.10</w:t>
                  </w:r>
                </w:p>
              </w:tc>
              <w:tc>
                <w:tcPr>
                  <w:tcW w:w="319" w:type="pct"/>
                  <w:vAlign w:val="center"/>
                </w:tcPr>
                <w:p w14:paraId="4C7E7BDA">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2023.11</w:t>
                  </w:r>
                </w:p>
              </w:tc>
              <w:tc>
                <w:tcPr>
                  <w:tcW w:w="330" w:type="pct"/>
                  <w:vAlign w:val="center"/>
                </w:tcPr>
                <w:p w14:paraId="2B457A85">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2023.12</w:t>
                  </w:r>
                </w:p>
              </w:tc>
              <w:tc>
                <w:tcPr>
                  <w:tcW w:w="332" w:type="pct"/>
                  <w:vMerge w:val="continue"/>
                  <w:vAlign w:val="center"/>
                </w:tcPr>
                <w:p w14:paraId="74F4B167">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28" w:type="pct"/>
                  <w:vMerge w:val="continue"/>
                  <w:vAlign w:val="center"/>
                </w:tcPr>
                <w:p w14:paraId="4487B7D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r>
            <w:tr w14:paraId="486AF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75" w:type="pct"/>
                  <w:vMerge w:val="restart"/>
                  <w:vAlign w:val="center"/>
                </w:tcPr>
                <w:p w14:paraId="0651FD61">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DA00</w:t>
                  </w:r>
                  <w:r>
                    <w:rPr>
                      <w:rFonts w:hint="eastAsia" w:cs="Times New Roman"/>
                      <w:color w:val="auto"/>
                      <w:kern w:val="0"/>
                      <w:sz w:val="21"/>
                      <w:szCs w:val="21"/>
                      <w:highlight w:val="none"/>
                      <w:lang w:val="en-US" w:eastAsia="zh-CN"/>
                    </w:rPr>
                    <w:t>7</w:t>
                  </w:r>
                </w:p>
              </w:tc>
              <w:tc>
                <w:tcPr>
                  <w:tcW w:w="172" w:type="pct"/>
                  <w:vMerge w:val="restart"/>
                  <w:vAlign w:val="center"/>
                </w:tcPr>
                <w:p w14:paraId="0CE0FFF0">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SO</w:t>
                  </w:r>
                  <w:r>
                    <w:rPr>
                      <w:rFonts w:hint="eastAsia" w:cs="Times New Roman"/>
                      <w:color w:val="auto"/>
                      <w:kern w:val="0"/>
                      <w:sz w:val="21"/>
                      <w:szCs w:val="21"/>
                      <w:highlight w:val="none"/>
                      <w:vertAlign w:val="subscript"/>
                      <w:lang w:val="en-US" w:eastAsia="zh-CN"/>
                    </w:rPr>
                    <w:t>2</w:t>
                  </w:r>
                </w:p>
              </w:tc>
              <w:tc>
                <w:tcPr>
                  <w:tcW w:w="240" w:type="pct"/>
                  <w:vAlign w:val="center"/>
                </w:tcPr>
                <w:p w14:paraId="39856AFD">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排放浓度</w:t>
                  </w:r>
                </w:p>
              </w:tc>
              <w:tc>
                <w:tcPr>
                  <w:tcW w:w="319" w:type="pct"/>
                  <w:vAlign w:val="center"/>
                </w:tcPr>
                <w:p w14:paraId="73305A72">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152.54</w:t>
                  </w:r>
                </w:p>
              </w:tc>
              <w:tc>
                <w:tcPr>
                  <w:tcW w:w="319" w:type="pct"/>
                  <w:vAlign w:val="center"/>
                </w:tcPr>
                <w:p w14:paraId="13868330">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111.97</w:t>
                  </w:r>
                </w:p>
              </w:tc>
              <w:tc>
                <w:tcPr>
                  <w:tcW w:w="319" w:type="pct"/>
                  <w:vAlign w:val="center"/>
                </w:tcPr>
                <w:p w14:paraId="71A85DEE">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104.95</w:t>
                  </w:r>
                </w:p>
              </w:tc>
              <w:tc>
                <w:tcPr>
                  <w:tcW w:w="319" w:type="pct"/>
                  <w:vAlign w:val="center"/>
                </w:tcPr>
                <w:p w14:paraId="4BC1652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39.25</w:t>
                  </w:r>
                </w:p>
              </w:tc>
              <w:tc>
                <w:tcPr>
                  <w:tcW w:w="319" w:type="pct"/>
                  <w:vAlign w:val="center"/>
                </w:tcPr>
                <w:p w14:paraId="605B588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85.32</w:t>
                  </w:r>
                </w:p>
              </w:tc>
              <w:tc>
                <w:tcPr>
                  <w:tcW w:w="319" w:type="pct"/>
                  <w:vAlign w:val="center"/>
                </w:tcPr>
                <w:p w14:paraId="1E16E6AF">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115.03</w:t>
                  </w:r>
                </w:p>
              </w:tc>
              <w:tc>
                <w:tcPr>
                  <w:tcW w:w="319" w:type="pct"/>
                  <w:vAlign w:val="center"/>
                </w:tcPr>
                <w:p w14:paraId="6FA51AC1">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122.72</w:t>
                  </w:r>
                </w:p>
              </w:tc>
              <w:tc>
                <w:tcPr>
                  <w:tcW w:w="319" w:type="pct"/>
                  <w:vAlign w:val="center"/>
                </w:tcPr>
                <w:p w14:paraId="71AEFAAB">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100.66</w:t>
                  </w:r>
                </w:p>
              </w:tc>
              <w:tc>
                <w:tcPr>
                  <w:tcW w:w="319" w:type="pct"/>
                  <w:vAlign w:val="center"/>
                </w:tcPr>
                <w:p w14:paraId="3BE0304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179.27</w:t>
                  </w:r>
                </w:p>
              </w:tc>
              <w:tc>
                <w:tcPr>
                  <w:tcW w:w="319" w:type="pct"/>
                  <w:vAlign w:val="center"/>
                </w:tcPr>
                <w:p w14:paraId="19D1086E">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141.34</w:t>
                  </w:r>
                </w:p>
              </w:tc>
              <w:tc>
                <w:tcPr>
                  <w:tcW w:w="319" w:type="pct"/>
                  <w:vAlign w:val="center"/>
                </w:tcPr>
                <w:p w14:paraId="2453C13D">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140.89</w:t>
                  </w:r>
                </w:p>
              </w:tc>
              <w:tc>
                <w:tcPr>
                  <w:tcW w:w="330" w:type="pct"/>
                  <w:vAlign w:val="center"/>
                </w:tcPr>
                <w:p w14:paraId="07A6308C">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137.12</w:t>
                  </w:r>
                </w:p>
              </w:tc>
              <w:tc>
                <w:tcPr>
                  <w:tcW w:w="332" w:type="pct"/>
                  <w:vAlign w:val="center"/>
                </w:tcPr>
                <w:p w14:paraId="734451CE">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400</w:t>
                  </w:r>
                </w:p>
              </w:tc>
              <w:tc>
                <w:tcPr>
                  <w:tcW w:w="228" w:type="pct"/>
                  <w:vAlign w:val="center"/>
                </w:tcPr>
                <w:p w14:paraId="72C7277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达标</w:t>
                  </w:r>
                </w:p>
              </w:tc>
            </w:tr>
            <w:tr w14:paraId="36850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75" w:type="pct"/>
                  <w:vMerge w:val="continue"/>
                  <w:vAlign w:val="center"/>
                </w:tcPr>
                <w:p w14:paraId="4A70A76C">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72" w:type="pct"/>
                  <w:vMerge w:val="continue"/>
                  <w:vAlign w:val="center"/>
                </w:tcPr>
                <w:p w14:paraId="2EF182DE">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0"/>
                      <w:sz w:val="21"/>
                      <w:szCs w:val="21"/>
                      <w:highlight w:val="none"/>
                      <w:lang w:val="en-US" w:eastAsia="zh-CN"/>
                    </w:rPr>
                  </w:pPr>
                </w:p>
              </w:tc>
              <w:tc>
                <w:tcPr>
                  <w:tcW w:w="240" w:type="pct"/>
                  <w:vAlign w:val="center"/>
                </w:tcPr>
                <w:p w14:paraId="1029AE21">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排放量t</w:t>
                  </w:r>
                </w:p>
              </w:tc>
              <w:tc>
                <w:tcPr>
                  <w:tcW w:w="319" w:type="pct"/>
                  <w:vAlign w:val="center"/>
                </w:tcPr>
                <w:p w14:paraId="228C74B6">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1.34376</w:t>
                  </w:r>
                </w:p>
              </w:tc>
              <w:tc>
                <w:tcPr>
                  <w:tcW w:w="319" w:type="pct"/>
                  <w:vAlign w:val="center"/>
                </w:tcPr>
                <w:p w14:paraId="1238DECF">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1.80549</w:t>
                  </w:r>
                </w:p>
              </w:tc>
              <w:tc>
                <w:tcPr>
                  <w:tcW w:w="319" w:type="pct"/>
                  <w:vAlign w:val="center"/>
                </w:tcPr>
                <w:p w14:paraId="158E76D1">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0.27543</w:t>
                  </w:r>
                </w:p>
              </w:tc>
              <w:tc>
                <w:tcPr>
                  <w:tcW w:w="319" w:type="pct"/>
                  <w:vAlign w:val="center"/>
                </w:tcPr>
                <w:p w14:paraId="5B24FACA">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0.06341</w:t>
                  </w:r>
                </w:p>
              </w:tc>
              <w:tc>
                <w:tcPr>
                  <w:tcW w:w="319" w:type="pct"/>
                  <w:vAlign w:val="center"/>
                </w:tcPr>
                <w:p w14:paraId="52214ADB">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1.33512</w:t>
                  </w:r>
                </w:p>
              </w:tc>
              <w:tc>
                <w:tcPr>
                  <w:tcW w:w="319" w:type="pct"/>
                  <w:vAlign w:val="center"/>
                </w:tcPr>
                <w:p w14:paraId="7B853A3D">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0.76716</w:t>
                  </w:r>
                </w:p>
              </w:tc>
              <w:tc>
                <w:tcPr>
                  <w:tcW w:w="319" w:type="pct"/>
                  <w:vAlign w:val="center"/>
                </w:tcPr>
                <w:p w14:paraId="722DC509">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1.28478</w:t>
                  </w:r>
                </w:p>
              </w:tc>
              <w:tc>
                <w:tcPr>
                  <w:tcW w:w="319" w:type="pct"/>
                  <w:vAlign w:val="center"/>
                </w:tcPr>
                <w:p w14:paraId="0DF10C55">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0.74557</w:t>
                  </w:r>
                </w:p>
              </w:tc>
              <w:tc>
                <w:tcPr>
                  <w:tcW w:w="319" w:type="pct"/>
                  <w:vAlign w:val="center"/>
                </w:tcPr>
                <w:p w14:paraId="42298767">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2.86131</w:t>
                  </w:r>
                </w:p>
              </w:tc>
              <w:tc>
                <w:tcPr>
                  <w:tcW w:w="319" w:type="pct"/>
                  <w:vAlign w:val="center"/>
                </w:tcPr>
                <w:p w14:paraId="0CCBEB27">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1.52124</w:t>
                  </w:r>
                </w:p>
              </w:tc>
              <w:tc>
                <w:tcPr>
                  <w:tcW w:w="319" w:type="pct"/>
                  <w:vAlign w:val="center"/>
                </w:tcPr>
                <w:p w14:paraId="7B0C1964">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2.5742</w:t>
                  </w:r>
                </w:p>
              </w:tc>
              <w:tc>
                <w:tcPr>
                  <w:tcW w:w="330" w:type="pct"/>
                  <w:vAlign w:val="center"/>
                </w:tcPr>
                <w:p w14:paraId="27BB3B3E">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1.2365</w:t>
                  </w:r>
                </w:p>
              </w:tc>
              <w:tc>
                <w:tcPr>
                  <w:tcW w:w="332" w:type="pct"/>
                  <w:vAlign w:val="center"/>
                </w:tcPr>
                <w:p w14:paraId="301741FA">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228" w:type="pct"/>
                  <w:vAlign w:val="center"/>
                </w:tcPr>
                <w:p w14:paraId="3D90A946">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r>
            <w:tr w14:paraId="62DF5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75" w:type="pct"/>
                  <w:vMerge w:val="continue"/>
                  <w:vAlign w:val="center"/>
                </w:tcPr>
                <w:p w14:paraId="3FFADD07">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72" w:type="pct"/>
                  <w:vMerge w:val="restart"/>
                  <w:vAlign w:val="center"/>
                </w:tcPr>
                <w:p w14:paraId="716502E1">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NOx</w:t>
                  </w:r>
                </w:p>
              </w:tc>
              <w:tc>
                <w:tcPr>
                  <w:tcW w:w="240" w:type="pct"/>
                  <w:vAlign w:val="center"/>
                </w:tcPr>
                <w:p w14:paraId="3D78E5BA">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排放浓度</w:t>
                  </w:r>
                </w:p>
              </w:tc>
              <w:tc>
                <w:tcPr>
                  <w:tcW w:w="319" w:type="pct"/>
                  <w:vAlign w:val="center"/>
                </w:tcPr>
                <w:p w14:paraId="66B0022E">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226.18</w:t>
                  </w:r>
                </w:p>
              </w:tc>
              <w:tc>
                <w:tcPr>
                  <w:tcW w:w="319" w:type="pct"/>
                  <w:vAlign w:val="center"/>
                </w:tcPr>
                <w:p w14:paraId="1EB5E1C1">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239.11</w:t>
                  </w:r>
                </w:p>
              </w:tc>
              <w:tc>
                <w:tcPr>
                  <w:tcW w:w="319" w:type="pct"/>
                  <w:vAlign w:val="center"/>
                </w:tcPr>
                <w:p w14:paraId="6CF550F4">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92.91</w:t>
                  </w:r>
                </w:p>
              </w:tc>
              <w:tc>
                <w:tcPr>
                  <w:tcW w:w="319" w:type="pct"/>
                  <w:vAlign w:val="center"/>
                </w:tcPr>
                <w:p w14:paraId="33EBCA6D">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92.12</w:t>
                  </w:r>
                </w:p>
              </w:tc>
              <w:tc>
                <w:tcPr>
                  <w:tcW w:w="319" w:type="pct"/>
                  <w:vAlign w:val="center"/>
                </w:tcPr>
                <w:p w14:paraId="5E88C039">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214.02</w:t>
                  </w:r>
                </w:p>
              </w:tc>
              <w:tc>
                <w:tcPr>
                  <w:tcW w:w="319" w:type="pct"/>
                  <w:vAlign w:val="center"/>
                </w:tcPr>
                <w:p w14:paraId="077D5557">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160.74</w:t>
                  </w:r>
                </w:p>
              </w:tc>
              <w:tc>
                <w:tcPr>
                  <w:tcW w:w="319" w:type="pct"/>
                  <w:vAlign w:val="center"/>
                </w:tcPr>
                <w:p w14:paraId="62BC83B4">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261.83</w:t>
                  </w:r>
                </w:p>
              </w:tc>
              <w:tc>
                <w:tcPr>
                  <w:tcW w:w="319" w:type="pct"/>
                  <w:vAlign w:val="center"/>
                </w:tcPr>
                <w:p w14:paraId="44A75D97">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147.40</w:t>
                  </w:r>
                </w:p>
              </w:tc>
              <w:tc>
                <w:tcPr>
                  <w:tcW w:w="319" w:type="pct"/>
                  <w:vAlign w:val="center"/>
                </w:tcPr>
                <w:p w14:paraId="36751EB9">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213.28</w:t>
                  </w:r>
                </w:p>
              </w:tc>
              <w:tc>
                <w:tcPr>
                  <w:tcW w:w="319" w:type="pct"/>
                  <w:vAlign w:val="center"/>
                </w:tcPr>
                <w:p w14:paraId="25D02930">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267.61</w:t>
                  </w:r>
                </w:p>
              </w:tc>
              <w:tc>
                <w:tcPr>
                  <w:tcW w:w="319" w:type="pct"/>
                  <w:vAlign w:val="center"/>
                </w:tcPr>
                <w:p w14:paraId="053AAF2C">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285.91</w:t>
                  </w:r>
                </w:p>
              </w:tc>
              <w:tc>
                <w:tcPr>
                  <w:tcW w:w="330" w:type="pct"/>
                  <w:vAlign w:val="center"/>
                </w:tcPr>
                <w:p w14:paraId="2B480E4D">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214.06</w:t>
                  </w:r>
                </w:p>
              </w:tc>
              <w:tc>
                <w:tcPr>
                  <w:tcW w:w="332" w:type="pct"/>
                  <w:vAlign w:val="center"/>
                </w:tcPr>
                <w:p w14:paraId="6B2C1D4B">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400</w:t>
                  </w:r>
                </w:p>
              </w:tc>
              <w:tc>
                <w:tcPr>
                  <w:tcW w:w="228" w:type="pct"/>
                  <w:vAlign w:val="center"/>
                </w:tcPr>
                <w:p w14:paraId="1E07551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达标</w:t>
                  </w:r>
                </w:p>
              </w:tc>
            </w:tr>
            <w:tr w14:paraId="4E1A5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75" w:type="pct"/>
                  <w:vMerge w:val="continue"/>
                  <w:vAlign w:val="center"/>
                </w:tcPr>
                <w:p w14:paraId="53593C73">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72" w:type="pct"/>
                  <w:vMerge w:val="continue"/>
                  <w:vAlign w:val="center"/>
                </w:tcPr>
                <w:p w14:paraId="2669801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0"/>
                      <w:sz w:val="21"/>
                      <w:szCs w:val="21"/>
                      <w:highlight w:val="none"/>
                      <w:lang w:val="en-US" w:eastAsia="zh-CN"/>
                    </w:rPr>
                  </w:pPr>
                </w:p>
              </w:tc>
              <w:tc>
                <w:tcPr>
                  <w:tcW w:w="240" w:type="pct"/>
                  <w:vAlign w:val="center"/>
                </w:tcPr>
                <w:p w14:paraId="102AFB6D">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排放量t</w:t>
                  </w:r>
                </w:p>
              </w:tc>
              <w:tc>
                <w:tcPr>
                  <w:tcW w:w="319" w:type="pct"/>
                  <w:vAlign w:val="center"/>
                </w:tcPr>
                <w:p w14:paraId="7749AA9D">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2.95119</w:t>
                  </w:r>
                </w:p>
              </w:tc>
              <w:tc>
                <w:tcPr>
                  <w:tcW w:w="319" w:type="pct"/>
                  <w:vAlign w:val="center"/>
                </w:tcPr>
                <w:p w14:paraId="6C96D512">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5.41012</w:t>
                  </w:r>
                </w:p>
              </w:tc>
              <w:tc>
                <w:tcPr>
                  <w:tcW w:w="319" w:type="pct"/>
                  <w:vAlign w:val="center"/>
                </w:tcPr>
                <w:p w14:paraId="1FB4FA5C">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0.35034</w:t>
                  </w:r>
                </w:p>
              </w:tc>
              <w:tc>
                <w:tcPr>
                  <w:tcW w:w="319" w:type="pct"/>
                  <w:vAlign w:val="center"/>
                </w:tcPr>
                <w:p w14:paraId="6C3A39D6">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0.16989</w:t>
                  </w:r>
                </w:p>
              </w:tc>
              <w:tc>
                <w:tcPr>
                  <w:tcW w:w="319" w:type="pct"/>
                  <w:vAlign w:val="center"/>
                </w:tcPr>
                <w:p w14:paraId="56D474E7">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3.4644</w:t>
                  </w:r>
                </w:p>
              </w:tc>
              <w:tc>
                <w:tcPr>
                  <w:tcW w:w="319" w:type="pct"/>
                  <w:vAlign w:val="center"/>
                </w:tcPr>
                <w:p w14:paraId="789411BB">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1.29999</w:t>
                  </w:r>
                </w:p>
              </w:tc>
              <w:tc>
                <w:tcPr>
                  <w:tcW w:w="319" w:type="pct"/>
                  <w:vAlign w:val="center"/>
                </w:tcPr>
                <w:p w14:paraId="46E1B1E7">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2.80106</w:t>
                  </w:r>
                </w:p>
              </w:tc>
              <w:tc>
                <w:tcPr>
                  <w:tcW w:w="319" w:type="pct"/>
                  <w:vAlign w:val="center"/>
                </w:tcPr>
                <w:p w14:paraId="6E71A0BB">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0.9893</w:t>
                  </w:r>
                </w:p>
              </w:tc>
              <w:tc>
                <w:tcPr>
                  <w:tcW w:w="319" w:type="pct"/>
                  <w:vAlign w:val="center"/>
                </w:tcPr>
                <w:p w14:paraId="501A8AAC">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4.72124</w:t>
                  </w:r>
                </w:p>
              </w:tc>
              <w:tc>
                <w:tcPr>
                  <w:tcW w:w="319" w:type="pct"/>
                  <w:vAlign w:val="center"/>
                </w:tcPr>
                <w:p w14:paraId="2590442E">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2.64775</w:t>
                  </w:r>
                </w:p>
              </w:tc>
              <w:tc>
                <w:tcPr>
                  <w:tcW w:w="319" w:type="pct"/>
                  <w:vAlign w:val="center"/>
                </w:tcPr>
                <w:p w14:paraId="4DBA5AA4">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5.27812</w:t>
                  </w:r>
                </w:p>
              </w:tc>
              <w:tc>
                <w:tcPr>
                  <w:tcW w:w="330" w:type="pct"/>
                  <w:vAlign w:val="center"/>
                </w:tcPr>
                <w:p w14:paraId="29AC10B9">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1.96875</w:t>
                  </w:r>
                </w:p>
              </w:tc>
              <w:tc>
                <w:tcPr>
                  <w:tcW w:w="332" w:type="pct"/>
                  <w:vAlign w:val="center"/>
                </w:tcPr>
                <w:p w14:paraId="4A4C4AB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w:t>
                  </w:r>
                </w:p>
              </w:tc>
              <w:tc>
                <w:tcPr>
                  <w:tcW w:w="228" w:type="pct"/>
                  <w:vAlign w:val="center"/>
                </w:tcPr>
                <w:p w14:paraId="32F1CDCA">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w:t>
                  </w:r>
                </w:p>
              </w:tc>
            </w:tr>
            <w:tr w14:paraId="117B6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75" w:type="pct"/>
                  <w:vMerge w:val="continue"/>
                  <w:vAlign w:val="center"/>
                </w:tcPr>
                <w:p w14:paraId="742A74C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72" w:type="pct"/>
                  <w:vMerge w:val="restart"/>
                  <w:vAlign w:val="center"/>
                </w:tcPr>
                <w:p w14:paraId="3A0AC1D0">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烟尘</w:t>
                  </w:r>
                </w:p>
              </w:tc>
              <w:tc>
                <w:tcPr>
                  <w:tcW w:w="240" w:type="pct"/>
                  <w:vAlign w:val="center"/>
                </w:tcPr>
                <w:p w14:paraId="01F896E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排放浓度</w:t>
                  </w:r>
                </w:p>
              </w:tc>
              <w:tc>
                <w:tcPr>
                  <w:tcW w:w="319" w:type="pct"/>
                  <w:vAlign w:val="center"/>
                </w:tcPr>
                <w:p w14:paraId="71317FBE">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20.58</w:t>
                  </w:r>
                </w:p>
              </w:tc>
              <w:tc>
                <w:tcPr>
                  <w:tcW w:w="319" w:type="pct"/>
                  <w:vAlign w:val="center"/>
                </w:tcPr>
                <w:p w14:paraId="62C50D21">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21.16</w:t>
                  </w:r>
                </w:p>
              </w:tc>
              <w:tc>
                <w:tcPr>
                  <w:tcW w:w="319" w:type="pct"/>
                  <w:vAlign w:val="center"/>
                </w:tcPr>
                <w:p w14:paraId="3BE22389">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19.06</w:t>
                  </w:r>
                </w:p>
              </w:tc>
              <w:tc>
                <w:tcPr>
                  <w:tcW w:w="319" w:type="pct"/>
                  <w:vAlign w:val="center"/>
                </w:tcPr>
                <w:p w14:paraId="60BD50BC">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17.41</w:t>
                  </w:r>
                </w:p>
              </w:tc>
              <w:tc>
                <w:tcPr>
                  <w:tcW w:w="319" w:type="pct"/>
                  <w:vAlign w:val="center"/>
                </w:tcPr>
                <w:p w14:paraId="6D4ACFC2">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20.88</w:t>
                  </w:r>
                </w:p>
              </w:tc>
              <w:tc>
                <w:tcPr>
                  <w:tcW w:w="319" w:type="pct"/>
                  <w:vAlign w:val="center"/>
                </w:tcPr>
                <w:p w14:paraId="56C49E8C">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19.43</w:t>
                  </w:r>
                </w:p>
              </w:tc>
              <w:tc>
                <w:tcPr>
                  <w:tcW w:w="319" w:type="pct"/>
                  <w:vAlign w:val="center"/>
                </w:tcPr>
                <w:p w14:paraId="1A10C140">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47.15</w:t>
                  </w:r>
                </w:p>
              </w:tc>
              <w:tc>
                <w:tcPr>
                  <w:tcW w:w="319" w:type="pct"/>
                  <w:vAlign w:val="center"/>
                </w:tcPr>
                <w:p w14:paraId="2775A57F">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40.50</w:t>
                  </w:r>
                </w:p>
              </w:tc>
              <w:tc>
                <w:tcPr>
                  <w:tcW w:w="319" w:type="pct"/>
                  <w:vAlign w:val="center"/>
                </w:tcPr>
                <w:p w14:paraId="2F3DD8A5">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47.81</w:t>
                  </w:r>
                </w:p>
              </w:tc>
              <w:tc>
                <w:tcPr>
                  <w:tcW w:w="319" w:type="pct"/>
                  <w:vAlign w:val="center"/>
                </w:tcPr>
                <w:p w14:paraId="333430E4">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40.21</w:t>
                  </w:r>
                </w:p>
              </w:tc>
              <w:tc>
                <w:tcPr>
                  <w:tcW w:w="319" w:type="pct"/>
                  <w:vAlign w:val="center"/>
                </w:tcPr>
                <w:p w14:paraId="1C55590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39.69</w:t>
                  </w:r>
                </w:p>
              </w:tc>
              <w:tc>
                <w:tcPr>
                  <w:tcW w:w="330" w:type="pct"/>
                  <w:vAlign w:val="center"/>
                </w:tcPr>
                <w:p w14:paraId="2E6216E2">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39.06</w:t>
                  </w:r>
                </w:p>
              </w:tc>
              <w:tc>
                <w:tcPr>
                  <w:tcW w:w="332" w:type="pct"/>
                  <w:vAlign w:val="center"/>
                </w:tcPr>
                <w:p w14:paraId="5C8B1AD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80</w:t>
                  </w:r>
                </w:p>
              </w:tc>
              <w:tc>
                <w:tcPr>
                  <w:tcW w:w="228" w:type="pct"/>
                  <w:vAlign w:val="center"/>
                </w:tcPr>
                <w:p w14:paraId="25BD3AD5">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达标</w:t>
                  </w:r>
                </w:p>
              </w:tc>
            </w:tr>
            <w:tr w14:paraId="347BD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75" w:type="pct"/>
                  <w:vMerge w:val="continue"/>
                  <w:vAlign w:val="center"/>
                </w:tcPr>
                <w:p w14:paraId="14143246">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72" w:type="pct"/>
                  <w:vMerge w:val="continue"/>
                  <w:vAlign w:val="center"/>
                </w:tcPr>
                <w:p w14:paraId="386BC0CA">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0"/>
                      <w:sz w:val="21"/>
                      <w:szCs w:val="21"/>
                      <w:highlight w:val="none"/>
                      <w:lang w:val="en-US" w:eastAsia="zh-CN"/>
                    </w:rPr>
                  </w:pPr>
                </w:p>
              </w:tc>
              <w:tc>
                <w:tcPr>
                  <w:tcW w:w="240" w:type="pct"/>
                  <w:vAlign w:val="center"/>
                </w:tcPr>
                <w:p w14:paraId="5AF55B27">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排放量t</w:t>
                  </w:r>
                </w:p>
              </w:tc>
              <w:tc>
                <w:tcPr>
                  <w:tcW w:w="319" w:type="pct"/>
                  <w:vAlign w:val="center"/>
                </w:tcPr>
                <w:p w14:paraId="746DDB3D">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0.28981</w:t>
                  </w:r>
                </w:p>
              </w:tc>
              <w:tc>
                <w:tcPr>
                  <w:tcW w:w="319" w:type="pct"/>
                  <w:vAlign w:val="center"/>
                </w:tcPr>
                <w:p w14:paraId="7D55EC01">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0.52187</w:t>
                  </w:r>
                </w:p>
              </w:tc>
              <w:tc>
                <w:tcPr>
                  <w:tcW w:w="319" w:type="pct"/>
                  <w:vAlign w:val="center"/>
                </w:tcPr>
                <w:p w14:paraId="248B9DE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0.07663</w:t>
                  </w:r>
                </w:p>
              </w:tc>
              <w:tc>
                <w:tcPr>
                  <w:tcW w:w="319" w:type="pct"/>
                  <w:vAlign w:val="center"/>
                </w:tcPr>
                <w:p w14:paraId="3B2167C7">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0.03425</w:t>
                  </w:r>
                </w:p>
              </w:tc>
              <w:tc>
                <w:tcPr>
                  <w:tcW w:w="319" w:type="pct"/>
                  <w:vAlign w:val="center"/>
                </w:tcPr>
                <w:p w14:paraId="67EEDF47">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0.40138</w:t>
                  </w:r>
                </w:p>
              </w:tc>
              <w:tc>
                <w:tcPr>
                  <w:tcW w:w="319" w:type="pct"/>
                  <w:vAlign w:val="center"/>
                </w:tcPr>
                <w:p w14:paraId="68413A53">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0.15922</w:t>
                  </w:r>
                </w:p>
              </w:tc>
              <w:tc>
                <w:tcPr>
                  <w:tcW w:w="319" w:type="pct"/>
                  <w:vAlign w:val="center"/>
                </w:tcPr>
                <w:p w14:paraId="71615DDF">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0.30224</w:t>
                  </w:r>
                </w:p>
              </w:tc>
              <w:tc>
                <w:tcPr>
                  <w:tcW w:w="319" w:type="pct"/>
                  <w:vAlign w:val="center"/>
                </w:tcPr>
                <w:p w14:paraId="2F0542C7">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0.2875</w:t>
                  </w:r>
                </w:p>
              </w:tc>
              <w:tc>
                <w:tcPr>
                  <w:tcW w:w="319" w:type="pct"/>
                  <w:vAlign w:val="center"/>
                </w:tcPr>
                <w:p w14:paraId="1B2C809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0.97363</w:t>
                  </w:r>
                </w:p>
              </w:tc>
              <w:tc>
                <w:tcPr>
                  <w:tcW w:w="319" w:type="pct"/>
                  <w:vAlign w:val="center"/>
                </w:tcPr>
                <w:p w14:paraId="7357C095">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0.58402</w:t>
                  </w:r>
                </w:p>
              </w:tc>
              <w:tc>
                <w:tcPr>
                  <w:tcW w:w="319" w:type="pct"/>
                  <w:vAlign w:val="center"/>
                </w:tcPr>
                <w:p w14:paraId="23D5638E">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0.81655</w:t>
                  </w:r>
                </w:p>
              </w:tc>
              <w:tc>
                <w:tcPr>
                  <w:tcW w:w="330" w:type="pct"/>
                  <w:vAlign w:val="center"/>
                </w:tcPr>
                <w:p w14:paraId="7F2F046E">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0.35994</w:t>
                  </w:r>
                </w:p>
              </w:tc>
              <w:tc>
                <w:tcPr>
                  <w:tcW w:w="332" w:type="pct"/>
                  <w:vAlign w:val="center"/>
                </w:tcPr>
                <w:p w14:paraId="404356A9">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w:t>
                  </w:r>
                </w:p>
              </w:tc>
              <w:tc>
                <w:tcPr>
                  <w:tcW w:w="228" w:type="pct"/>
                  <w:vAlign w:val="center"/>
                </w:tcPr>
                <w:p w14:paraId="06A8D3B4">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w:t>
                  </w:r>
                </w:p>
              </w:tc>
            </w:tr>
          </w:tbl>
          <w:p w14:paraId="0252BF74">
            <w:pPr>
              <w:spacing w:line="360" w:lineRule="auto"/>
              <w:ind w:firstLine="480" w:firstLineChars="200"/>
              <w:jc w:val="left"/>
              <w:rPr>
                <w:rFonts w:hint="default"/>
                <w:bCs/>
                <w:color w:val="auto"/>
                <w:sz w:val="24"/>
                <w:lang w:val="en-US" w:eastAsia="zh-CN"/>
              </w:rPr>
            </w:pPr>
            <w:r>
              <w:rPr>
                <w:rFonts w:hint="eastAsia"/>
                <w:bCs/>
                <w:color w:val="auto"/>
                <w:sz w:val="24"/>
                <w:lang w:val="en-US" w:eastAsia="zh-CN"/>
              </w:rPr>
              <w:t>根据2023年在线监测结果可知，50t/h循环流化床锅炉燃烧废气均能达标排放，且烟气排放量为21499.9517万m</w:t>
            </w:r>
            <w:r>
              <w:rPr>
                <w:rFonts w:hint="eastAsia"/>
                <w:bCs/>
                <w:color w:val="auto"/>
                <w:sz w:val="24"/>
                <w:vertAlign w:val="superscript"/>
                <w:lang w:val="en-US" w:eastAsia="zh-CN"/>
              </w:rPr>
              <w:t>3</w:t>
            </w:r>
            <w:r>
              <w:rPr>
                <w:rFonts w:hint="eastAsia"/>
                <w:bCs/>
                <w:color w:val="auto"/>
                <w:sz w:val="24"/>
                <w:lang w:val="en-US" w:eastAsia="zh-CN"/>
              </w:rPr>
              <w:t>/a，烟尘排放量为4.80704t/a、二氧化硫排放量为15.81397t/a、氮氧化物排放量为32.05215t/a。</w:t>
            </w:r>
          </w:p>
          <w:p w14:paraId="2089365F">
            <w:pPr>
              <w:spacing w:line="360" w:lineRule="auto"/>
              <w:ind w:firstLine="480" w:firstLineChars="200"/>
              <w:jc w:val="left"/>
              <w:rPr>
                <w:rFonts w:hint="default"/>
                <w:bCs/>
                <w:color w:val="auto"/>
                <w:sz w:val="24"/>
                <w:lang w:val="en-US" w:eastAsia="zh-CN"/>
              </w:rPr>
            </w:pPr>
            <w:r>
              <w:rPr>
                <w:rFonts w:hint="eastAsia"/>
                <w:bCs/>
                <w:color w:val="auto"/>
                <w:sz w:val="24"/>
                <w:lang w:val="en-US" w:eastAsia="zh-CN"/>
              </w:rPr>
              <w:t>此外，云南常青树化工有限公司</w:t>
            </w:r>
            <w:r>
              <w:rPr>
                <w:rFonts w:hint="eastAsia" w:ascii="Times New Roman" w:hAnsi="Times New Roman" w:eastAsia="宋体" w:cs="Times New Roman"/>
                <w:color w:val="auto"/>
                <w:sz w:val="24"/>
                <w:lang w:val="en-US" w:eastAsia="zh-CN"/>
              </w:rPr>
              <w:t>委托</w:t>
            </w:r>
            <w:r>
              <w:rPr>
                <w:rFonts w:hint="eastAsia"/>
                <w:bCs/>
                <w:color w:val="auto"/>
                <w:sz w:val="24"/>
                <w:lang w:val="en-US" w:eastAsia="zh-CN"/>
              </w:rPr>
              <w:t>云南浩辰环保科技有限公司每月对50t/h循环流化床锅炉DA007尾气进行自行监测。</w:t>
            </w:r>
          </w:p>
          <w:p w14:paraId="7D0F0F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z w:val="24"/>
                <w:highlight w:val="yellow"/>
                <w:lang w:eastAsia="zh-CN"/>
              </w:rPr>
            </w:pPr>
            <w:r>
              <w:rPr>
                <w:b/>
                <w:bCs/>
                <w:color w:val="auto"/>
                <w:sz w:val="24"/>
                <w:highlight w:val="none"/>
              </w:rPr>
              <w:t>表</w:t>
            </w:r>
            <w:r>
              <w:rPr>
                <w:rFonts w:hint="eastAsia"/>
                <w:b/>
                <w:bCs/>
                <w:color w:val="auto"/>
                <w:sz w:val="24"/>
                <w:highlight w:val="none"/>
              </w:rPr>
              <w:t>2</w:t>
            </w:r>
            <w:r>
              <w:rPr>
                <w:b/>
                <w:bCs/>
                <w:color w:val="auto"/>
                <w:sz w:val="24"/>
                <w:highlight w:val="none"/>
              </w:rPr>
              <w:t>-</w:t>
            </w:r>
            <w:r>
              <w:rPr>
                <w:rFonts w:hint="eastAsia"/>
                <w:b/>
                <w:bCs/>
                <w:color w:val="auto"/>
                <w:sz w:val="24"/>
                <w:highlight w:val="none"/>
                <w:lang w:val="en-US" w:eastAsia="zh-CN"/>
              </w:rPr>
              <w:t>33  有</w:t>
            </w:r>
            <w:r>
              <w:rPr>
                <w:rFonts w:hint="eastAsia"/>
                <w:b/>
                <w:bCs/>
                <w:color w:val="auto"/>
                <w:sz w:val="24"/>
                <w:highlight w:val="none"/>
              </w:rPr>
              <w:t>组织</w:t>
            </w:r>
            <w:r>
              <w:rPr>
                <w:b/>
                <w:bCs/>
                <w:color w:val="auto"/>
                <w:sz w:val="24"/>
                <w:highlight w:val="none"/>
              </w:rPr>
              <w:t>废</w:t>
            </w:r>
            <w:r>
              <w:rPr>
                <w:rFonts w:hint="eastAsia"/>
                <w:b/>
                <w:bCs/>
                <w:color w:val="auto"/>
                <w:sz w:val="24"/>
                <w:highlight w:val="none"/>
              </w:rPr>
              <w:t>气检</w:t>
            </w:r>
            <w:r>
              <w:rPr>
                <w:b/>
                <w:bCs/>
                <w:color w:val="auto"/>
                <w:sz w:val="24"/>
                <w:highlight w:val="none"/>
              </w:rPr>
              <w:t>测结果</w:t>
            </w:r>
            <w:r>
              <w:rPr>
                <w:rFonts w:hint="eastAsia"/>
                <w:b/>
                <w:bCs/>
                <w:color w:val="auto"/>
                <w:sz w:val="24"/>
                <w:highlight w:val="none"/>
              </w:rPr>
              <w:t>单位：mg/m</w:t>
            </w:r>
            <w:r>
              <w:rPr>
                <w:rFonts w:hint="eastAsia"/>
                <w:b/>
                <w:bCs/>
                <w:color w:val="auto"/>
                <w:sz w:val="24"/>
                <w:highlight w:val="none"/>
                <w:vertAlign w:val="superscript"/>
              </w:rPr>
              <w:t>3</w:t>
            </w:r>
          </w:p>
          <w:tbl>
            <w:tblPr>
              <w:tblStyle w:val="45"/>
              <w:tblW w:w="50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5"/>
              <w:gridCol w:w="1084"/>
              <w:gridCol w:w="567"/>
              <w:gridCol w:w="567"/>
              <w:gridCol w:w="567"/>
              <w:gridCol w:w="567"/>
              <w:gridCol w:w="567"/>
              <w:gridCol w:w="567"/>
              <w:gridCol w:w="567"/>
              <w:gridCol w:w="567"/>
              <w:gridCol w:w="576"/>
              <w:gridCol w:w="896"/>
              <w:gridCol w:w="612"/>
            </w:tblGrid>
            <w:tr w14:paraId="0B7C1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408" w:type="pct"/>
                  <w:vMerge w:val="restart"/>
                  <w:vAlign w:val="center"/>
                </w:tcPr>
                <w:p w14:paraId="74AE5B76">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监测点</w:t>
                  </w:r>
                </w:p>
              </w:tc>
              <w:tc>
                <w:tcPr>
                  <w:tcW w:w="646" w:type="pct"/>
                  <w:vMerge w:val="restart"/>
                  <w:vAlign w:val="center"/>
                </w:tcPr>
                <w:p w14:paraId="463AEF5A">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污染物</w:t>
                  </w:r>
                </w:p>
              </w:tc>
              <w:tc>
                <w:tcPr>
                  <w:tcW w:w="3047" w:type="pct"/>
                  <w:gridSpan w:val="9"/>
                  <w:vAlign w:val="center"/>
                </w:tcPr>
                <w:p w14:paraId="2224721A">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自行</w:t>
                  </w:r>
                  <w:r>
                    <w:rPr>
                      <w:rFonts w:hint="default" w:ascii="Times New Roman" w:hAnsi="Times New Roman" w:eastAsia="宋体" w:cs="Times New Roman"/>
                      <w:color w:val="auto"/>
                      <w:kern w:val="0"/>
                      <w:sz w:val="21"/>
                      <w:szCs w:val="21"/>
                      <w:highlight w:val="none"/>
                      <w:lang w:val="en-US" w:eastAsia="zh-CN"/>
                    </w:rPr>
                    <w:t>监测数据（mg/m</w:t>
                  </w:r>
                  <w:r>
                    <w:rPr>
                      <w:rFonts w:hint="default" w:ascii="Times New Roman" w:hAnsi="Times New Roman" w:eastAsia="宋体" w:cs="Times New Roman"/>
                      <w:color w:val="auto"/>
                      <w:kern w:val="0"/>
                      <w:sz w:val="21"/>
                      <w:szCs w:val="21"/>
                      <w:highlight w:val="none"/>
                      <w:vertAlign w:val="superscript"/>
                      <w:lang w:val="en-US" w:eastAsia="zh-CN"/>
                    </w:rPr>
                    <w:t>3</w:t>
                  </w:r>
                  <w:r>
                    <w:rPr>
                      <w:rFonts w:hint="default" w:ascii="Times New Roman" w:hAnsi="Times New Roman" w:eastAsia="宋体" w:cs="Times New Roman"/>
                      <w:color w:val="auto"/>
                      <w:kern w:val="0"/>
                      <w:sz w:val="21"/>
                      <w:szCs w:val="21"/>
                      <w:highlight w:val="none"/>
                      <w:lang w:val="en-US" w:eastAsia="zh-CN"/>
                    </w:rPr>
                    <w:t>）</w:t>
                  </w:r>
                </w:p>
              </w:tc>
              <w:tc>
                <w:tcPr>
                  <w:tcW w:w="533" w:type="pct"/>
                  <w:vMerge w:val="restart"/>
                  <w:vAlign w:val="center"/>
                </w:tcPr>
                <w:p w14:paraId="6740FEC9">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标准值</w:t>
                  </w:r>
                </w:p>
                <w:p w14:paraId="0384C2D0">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（mg/m</w:t>
                  </w:r>
                  <w:r>
                    <w:rPr>
                      <w:rFonts w:hint="default" w:ascii="Times New Roman" w:hAnsi="Times New Roman" w:eastAsia="宋体" w:cs="Times New Roman"/>
                      <w:color w:val="auto"/>
                      <w:kern w:val="0"/>
                      <w:sz w:val="21"/>
                      <w:szCs w:val="21"/>
                      <w:highlight w:val="none"/>
                      <w:vertAlign w:val="superscript"/>
                      <w:lang w:val="en-US" w:eastAsia="zh-CN"/>
                    </w:rPr>
                    <w:t>3</w:t>
                  </w:r>
                  <w:r>
                    <w:rPr>
                      <w:rFonts w:hint="default" w:ascii="Times New Roman" w:hAnsi="Times New Roman" w:eastAsia="宋体" w:cs="Times New Roman"/>
                      <w:color w:val="auto"/>
                      <w:kern w:val="0"/>
                      <w:sz w:val="21"/>
                      <w:szCs w:val="21"/>
                      <w:highlight w:val="none"/>
                      <w:lang w:val="en-US" w:eastAsia="zh-CN"/>
                    </w:rPr>
                    <w:t>）</w:t>
                  </w:r>
                </w:p>
              </w:tc>
              <w:tc>
                <w:tcPr>
                  <w:tcW w:w="364" w:type="pct"/>
                  <w:vMerge w:val="restart"/>
                  <w:vAlign w:val="center"/>
                </w:tcPr>
                <w:p w14:paraId="040F4CA3">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评价</w:t>
                  </w:r>
                </w:p>
              </w:tc>
            </w:tr>
            <w:tr w14:paraId="2F487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408" w:type="pct"/>
                  <w:vMerge w:val="continue"/>
                  <w:vAlign w:val="center"/>
                </w:tcPr>
                <w:p w14:paraId="09376C62">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646" w:type="pct"/>
                  <w:vMerge w:val="continue"/>
                  <w:vAlign w:val="center"/>
                </w:tcPr>
                <w:p w14:paraId="3F8430D9">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338" w:type="pct"/>
                  <w:vAlign w:val="center"/>
                </w:tcPr>
                <w:p w14:paraId="51766050">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2023.1</w:t>
                  </w:r>
                </w:p>
              </w:tc>
              <w:tc>
                <w:tcPr>
                  <w:tcW w:w="338" w:type="pct"/>
                  <w:vAlign w:val="center"/>
                </w:tcPr>
                <w:p w14:paraId="3B443E47">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2023.2</w:t>
                  </w:r>
                </w:p>
              </w:tc>
              <w:tc>
                <w:tcPr>
                  <w:tcW w:w="338" w:type="pct"/>
                  <w:vAlign w:val="center"/>
                </w:tcPr>
                <w:p w14:paraId="6B89E4C9">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2023.5</w:t>
                  </w:r>
                </w:p>
              </w:tc>
              <w:tc>
                <w:tcPr>
                  <w:tcW w:w="338" w:type="pct"/>
                  <w:vAlign w:val="center"/>
                </w:tcPr>
                <w:p w14:paraId="3D57138F">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2023.6</w:t>
                  </w:r>
                </w:p>
              </w:tc>
              <w:tc>
                <w:tcPr>
                  <w:tcW w:w="338" w:type="pct"/>
                  <w:vAlign w:val="center"/>
                </w:tcPr>
                <w:p w14:paraId="43EC58C0">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2023.7</w:t>
                  </w:r>
                </w:p>
              </w:tc>
              <w:tc>
                <w:tcPr>
                  <w:tcW w:w="338" w:type="pct"/>
                  <w:vAlign w:val="center"/>
                </w:tcPr>
                <w:p w14:paraId="15DE114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2023.8</w:t>
                  </w:r>
                </w:p>
              </w:tc>
              <w:tc>
                <w:tcPr>
                  <w:tcW w:w="338" w:type="pct"/>
                  <w:vAlign w:val="center"/>
                </w:tcPr>
                <w:p w14:paraId="46A32FFD">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2023.9</w:t>
                  </w:r>
                </w:p>
              </w:tc>
              <w:tc>
                <w:tcPr>
                  <w:tcW w:w="338" w:type="pct"/>
                  <w:vAlign w:val="center"/>
                </w:tcPr>
                <w:p w14:paraId="5D482DCF">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2023.10</w:t>
                  </w:r>
                </w:p>
              </w:tc>
              <w:tc>
                <w:tcPr>
                  <w:tcW w:w="343" w:type="pct"/>
                  <w:vAlign w:val="center"/>
                </w:tcPr>
                <w:p w14:paraId="3F9E9765">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2023.11</w:t>
                  </w:r>
                </w:p>
              </w:tc>
              <w:tc>
                <w:tcPr>
                  <w:tcW w:w="533" w:type="pct"/>
                  <w:vMerge w:val="continue"/>
                  <w:vAlign w:val="center"/>
                </w:tcPr>
                <w:p w14:paraId="3CFE1814">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364" w:type="pct"/>
                  <w:vMerge w:val="continue"/>
                  <w:vAlign w:val="center"/>
                </w:tcPr>
                <w:p w14:paraId="5603A94C">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r>
            <w:tr w14:paraId="1C4DD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408" w:type="pct"/>
                  <w:vMerge w:val="restart"/>
                  <w:vAlign w:val="center"/>
                </w:tcPr>
                <w:p w14:paraId="00EB6296">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DA00</w:t>
                  </w:r>
                  <w:r>
                    <w:rPr>
                      <w:rFonts w:hint="eastAsia" w:cs="Times New Roman"/>
                      <w:color w:val="auto"/>
                      <w:kern w:val="0"/>
                      <w:sz w:val="21"/>
                      <w:szCs w:val="21"/>
                      <w:highlight w:val="none"/>
                      <w:lang w:val="en-US" w:eastAsia="zh-CN"/>
                    </w:rPr>
                    <w:t>7</w:t>
                  </w:r>
                </w:p>
              </w:tc>
              <w:tc>
                <w:tcPr>
                  <w:tcW w:w="646" w:type="pct"/>
                  <w:vAlign w:val="center"/>
                </w:tcPr>
                <w:p w14:paraId="667F01DA">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SO</w:t>
                  </w:r>
                  <w:r>
                    <w:rPr>
                      <w:rFonts w:hint="eastAsia" w:cs="Times New Roman"/>
                      <w:color w:val="auto"/>
                      <w:kern w:val="0"/>
                      <w:sz w:val="21"/>
                      <w:szCs w:val="21"/>
                      <w:highlight w:val="none"/>
                      <w:vertAlign w:val="subscript"/>
                      <w:lang w:val="en-US" w:eastAsia="zh-CN"/>
                    </w:rPr>
                    <w:t>2</w:t>
                  </w:r>
                </w:p>
              </w:tc>
              <w:tc>
                <w:tcPr>
                  <w:tcW w:w="338" w:type="pct"/>
                  <w:vAlign w:val="center"/>
                </w:tcPr>
                <w:p w14:paraId="62D816B9">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99.2</w:t>
                  </w:r>
                </w:p>
              </w:tc>
              <w:tc>
                <w:tcPr>
                  <w:tcW w:w="338" w:type="pct"/>
                  <w:vAlign w:val="center"/>
                </w:tcPr>
                <w:p w14:paraId="664F3951">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42.7</w:t>
                  </w:r>
                </w:p>
              </w:tc>
              <w:tc>
                <w:tcPr>
                  <w:tcW w:w="338" w:type="pct"/>
                  <w:vAlign w:val="center"/>
                </w:tcPr>
                <w:p w14:paraId="29BF69A1">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&lt;3.41</w:t>
                  </w:r>
                </w:p>
              </w:tc>
              <w:tc>
                <w:tcPr>
                  <w:tcW w:w="338" w:type="pct"/>
                  <w:vAlign w:val="center"/>
                </w:tcPr>
                <w:p w14:paraId="53C74A4E">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13.7</w:t>
                  </w:r>
                </w:p>
              </w:tc>
              <w:tc>
                <w:tcPr>
                  <w:tcW w:w="338" w:type="pct"/>
                  <w:vAlign w:val="center"/>
                </w:tcPr>
                <w:p w14:paraId="33B4F99F">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226</w:t>
                  </w:r>
                </w:p>
              </w:tc>
              <w:tc>
                <w:tcPr>
                  <w:tcW w:w="338" w:type="pct"/>
                  <w:vAlign w:val="center"/>
                </w:tcPr>
                <w:p w14:paraId="6ED6EAF2">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34.8</w:t>
                  </w:r>
                </w:p>
              </w:tc>
              <w:tc>
                <w:tcPr>
                  <w:tcW w:w="338" w:type="pct"/>
                  <w:vAlign w:val="center"/>
                </w:tcPr>
                <w:p w14:paraId="16407BDA">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99.6</w:t>
                  </w:r>
                </w:p>
              </w:tc>
              <w:tc>
                <w:tcPr>
                  <w:tcW w:w="338" w:type="pct"/>
                  <w:vAlign w:val="center"/>
                </w:tcPr>
                <w:p w14:paraId="00106419">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50.2</w:t>
                  </w:r>
                </w:p>
              </w:tc>
              <w:tc>
                <w:tcPr>
                  <w:tcW w:w="343" w:type="pct"/>
                  <w:vAlign w:val="center"/>
                </w:tcPr>
                <w:p w14:paraId="09A7C7C2">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78.6</w:t>
                  </w:r>
                </w:p>
              </w:tc>
              <w:tc>
                <w:tcPr>
                  <w:tcW w:w="533" w:type="pct"/>
                  <w:vAlign w:val="center"/>
                </w:tcPr>
                <w:p w14:paraId="5473979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400</w:t>
                  </w:r>
                </w:p>
              </w:tc>
              <w:tc>
                <w:tcPr>
                  <w:tcW w:w="364" w:type="pct"/>
                  <w:vAlign w:val="center"/>
                </w:tcPr>
                <w:p w14:paraId="5DB7C834">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达标</w:t>
                  </w:r>
                </w:p>
              </w:tc>
            </w:tr>
            <w:tr w14:paraId="49124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408" w:type="pct"/>
                  <w:vMerge w:val="continue"/>
                  <w:vAlign w:val="center"/>
                </w:tcPr>
                <w:p w14:paraId="06F676FD">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646" w:type="pct"/>
                  <w:vAlign w:val="center"/>
                </w:tcPr>
                <w:p w14:paraId="657185D5">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NOx</w:t>
                  </w:r>
                </w:p>
              </w:tc>
              <w:tc>
                <w:tcPr>
                  <w:tcW w:w="338" w:type="pct"/>
                  <w:vAlign w:val="center"/>
                </w:tcPr>
                <w:p w14:paraId="76598B4A">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112</w:t>
                  </w:r>
                </w:p>
              </w:tc>
              <w:tc>
                <w:tcPr>
                  <w:tcW w:w="338" w:type="pct"/>
                  <w:vAlign w:val="center"/>
                </w:tcPr>
                <w:p w14:paraId="2EC437E5">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179</w:t>
                  </w:r>
                </w:p>
              </w:tc>
              <w:tc>
                <w:tcPr>
                  <w:tcW w:w="338" w:type="pct"/>
                  <w:vAlign w:val="center"/>
                </w:tcPr>
                <w:p w14:paraId="19B0FEEF">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61.7</w:t>
                  </w:r>
                </w:p>
              </w:tc>
              <w:tc>
                <w:tcPr>
                  <w:tcW w:w="338" w:type="pct"/>
                  <w:vAlign w:val="center"/>
                </w:tcPr>
                <w:p w14:paraId="14C1642B">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162</w:t>
                  </w:r>
                </w:p>
              </w:tc>
              <w:tc>
                <w:tcPr>
                  <w:tcW w:w="338" w:type="pct"/>
                  <w:vAlign w:val="center"/>
                </w:tcPr>
                <w:p w14:paraId="5EE0AD4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207</w:t>
                  </w:r>
                </w:p>
              </w:tc>
              <w:tc>
                <w:tcPr>
                  <w:tcW w:w="338" w:type="pct"/>
                  <w:vAlign w:val="center"/>
                </w:tcPr>
                <w:p w14:paraId="7B53E455">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174</w:t>
                  </w:r>
                </w:p>
              </w:tc>
              <w:tc>
                <w:tcPr>
                  <w:tcW w:w="338" w:type="pct"/>
                  <w:vAlign w:val="center"/>
                </w:tcPr>
                <w:p w14:paraId="1A288859">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192</w:t>
                  </w:r>
                </w:p>
              </w:tc>
              <w:tc>
                <w:tcPr>
                  <w:tcW w:w="338" w:type="pct"/>
                  <w:vAlign w:val="center"/>
                </w:tcPr>
                <w:p w14:paraId="41B65B93">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124</w:t>
                  </w:r>
                </w:p>
              </w:tc>
              <w:tc>
                <w:tcPr>
                  <w:tcW w:w="343" w:type="pct"/>
                  <w:vAlign w:val="center"/>
                </w:tcPr>
                <w:p w14:paraId="4D2C1C76">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166</w:t>
                  </w:r>
                </w:p>
              </w:tc>
              <w:tc>
                <w:tcPr>
                  <w:tcW w:w="533" w:type="pct"/>
                  <w:vAlign w:val="center"/>
                </w:tcPr>
                <w:p w14:paraId="491CC4F1">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400</w:t>
                  </w:r>
                </w:p>
              </w:tc>
              <w:tc>
                <w:tcPr>
                  <w:tcW w:w="364" w:type="pct"/>
                  <w:vAlign w:val="center"/>
                </w:tcPr>
                <w:p w14:paraId="459C5712">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达标</w:t>
                  </w:r>
                </w:p>
              </w:tc>
            </w:tr>
            <w:tr w14:paraId="40637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408" w:type="pct"/>
                  <w:vMerge w:val="continue"/>
                  <w:vAlign w:val="center"/>
                </w:tcPr>
                <w:p w14:paraId="35A770AC">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646" w:type="pct"/>
                  <w:vAlign w:val="center"/>
                </w:tcPr>
                <w:p w14:paraId="15ECF096">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烟尘</w:t>
                  </w:r>
                </w:p>
              </w:tc>
              <w:tc>
                <w:tcPr>
                  <w:tcW w:w="338" w:type="pct"/>
                  <w:vAlign w:val="center"/>
                </w:tcPr>
                <w:p w14:paraId="28E3F6AD">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30.6</w:t>
                  </w:r>
                </w:p>
              </w:tc>
              <w:tc>
                <w:tcPr>
                  <w:tcW w:w="338" w:type="pct"/>
                  <w:vAlign w:val="center"/>
                </w:tcPr>
                <w:p w14:paraId="4E85A702">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32.8</w:t>
                  </w:r>
                </w:p>
              </w:tc>
              <w:tc>
                <w:tcPr>
                  <w:tcW w:w="338" w:type="pct"/>
                  <w:vAlign w:val="center"/>
                </w:tcPr>
                <w:p w14:paraId="0F69759D">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28.5</w:t>
                  </w:r>
                </w:p>
              </w:tc>
              <w:tc>
                <w:tcPr>
                  <w:tcW w:w="338" w:type="pct"/>
                  <w:vAlign w:val="center"/>
                </w:tcPr>
                <w:p w14:paraId="62DC6706">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&lt;23.1</w:t>
                  </w:r>
                </w:p>
              </w:tc>
              <w:tc>
                <w:tcPr>
                  <w:tcW w:w="338" w:type="pct"/>
                  <w:vAlign w:val="center"/>
                </w:tcPr>
                <w:p w14:paraId="7A2BDE59">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31.6</w:t>
                  </w:r>
                </w:p>
              </w:tc>
              <w:tc>
                <w:tcPr>
                  <w:tcW w:w="338" w:type="pct"/>
                  <w:vAlign w:val="center"/>
                </w:tcPr>
                <w:p w14:paraId="27B83C1F">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37.1</w:t>
                  </w:r>
                </w:p>
              </w:tc>
              <w:tc>
                <w:tcPr>
                  <w:tcW w:w="338" w:type="pct"/>
                  <w:vAlign w:val="center"/>
                </w:tcPr>
                <w:p w14:paraId="3D5D2E45">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52.8</w:t>
                  </w:r>
                </w:p>
              </w:tc>
              <w:tc>
                <w:tcPr>
                  <w:tcW w:w="338" w:type="pct"/>
                  <w:vAlign w:val="center"/>
                </w:tcPr>
                <w:p w14:paraId="0DC59F00">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33.1</w:t>
                  </w:r>
                </w:p>
              </w:tc>
              <w:tc>
                <w:tcPr>
                  <w:tcW w:w="343" w:type="pct"/>
                  <w:vAlign w:val="center"/>
                </w:tcPr>
                <w:p w14:paraId="75815B2F">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41.9</w:t>
                  </w:r>
                </w:p>
              </w:tc>
              <w:tc>
                <w:tcPr>
                  <w:tcW w:w="533" w:type="pct"/>
                  <w:vAlign w:val="center"/>
                </w:tcPr>
                <w:p w14:paraId="48F1CE5C">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80</w:t>
                  </w:r>
                </w:p>
              </w:tc>
              <w:tc>
                <w:tcPr>
                  <w:tcW w:w="364" w:type="pct"/>
                  <w:vAlign w:val="center"/>
                </w:tcPr>
                <w:p w14:paraId="04568CFA">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达标</w:t>
                  </w:r>
                </w:p>
              </w:tc>
            </w:tr>
          </w:tbl>
          <w:p w14:paraId="30195B4C">
            <w:pPr>
              <w:spacing w:line="360" w:lineRule="auto"/>
              <w:ind w:firstLine="480" w:firstLineChars="200"/>
              <w:jc w:val="left"/>
              <w:rPr>
                <w:rFonts w:hint="eastAsia"/>
                <w:bCs/>
                <w:color w:val="auto"/>
                <w:sz w:val="24"/>
                <w:lang w:val="en-US" w:eastAsia="zh-CN"/>
              </w:rPr>
            </w:pPr>
            <w:r>
              <w:rPr>
                <w:rFonts w:hint="eastAsia"/>
                <w:bCs/>
                <w:color w:val="auto"/>
                <w:sz w:val="24"/>
                <w:lang w:val="en-US" w:eastAsia="zh-CN"/>
              </w:rPr>
              <w:t>根据上表监测结果可知：50t/h循环流化床锅炉在运行期间有组织废气均达到《锅炉大气污染物排放标准》（GB13271-2014）已建燃煤锅炉大气污染物排放浓度限值。即：颗粒物≤80mg/m³，氮氧化物≤400mg/m³，二氧化硫≤400mg/m</w:t>
            </w:r>
            <w:r>
              <w:rPr>
                <w:rFonts w:hint="eastAsia"/>
                <w:bCs/>
                <w:color w:val="auto"/>
                <w:sz w:val="24"/>
                <w:vertAlign w:val="superscript"/>
                <w:lang w:val="en-US" w:eastAsia="zh-CN"/>
              </w:rPr>
              <w:t>3</w:t>
            </w:r>
            <w:r>
              <w:rPr>
                <w:rFonts w:hint="eastAsia"/>
                <w:bCs/>
                <w:color w:val="auto"/>
                <w:sz w:val="24"/>
                <w:lang w:val="en-US" w:eastAsia="zh-CN"/>
              </w:rPr>
              <w:t>。</w:t>
            </w:r>
          </w:p>
          <w:p w14:paraId="3AAD7576">
            <w:pPr>
              <w:spacing w:line="360" w:lineRule="auto"/>
              <w:ind w:firstLine="480" w:firstLineChars="200"/>
              <w:jc w:val="both"/>
              <w:rPr>
                <w:rFonts w:hint="eastAsia"/>
                <w:bCs/>
                <w:color w:val="auto"/>
                <w:sz w:val="24"/>
                <w:lang w:eastAsia="zh-CN"/>
              </w:rPr>
            </w:pPr>
            <w:r>
              <w:rPr>
                <w:rFonts w:hint="eastAsia"/>
                <w:bCs/>
                <w:color w:val="auto"/>
                <w:sz w:val="24"/>
                <w:szCs w:val="24"/>
                <w:lang w:val="en-US" w:eastAsia="zh-CN"/>
              </w:rPr>
              <w:t>现有工程</w:t>
            </w:r>
            <w:r>
              <w:rPr>
                <w:rFonts w:hint="eastAsia" w:cs="Times New Roman"/>
                <w:color w:val="auto"/>
                <w:sz w:val="24"/>
                <w:szCs w:val="24"/>
                <w:highlight w:val="none"/>
                <w:lang w:val="en-US" w:eastAsia="zh-CN"/>
              </w:rPr>
              <w:t>皮带运输、</w:t>
            </w:r>
            <w:r>
              <w:rPr>
                <w:rFonts w:hint="eastAsia"/>
                <w:color w:val="auto"/>
                <w:sz w:val="24"/>
                <w:szCs w:val="24"/>
                <w:highlight w:val="none"/>
              </w:rPr>
              <w:t>计量系统</w:t>
            </w:r>
            <w:r>
              <w:rPr>
                <w:rFonts w:hint="eastAsia"/>
                <w:color w:val="auto"/>
                <w:sz w:val="24"/>
                <w:szCs w:val="24"/>
                <w:highlight w:val="none"/>
                <w:lang w:val="en-US" w:eastAsia="zh-CN"/>
              </w:rPr>
              <w:t>采用彩钢瓦全封闭；搅拌机</w:t>
            </w:r>
            <w:r>
              <w:rPr>
                <w:rFonts w:hint="eastAsia"/>
                <w:color w:val="auto"/>
                <w:sz w:val="24"/>
                <w:szCs w:val="24"/>
              </w:rPr>
              <w:t>设备机身为封闭式，下料口连接皮带输送系统</w:t>
            </w:r>
            <w:r>
              <w:rPr>
                <w:rFonts w:hint="eastAsia"/>
                <w:color w:val="auto"/>
                <w:sz w:val="24"/>
                <w:szCs w:val="24"/>
                <w:lang w:eastAsia="zh-CN"/>
              </w:rPr>
              <w:t>；</w:t>
            </w:r>
            <w:r>
              <w:rPr>
                <w:rFonts w:hint="eastAsia" w:cs="Times New Roman"/>
                <w:color w:val="auto"/>
                <w:sz w:val="24"/>
                <w:szCs w:val="24"/>
                <w:highlight w:val="none"/>
                <w:lang w:val="en-US" w:eastAsia="zh-CN"/>
              </w:rPr>
              <w:t>原料库及成品库</w:t>
            </w:r>
            <w:r>
              <w:rPr>
                <w:rFonts w:hint="eastAsia"/>
                <w:color w:val="auto"/>
                <w:sz w:val="24"/>
                <w:szCs w:val="24"/>
                <w:lang w:val="en-US" w:eastAsia="zh-CN"/>
              </w:rPr>
              <w:t>均三面封闭，仅留有一个出入口，产生粉尘在库房内沉降；石灰筒仓产生的落料粉尘经仓顶除尘器处理后呈无组织排放</w:t>
            </w:r>
            <w:r>
              <w:rPr>
                <w:rFonts w:hint="eastAsia"/>
                <w:bCs/>
                <w:color w:val="auto"/>
                <w:sz w:val="24"/>
                <w:szCs w:val="24"/>
                <w:lang w:val="en-US" w:eastAsia="zh-CN"/>
              </w:rPr>
              <w:t>。</w:t>
            </w:r>
            <w:r>
              <w:rPr>
                <w:rFonts w:hint="eastAsia"/>
                <w:bCs/>
                <w:color w:val="auto"/>
                <w:sz w:val="24"/>
                <w:lang w:val="en-US" w:eastAsia="zh-CN"/>
              </w:rPr>
              <w:t>根据环评报告核算，排放量为0.5t/a。根据2023年3月16日、2023年6月27日、2023年9月24日、2023年12月27日云南常青树化工有限公司委托云南浩辰环保科技有限公司对无组织颗粒物的自行监测报告，</w:t>
            </w:r>
            <w:r>
              <w:rPr>
                <w:rFonts w:hint="eastAsia"/>
                <w:color w:val="auto"/>
                <w:sz w:val="24"/>
              </w:rPr>
              <w:t>监测期间</w:t>
            </w:r>
            <w:r>
              <w:rPr>
                <w:rFonts w:hint="eastAsia"/>
                <w:color w:val="auto"/>
                <w:sz w:val="24"/>
                <w:lang w:val="en-US" w:eastAsia="zh-CN"/>
              </w:rPr>
              <w:t>球状</w:t>
            </w:r>
            <w:r>
              <w:rPr>
                <w:rFonts w:hint="eastAsia"/>
                <w:color w:val="auto"/>
                <w:sz w:val="24"/>
              </w:rPr>
              <w:t>水泥缓凝剂生产线正常生产。</w:t>
            </w:r>
            <w:r>
              <w:rPr>
                <w:rFonts w:hint="eastAsia" w:cs="Times New Roman"/>
                <w:color w:val="auto"/>
                <w:sz w:val="24"/>
                <w:szCs w:val="24"/>
                <w:lang w:val="en-US" w:eastAsia="zh-CN"/>
              </w:rPr>
              <w:t>颗粒物可</w:t>
            </w:r>
            <w:r>
              <w:rPr>
                <w:rFonts w:hint="default" w:ascii="Times New Roman" w:hAnsi="Times New Roman" w:cs="Times New Roman"/>
                <w:color w:val="auto"/>
                <w:sz w:val="24"/>
                <w:szCs w:val="24"/>
                <w:lang w:val="en-US" w:eastAsia="zh-CN"/>
              </w:rPr>
              <w:t>满足《大气污染物综合排放标准》（GB16297-1996）中限值要求，即</w:t>
            </w:r>
            <w:r>
              <w:rPr>
                <w:rFonts w:hint="eastAsia" w:cs="Times New Roman"/>
                <w:color w:val="auto"/>
                <w:sz w:val="24"/>
                <w:szCs w:val="24"/>
                <w:lang w:val="en-US" w:eastAsia="zh-CN"/>
              </w:rPr>
              <w:t>颗粒物排放浓度</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1.0</w:t>
            </w:r>
            <w:r>
              <w:rPr>
                <w:rFonts w:hint="default" w:ascii="Times New Roman" w:hAnsi="Times New Roman" w:cs="Times New Roman"/>
                <w:color w:val="auto"/>
                <w:sz w:val="24"/>
                <w:szCs w:val="24"/>
                <w:lang w:val="en-US" w:eastAsia="zh-CN"/>
              </w:rPr>
              <w:t>mg/m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rPr>
              <w:t>。</w:t>
            </w:r>
          </w:p>
          <w:p w14:paraId="45CDAC77">
            <w:pPr>
              <w:spacing w:line="360" w:lineRule="auto"/>
              <w:ind w:firstLine="480" w:firstLineChars="200"/>
              <w:jc w:val="left"/>
              <w:rPr>
                <w:rFonts w:hint="default" w:eastAsia="宋体"/>
                <w:bCs/>
                <w:color w:val="auto"/>
                <w:sz w:val="24"/>
                <w:lang w:val="en-US" w:eastAsia="zh-CN"/>
              </w:rPr>
            </w:pPr>
            <w:r>
              <w:rPr>
                <w:rFonts w:hint="eastAsia" w:ascii="宋体" w:hAnsi="宋体" w:eastAsia="宋体" w:cs="宋体"/>
                <w:bCs/>
                <w:color w:val="auto"/>
                <w:sz w:val="24"/>
                <w:lang w:eastAsia="zh-CN"/>
              </w:rPr>
              <w:t>②</w:t>
            </w:r>
            <w:r>
              <w:rPr>
                <w:rFonts w:hint="eastAsia"/>
                <w:bCs/>
                <w:color w:val="auto"/>
                <w:sz w:val="24"/>
                <w:lang w:val="en-US" w:eastAsia="zh-CN"/>
              </w:rPr>
              <w:t>废水</w:t>
            </w:r>
          </w:p>
          <w:p w14:paraId="3F94E489">
            <w:pPr>
              <w:spacing w:line="360" w:lineRule="auto"/>
              <w:ind w:firstLine="480" w:firstLineChars="200"/>
              <w:jc w:val="left"/>
              <w:rPr>
                <w:rFonts w:hint="default"/>
                <w:bCs/>
                <w:color w:val="auto"/>
                <w:sz w:val="24"/>
                <w:lang w:val="en-US" w:eastAsia="zh-CN"/>
              </w:rPr>
            </w:pPr>
            <w:r>
              <w:rPr>
                <w:rFonts w:hint="eastAsia"/>
                <w:bCs/>
                <w:color w:val="auto"/>
                <w:sz w:val="24"/>
                <w:lang w:val="en-US" w:eastAsia="zh-CN"/>
              </w:rPr>
              <w:t>A、生活废水</w:t>
            </w:r>
          </w:p>
          <w:p w14:paraId="5F6D55F9">
            <w:pPr>
              <w:spacing w:line="360" w:lineRule="auto"/>
              <w:ind w:firstLine="480" w:firstLineChars="200"/>
              <w:jc w:val="left"/>
              <w:rPr>
                <w:rFonts w:hint="eastAsia"/>
                <w:bCs/>
                <w:color w:val="auto"/>
                <w:sz w:val="24"/>
                <w:lang w:val="en-US" w:eastAsia="zh-CN"/>
              </w:rPr>
            </w:pPr>
            <w:r>
              <w:rPr>
                <w:rFonts w:hint="eastAsia"/>
                <w:bCs/>
                <w:color w:val="auto"/>
                <w:sz w:val="24"/>
                <w:lang w:val="en-US" w:eastAsia="zh-CN"/>
              </w:rPr>
              <w:t>现有项目未新增职工人员，生活废水经化粪池处理后回用于磷酸生产环节，不外排。</w:t>
            </w:r>
          </w:p>
          <w:p w14:paraId="2CE68823">
            <w:pPr>
              <w:spacing w:line="360" w:lineRule="auto"/>
              <w:ind w:firstLine="480" w:firstLineChars="200"/>
              <w:jc w:val="left"/>
              <w:rPr>
                <w:rFonts w:hint="default"/>
                <w:bCs/>
                <w:color w:val="auto"/>
                <w:sz w:val="24"/>
                <w:lang w:val="en-US" w:eastAsia="zh-CN"/>
              </w:rPr>
            </w:pPr>
            <w:r>
              <w:rPr>
                <w:rFonts w:hint="eastAsia"/>
                <w:bCs/>
                <w:color w:val="auto"/>
                <w:sz w:val="24"/>
                <w:lang w:val="en-US" w:eastAsia="zh-CN"/>
              </w:rPr>
              <w:t>B、蒸汽冷凝水</w:t>
            </w:r>
          </w:p>
          <w:p w14:paraId="342825EE">
            <w:pPr>
              <w:spacing w:line="360" w:lineRule="auto"/>
              <w:ind w:firstLine="480" w:firstLineChars="200"/>
              <w:jc w:val="left"/>
              <w:rPr>
                <w:rFonts w:hint="default" w:ascii="Times New Roman" w:hAnsi="Times New Roman" w:cs="Times New Roman"/>
                <w:color w:val="auto"/>
              </w:rPr>
            </w:pPr>
            <w:r>
              <w:rPr>
                <w:rFonts w:hint="eastAsia"/>
                <w:bCs/>
                <w:color w:val="auto"/>
                <w:sz w:val="24"/>
                <w:lang w:val="en-US" w:eastAsia="zh-CN"/>
              </w:rPr>
              <w:t>球状水泥缓凝剂主要原料磷石膏含结晶水和游离水约20%，因此，</w:t>
            </w:r>
            <w:r>
              <w:rPr>
                <w:rFonts w:hint="eastAsia" w:ascii="宋体" w:hAnsi="宋体" w:eastAsia="宋体" w:cs="宋体"/>
                <w:color w:val="auto"/>
                <w:kern w:val="0"/>
                <w:sz w:val="24"/>
                <w:szCs w:val="24"/>
                <w:lang w:val="en-US" w:eastAsia="zh-CN" w:bidi="ar"/>
              </w:rPr>
              <w:t>在球状水泥缓凝剂混合成型前无需用水，当成型后送至加压蒸养工序，蒸养过程蒸汽为直接使</w:t>
            </w:r>
            <w:r>
              <w:rPr>
                <w:rFonts w:hint="default" w:ascii="Times New Roman" w:hAnsi="Times New Roman" w:eastAsia="宋体" w:cs="Times New Roman"/>
                <w:color w:val="auto"/>
                <w:kern w:val="0"/>
                <w:sz w:val="24"/>
                <w:szCs w:val="24"/>
                <w:lang w:val="en-US" w:eastAsia="zh-CN" w:bidi="ar"/>
              </w:rPr>
              <w:t>用，在预热至保温过程将产生冷凝水，泄压时采取先倒汽、排放冷凝水，后低压排空方式进行。产生蒸汽冷凝水中污染物主要含有SS和少量氟化物，产生量为672t/d。小部分回用于成球工艺，其余通过管道进入</w:t>
            </w:r>
            <w:r>
              <w:rPr>
                <w:rFonts w:hint="eastAsia"/>
                <w:color w:val="auto"/>
                <w:sz w:val="24"/>
                <w:szCs w:val="24"/>
                <w:highlight w:val="none"/>
                <w:lang w:val="en-US" w:eastAsia="zh-CN" w:bidi="ar"/>
              </w:rPr>
              <w:t>工艺循环水池</w:t>
            </w:r>
            <w:r>
              <w:rPr>
                <w:rFonts w:hint="default" w:ascii="Times New Roman" w:hAnsi="Times New Roman" w:eastAsia="宋体" w:cs="Times New Roman"/>
                <w:color w:val="auto"/>
                <w:kern w:val="0"/>
                <w:sz w:val="24"/>
                <w:szCs w:val="24"/>
                <w:lang w:val="en-US" w:eastAsia="zh-CN" w:bidi="ar"/>
              </w:rPr>
              <w:t>储存后回用于磷酸生产，不外排。</w:t>
            </w:r>
          </w:p>
          <w:p w14:paraId="1EC03A91">
            <w:pPr>
              <w:spacing w:line="360" w:lineRule="auto"/>
              <w:ind w:firstLine="480" w:firstLineChars="200"/>
              <w:jc w:val="left"/>
              <w:rPr>
                <w:rFonts w:hint="default"/>
                <w:bCs/>
                <w:color w:val="auto"/>
                <w:sz w:val="24"/>
                <w:lang w:val="en-US" w:eastAsia="zh-CN"/>
              </w:rPr>
            </w:pPr>
            <w:r>
              <w:rPr>
                <w:rFonts w:hint="eastAsia"/>
                <w:bCs/>
                <w:color w:val="auto"/>
                <w:sz w:val="24"/>
                <w:lang w:val="en-US" w:eastAsia="zh-CN"/>
              </w:rPr>
              <w:t>C、锅炉脱硫废水</w:t>
            </w:r>
          </w:p>
          <w:p w14:paraId="76A9C711">
            <w:pPr>
              <w:spacing w:line="360" w:lineRule="auto"/>
              <w:ind w:firstLine="480" w:firstLineChars="200"/>
              <w:jc w:val="left"/>
              <w:rPr>
                <w:color w:val="auto"/>
              </w:rPr>
            </w:pPr>
            <w:r>
              <w:rPr>
                <w:rFonts w:hint="default" w:ascii="Times New Roman" w:hAnsi="Times New Roman" w:eastAsia="宋体" w:cs="Times New Roman"/>
                <w:color w:val="auto"/>
                <w:kern w:val="0"/>
                <w:sz w:val="24"/>
                <w:szCs w:val="24"/>
                <w:lang w:val="en-US" w:eastAsia="zh-CN" w:bidi="ar"/>
              </w:rPr>
              <w:t>项目锅炉脱硫系统采用氨水脱硫，脱硫系统运行过程中采用氨水脱硫后废水中主要成分为硫铵，该部分废水循环使用，脱硫废水循环使用约</w:t>
            </w:r>
            <w:r>
              <w:rPr>
                <w:rFonts w:hint="eastAsia" w:ascii="Times New Roman" w:hAnsi="Times New Roman" w:eastAsia="宋体" w:cs="Times New Roman"/>
                <w:color w:val="auto"/>
                <w:kern w:val="0"/>
                <w:sz w:val="24"/>
                <w:szCs w:val="24"/>
                <w:lang w:val="en-US" w:eastAsia="zh-CN" w:bidi="ar"/>
              </w:rPr>
              <w:t>15</w:t>
            </w:r>
            <w:r>
              <w:rPr>
                <w:rFonts w:hint="default" w:ascii="Times New Roman" w:hAnsi="Times New Roman" w:eastAsia="宋体" w:cs="Times New Roman"/>
                <w:color w:val="auto"/>
                <w:kern w:val="0"/>
                <w:sz w:val="24"/>
                <w:szCs w:val="24"/>
                <w:lang w:val="en-US" w:eastAsia="zh-CN" w:bidi="ar"/>
              </w:rPr>
              <w:t xml:space="preserve">天后，统一用泵抽至厂区磷酸二铵生产线循环使用，锅炉脱硫废水产生量约为70m³/次，废水不外排。公司厂区现有磷酸二铵生产线能满足该部分废水的消耗和循环使用。 </w:t>
            </w:r>
          </w:p>
          <w:p w14:paraId="3817C12A">
            <w:pPr>
              <w:spacing w:line="360" w:lineRule="auto"/>
              <w:ind w:firstLine="480" w:firstLineChars="200"/>
              <w:jc w:val="left"/>
              <w:rPr>
                <w:rFonts w:hint="default" w:eastAsia="宋体"/>
                <w:bCs/>
                <w:color w:val="auto"/>
                <w:sz w:val="24"/>
                <w:lang w:val="en-US" w:eastAsia="zh-CN"/>
              </w:rPr>
            </w:pPr>
            <w:r>
              <w:rPr>
                <w:rFonts w:hint="eastAsia" w:ascii="宋体" w:hAnsi="宋体" w:eastAsia="宋体" w:cs="宋体"/>
                <w:bCs/>
                <w:color w:val="auto"/>
                <w:sz w:val="24"/>
                <w:lang w:eastAsia="zh-CN"/>
              </w:rPr>
              <w:t>③</w:t>
            </w:r>
            <w:r>
              <w:rPr>
                <w:rFonts w:hint="eastAsia"/>
                <w:bCs/>
                <w:color w:val="auto"/>
                <w:sz w:val="24"/>
                <w:lang w:val="en-US" w:eastAsia="zh-CN"/>
              </w:rPr>
              <w:t>噪声</w:t>
            </w:r>
          </w:p>
          <w:p w14:paraId="6CBAED0B">
            <w:pPr>
              <w:spacing w:line="360" w:lineRule="auto"/>
              <w:ind w:firstLine="480" w:firstLineChars="200"/>
              <w:jc w:val="left"/>
              <w:rPr>
                <w:color w:val="auto"/>
              </w:rPr>
            </w:pPr>
            <w:r>
              <w:rPr>
                <w:rFonts w:hint="eastAsia" w:ascii="宋体" w:hAnsi="宋体" w:eastAsia="宋体" w:cs="宋体"/>
                <w:color w:val="auto"/>
                <w:kern w:val="0"/>
                <w:sz w:val="24"/>
                <w:szCs w:val="24"/>
                <w:lang w:val="en-US" w:eastAsia="zh-CN" w:bidi="ar"/>
              </w:rPr>
              <w:t>项目产生的噪声主要来源于搅拌机、空压机、风机、水泵、皮带输送机、站内车辆运行等生产设备产生的噪声，设备通过基础减振、封闭厂房等降噪措施来降低噪声对外界的影响。</w:t>
            </w:r>
            <w:r>
              <w:rPr>
                <w:rFonts w:hint="eastAsia"/>
                <w:bCs/>
                <w:color w:val="auto"/>
                <w:sz w:val="24"/>
                <w:lang w:val="en-US" w:eastAsia="zh-CN"/>
              </w:rPr>
              <w:t>根据2023年3月16日、2023年6月27日、2023年9月24日、2023年12月27日云南云南常青树化工有限公司委托云南浩辰环保科技有限公司对厂界噪声的自行监测报告（检测结果详见表2-31），</w:t>
            </w:r>
            <w:r>
              <w:rPr>
                <w:rFonts w:hint="eastAsia"/>
                <w:color w:val="auto"/>
                <w:sz w:val="24"/>
                <w:lang w:eastAsia="zh-CN"/>
              </w:rPr>
              <w:t>云南常青树化工有限公司</w:t>
            </w:r>
            <w:r>
              <w:rPr>
                <w:color w:val="auto"/>
                <w:sz w:val="24"/>
              </w:rPr>
              <w:t>厂界噪声达到</w:t>
            </w:r>
            <w:r>
              <w:rPr>
                <w:bCs/>
                <w:color w:val="auto"/>
                <w:sz w:val="24"/>
              </w:rPr>
              <w:t>《工业企业厂界环境噪声排放标准》(GB 12348-2008)中</w:t>
            </w:r>
            <w:r>
              <w:rPr>
                <w:rFonts w:hint="eastAsia"/>
                <w:bCs/>
                <w:color w:val="auto"/>
                <w:sz w:val="24"/>
                <w:lang w:val="en-US" w:eastAsia="zh-CN"/>
              </w:rPr>
              <w:t>2</w:t>
            </w:r>
            <w:r>
              <w:rPr>
                <w:bCs/>
                <w:color w:val="auto"/>
                <w:sz w:val="24"/>
              </w:rPr>
              <w:t>类区标准</w:t>
            </w:r>
            <w:r>
              <w:rPr>
                <w:color w:val="auto"/>
                <w:sz w:val="24"/>
              </w:rPr>
              <w:t>。</w:t>
            </w:r>
          </w:p>
          <w:p w14:paraId="4575F1B0">
            <w:pPr>
              <w:spacing w:line="360" w:lineRule="auto"/>
              <w:ind w:firstLine="480" w:firstLineChars="200"/>
              <w:jc w:val="left"/>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eastAsia="zh-CN"/>
              </w:rPr>
              <w:t>④</w:t>
            </w:r>
            <w:r>
              <w:rPr>
                <w:rFonts w:hint="default" w:ascii="Times New Roman" w:hAnsi="Times New Roman" w:cs="Times New Roman"/>
                <w:bCs/>
                <w:color w:val="auto"/>
                <w:sz w:val="24"/>
                <w:lang w:val="en-US" w:eastAsia="zh-CN"/>
              </w:rPr>
              <w:t>固体废物</w:t>
            </w:r>
          </w:p>
          <w:p w14:paraId="56EE1F27">
            <w:pPr>
              <w:spacing w:line="360" w:lineRule="auto"/>
              <w:ind w:firstLine="48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项目运营区产生的固体</w:t>
            </w:r>
            <w:r>
              <w:rPr>
                <w:rFonts w:hint="default" w:ascii="Times New Roman" w:hAnsi="Times New Roman" w:cs="Times New Roman"/>
                <w:color w:val="auto"/>
                <w:sz w:val="24"/>
                <w:lang w:val="en-US" w:eastAsia="zh-CN"/>
              </w:rPr>
              <w:t>废物</w:t>
            </w:r>
            <w:r>
              <w:rPr>
                <w:rFonts w:hint="default" w:ascii="Times New Roman" w:hAnsi="Times New Roman" w:eastAsia="宋体" w:cs="Times New Roman"/>
                <w:color w:val="auto"/>
                <w:kern w:val="0"/>
                <w:sz w:val="24"/>
                <w:szCs w:val="24"/>
                <w:lang w:val="en-US" w:eastAsia="zh-CN" w:bidi="ar"/>
              </w:rPr>
              <w:t>为生活垃圾、锅炉炉渣和沉淀池沉渣。</w:t>
            </w:r>
          </w:p>
          <w:p w14:paraId="706F29DB">
            <w:pPr>
              <w:spacing w:line="360" w:lineRule="auto"/>
              <w:ind w:firstLine="480" w:firstLineChars="200"/>
              <w:jc w:val="left"/>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lang w:val="en-US" w:eastAsia="zh-CN"/>
              </w:rPr>
              <w:t>A、生活垃圾</w:t>
            </w:r>
          </w:p>
          <w:p w14:paraId="66156D85">
            <w:pPr>
              <w:spacing w:line="360" w:lineRule="auto"/>
              <w:ind w:firstLine="480" w:firstLineChars="200"/>
              <w:jc w:val="left"/>
              <w:rPr>
                <w:rFonts w:hint="default" w:ascii="Times New Roman" w:hAnsi="Times New Roman" w:cs="Times New Roman"/>
                <w:color w:val="auto"/>
              </w:rPr>
            </w:pPr>
            <w:r>
              <w:rPr>
                <w:rFonts w:hint="eastAsia" w:cs="Times New Roman"/>
                <w:color w:val="auto"/>
                <w:kern w:val="0"/>
                <w:sz w:val="24"/>
                <w:szCs w:val="24"/>
                <w:lang w:val="en-US" w:eastAsia="zh-CN" w:bidi="ar"/>
              </w:rPr>
              <w:t>厂内生活垃圾产生量为39t/a，</w:t>
            </w:r>
            <w:r>
              <w:rPr>
                <w:rFonts w:hint="default" w:ascii="Times New Roman" w:hAnsi="Times New Roman" w:eastAsia="宋体" w:cs="Times New Roman"/>
                <w:color w:val="auto"/>
                <w:kern w:val="0"/>
                <w:sz w:val="24"/>
                <w:szCs w:val="24"/>
                <w:lang w:val="en-US" w:eastAsia="zh-CN" w:bidi="ar"/>
              </w:rPr>
              <w:t>生活垃圾通过垃圾桶统一收集后，委托当地环卫部门定时清运处置。</w:t>
            </w:r>
          </w:p>
          <w:p w14:paraId="7B9B9C11">
            <w:pPr>
              <w:spacing w:line="360" w:lineRule="auto"/>
              <w:ind w:firstLine="480" w:firstLineChars="200"/>
              <w:jc w:val="left"/>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lang w:val="en-US" w:eastAsia="zh-CN"/>
              </w:rPr>
              <w:t>B、锅炉炉渣</w:t>
            </w:r>
          </w:p>
          <w:p w14:paraId="42DD0FDF">
            <w:pPr>
              <w:spacing w:line="360" w:lineRule="auto"/>
              <w:ind w:firstLine="48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项目炉渣产生量为 3711.96t/a，项目炉渣为一般固体废物，送砖厂制砖。</w:t>
            </w:r>
          </w:p>
          <w:p w14:paraId="27C98DEB">
            <w:pPr>
              <w:spacing w:line="360" w:lineRule="auto"/>
              <w:ind w:firstLine="480" w:firstLineChars="200"/>
              <w:jc w:val="left"/>
              <w:rPr>
                <w:rFonts w:hint="default" w:ascii="Times New Roman" w:hAnsi="Times New Roman" w:eastAsia="宋体" w:cs="Times New Roman"/>
                <w:bCs/>
                <w:color w:val="auto"/>
                <w:sz w:val="24"/>
                <w:lang w:val="en-US" w:eastAsia="zh-CN"/>
              </w:rPr>
            </w:pPr>
            <w:r>
              <w:rPr>
                <w:rFonts w:hint="default" w:ascii="Times New Roman" w:hAnsi="Times New Roman" w:cs="Times New Roman"/>
                <w:bCs/>
                <w:color w:val="auto"/>
                <w:sz w:val="24"/>
                <w:lang w:val="en-US" w:eastAsia="zh-CN"/>
              </w:rPr>
              <w:t>C、废矿物油</w:t>
            </w:r>
          </w:p>
          <w:p w14:paraId="77FDE96F">
            <w:pPr>
              <w:spacing w:line="360" w:lineRule="auto"/>
              <w:ind w:firstLine="48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项目运行过程中设备维修过程中会产生一定量的废矿物油，</w:t>
            </w:r>
            <w:r>
              <w:rPr>
                <w:rFonts w:hint="eastAsia" w:cs="Times New Roman"/>
                <w:color w:val="auto"/>
                <w:kern w:val="0"/>
                <w:sz w:val="24"/>
                <w:szCs w:val="24"/>
                <w:lang w:val="en-US" w:eastAsia="zh-CN" w:bidi="ar"/>
              </w:rPr>
              <w:t>产生量为0.45t/a，</w:t>
            </w:r>
            <w:r>
              <w:rPr>
                <w:rFonts w:hint="default" w:ascii="Times New Roman" w:hAnsi="Times New Roman" w:eastAsia="宋体" w:cs="Times New Roman"/>
                <w:color w:val="auto"/>
                <w:kern w:val="0"/>
                <w:sz w:val="24"/>
                <w:szCs w:val="24"/>
                <w:lang w:val="en-US" w:eastAsia="zh-CN" w:bidi="ar"/>
              </w:rPr>
              <w:t>公司统一收集暂存于危险废物暂存间内，定期委托</w:t>
            </w:r>
            <w:r>
              <w:rPr>
                <w:rFonts w:hint="default" w:ascii="Times New Roman" w:hAnsi="Times New Roman" w:eastAsia="宋体" w:cs="Times New Roman"/>
                <w:color w:val="auto"/>
                <w:kern w:val="0"/>
                <w:sz w:val="24"/>
                <w:szCs w:val="24"/>
                <w:highlight w:val="none"/>
                <w:lang w:val="en-US" w:eastAsia="zh-CN" w:bidi="ar"/>
              </w:rPr>
              <w:t>云南协快再生资源回收有限公司</w:t>
            </w:r>
            <w:r>
              <w:rPr>
                <w:rFonts w:hint="default" w:ascii="Times New Roman" w:hAnsi="Times New Roman" w:eastAsia="宋体" w:cs="Times New Roman"/>
                <w:color w:val="auto"/>
                <w:kern w:val="0"/>
                <w:sz w:val="24"/>
                <w:szCs w:val="24"/>
                <w:lang w:val="en-US" w:eastAsia="zh-CN" w:bidi="ar"/>
              </w:rPr>
              <w:t>清运。</w:t>
            </w:r>
          </w:p>
          <w:p w14:paraId="4BA9E0F9">
            <w:pPr>
              <w:spacing w:line="360" w:lineRule="auto"/>
              <w:ind w:firstLine="482" w:firstLineChars="200"/>
              <w:jc w:val="left"/>
              <w:rPr>
                <w:rFonts w:hint="default" w:eastAsia="宋体"/>
                <w:b/>
                <w:bCs w:val="0"/>
                <w:color w:val="auto"/>
                <w:sz w:val="24"/>
                <w:lang w:val="en-US" w:eastAsia="zh-CN"/>
              </w:rPr>
            </w:pPr>
            <w:r>
              <w:rPr>
                <w:rFonts w:hint="eastAsia"/>
                <w:b/>
                <w:bCs w:val="0"/>
                <w:color w:val="auto"/>
                <w:sz w:val="24"/>
                <w:lang w:val="en-US" w:eastAsia="zh-CN"/>
              </w:rPr>
              <w:t>2、磷石膏渣场设置情况</w:t>
            </w:r>
          </w:p>
          <w:p w14:paraId="17EEF835">
            <w:pPr>
              <w:spacing w:line="360" w:lineRule="auto"/>
              <w:ind w:firstLine="480" w:firstLineChars="200"/>
              <w:jc w:val="left"/>
              <w:rPr>
                <w:rFonts w:hint="default" w:eastAsia="宋体"/>
                <w:bCs/>
                <w:color w:val="auto"/>
                <w:sz w:val="24"/>
                <w:lang w:val="en-US" w:eastAsia="zh-CN"/>
              </w:rPr>
            </w:pPr>
            <w:r>
              <w:rPr>
                <w:rFonts w:hint="eastAsia"/>
                <w:bCs/>
                <w:color w:val="auto"/>
                <w:sz w:val="24"/>
                <w:lang w:eastAsia="zh-CN"/>
              </w:rPr>
              <w:t>（</w:t>
            </w:r>
            <w:r>
              <w:rPr>
                <w:rFonts w:hint="eastAsia"/>
                <w:bCs/>
                <w:color w:val="auto"/>
                <w:sz w:val="24"/>
                <w:lang w:val="en-US" w:eastAsia="zh-CN"/>
              </w:rPr>
              <w:t>1</w:t>
            </w:r>
            <w:r>
              <w:rPr>
                <w:rFonts w:hint="eastAsia"/>
                <w:bCs/>
                <w:color w:val="auto"/>
                <w:sz w:val="24"/>
                <w:lang w:eastAsia="zh-CN"/>
              </w:rPr>
              <w:t>）</w:t>
            </w:r>
            <w:r>
              <w:rPr>
                <w:rFonts w:hint="eastAsia"/>
                <w:bCs/>
                <w:color w:val="auto"/>
                <w:sz w:val="24"/>
                <w:lang w:val="en-US" w:eastAsia="zh-CN"/>
              </w:rPr>
              <w:t>环保手续</w:t>
            </w:r>
          </w:p>
          <w:p w14:paraId="753F9FE9">
            <w:pPr>
              <w:spacing w:line="360" w:lineRule="auto"/>
              <w:ind w:firstLine="480" w:firstLineChars="200"/>
              <w:jc w:val="left"/>
              <w:rPr>
                <w:rFonts w:hint="eastAsia"/>
                <w:bCs/>
                <w:color w:val="auto"/>
                <w:sz w:val="24"/>
              </w:rPr>
            </w:pPr>
            <w:r>
              <w:rPr>
                <w:rFonts w:hint="eastAsia"/>
                <w:bCs/>
                <w:color w:val="auto"/>
                <w:sz w:val="24"/>
              </w:rPr>
              <w:t>项目区内设置1个磷石膏渣场，2004年4月该渣场首次作为附属工程于《云南常青树化工有限公司10万t/a重钙(5万t/a饲料磷酸氢钙)项目环境影响报告书》中提出，2004年6月25日取得由原昆明市环保局下发的批复(昆环保复[2004]111号)，2005年正式开工建设，2007年2月主体工程及渣场完工，建设过程中，项目生产工艺进行了部分调整，增加了磷酸浓缩工段，同时增加了一台20吨/小时的循环流化床锅炉，磷石膏渣场面积缩减为7万㎡，工艺由湿法输渣变更为干堆干排。因此，项目在申请竣工环保验收过程中，原昆明市环保局责成云南常青树化工有限公司针对建设内容调整部分编制环境影响评价的补充报告，于2007年4月取得原昆明市生态环境局关于《云南常青树化工有限公司10万t/a重钙项目补充报告》的批复(昆环保复[2007]号)。2008年1月12日由原昆明市环保局主持，进行现场验收，并取得《云南常青树化工有限公司10万t/a 重钙(5万t/a饲料磷酸氢钙)项目及补充报告竣工验收申请》的批复(昆环验字[2008]001号)，建成渣场占地面积7万m</w:t>
            </w:r>
            <w:r>
              <w:rPr>
                <w:rFonts w:hint="eastAsia"/>
                <w:bCs/>
                <w:color w:val="auto"/>
                <w:sz w:val="24"/>
                <w:vertAlign w:val="superscript"/>
              </w:rPr>
              <w:t>2</w:t>
            </w:r>
            <w:r>
              <w:rPr>
                <w:rFonts w:hint="eastAsia"/>
                <w:bCs/>
                <w:color w:val="auto"/>
                <w:sz w:val="24"/>
              </w:rPr>
              <w:t>，设计库容 365万m</w:t>
            </w:r>
            <w:r>
              <w:rPr>
                <w:rFonts w:hint="eastAsia"/>
                <w:bCs/>
                <w:color w:val="auto"/>
                <w:sz w:val="24"/>
                <w:vertAlign w:val="superscript"/>
              </w:rPr>
              <w:t>3</w:t>
            </w:r>
            <w:r>
              <w:rPr>
                <w:rFonts w:hint="eastAsia"/>
                <w:bCs/>
                <w:color w:val="auto"/>
                <w:sz w:val="24"/>
              </w:rPr>
              <w:t>，采用干堆干排工艺。</w:t>
            </w:r>
          </w:p>
          <w:p w14:paraId="68C8D409">
            <w:pPr>
              <w:spacing w:line="360" w:lineRule="auto"/>
              <w:ind w:firstLine="480" w:firstLineChars="200"/>
              <w:jc w:val="left"/>
              <w:rPr>
                <w:rFonts w:hint="default" w:eastAsia="宋体"/>
                <w:bCs/>
                <w:color w:val="auto"/>
                <w:sz w:val="24"/>
                <w:lang w:val="en-US" w:eastAsia="zh-CN"/>
              </w:rPr>
            </w:pPr>
            <w:r>
              <w:rPr>
                <w:rFonts w:hint="eastAsia"/>
                <w:bCs/>
                <w:color w:val="auto"/>
                <w:sz w:val="24"/>
                <w:lang w:eastAsia="zh-CN"/>
              </w:rPr>
              <w:t>（</w:t>
            </w:r>
            <w:r>
              <w:rPr>
                <w:rFonts w:hint="eastAsia"/>
                <w:bCs/>
                <w:color w:val="auto"/>
                <w:sz w:val="24"/>
                <w:lang w:val="en-US" w:eastAsia="zh-CN"/>
              </w:rPr>
              <w:t>2</w:t>
            </w:r>
            <w:r>
              <w:rPr>
                <w:rFonts w:hint="eastAsia"/>
                <w:bCs/>
                <w:color w:val="auto"/>
                <w:sz w:val="24"/>
                <w:lang w:eastAsia="zh-CN"/>
              </w:rPr>
              <w:t>）</w:t>
            </w:r>
            <w:r>
              <w:rPr>
                <w:rFonts w:hint="eastAsia"/>
                <w:bCs/>
                <w:color w:val="auto"/>
                <w:sz w:val="24"/>
                <w:lang w:val="en-US" w:eastAsia="zh-CN"/>
              </w:rPr>
              <w:t>渣场工程内容</w:t>
            </w:r>
          </w:p>
          <w:p w14:paraId="114389C9">
            <w:pPr>
              <w:spacing w:line="360" w:lineRule="auto"/>
              <w:ind w:firstLine="480" w:firstLineChars="200"/>
              <w:jc w:val="left"/>
              <w:rPr>
                <w:rFonts w:hint="eastAsia" w:eastAsia="宋体"/>
                <w:bCs/>
                <w:color w:val="auto"/>
                <w:sz w:val="24"/>
                <w:lang w:eastAsia="zh-CN"/>
              </w:rPr>
            </w:pPr>
            <w:r>
              <w:rPr>
                <w:rFonts w:hint="eastAsia"/>
                <w:bCs/>
                <w:color w:val="auto"/>
                <w:sz w:val="24"/>
              </w:rPr>
              <w:t>本项目磷石膏渣场仅服务云南常青树化工有限公司，渣场地理坐标为东经103°15’46.10844"，北纬25°25'26.81542”，目前堆存约110万m</w:t>
            </w:r>
            <w:r>
              <w:rPr>
                <w:rFonts w:hint="eastAsia"/>
                <w:bCs/>
                <w:color w:val="auto"/>
                <w:sz w:val="24"/>
                <w:vertAlign w:val="superscript"/>
              </w:rPr>
              <w:t>3</w:t>
            </w:r>
            <w:r>
              <w:rPr>
                <w:rFonts w:hint="eastAsia"/>
                <w:bCs/>
                <w:color w:val="auto"/>
                <w:sz w:val="24"/>
              </w:rPr>
              <w:t>，渣场主要工程内容如下表所示</w:t>
            </w:r>
            <w:r>
              <w:rPr>
                <w:rFonts w:hint="eastAsia"/>
                <w:bCs/>
                <w:color w:val="auto"/>
                <w:sz w:val="24"/>
                <w:lang w:eastAsia="zh-CN"/>
              </w:rPr>
              <w:t>。</w:t>
            </w:r>
          </w:p>
          <w:p w14:paraId="171762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val="0"/>
                <w:color w:val="auto"/>
                <w:sz w:val="24"/>
                <w:lang w:val="en-US" w:eastAsia="zh-CN"/>
              </w:rPr>
            </w:pPr>
            <w:r>
              <w:rPr>
                <w:rFonts w:hint="eastAsia"/>
                <w:b/>
                <w:bCs w:val="0"/>
                <w:color w:val="auto"/>
                <w:sz w:val="24"/>
                <w:lang w:val="en-US" w:eastAsia="zh-CN"/>
              </w:rPr>
              <w:t>表2-34  磷石膏渣场工程内容一览表</w:t>
            </w:r>
          </w:p>
          <w:tbl>
            <w:tblPr>
              <w:tblStyle w:val="46"/>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672"/>
              <w:gridCol w:w="901"/>
              <w:gridCol w:w="5984"/>
            </w:tblGrid>
            <w:tr w14:paraId="4DD61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Align w:val="center"/>
                </w:tcPr>
                <w:p w14:paraId="67DE5B5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项目分类</w:t>
                  </w:r>
                </w:p>
              </w:tc>
              <w:tc>
                <w:tcPr>
                  <w:tcW w:w="945" w:type="pct"/>
                  <w:gridSpan w:val="2"/>
                  <w:vAlign w:val="center"/>
                </w:tcPr>
                <w:p w14:paraId="494597B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项目组成</w:t>
                  </w:r>
                </w:p>
              </w:tc>
              <w:tc>
                <w:tcPr>
                  <w:tcW w:w="3595" w:type="pct"/>
                  <w:vAlign w:val="center"/>
                </w:tcPr>
                <w:p w14:paraId="1AF5567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建设内容</w:t>
                  </w:r>
                </w:p>
              </w:tc>
            </w:tr>
            <w:tr w14:paraId="14292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restart"/>
                  <w:vAlign w:val="center"/>
                </w:tcPr>
                <w:p w14:paraId="306FABA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主体工程</w:t>
                  </w:r>
                </w:p>
              </w:tc>
              <w:tc>
                <w:tcPr>
                  <w:tcW w:w="945" w:type="pct"/>
                  <w:gridSpan w:val="2"/>
                  <w:vAlign w:val="center"/>
                </w:tcPr>
                <w:p w14:paraId="5C59B39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渣库区</w:t>
                  </w:r>
                </w:p>
              </w:tc>
              <w:tc>
                <w:tcPr>
                  <w:tcW w:w="3595" w:type="pct"/>
                  <w:vAlign w:val="center"/>
                </w:tcPr>
                <w:p w14:paraId="0B8947A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bCs/>
                      <w:color w:val="auto"/>
                      <w:sz w:val="21"/>
                      <w:szCs w:val="21"/>
                    </w:rPr>
                    <w:t>地面积7万m</w:t>
                  </w:r>
                  <w:r>
                    <w:rPr>
                      <w:rFonts w:hint="eastAsia"/>
                      <w:bCs/>
                      <w:color w:val="auto"/>
                      <w:sz w:val="21"/>
                      <w:szCs w:val="21"/>
                      <w:vertAlign w:val="superscript"/>
                    </w:rPr>
                    <w:t>2</w:t>
                  </w:r>
                  <w:r>
                    <w:rPr>
                      <w:rFonts w:hint="eastAsia"/>
                      <w:bCs/>
                      <w:color w:val="auto"/>
                      <w:sz w:val="21"/>
                      <w:szCs w:val="21"/>
                    </w:rPr>
                    <w:t>，设计库容 365万m</w:t>
                  </w:r>
                  <w:r>
                    <w:rPr>
                      <w:rFonts w:hint="eastAsia"/>
                      <w:bCs/>
                      <w:color w:val="auto"/>
                      <w:sz w:val="21"/>
                      <w:szCs w:val="21"/>
                      <w:vertAlign w:val="superscript"/>
                    </w:rPr>
                    <w:t>3</w:t>
                  </w:r>
                  <w:r>
                    <w:rPr>
                      <w:rFonts w:hint="eastAsia"/>
                      <w:bCs/>
                      <w:color w:val="auto"/>
                      <w:sz w:val="21"/>
                      <w:szCs w:val="21"/>
                    </w:rPr>
                    <w:t>，服务年限15年，</w:t>
                  </w:r>
                  <w:r>
                    <w:rPr>
                      <w:rFonts w:hint="eastAsia"/>
                      <w:bCs/>
                      <w:color w:val="auto"/>
                      <w:sz w:val="21"/>
                      <w:szCs w:val="21"/>
                      <w:lang w:val="en-US" w:eastAsia="zh-CN"/>
                    </w:rPr>
                    <w:t>目前堆存110万m</w:t>
                  </w:r>
                  <w:r>
                    <w:rPr>
                      <w:rFonts w:hint="eastAsia"/>
                      <w:bCs/>
                      <w:color w:val="auto"/>
                      <w:sz w:val="21"/>
                      <w:szCs w:val="21"/>
                      <w:vertAlign w:val="superscript"/>
                      <w:lang w:val="en-US" w:eastAsia="zh-CN"/>
                    </w:rPr>
                    <w:t>3</w:t>
                  </w:r>
                  <w:r>
                    <w:rPr>
                      <w:rFonts w:hint="eastAsia"/>
                      <w:bCs/>
                      <w:color w:val="auto"/>
                      <w:sz w:val="21"/>
                      <w:szCs w:val="21"/>
                      <w:lang w:val="en-US" w:eastAsia="zh-CN"/>
                    </w:rPr>
                    <w:t>，</w:t>
                  </w:r>
                  <w:r>
                    <w:rPr>
                      <w:rFonts w:hint="eastAsia"/>
                      <w:bCs/>
                      <w:color w:val="auto"/>
                      <w:sz w:val="21"/>
                      <w:szCs w:val="21"/>
                    </w:rPr>
                    <w:t>采用干堆干排工艺</w:t>
                  </w:r>
                  <w:r>
                    <w:rPr>
                      <w:rFonts w:hint="eastAsia"/>
                      <w:bCs/>
                      <w:color w:val="auto"/>
                      <w:sz w:val="21"/>
                      <w:szCs w:val="21"/>
                      <w:lang w:eastAsia="zh-CN"/>
                    </w:rPr>
                    <w:t>，</w:t>
                  </w:r>
                  <w:r>
                    <w:rPr>
                      <w:rFonts w:hint="eastAsia"/>
                      <w:bCs/>
                      <w:color w:val="auto"/>
                      <w:sz w:val="21"/>
                      <w:szCs w:val="21"/>
                      <w:lang w:val="en-US" w:eastAsia="zh-CN"/>
                    </w:rPr>
                    <w:t>自由购货车进行运输。</w:t>
                  </w:r>
                </w:p>
              </w:tc>
            </w:tr>
            <w:tr w14:paraId="7340E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600F585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gridSpan w:val="2"/>
                  <w:vAlign w:val="center"/>
                </w:tcPr>
                <w:p w14:paraId="276815F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color w:val="auto"/>
                      <w:sz w:val="21"/>
                      <w:highlight w:val="none"/>
                      <w:lang w:val="en-US" w:eastAsia="zh-CN"/>
                    </w:rPr>
                  </w:pPr>
                  <w:r>
                    <w:rPr>
                      <w:rFonts w:hint="eastAsia" w:cs="Times New Roman"/>
                      <w:color w:val="auto"/>
                      <w:sz w:val="21"/>
                      <w:highlight w:val="none"/>
                      <w:lang w:val="en-US" w:eastAsia="zh-CN"/>
                    </w:rPr>
                    <w:t>拦渣坝</w:t>
                  </w:r>
                </w:p>
              </w:tc>
              <w:tc>
                <w:tcPr>
                  <w:tcW w:w="3595" w:type="pct"/>
                  <w:vAlign w:val="center"/>
                </w:tcPr>
                <w:p w14:paraId="36B4B31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eastAsia="宋体"/>
                      <w:bCs/>
                      <w:color w:val="auto"/>
                      <w:sz w:val="21"/>
                      <w:szCs w:val="21"/>
                      <w:lang w:val="en-US" w:eastAsia="zh-CN"/>
                    </w:rPr>
                  </w:pPr>
                  <w:r>
                    <w:rPr>
                      <w:rFonts w:hint="eastAsia"/>
                      <w:bCs/>
                      <w:color w:val="auto"/>
                      <w:sz w:val="21"/>
                      <w:szCs w:val="21"/>
                      <w:lang w:val="en-US" w:eastAsia="zh-CN"/>
                    </w:rPr>
                    <w:t>拦渣坝为碾压式土坝，坝顶标高1975.5m，坝底标高1912m，坝顶宽3m，内坡护坡及防渗采用块石、碎石及复合土膜制成，外坡护坡采用干砌石，两侧设排水沟。</w:t>
                  </w:r>
                </w:p>
              </w:tc>
            </w:tr>
            <w:tr w14:paraId="149E2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restart"/>
                  <w:vAlign w:val="center"/>
                </w:tcPr>
                <w:p w14:paraId="5C553E9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公用工程</w:t>
                  </w:r>
                </w:p>
              </w:tc>
              <w:tc>
                <w:tcPr>
                  <w:tcW w:w="945" w:type="pct"/>
                  <w:gridSpan w:val="2"/>
                  <w:vAlign w:val="center"/>
                </w:tcPr>
                <w:p w14:paraId="412C87E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color w:val="auto"/>
                      <w:sz w:val="21"/>
                      <w:highlight w:val="none"/>
                      <w:lang w:val="en-US" w:eastAsia="zh-CN"/>
                    </w:rPr>
                  </w:pPr>
                  <w:r>
                    <w:rPr>
                      <w:rFonts w:hint="eastAsia" w:cs="Times New Roman"/>
                      <w:color w:val="auto"/>
                      <w:sz w:val="21"/>
                      <w:highlight w:val="none"/>
                      <w:lang w:val="en-US" w:eastAsia="zh-CN"/>
                    </w:rPr>
                    <w:t>给水系统</w:t>
                  </w:r>
                </w:p>
              </w:tc>
              <w:tc>
                <w:tcPr>
                  <w:tcW w:w="3595" w:type="pct"/>
                  <w:vAlign w:val="center"/>
                </w:tcPr>
                <w:p w14:paraId="5DFC9B6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eastAsia="宋体"/>
                      <w:bCs/>
                      <w:color w:val="auto"/>
                      <w:sz w:val="21"/>
                      <w:szCs w:val="21"/>
                      <w:lang w:val="en-US" w:eastAsia="zh-CN"/>
                    </w:rPr>
                  </w:pPr>
                  <w:r>
                    <w:rPr>
                      <w:rFonts w:hint="eastAsia"/>
                      <w:bCs/>
                      <w:color w:val="auto"/>
                      <w:sz w:val="21"/>
                      <w:szCs w:val="21"/>
                      <w:lang w:val="en-US" w:eastAsia="zh-CN"/>
                    </w:rPr>
                    <w:t>渣场用水为喷雾降尘用水，采用自来水。</w:t>
                  </w:r>
                </w:p>
              </w:tc>
            </w:tr>
            <w:tr w14:paraId="61BBC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087389F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gridSpan w:val="2"/>
                  <w:vAlign w:val="center"/>
                </w:tcPr>
                <w:p w14:paraId="560BD9E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color w:val="auto"/>
                      <w:sz w:val="21"/>
                      <w:highlight w:val="none"/>
                      <w:lang w:val="en-US" w:eastAsia="zh-CN"/>
                    </w:rPr>
                  </w:pPr>
                  <w:r>
                    <w:rPr>
                      <w:rFonts w:hint="eastAsia"/>
                      <w:bCs/>
                      <w:color w:val="auto"/>
                      <w:sz w:val="21"/>
                      <w:szCs w:val="21"/>
                      <w:lang w:val="en-US" w:eastAsia="zh-CN"/>
                    </w:rPr>
                    <w:t>排水系统</w:t>
                  </w:r>
                </w:p>
              </w:tc>
              <w:tc>
                <w:tcPr>
                  <w:tcW w:w="3595" w:type="pct"/>
                  <w:vAlign w:val="center"/>
                </w:tcPr>
                <w:p w14:paraId="3C21664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eastAsia="宋体"/>
                      <w:bCs/>
                      <w:color w:val="auto"/>
                      <w:sz w:val="21"/>
                      <w:szCs w:val="21"/>
                      <w:lang w:val="en-US" w:eastAsia="zh-CN"/>
                    </w:rPr>
                  </w:pPr>
                  <w:r>
                    <w:rPr>
                      <w:rFonts w:hint="eastAsia" w:cs="Times New Roman"/>
                      <w:color w:val="auto"/>
                      <w:sz w:val="21"/>
                      <w:highlight w:val="none"/>
                      <w:lang w:val="en-US" w:eastAsia="zh-CN"/>
                    </w:rPr>
                    <w:t>渣场采取雨污分流制，渣场渗滤液通过管道排入磷石膏渣场渗滤液收集池；初期雨水通过雨水沟排入项目区初期雨水收集池，后期雨水通过阀门转换，直接外排。</w:t>
                  </w:r>
                </w:p>
              </w:tc>
            </w:tr>
            <w:tr w14:paraId="43A81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194CD4A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gridSpan w:val="2"/>
                  <w:vAlign w:val="center"/>
                </w:tcPr>
                <w:p w14:paraId="4032AA0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color w:val="auto"/>
                      <w:sz w:val="21"/>
                      <w:highlight w:val="none"/>
                      <w:lang w:val="en-US" w:eastAsia="zh-CN"/>
                    </w:rPr>
                  </w:pPr>
                  <w:r>
                    <w:rPr>
                      <w:rFonts w:hint="eastAsia" w:cs="Times New Roman"/>
                      <w:color w:val="auto"/>
                      <w:sz w:val="21"/>
                      <w:highlight w:val="none"/>
                      <w:lang w:val="en-US" w:eastAsia="zh-CN"/>
                    </w:rPr>
                    <w:t>供电</w:t>
                  </w:r>
                </w:p>
              </w:tc>
              <w:tc>
                <w:tcPr>
                  <w:tcW w:w="3595" w:type="pct"/>
                  <w:vAlign w:val="center"/>
                </w:tcPr>
                <w:p w14:paraId="14E66E1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eastAsia="宋体"/>
                      <w:bCs/>
                      <w:color w:val="auto"/>
                      <w:sz w:val="21"/>
                      <w:szCs w:val="21"/>
                      <w:lang w:val="en-US" w:eastAsia="zh-CN"/>
                    </w:rPr>
                  </w:pPr>
                  <w:r>
                    <w:rPr>
                      <w:rFonts w:hint="eastAsia"/>
                      <w:bCs/>
                      <w:color w:val="auto"/>
                      <w:sz w:val="21"/>
                      <w:szCs w:val="21"/>
                      <w:lang w:val="en-US" w:eastAsia="zh-CN"/>
                    </w:rPr>
                    <w:t>用电由塘子镇接入</w:t>
                  </w:r>
                </w:p>
              </w:tc>
            </w:tr>
            <w:tr w14:paraId="69927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restart"/>
                  <w:vAlign w:val="center"/>
                </w:tcPr>
                <w:p w14:paraId="77B5CE7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辅助工程</w:t>
                  </w:r>
                </w:p>
              </w:tc>
              <w:tc>
                <w:tcPr>
                  <w:tcW w:w="945" w:type="pct"/>
                  <w:gridSpan w:val="2"/>
                  <w:vAlign w:val="center"/>
                </w:tcPr>
                <w:p w14:paraId="67A2E7F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color w:val="auto"/>
                      <w:sz w:val="21"/>
                      <w:highlight w:val="none"/>
                      <w:lang w:val="en-US" w:eastAsia="zh-CN"/>
                    </w:rPr>
                  </w:pPr>
                  <w:r>
                    <w:rPr>
                      <w:rFonts w:hint="eastAsia" w:cs="Times New Roman"/>
                      <w:color w:val="auto"/>
                      <w:sz w:val="21"/>
                      <w:highlight w:val="none"/>
                      <w:lang w:val="en-US" w:eastAsia="zh-CN"/>
                    </w:rPr>
                    <w:t>排洪沟</w:t>
                  </w:r>
                </w:p>
              </w:tc>
              <w:tc>
                <w:tcPr>
                  <w:tcW w:w="3595" w:type="pct"/>
                  <w:vAlign w:val="center"/>
                </w:tcPr>
                <w:p w14:paraId="5929886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eastAsia="宋体"/>
                      <w:bCs/>
                      <w:color w:val="auto"/>
                      <w:sz w:val="21"/>
                      <w:szCs w:val="21"/>
                      <w:lang w:val="en-US" w:eastAsia="zh-CN"/>
                    </w:rPr>
                  </w:pPr>
                  <w:r>
                    <w:rPr>
                      <w:rFonts w:hint="eastAsia"/>
                      <w:bCs/>
                      <w:color w:val="auto"/>
                      <w:sz w:val="21"/>
                      <w:szCs w:val="21"/>
                      <w:lang w:val="en-US" w:eastAsia="zh-CN"/>
                    </w:rPr>
                    <w:t>设置排洪沟2.4km</w:t>
                  </w:r>
                </w:p>
              </w:tc>
            </w:tr>
            <w:tr w14:paraId="4F48B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42FB8FC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gridSpan w:val="2"/>
                  <w:vAlign w:val="center"/>
                </w:tcPr>
                <w:p w14:paraId="24D361E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color w:val="auto"/>
                      <w:sz w:val="21"/>
                      <w:highlight w:val="none"/>
                      <w:lang w:val="en-US" w:eastAsia="zh-CN"/>
                    </w:rPr>
                  </w:pPr>
                  <w:r>
                    <w:rPr>
                      <w:rFonts w:hint="eastAsia" w:cs="Times New Roman"/>
                      <w:color w:val="auto"/>
                      <w:sz w:val="21"/>
                      <w:highlight w:val="none"/>
                      <w:lang w:val="en-US" w:eastAsia="zh-CN"/>
                    </w:rPr>
                    <w:t>雨水收集沟</w:t>
                  </w:r>
                </w:p>
              </w:tc>
              <w:tc>
                <w:tcPr>
                  <w:tcW w:w="3595" w:type="pct"/>
                  <w:vAlign w:val="center"/>
                </w:tcPr>
                <w:p w14:paraId="49690AF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eastAsia="宋体"/>
                      <w:bCs/>
                      <w:color w:val="auto"/>
                      <w:sz w:val="21"/>
                      <w:szCs w:val="21"/>
                      <w:lang w:val="en-US" w:eastAsia="zh-CN"/>
                    </w:rPr>
                  </w:pPr>
                  <w:r>
                    <w:rPr>
                      <w:rFonts w:hint="eastAsia"/>
                      <w:bCs/>
                      <w:color w:val="auto"/>
                      <w:sz w:val="21"/>
                      <w:szCs w:val="21"/>
                      <w:lang w:val="en-US" w:eastAsia="zh-CN"/>
                    </w:rPr>
                    <w:t>设置初期雨水收集沟3.2km，尾部设置转换阀口，初期雨水进入项目区初期雨水收集池，后期雨水直接排放。</w:t>
                  </w:r>
                </w:p>
              </w:tc>
            </w:tr>
            <w:tr w14:paraId="2AB46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restart"/>
                  <w:vAlign w:val="center"/>
                </w:tcPr>
                <w:p w14:paraId="59071D6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环保工程</w:t>
                  </w:r>
                </w:p>
              </w:tc>
              <w:tc>
                <w:tcPr>
                  <w:tcW w:w="403" w:type="pct"/>
                  <w:vAlign w:val="center"/>
                </w:tcPr>
                <w:p w14:paraId="7AD8326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color w:val="auto"/>
                      <w:sz w:val="21"/>
                      <w:highlight w:val="none"/>
                      <w:lang w:val="en-US" w:eastAsia="zh-CN"/>
                    </w:rPr>
                  </w:pPr>
                  <w:r>
                    <w:rPr>
                      <w:rFonts w:hint="eastAsia" w:cs="Times New Roman"/>
                      <w:color w:val="auto"/>
                      <w:sz w:val="21"/>
                      <w:highlight w:val="none"/>
                      <w:lang w:val="en-US" w:eastAsia="zh-CN"/>
                    </w:rPr>
                    <w:t>废气治理</w:t>
                  </w:r>
                </w:p>
              </w:tc>
              <w:tc>
                <w:tcPr>
                  <w:tcW w:w="541" w:type="pct"/>
                  <w:vAlign w:val="center"/>
                </w:tcPr>
                <w:p w14:paraId="6273B4A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color w:val="auto"/>
                      <w:sz w:val="21"/>
                      <w:highlight w:val="none"/>
                      <w:lang w:val="en-US" w:eastAsia="zh-CN"/>
                    </w:rPr>
                  </w:pPr>
                  <w:r>
                    <w:rPr>
                      <w:rFonts w:hint="eastAsia" w:cs="Times New Roman"/>
                      <w:color w:val="auto"/>
                      <w:sz w:val="21"/>
                      <w:highlight w:val="none"/>
                      <w:lang w:val="en-US" w:eastAsia="zh-CN"/>
                    </w:rPr>
                    <w:t>磷石膏渣场扬尘</w:t>
                  </w:r>
                </w:p>
              </w:tc>
              <w:tc>
                <w:tcPr>
                  <w:tcW w:w="3595" w:type="pct"/>
                  <w:vAlign w:val="center"/>
                </w:tcPr>
                <w:p w14:paraId="71C9FD6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eastAsia="宋体"/>
                      <w:bCs/>
                      <w:color w:val="auto"/>
                      <w:sz w:val="21"/>
                      <w:szCs w:val="21"/>
                      <w:lang w:val="en-US" w:eastAsia="zh-CN"/>
                    </w:rPr>
                  </w:pPr>
                  <w:r>
                    <w:rPr>
                      <w:rFonts w:hint="eastAsia"/>
                      <w:bCs/>
                      <w:color w:val="auto"/>
                      <w:sz w:val="21"/>
                      <w:szCs w:val="21"/>
                      <w:lang w:val="en-US" w:eastAsia="zh-CN"/>
                    </w:rPr>
                    <w:t>采用土工膜进行覆盖</w:t>
                  </w:r>
                </w:p>
              </w:tc>
            </w:tr>
            <w:tr w14:paraId="18CD8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481481C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403" w:type="pct"/>
                  <w:vAlign w:val="center"/>
                </w:tcPr>
                <w:p w14:paraId="12860B9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color w:val="auto"/>
                      <w:sz w:val="21"/>
                      <w:highlight w:val="none"/>
                      <w:lang w:val="en-US" w:eastAsia="zh-CN"/>
                    </w:rPr>
                  </w:pPr>
                  <w:r>
                    <w:rPr>
                      <w:rFonts w:hint="eastAsia" w:cs="Times New Roman"/>
                      <w:color w:val="auto"/>
                      <w:sz w:val="21"/>
                      <w:highlight w:val="none"/>
                      <w:lang w:val="en-US" w:eastAsia="zh-CN"/>
                    </w:rPr>
                    <w:t>废水治理</w:t>
                  </w:r>
                </w:p>
              </w:tc>
              <w:tc>
                <w:tcPr>
                  <w:tcW w:w="541" w:type="pct"/>
                  <w:vAlign w:val="center"/>
                </w:tcPr>
                <w:p w14:paraId="6AD4053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color w:val="auto"/>
                      <w:sz w:val="21"/>
                      <w:highlight w:val="none"/>
                      <w:lang w:val="en-US" w:eastAsia="zh-CN"/>
                    </w:rPr>
                  </w:pPr>
                  <w:r>
                    <w:rPr>
                      <w:rFonts w:hint="eastAsia" w:cs="Times New Roman"/>
                      <w:color w:val="auto"/>
                      <w:sz w:val="21"/>
                      <w:highlight w:val="none"/>
                      <w:lang w:val="en-US" w:eastAsia="zh-CN"/>
                    </w:rPr>
                    <w:t>磷石膏渣场渗滤液收集池</w:t>
                  </w:r>
                </w:p>
              </w:tc>
              <w:tc>
                <w:tcPr>
                  <w:tcW w:w="3595" w:type="pct"/>
                  <w:vAlign w:val="center"/>
                </w:tcPr>
                <w:p w14:paraId="4FEA0AB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eastAsia="宋体"/>
                      <w:bCs/>
                      <w:color w:val="auto"/>
                      <w:sz w:val="21"/>
                      <w:szCs w:val="21"/>
                      <w:lang w:val="en-US" w:eastAsia="zh-CN"/>
                    </w:rPr>
                  </w:pPr>
                  <w:r>
                    <w:rPr>
                      <w:rFonts w:hint="eastAsia"/>
                      <w:bCs/>
                      <w:color w:val="auto"/>
                      <w:sz w:val="21"/>
                      <w:szCs w:val="21"/>
                      <w:lang w:val="en-US" w:eastAsia="zh-CN"/>
                    </w:rPr>
                    <w:t>收集磷石膏渣场产生的渗滤液，容积710m</w:t>
                  </w:r>
                  <w:r>
                    <w:rPr>
                      <w:rFonts w:hint="eastAsia"/>
                      <w:bCs/>
                      <w:color w:val="auto"/>
                      <w:sz w:val="21"/>
                      <w:szCs w:val="21"/>
                      <w:vertAlign w:val="superscript"/>
                      <w:lang w:val="en-US" w:eastAsia="zh-CN"/>
                    </w:rPr>
                    <w:t>3</w:t>
                  </w:r>
                </w:p>
              </w:tc>
            </w:tr>
            <w:tr w14:paraId="00FA3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4634E13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gridSpan w:val="2"/>
                  <w:vAlign w:val="center"/>
                </w:tcPr>
                <w:p w14:paraId="6CDB883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color w:val="auto"/>
                      <w:sz w:val="21"/>
                      <w:highlight w:val="none"/>
                      <w:lang w:val="en-US" w:eastAsia="zh-CN"/>
                    </w:rPr>
                  </w:pPr>
                  <w:r>
                    <w:rPr>
                      <w:rFonts w:hint="eastAsia" w:cs="Times New Roman"/>
                      <w:color w:val="auto"/>
                      <w:sz w:val="21"/>
                      <w:highlight w:val="none"/>
                      <w:lang w:val="en-US" w:eastAsia="zh-CN"/>
                    </w:rPr>
                    <w:t>地下水防渗措施</w:t>
                  </w:r>
                </w:p>
              </w:tc>
              <w:tc>
                <w:tcPr>
                  <w:tcW w:w="3595" w:type="pct"/>
                  <w:vAlign w:val="center"/>
                </w:tcPr>
                <w:p w14:paraId="3EF8589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eastAsia="宋体"/>
                      <w:bCs/>
                      <w:color w:val="auto"/>
                      <w:sz w:val="21"/>
                      <w:szCs w:val="21"/>
                      <w:lang w:val="en-US" w:eastAsia="zh-CN"/>
                    </w:rPr>
                  </w:pPr>
                  <w:r>
                    <w:rPr>
                      <w:rFonts w:hint="eastAsia"/>
                      <w:bCs/>
                      <w:color w:val="auto"/>
                      <w:sz w:val="21"/>
                      <w:szCs w:val="21"/>
                      <w:lang w:val="en-US" w:eastAsia="zh-CN"/>
                    </w:rPr>
                    <w:t>磷石膏渣场防渗措施：GCL膨润土毯+厚度1.5mm的HDPE土工膜+土工布，渣场内埋设林滤水管，四周建有淋溶水沟，渗滤液通过淋滤水管/沟收集进入渗滤液收集池（1个，710m</w:t>
                  </w:r>
                  <w:r>
                    <w:rPr>
                      <w:rFonts w:hint="eastAsia"/>
                      <w:bCs/>
                      <w:color w:val="auto"/>
                      <w:sz w:val="21"/>
                      <w:szCs w:val="21"/>
                      <w:vertAlign w:val="superscript"/>
                      <w:lang w:val="en-US" w:eastAsia="zh-CN"/>
                    </w:rPr>
                    <w:t>3</w:t>
                  </w:r>
                  <w:r>
                    <w:rPr>
                      <w:rFonts w:hint="eastAsia"/>
                      <w:bCs/>
                      <w:color w:val="auto"/>
                      <w:sz w:val="21"/>
                      <w:szCs w:val="21"/>
                      <w:lang w:val="en-US" w:eastAsia="zh-CN"/>
                    </w:rPr>
                    <w:t>）暂存，最终返回生产系统内循环使用。渗滤液收集池和淋溶水池防渗措施为：混凝土地坪+土工膜+环氧树脂</w:t>
                  </w:r>
                </w:p>
              </w:tc>
            </w:tr>
          </w:tbl>
          <w:p w14:paraId="4287735C">
            <w:pPr>
              <w:spacing w:line="360" w:lineRule="auto"/>
              <w:ind w:firstLine="480" w:firstLineChars="200"/>
              <w:jc w:val="left"/>
              <w:rPr>
                <w:color w:val="auto"/>
                <w:sz w:val="24"/>
              </w:rPr>
            </w:pPr>
            <w:r>
              <w:rPr>
                <w:rFonts w:hint="eastAsia"/>
                <w:bCs/>
                <w:color w:val="auto"/>
                <w:sz w:val="24"/>
                <w:lang w:eastAsia="zh-CN"/>
              </w:rPr>
              <w:t>（</w:t>
            </w:r>
            <w:r>
              <w:rPr>
                <w:rFonts w:hint="eastAsia"/>
                <w:bCs/>
                <w:color w:val="auto"/>
                <w:sz w:val="24"/>
                <w:lang w:val="en-US" w:eastAsia="zh-CN"/>
              </w:rPr>
              <w:t>3</w:t>
            </w:r>
            <w:r>
              <w:rPr>
                <w:rFonts w:hint="eastAsia"/>
                <w:bCs/>
                <w:color w:val="auto"/>
                <w:sz w:val="24"/>
                <w:lang w:eastAsia="zh-CN"/>
              </w:rPr>
              <w:t>）</w:t>
            </w:r>
            <w:r>
              <w:rPr>
                <w:rFonts w:hint="eastAsia"/>
                <w:color w:val="auto"/>
                <w:sz w:val="24"/>
              </w:rPr>
              <w:t>公司</w:t>
            </w:r>
            <w:r>
              <w:rPr>
                <w:color w:val="auto"/>
                <w:sz w:val="24"/>
              </w:rPr>
              <w:t>磷石膏</w:t>
            </w:r>
            <w:r>
              <w:rPr>
                <w:rFonts w:hint="eastAsia"/>
                <w:color w:val="auto"/>
                <w:sz w:val="24"/>
                <w:lang w:val="en-US" w:eastAsia="zh-CN"/>
              </w:rPr>
              <w:t>渣场</w:t>
            </w:r>
            <w:r>
              <w:rPr>
                <w:color w:val="auto"/>
                <w:sz w:val="24"/>
              </w:rPr>
              <w:t>渗滤液</w:t>
            </w:r>
          </w:p>
          <w:p w14:paraId="7CE91B7A">
            <w:pPr>
              <w:spacing w:line="360" w:lineRule="auto"/>
              <w:ind w:firstLine="480" w:firstLineChars="200"/>
              <w:rPr>
                <w:color w:val="auto"/>
                <w:sz w:val="24"/>
              </w:rPr>
            </w:pPr>
            <w:r>
              <w:rPr>
                <w:color w:val="auto"/>
                <w:sz w:val="24"/>
              </w:rPr>
              <w:t>将来自磷酸车间的压滤过的新鲜磷石膏（含水率26%）通过皮带运输至在</w:t>
            </w:r>
            <w:r>
              <w:rPr>
                <w:rFonts w:hint="eastAsia"/>
                <w:color w:val="auto"/>
                <w:sz w:val="24"/>
                <w:lang w:eastAsia="zh-CN"/>
              </w:rPr>
              <w:t>云南常青树化工有限公司</w:t>
            </w:r>
            <w:r>
              <w:rPr>
                <w:color w:val="auto"/>
                <w:sz w:val="24"/>
              </w:rPr>
              <w:t>磷石膏</w:t>
            </w:r>
            <w:r>
              <w:rPr>
                <w:rFonts w:hint="eastAsia"/>
                <w:color w:val="auto"/>
                <w:sz w:val="24"/>
                <w:lang w:val="en-US" w:eastAsia="zh-CN"/>
              </w:rPr>
              <w:t>渣场</w:t>
            </w:r>
            <w:r>
              <w:rPr>
                <w:color w:val="auto"/>
                <w:sz w:val="24"/>
              </w:rPr>
              <w:t>，堆放时间约60-90天。通过自然日晒雨淋的作用，将磷石膏中可溶性的氟、磷等无机盐通过雨水溶解下渗并蒸发掉部分水分，通过预净化后磷石膏的水含量下降到15%左右，即磷石膏在</w:t>
            </w:r>
            <w:r>
              <w:rPr>
                <w:rFonts w:hint="eastAsia"/>
                <w:color w:val="auto"/>
                <w:sz w:val="24"/>
                <w:lang w:eastAsia="zh-CN"/>
              </w:rPr>
              <w:t>云南常青树化工有限公司</w:t>
            </w:r>
            <w:r>
              <w:rPr>
                <w:color w:val="auto"/>
                <w:sz w:val="24"/>
              </w:rPr>
              <w:t>磷石膏</w:t>
            </w:r>
            <w:r>
              <w:rPr>
                <w:rFonts w:hint="eastAsia"/>
                <w:color w:val="auto"/>
                <w:sz w:val="24"/>
                <w:lang w:val="en-US" w:eastAsia="zh-CN"/>
              </w:rPr>
              <w:t>渣场</w:t>
            </w:r>
            <w:r>
              <w:rPr>
                <w:color w:val="auto"/>
                <w:sz w:val="24"/>
              </w:rPr>
              <w:t>进行脱水处理。</w:t>
            </w:r>
          </w:p>
          <w:p w14:paraId="1B4284D2">
            <w:pPr>
              <w:spacing w:line="360" w:lineRule="auto"/>
              <w:ind w:firstLine="480" w:firstLineChars="200"/>
              <w:rPr>
                <w:color w:val="auto"/>
                <w:sz w:val="24"/>
              </w:rPr>
            </w:pPr>
            <w:r>
              <w:rPr>
                <w:rFonts w:hint="eastAsia"/>
                <w:color w:val="auto"/>
                <w:sz w:val="24"/>
              </w:rPr>
              <w:t>公司</w:t>
            </w:r>
            <w:r>
              <w:rPr>
                <w:color w:val="auto"/>
                <w:sz w:val="24"/>
              </w:rPr>
              <w:t>磷石膏</w:t>
            </w:r>
            <w:r>
              <w:rPr>
                <w:rFonts w:hint="eastAsia"/>
                <w:color w:val="auto"/>
                <w:sz w:val="24"/>
                <w:lang w:val="en-US" w:eastAsia="zh-CN"/>
              </w:rPr>
              <w:t>渣场</w:t>
            </w:r>
            <w:r>
              <w:rPr>
                <w:color w:val="auto"/>
                <w:sz w:val="24"/>
              </w:rPr>
              <w:t>渗滤液来自二个方面：一是磷石膏渣自身所带来的水分；二是大气降水。磷石膏临时堆场周边地下水主要受大气降水及地表水的影响，水量总体上较贫，磷石膏</w:t>
            </w:r>
            <w:r>
              <w:rPr>
                <w:rFonts w:hint="eastAsia"/>
                <w:color w:val="auto"/>
                <w:sz w:val="24"/>
                <w:lang w:val="en-US" w:eastAsia="zh-CN"/>
              </w:rPr>
              <w:t>渣场</w:t>
            </w:r>
            <w:r>
              <w:rPr>
                <w:color w:val="auto"/>
                <w:sz w:val="24"/>
              </w:rPr>
              <w:t>采取</w:t>
            </w:r>
            <w:r>
              <w:rPr>
                <w:color w:val="auto"/>
                <w:sz w:val="24"/>
                <w:szCs w:val="24"/>
              </w:rPr>
              <w:t>了</w:t>
            </w:r>
            <w:r>
              <w:rPr>
                <w:rFonts w:hint="eastAsia"/>
                <w:color w:val="auto"/>
                <w:sz w:val="24"/>
                <w:szCs w:val="24"/>
                <w:lang w:eastAsia="zh-CN"/>
              </w:rPr>
              <w:t>“</w:t>
            </w:r>
            <w:r>
              <w:rPr>
                <w:rFonts w:hint="eastAsia"/>
                <w:bCs/>
                <w:color w:val="auto"/>
                <w:sz w:val="24"/>
                <w:szCs w:val="24"/>
                <w:lang w:val="en-US" w:eastAsia="zh-CN"/>
              </w:rPr>
              <w:t>GCL膨润土毯+厚度1.5mm的HDPE土工膜+土工布</w:t>
            </w:r>
            <w:r>
              <w:rPr>
                <w:rFonts w:hint="eastAsia"/>
                <w:color w:val="auto"/>
                <w:sz w:val="24"/>
                <w:szCs w:val="24"/>
                <w:lang w:eastAsia="zh-CN"/>
              </w:rPr>
              <w:t>”</w:t>
            </w:r>
            <w:r>
              <w:rPr>
                <w:rFonts w:hint="eastAsia"/>
                <w:color w:val="auto"/>
                <w:sz w:val="24"/>
                <w:szCs w:val="24"/>
                <w:lang w:val="en-US" w:eastAsia="zh-CN"/>
              </w:rPr>
              <w:t>防渗措施</w:t>
            </w:r>
            <w:r>
              <w:rPr>
                <w:rFonts w:hint="eastAsia"/>
                <w:bCs/>
                <w:color w:val="auto"/>
                <w:sz w:val="24"/>
                <w:szCs w:val="24"/>
                <w:lang w:val="en-US" w:eastAsia="zh-CN"/>
              </w:rPr>
              <w:t>，并在渣场内埋设林滤水管，四周建有淋溶水沟，渗滤液通过淋滤水管/沟收集进入渗滤液收集池（1个，710m</w:t>
            </w:r>
            <w:r>
              <w:rPr>
                <w:rFonts w:hint="eastAsia"/>
                <w:bCs/>
                <w:color w:val="auto"/>
                <w:sz w:val="24"/>
                <w:szCs w:val="24"/>
                <w:vertAlign w:val="superscript"/>
                <w:lang w:val="en-US" w:eastAsia="zh-CN"/>
              </w:rPr>
              <w:t>3</w:t>
            </w:r>
            <w:r>
              <w:rPr>
                <w:rFonts w:hint="eastAsia"/>
                <w:bCs/>
                <w:color w:val="auto"/>
                <w:sz w:val="24"/>
                <w:szCs w:val="24"/>
                <w:lang w:val="en-US" w:eastAsia="zh-CN"/>
              </w:rPr>
              <w:t>）暂存，最终返回生产系统内循环使用，不外排。</w:t>
            </w:r>
            <w:r>
              <w:rPr>
                <w:color w:val="auto"/>
                <w:sz w:val="24"/>
              </w:rPr>
              <w:t>同时在磷石膏</w:t>
            </w:r>
            <w:r>
              <w:rPr>
                <w:rFonts w:hint="eastAsia"/>
                <w:color w:val="auto"/>
                <w:sz w:val="24"/>
                <w:lang w:val="en-US" w:eastAsia="zh-CN"/>
              </w:rPr>
              <w:t>渣场</w:t>
            </w:r>
            <w:r>
              <w:rPr>
                <w:color w:val="auto"/>
                <w:sz w:val="24"/>
              </w:rPr>
              <w:t>外</w:t>
            </w:r>
            <w:r>
              <w:rPr>
                <w:rFonts w:hint="eastAsia"/>
                <w:color w:val="auto"/>
                <w:sz w:val="24"/>
                <w:lang w:val="en-US" w:eastAsia="zh-CN"/>
              </w:rPr>
              <w:t>初期</w:t>
            </w:r>
            <w:r>
              <w:rPr>
                <w:color w:val="auto"/>
                <w:sz w:val="24"/>
              </w:rPr>
              <w:t>雨水通过场周边的</w:t>
            </w:r>
            <w:r>
              <w:rPr>
                <w:rFonts w:hint="eastAsia"/>
                <w:color w:val="auto"/>
                <w:sz w:val="24"/>
                <w:lang w:val="en-US" w:eastAsia="zh-CN"/>
              </w:rPr>
              <w:t>雨水沟</w:t>
            </w:r>
            <w:r>
              <w:rPr>
                <w:color w:val="auto"/>
                <w:sz w:val="24"/>
              </w:rPr>
              <w:t>拦截至</w:t>
            </w:r>
            <w:r>
              <w:rPr>
                <w:rFonts w:hint="eastAsia"/>
                <w:color w:val="auto"/>
                <w:sz w:val="24"/>
                <w:lang w:val="en-US" w:eastAsia="zh-CN"/>
              </w:rPr>
              <w:t>公司</w:t>
            </w:r>
            <w:r>
              <w:rPr>
                <w:color w:val="auto"/>
                <w:sz w:val="24"/>
              </w:rPr>
              <w:t>现有的雨水收集池回收利用，不外排。</w:t>
            </w:r>
          </w:p>
          <w:p w14:paraId="3C3E9EF9">
            <w:pPr>
              <w:spacing w:line="360" w:lineRule="auto"/>
              <w:ind w:firstLine="480" w:firstLineChars="200"/>
              <w:rPr>
                <w:color w:val="auto"/>
                <w:sz w:val="24"/>
              </w:rPr>
            </w:pPr>
            <w:r>
              <w:rPr>
                <w:color w:val="auto"/>
                <w:sz w:val="24"/>
              </w:rPr>
              <w:t>根据《一般工业固体废物贮存和填埋污染控制标准》（GB 18599-2020）Ⅱ类场设计的环境保护要求，为监控</w:t>
            </w:r>
            <w:r>
              <w:rPr>
                <w:rFonts w:hint="eastAsia"/>
                <w:color w:val="auto"/>
                <w:sz w:val="24"/>
                <w:lang w:eastAsia="zh-CN"/>
              </w:rPr>
              <w:t>云南常青树化工有限公司</w:t>
            </w:r>
            <w:r>
              <w:rPr>
                <w:color w:val="auto"/>
                <w:sz w:val="24"/>
              </w:rPr>
              <w:t>现有项目对地下水的污染，</w:t>
            </w:r>
            <w:r>
              <w:rPr>
                <w:rFonts w:hint="eastAsia"/>
                <w:color w:val="auto"/>
                <w:sz w:val="24"/>
                <w:lang w:eastAsia="zh-CN"/>
              </w:rPr>
              <w:t>云南常青树化工有限公司</w:t>
            </w:r>
            <w:r>
              <w:rPr>
                <w:color w:val="auto"/>
                <w:sz w:val="24"/>
              </w:rPr>
              <w:t>现有设置有</w:t>
            </w:r>
            <w:r>
              <w:rPr>
                <w:rFonts w:hint="eastAsia"/>
                <w:color w:val="auto"/>
                <w:sz w:val="24"/>
                <w:lang w:val="en-US" w:eastAsia="zh-CN"/>
              </w:rPr>
              <w:t>3个观测井</w:t>
            </w:r>
            <w:r>
              <w:rPr>
                <w:color w:val="auto"/>
                <w:sz w:val="24"/>
              </w:rPr>
              <w:t>作为对照井和污染监观测井</w:t>
            </w:r>
            <w:r>
              <w:rPr>
                <w:rFonts w:hint="eastAsia"/>
                <w:color w:val="auto"/>
                <w:sz w:val="24"/>
                <w:lang w:val="en-US" w:eastAsia="zh-CN"/>
              </w:rPr>
              <w:t>，分别为1#上游监测井（位于厂区上游东侧263m）、2#下游监测井（位于厂区下游西侧约51m）、3#渣场监测井（位于项目内，渣场东侧约180m）。</w:t>
            </w:r>
            <w:r>
              <w:rPr>
                <w:color w:val="auto"/>
                <w:sz w:val="24"/>
              </w:rPr>
              <w:t>根据202</w:t>
            </w:r>
            <w:r>
              <w:rPr>
                <w:rFonts w:hint="eastAsia"/>
                <w:color w:val="auto"/>
                <w:sz w:val="24"/>
              </w:rPr>
              <w:t>2</w:t>
            </w:r>
            <w:r>
              <w:rPr>
                <w:color w:val="auto"/>
                <w:sz w:val="24"/>
              </w:rPr>
              <w:t>年《</w:t>
            </w:r>
            <w:r>
              <w:rPr>
                <w:rFonts w:hint="eastAsia"/>
                <w:color w:val="auto"/>
                <w:sz w:val="24"/>
                <w:lang w:eastAsia="zh-CN"/>
              </w:rPr>
              <w:t>云南常青树化工有限公司</w:t>
            </w:r>
            <w:r>
              <w:rPr>
                <w:color w:val="auto"/>
                <w:sz w:val="24"/>
              </w:rPr>
              <w:t>自行检测（</w:t>
            </w:r>
            <w:r>
              <w:rPr>
                <w:rFonts w:hint="eastAsia"/>
                <w:color w:val="auto"/>
                <w:sz w:val="24"/>
                <w:lang w:val="en-US" w:eastAsia="zh-CN"/>
              </w:rPr>
              <w:t>2023年3月、2023年6月、2023年9月、2023年12月</w:t>
            </w:r>
            <w:r>
              <w:rPr>
                <w:color w:val="auto"/>
                <w:sz w:val="24"/>
              </w:rPr>
              <w:t>）》监测报告（详见附件</w:t>
            </w:r>
            <w:r>
              <w:rPr>
                <w:rFonts w:hint="eastAsia"/>
                <w:color w:val="auto"/>
                <w:sz w:val="24"/>
                <w:lang w:val="en-US" w:eastAsia="zh-CN"/>
              </w:rPr>
              <w:t>15</w:t>
            </w:r>
            <w:r>
              <w:rPr>
                <w:color w:val="auto"/>
                <w:sz w:val="24"/>
              </w:rPr>
              <w:t>）中的检测数据，监测评价结果详见</w:t>
            </w:r>
            <w:r>
              <w:rPr>
                <w:color w:val="auto"/>
                <w:sz w:val="24"/>
                <w:highlight w:val="none"/>
              </w:rPr>
              <w:t>表</w:t>
            </w:r>
            <w:r>
              <w:rPr>
                <w:rFonts w:hint="eastAsia"/>
                <w:color w:val="auto"/>
                <w:sz w:val="24"/>
                <w:highlight w:val="none"/>
              </w:rPr>
              <w:t>2</w:t>
            </w:r>
            <w:r>
              <w:rPr>
                <w:color w:val="auto"/>
                <w:sz w:val="24"/>
                <w:highlight w:val="none"/>
              </w:rPr>
              <w:t>-</w:t>
            </w:r>
            <w:r>
              <w:rPr>
                <w:rFonts w:hint="eastAsia"/>
                <w:color w:val="auto"/>
                <w:sz w:val="24"/>
                <w:highlight w:val="none"/>
              </w:rPr>
              <w:t>3</w:t>
            </w:r>
            <w:r>
              <w:rPr>
                <w:rFonts w:hint="eastAsia"/>
                <w:color w:val="auto"/>
                <w:sz w:val="24"/>
                <w:highlight w:val="none"/>
                <w:lang w:val="en-US" w:eastAsia="zh-CN"/>
              </w:rPr>
              <w:t>2</w:t>
            </w:r>
            <w:r>
              <w:rPr>
                <w:color w:val="auto"/>
                <w:sz w:val="24"/>
                <w:highlight w:val="none"/>
              </w:rPr>
              <w:t>。</w:t>
            </w:r>
          </w:p>
          <w:p w14:paraId="3956762E">
            <w:pPr>
              <w:pStyle w:val="2"/>
              <w:spacing w:before="0" w:after="0" w:line="360" w:lineRule="auto"/>
              <w:ind w:left="0" w:firstLine="480" w:firstLineChars="200"/>
              <w:jc w:val="left"/>
              <w:rPr>
                <w:rFonts w:eastAsia="宋体"/>
                <w:b w:val="0"/>
                <w:color w:val="auto"/>
              </w:rPr>
            </w:pPr>
            <w:r>
              <w:rPr>
                <w:rFonts w:eastAsia="宋体"/>
                <w:b w:val="0"/>
                <w:color w:val="auto"/>
                <w:sz w:val="24"/>
              </w:rPr>
              <w:t>由</w:t>
            </w:r>
            <w:r>
              <w:rPr>
                <w:rFonts w:eastAsia="宋体"/>
                <w:b w:val="0"/>
                <w:color w:val="auto"/>
                <w:sz w:val="24"/>
                <w:highlight w:val="none"/>
              </w:rPr>
              <w:t>表</w:t>
            </w:r>
            <w:r>
              <w:rPr>
                <w:rFonts w:hint="eastAsia" w:eastAsia="宋体"/>
                <w:b w:val="0"/>
                <w:color w:val="auto"/>
                <w:sz w:val="24"/>
                <w:highlight w:val="none"/>
              </w:rPr>
              <w:t>2</w:t>
            </w:r>
            <w:r>
              <w:rPr>
                <w:rFonts w:eastAsia="宋体"/>
                <w:b w:val="0"/>
                <w:color w:val="auto"/>
                <w:sz w:val="24"/>
                <w:highlight w:val="none"/>
              </w:rPr>
              <w:t>-</w:t>
            </w:r>
            <w:r>
              <w:rPr>
                <w:rFonts w:hint="eastAsia" w:eastAsia="宋体"/>
                <w:b w:val="0"/>
                <w:color w:val="auto"/>
                <w:sz w:val="24"/>
                <w:highlight w:val="none"/>
              </w:rPr>
              <w:t>3</w:t>
            </w:r>
            <w:r>
              <w:rPr>
                <w:rFonts w:hint="eastAsia" w:eastAsia="宋体"/>
                <w:b w:val="0"/>
                <w:color w:val="auto"/>
                <w:sz w:val="24"/>
                <w:highlight w:val="none"/>
                <w:lang w:val="en-US" w:eastAsia="zh-CN"/>
              </w:rPr>
              <w:t>2</w:t>
            </w:r>
            <w:r>
              <w:rPr>
                <w:rFonts w:eastAsia="宋体"/>
                <w:b w:val="0"/>
                <w:color w:val="auto"/>
                <w:sz w:val="24"/>
                <w:highlight w:val="none"/>
              </w:rPr>
              <w:t>地</w:t>
            </w:r>
            <w:r>
              <w:rPr>
                <w:rFonts w:eastAsia="宋体"/>
                <w:b w:val="0"/>
                <w:color w:val="auto"/>
                <w:sz w:val="24"/>
              </w:rPr>
              <w:t>下水监测结果可看出，项目区地下水监测指标均能达到《地下水环境质量标准》</w:t>
            </w:r>
            <w:r>
              <w:rPr>
                <w:rFonts w:hint="eastAsia" w:eastAsia="宋体"/>
                <w:b w:val="0"/>
                <w:color w:val="auto"/>
                <w:sz w:val="24"/>
              </w:rPr>
              <w:t>（</w:t>
            </w:r>
            <w:r>
              <w:rPr>
                <w:rFonts w:eastAsia="宋体"/>
                <w:b w:val="0"/>
                <w:color w:val="auto"/>
                <w:sz w:val="24"/>
              </w:rPr>
              <w:t>GB/T 14848-2017</w:t>
            </w:r>
            <w:r>
              <w:rPr>
                <w:rFonts w:hint="eastAsia" w:eastAsia="宋体"/>
                <w:b w:val="0"/>
                <w:color w:val="auto"/>
                <w:sz w:val="24"/>
              </w:rPr>
              <w:t>）</w:t>
            </w:r>
            <w:r>
              <w:rPr>
                <w:rFonts w:eastAsia="宋体"/>
                <w:b w:val="0"/>
                <w:color w:val="auto"/>
                <w:sz w:val="24"/>
              </w:rPr>
              <w:t>III类标准要求；项目区地下水环境质量现状良好。</w:t>
            </w:r>
          </w:p>
          <w:p w14:paraId="0F456FC9">
            <w:pPr>
              <w:spacing w:line="360" w:lineRule="auto"/>
              <w:ind w:firstLine="472" w:firstLineChars="196"/>
              <w:rPr>
                <w:rFonts w:hint="eastAsia"/>
                <w:b/>
                <w:bCs/>
                <w:color w:val="auto"/>
                <w:sz w:val="24"/>
              </w:rPr>
            </w:pPr>
            <w:r>
              <w:rPr>
                <w:rFonts w:hint="eastAsia"/>
                <w:b/>
                <w:bCs/>
                <w:color w:val="auto"/>
                <w:sz w:val="24"/>
              </w:rPr>
              <w:t>七、</w:t>
            </w:r>
            <w:r>
              <w:rPr>
                <w:rFonts w:hint="eastAsia"/>
                <w:b/>
                <w:bCs/>
                <w:color w:val="auto"/>
                <w:sz w:val="24"/>
                <w:lang w:val="en-US" w:eastAsia="zh-CN"/>
              </w:rPr>
              <w:t>与本项目有关的环境问题</w:t>
            </w:r>
          </w:p>
          <w:p w14:paraId="2B8295FE">
            <w:pPr>
              <w:pStyle w:val="2"/>
              <w:spacing w:before="0" w:after="0" w:line="360" w:lineRule="auto"/>
              <w:ind w:left="0" w:firstLine="480" w:firstLineChars="200"/>
              <w:jc w:val="left"/>
              <w:rPr>
                <w:rFonts w:hint="eastAsia" w:ascii="Times New Roman" w:hAnsi="Times New Roman" w:eastAsia="宋体" w:cs="Times New Roman"/>
                <w:b w:val="0"/>
                <w:bCs/>
                <w:color w:val="auto"/>
                <w:kern w:val="0"/>
                <w:sz w:val="24"/>
                <w:szCs w:val="20"/>
                <w:lang w:val="en-US" w:eastAsia="zh-CN" w:bidi="ar-SA"/>
              </w:rPr>
            </w:pPr>
            <w:r>
              <w:rPr>
                <w:rFonts w:hint="eastAsia" w:eastAsia="宋体" w:cs="Times New Roman"/>
                <w:b w:val="0"/>
                <w:bCs/>
                <w:color w:val="auto"/>
                <w:kern w:val="0"/>
                <w:sz w:val="24"/>
                <w:szCs w:val="20"/>
                <w:lang w:val="en-US" w:eastAsia="zh-CN" w:bidi="ar-SA"/>
              </w:rPr>
              <w:t>（1）监察及整改情况</w:t>
            </w:r>
          </w:p>
          <w:p w14:paraId="1BF08C0D">
            <w:pPr>
              <w:pStyle w:val="2"/>
              <w:spacing w:before="0" w:after="0" w:line="360" w:lineRule="auto"/>
              <w:ind w:left="0" w:firstLine="480" w:firstLineChars="200"/>
              <w:jc w:val="left"/>
              <w:rPr>
                <w:rFonts w:hint="default" w:eastAsia="宋体" w:cs="Times New Roman"/>
                <w:b w:val="0"/>
                <w:bCs/>
                <w:color w:val="auto"/>
                <w:kern w:val="0"/>
                <w:sz w:val="24"/>
                <w:szCs w:val="20"/>
                <w:lang w:val="en-US" w:eastAsia="zh-CN" w:bidi="ar-SA"/>
              </w:rPr>
            </w:pPr>
            <w:r>
              <w:rPr>
                <w:rFonts w:hint="eastAsia" w:eastAsia="宋体" w:cs="Times New Roman"/>
                <w:b w:val="0"/>
                <w:bCs/>
                <w:color w:val="auto"/>
                <w:kern w:val="0"/>
                <w:sz w:val="24"/>
                <w:szCs w:val="20"/>
                <w:lang w:val="en-US" w:eastAsia="zh-CN" w:bidi="ar-SA"/>
              </w:rPr>
              <w:t>根据建设单位提供资料，现有50万吨/年水泥缓凝剂生产线及磷石膏渣场涉及的主管部门环保执法检查情况见下表。</w:t>
            </w:r>
          </w:p>
          <w:p w14:paraId="537E9D23">
            <w:pPr>
              <w:pStyle w:val="2"/>
              <w:keepNext/>
              <w:keepLines w:val="0"/>
              <w:pageBreakBefore w:val="0"/>
              <w:widowControl w:val="0"/>
              <w:kinsoku/>
              <w:wordWrap/>
              <w:overflowPunct w:val="0"/>
              <w:topLinePunct w:val="0"/>
              <w:autoSpaceDE/>
              <w:autoSpaceDN/>
              <w:bidi w:val="0"/>
              <w:adjustRightInd w:val="0"/>
              <w:snapToGrid w:val="0"/>
              <w:spacing w:before="0" w:after="0" w:line="240" w:lineRule="auto"/>
              <w:ind w:left="0" w:firstLine="0"/>
              <w:jc w:val="center"/>
              <w:textAlignment w:val="auto"/>
              <w:rPr>
                <w:rFonts w:hint="eastAsia" w:eastAsia="宋体" w:cs="Times New Roman"/>
                <w:b/>
                <w:bCs w:val="0"/>
                <w:color w:val="auto"/>
                <w:kern w:val="0"/>
                <w:sz w:val="24"/>
                <w:szCs w:val="20"/>
                <w:lang w:val="en-US" w:eastAsia="zh-CN" w:bidi="ar-SA"/>
              </w:rPr>
            </w:pPr>
          </w:p>
          <w:p w14:paraId="44AB79D3">
            <w:pPr>
              <w:pStyle w:val="2"/>
              <w:keepNext/>
              <w:keepLines w:val="0"/>
              <w:pageBreakBefore w:val="0"/>
              <w:widowControl w:val="0"/>
              <w:kinsoku/>
              <w:wordWrap/>
              <w:overflowPunct w:val="0"/>
              <w:topLinePunct w:val="0"/>
              <w:autoSpaceDE/>
              <w:autoSpaceDN/>
              <w:bidi w:val="0"/>
              <w:adjustRightInd w:val="0"/>
              <w:snapToGrid w:val="0"/>
              <w:spacing w:before="0" w:after="0" w:line="240" w:lineRule="auto"/>
              <w:ind w:left="0" w:firstLine="0"/>
              <w:jc w:val="center"/>
              <w:textAlignment w:val="auto"/>
              <w:rPr>
                <w:rFonts w:hint="eastAsia" w:eastAsia="宋体" w:cs="Times New Roman"/>
                <w:b/>
                <w:bCs w:val="0"/>
                <w:color w:val="auto"/>
                <w:kern w:val="0"/>
                <w:sz w:val="24"/>
                <w:szCs w:val="20"/>
                <w:lang w:val="en-US" w:eastAsia="zh-CN" w:bidi="ar-SA"/>
              </w:rPr>
            </w:pPr>
          </w:p>
          <w:p w14:paraId="254DCA01">
            <w:pPr>
              <w:pStyle w:val="2"/>
              <w:keepNext/>
              <w:keepLines w:val="0"/>
              <w:pageBreakBefore w:val="0"/>
              <w:widowControl w:val="0"/>
              <w:kinsoku/>
              <w:wordWrap/>
              <w:overflowPunct w:val="0"/>
              <w:topLinePunct w:val="0"/>
              <w:autoSpaceDE/>
              <w:autoSpaceDN/>
              <w:bidi w:val="0"/>
              <w:adjustRightInd w:val="0"/>
              <w:snapToGrid w:val="0"/>
              <w:spacing w:before="0" w:after="0" w:line="240" w:lineRule="auto"/>
              <w:ind w:left="0" w:firstLine="0"/>
              <w:jc w:val="center"/>
              <w:textAlignment w:val="auto"/>
              <w:rPr>
                <w:rFonts w:hint="default" w:eastAsia="宋体" w:cs="Times New Roman"/>
                <w:b/>
                <w:bCs w:val="0"/>
                <w:color w:val="auto"/>
                <w:kern w:val="0"/>
                <w:sz w:val="24"/>
                <w:szCs w:val="20"/>
                <w:lang w:val="en-US" w:eastAsia="zh-CN" w:bidi="ar-SA"/>
              </w:rPr>
            </w:pPr>
            <w:r>
              <w:rPr>
                <w:rFonts w:hint="eastAsia" w:eastAsia="宋体" w:cs="Times New Roman"/>
                <w:b/>
                <w:bCs w:val="0"/>
                <w:color w:val="auto"/>
                <w:kern w:val="0"/>
                <w:sz w:val="24"/>
                <w:szCs w:val="20"/>
                <w:lang w:val="en-US" w:eastAsia="zh-CN" w:bidi="ar-SA"/>
              </w:rPr>
              <w:t>表2-35  环保检查整改情况</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723"/>
              <w:gridCol w:w="2386"/>
              <w:gridCol w:w="4325"/>
            </w:tblGrid>
            <w:tr w14:paraId="31604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Align w:val="center"/>
                </w:tcPr>
                <w:p w14:paraId="2B70BA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环保检查</w:t>
                  </w:r>
                </w:p>
              </w:tc>
              <w:tc>
                <w:tcPr>
                  <w:tcW w:w="723" w:type="dxa"/>
                  <w:vAlign w:val="center"/>
                </w:tcPr>
                <w:p w14:paraId="7AC630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Cs/>
                      <w:color w:val="auto"/>
                      <w:sz w:val="21"/>
                      <w:szCs w:val="21"/>
                      <w:vertAlign w:val="baseline"/>
                      <w:lang w:val="en-US" w:eastAsia="zh-CN"/>
                    </w:rPr>
                  </w:pPr>
                  <w:r>
                    <w:rPr>
                      <w:rFonts w:hint="eastAsia"/>
                      <w:bCs/>
                      <w:color w:val="auto"/>
                      <w:sz w:val="21"/>
                      <w:szCs w:val="21"/>
                      <w:vertAlign w:val="baseline"/>
                      <w:lang w:val="en-US" w:eastAsia="zh-CN"/>
                    </w:rPr>
                    <w:t>序号</w:t>
                  </w:r>
                </w:p>
              </w:tc>
              <w:tc>
                <w:tcPr>
                  <w:tcW w:w="2386" w:type="dxa"/>
                  <w:vAlign w:val="center"/>
                </w:tcPr>
                <w:p w14:paraId="3F44DF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color w:val="auto"/>
                      <w:sz w:val="21"/>
                      <w:szCs w:val="21"/>
                      <w:vertAlign w:val="baseline"/>
                      <w:lang w:val="en-US" w:eastAsia="zh-CN"/>
                    </w:rPr>
                  </w:pPr>
                  <w:r>
                    <w:rPr>
                      <w:rFonts w:hint="eastAsia"/>
                      <w:bCs/>
                      <w:color w:val="auto"/>
                      <w:sz w:val="21"/>
                      <w:szCs w:val="21"/>
                      <w:vertAlign w:val="baseline"/>
                      <w:lang w:val="en-US" w:eastAsia="zh-CN"/>
                    </w:rPr>
                    <w:t>整改要求</w:t>
                  </w:r>
                </w:p>
              </w:tc>
              <w:tc>
                <w:tcPr>
                  <w:tcW w:w="4325" w:type="dxa"/>
                  <w:vAlign w:val="center"/>
                </w:tcPr>
                <w:p w14:paraId="16187C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color w:val="auto"/>
                      <w:sz w:val="21"/>
                      <w:szCs w:val="21"/>
                      <w:vertAlign w:val="baseline"/>
                      <w:lang w:val="en-US" w:eastAsia="zh-CN"/>
                    </w:rPr>
                  </w:pPr>
                  <w:r>
                    <w:rPr>
                      <w:rFonts w:hint="eastAsia"/>
                      <w:bCs/>
                      <w:color w:val="auto"/>
                      <w:sz w:val="21"/>
                      <w:szCs w:val="21"/>
                      <w:vertAlign w:val="baseline"/>
                      <w:lang w:val="en-US" w:eastAsia="zh-CN"/>
                    </w:rPr>
                    <w:t>整改落实情况</w:t>
                  </w:r>
                </w:p>
              </w:tc>
            </w:tr>
            <w:tr w14:paraId="4801D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Merge w:val="restart"/>
                  <w:vAlign w:val="center"/>
                </w:tcPr>
                <w:p w14:paraId="11F01A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“三磷”专项排查（2019年6月21日）</w:t>
                  </w:r>
                </w:p>
              </w:tc>
              <w:tc>
                <w:tcPr>
                  <w:tcW w:w="723" w:type="dxa"/>
                  <w:vAlign w:val="center"/>
                </w:tcPr>
                <w:p w14:paraId="0AC6EB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1</w:t>
                  </w:r>
                </w:p>
              </w:tc>
              <w:tc>
                <w:tcPr>
                  <w:tcW w:w="2386" w:type="dxa"/>
                  <w:vAlign w:val="center"/>
                </w:tcPr>
                <w:p w14:paraId="3F5BE7AD">
                  <w:pPr>
                    <w:keepNext w:val="0"/>
                    <w:keepLines w:val="0"/>
                    <w:widowControl/>
                    <w:suppressLineNumbers w:val="0"/>
                    <w:jc w:val="left"/>
                    <w:rPr>
                      <w:rFonts w:hint="eastAsia"/>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水泥缓释剂严重超设计产能，据业主介绍，存在水泥缓释剂未批先建、未验先投行为</w:t>
                  </w:r>
                </w:p>
              </w:tc>
              <w:tc>
                <w:tcPr>
                  <w:tcW w:w="4325" w:type="dxa"/>
                  <w:vAlign w:val="center"/>
                </w:tcPr>
                <w:p w14:paraId="24CC90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2020年3月20日取得《50万吨/年水泥缓凝剂改造项目环境影响报告表》的批复（昆生环寻[2020]10号），且于2021年8月完成自主验收。</w:t>
                  </w:r>
                </w:p>
              </w:tc>
            </w:tr>
            <w:tr w14:paraId="7FB10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Merge w:val="continue"/>
                  <w:vAlign w:val="center"/>
                </w:tcPr>
                <w:p w14:paraId="5A822E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color w:val="auto"/>
                      <w:sz w:val="21"/>
                      <w:szCs w:val="21"/>
                      <w:vertAlign w:val="baseline"/>
                      <w:lang w:val="en-US" w:eastAsia="zh-CN"/>
                    </w:rPr>
                  </w:pPr>
                </w:p>
              </w:tc>
              <w:tc>
                <w:tcPr>
                  <w:tcW w:w="723" w:type="dxa"/>
                  <w:vAlign w:val="center"/>
                </w:tcPr>
                <w:p w14:paraId="407F08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2</w:t>
                  </w:r>
                </w:p>
              </w:tc>
              <w:tc>
                <w:tcPr>
                  <w:tcW w:w="2386" w:type="dxa"/>
                  <w:vAlign w:val="center"/>
                </w:tcPr>
                <w:p w14:paraId="65012964">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磷酸系统生产调度以消耗磷石膏渣场渗滤液为目的，同时又不能显著增加磷石膏消纳负荷。</w:t>
                  </w:r>
                </w:p>
              </w:tc>
              <w:tc>
                <w:tcPr>
                  <w:tcW w:w="4325" w:type="dxa"/>
                  <w:vAlign w:val="center"/>
                </w:tcPr>
                <w:p w14:paraId="421389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color w:val="auto"/>
                      <w:sz w:val="21"/>
                      <w:szCs w:val="21"/>
                      <w:vertAlign w:val="baseline"/>
                      <w:lang w:val="en-US" w:eastAsia="zh-CN"/>
                    </w:rPr>
                  </w:pPr>
                  <w:r>
                    <w:rPr>
                      <w:rFonts w:hint="eastAsia"/>
                      <w:bCs/>
                      <w:color w:val="auto"/>
                      <w:sz w:val="21"/>
                      <w:szCs w:val="21"/>
                      <w:vertAlign w:val="baseline"/>
                      <w:lang w:val="en-US" w:eastAsia="zh-CN"/>
                    </w:rPr>
                    <w:t>2020年3月20日取得《50万吨/年水泥缓凝剂改造项目环境影响报告表》的批复（昆生环寻[2020]10号），且于2021年8月完成自主验收。</w:t>
                  </w:r>
                </w:p>
              </w:tc>
            </w:tr>
            <w:tr w14:paraId="7BEF6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Merge w:val="continue"/>
                  <w:vAlign w:val="center"/>
                </w:tcPr>
                <w:p w14:paraId="4FA34D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color w:val="auto"/>
                      <w:sz w:val="21"/>
                      <w:szCs w:val="21"/>
                      <w:vertAlign w:val="baseline"/>
                      <w:lang w:val="en-US" w:eastAsia="zh-CN"/>
                    </w:rPr>
                  </w:pPr>
                </w:p>
              </w:tc>
              <w:tc>
                <w:tcPr>
                  <w:tcW w:w="723" w:type="dxa"/>
                  <w:vAlign w:val="center"/>
                </w:tcPr>
                <w:p w14:paraId="48B882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3</w:t>
                  </w:r>
                </w:p>
              </w:tc>
              <w:tc>
                <w:tcPr>
                  <w:tcW w:w="2386" w:type="dxa"/>
                  <w:vAlign w:val="center"/>
                </w:tcPr>
                <w:p w14:paraId="64A8FF0B">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磷石膏渣场堆体边坡降雨径流未能有效收集进入雨水收集池，而是直接进入截洪系统</w:t>
                  </w:r>
                </w:p>
              </w:tc>
              <w:tc>
                <w:tcPr>
                  <w:tcW w:w="4325" w:type="dxa"/>
                  <w:vAlign w:val="center"/>
                </w:tcPr>
                <w:p w14:paraId="0699224D">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2019 年 7 月 10 日-8 月 30 日公司组织人员对磷石膏渣场已损坏的雨水收集沟道和截洪沟道进行了修复，完善了渣场截洪系统和雨水收集系统，有效分流外围山体洪水和磷石膏渣场雨水；自2018 年初开始我公司安排专人对渣场截洪系统和雨水收集系统进行</w:t>
                  </w:r>
                </w:p>
                <w:p w14:paraId="5ECB01FC">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常态化巡检并作记。</w:t>
                  </w:r>
                </w:p>
              </w:tc>
            </w:tr>
            <w:tr w14:paraId="0566C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Merge w:val="continue"/>
                  <w:vAlign w:val="center"/>
                </w:tcPr>
                <w:p w14:paraId="69D760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color w:val="auto"/>
                      <w:sz w:val="21"/>
                      <w:szCs w:val="21"/>
                      <w:vertAlign w:val="baseline"/>
                      <w:lang w:val="en-US" w:eastAsia="zh-CN"/>
                    </w:rPr>
                  </w:pPr>
                </w:p>
              </w:tc>
              <w:tc>
                <w:tcPr>
                  <w:tcW w:w="723" w:type="dxa"/>
                  <w:vAlign w:val="center"/>
                </w:tcPr>
                <w:p w14:paraId="6CBEE2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4</w:t>
                  </w:r>
                </w:p>
              </w:tc>
              <w:tc>
                <w:tcPr>
                  <w:tcW w:w="2386" w:type="dxa"/>
                  <w:vAlign w:val="center"/>
                </w:tcPr>
                <w:p w14:paraId="059A22D7">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磷石膏渣场作业区扬尘防治系统不完善，运输道路未硬化，易起尘</w:t>
                  </w:r>
                </w:p>
              </w:tc>
              <w:tc>
                <w:tcPr>
                  <w:tcW w:w="4325" w:type="dxa"/>
                  <w:vAlign w:val="center"/>
                </w:tcPr>
                <w:p w14:paraId="63E6D917">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1、减小作业区域面积，对暂停作业的区域用防尘网进行覆盖，以减少扬尘产生；</w:t>
                  </w:r>
                </w:p>
                <w:p w14:paraId="212A9FA7">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2、合理布局降尘水管，增加作业区域洒水降尘的喷头和移动人工洒水管道，做到洒水不留死角，降尘无盲区；</w:t>
                  </w:r>
                </w:p>
                <w:p w14:paraId="3FE17916">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渣场区域内未硬化路面和区域外已硬化运输道路采取洒水车定期洒水降尘，依据天气情况实时调整洒水频次，最大限度减少因磷石膏物料运输产生的扬尘。</w:t>
                  </w:r>
                </w:p>
              </w:tc>
            </w:tr>
            <w:tr w14:paraId="0872D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Align w:val="center"/>
                </w:tcPr>
                <w:p w14:paraId="068AB5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现场检查（勘查）笔录（2021年4月27日）</w:t>
                  </w:r>
                </w:p>
              </w:tc>
              <w:tc>
                <w:tcPr>
                  <w:tcW w:w="723" w:type="dxa"/>
                  <w:vAlign w:val="center"/>
                </w:tcPr>
                <w:p w14:paraId="767A24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color w:val="auto"/>
                      <w:sz w:val="21"/>
                      <w:szCs w:val="21"/>
                      <w:vertAlign w:val="baseline"/>
                      <w:lang w:val="en-US" w:eastAsia="zh-CN"/>
                    </w:rPr>
                  </w:pPr>
                  <w:r>
                    <w:rPr>
                      <w:rFonts w:hint="eastAsia"/>
                      <w:bCs/>
                      <w:color w:val="auto"/>
                      <w:sz w:val="21"/>
                      <w:szCs w:val="21"/>
                      <w:vertAlign w:val="baseline"/>
                      <w:lang w:val="en-US" w:eastAsia="zh-CN"/>
                    </w:rPr>
                    <w:t>1</w:t>
                  </w:r>
                </w:p>
              </w:tc>
              <w:tc>
                <w:tcPr>
                  <w:tcW w:w="2386" w:type="dxa"/>
                  <w:vAlign w:val="center"/>
                </w:tcPr>
                <w:p w14:paraId="129782D5">
                  <w:pPr>
                    <w:keepNext w:val="0"/>
                    <w:keepLines w:val="0"/>
                    <w:widowControl/>
                    <w:suppressLineNumbers w:val="0"/>
                    <w:jc w:val="left"/>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公司50吨锅炉废气排口安装的在线监控设备尚未完成联网验收</w:t>
                  </w:r>
                </w:p>
              </w:tc>
              <w:tc>
                <w:tcPr>
                  <w:tcW w:w="4325" w:type="dxa"/>
                  <w:vAlign w:val="center"/>
                </w:tcPr>
                <w:p w14:paraId="3D028884">
                  <w:pPr>
                    <w:keepNext w:val="0"/>
                    <w:keepLines w:val="0"/>
                    <w:widowControl/>
                    <w:suppressLineNumbers w:val="0"/>
                    <w:jc w:val="left"/>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50t/h锅炉已安装在线监测，且于昆明市生态环境局联网，于2021年5月15日通过自主验收。</w:t>
                  </w:r>
                </w:p>
              </w:tc>
            </w:tr>
            <w:tr w14:paraId="6DC46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Merge w:val="restart"/>
                  <w:vAlign w:val="center"/>
                </w:tcPr>
                <w:p w14:paraId="2B1F52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省生态环境厅综合执法检查（2021年7月9日）</w:t>
                  </w:r>
                </w:p>
              </w:tc>
              <w:tc>
                <w:tcPr>
                  <w:tcW w:w="723" w:type="dxa"/>
                  <w:vAlign w:val="center"/>
                </w:tcPr>
                <w:p w14:paraId="555322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1</w:t>
                  </w:r>
                </w:p>
              </w:tc>
              <w:tc>
                <w:tcPr>
                  <w:tcW w:w="2386" w:type="dxa"/>
                  <w:vAlign w:val="center"/>
                </w:tcPr>
                <w:p w14:paraId="6E1CC0F5">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危废暂存间（废矿物油）建设不规范，未作防渗处理，未设置导流沟</w:t>
                  </w:r>
                </w:p>
              </w:tc>
              <w:tc>
                <w:tcPr>
                  <w:tcW w:w="4325" w:type="dxa"/>
                  <w:vAlign w:val="center"/>
                </w:tcPr>
                <w:p w14:paraId="0FE42946">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1、对废机油暂存间地面及距地面 1 米的墙面用树脂漆进行涂刷作为防渗层；2、对暂存间地面四周设置导流沟至暂存间收集池</w:t>
                  </w:r>
                </w:p>
              </w:tc>
            </w:tr>
            <w:tr w14:paraId="35FBA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Merge w:val="continue"/>
                  <w:vAlign w:val="center"/>
                </w:tcPr>
                <w:p w14:paraId="324FD9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color w:val="auto"/>
                      <w:sz w:val="21"/>
                      <w:szCs w:val="21"/>
                      <w:vertAlign w:val="baseline"/>
                      <w:lang w:val="en-US" w:eastAsia="zh-CN"/>
                    </w:rPr>
                  </w:pPr>
                </w:p>
              </w:tc>
              <w:tc>
                <w:tcPr>
                  <w:tcW w:w="723" w:type="dxa"/>
                  <w:vAlign w:val="center"/>
                </w:tcPr>
                <w:p w14:paraId="68AAB1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2</w:t>
                  </w:r>
                </w:p>
              </w:tc>
              <w:tc>
                <w:tcPr>
                  <w:tcW w:w="2386" w:type="dxa"/>
                  <w:vAlign w:val="center"/>
                </w:tcPr>
                <w:p w14:paraId="1C46FF06">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危废暂存间（废矿物油）管理制度、责任牌等未上墙，废矿物油台账登记不完善</w:t>
                  </w:r>
                </w:p>
              </w:tc>
              <w:tc>
                <w:tcPr>
                  <w:tcW w:w="4325" w:type="dxa"/>
                  <w:vAlign w:val="center"/>
                </w:tcPr>
                <w:p w14:paraId="7905D0C0">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1、部门危废管理制度、责任牌上墙；2、按照</w:t>
                  </w:r>
                </w:p>
                <w:p w14:paraId="3B6C8344">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规范要求填写废矿物油台账，改正台账存在的问题</w:t>
                  </w:r>
                </w:p>
              </w:tc>
            </w:tr>
            <w:tr w14:paraId="16264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Merge w:val="continue"/>
                  <w:vAlign w:val="center"/>
                </w:tcPr>
                <w:p w14:paraId="39D854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color w:val="auto"/>
                      <w:sz w:val="21"/>
                      <w:szCs w:val="21"/>
                      <w:vertAlign w:val="baseline"/>
                      <w:lang w:val="en-US" w:eastAsia="zh-CN"/>
                    </w:rPr>
                  </w:pPr>
                </w:p>
              </w:tc>
              <w:tc>
                <w:tcPr>
                  <w:tcW w:w="723" w:type="dxa"/>
                  <w:vAlign w:val="center"/>
                </w:tcPr>
                <w:p w14:paraId="2A9FC7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3</w:t>
                  </w:r>
                </w:p>
              </w:tc>
              <w:tc>
                <w:tcPr>
                  <w:tcW w:w="2386" w:type="dxa"/>
                  <w:vAlign w:val="center"/>
                </w:tcPr>
                <w:p w14:paraId="733DA7F4">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事故应急池未处于空置状态，未专门用于事故应急</w:t>
                  </w:r>
                </w:p>
              </w:tc>
              <w:tc>
                <w:tcPr>
                  <w:tcW w:w="4325" w:type="dxa"/>
                  <w:vAlign w:val="center"/>
                </w:tcPr>
                <w:p w14:paraId="3DC48FB3">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保持事故应急池最低水位，保证事故应急池的应急功能</w:t>
                  </w:r>
                </w:p>
              </w:tc>
            </w:tr>
            <w:tr w14:paraId="26E66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Merge w:val="continue"/>
                  <w:vAlign w:val="center"/>
                </w:tcPr>
                <w:p w14:paraId="0544BF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color w:val="auto"/>
                      <w:sz w:val="21"/>
                      <w:szCs w:val="21"/>
                      <w:vertAlign w:val="baseline"/>
                      <w:lang w:val="en-US" w:eastAsia="zh-CN"/>
                    </w:rPr>
                  </w:pPr>
                </w:p>
              </w:tc>
              <w:tc>
                <w:tcPr>
                  <w:tcW w:w="723" w:type="dxa"/>
                  <w:vAlign w:val="center"/>
                </w:tcPr>
                <w:p w14:paraId="7E85E0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4</w:t>
                  </w:r>
                </w:p>
              </w:tc>
              <w:tc>
                <w:tcPr>
                  <w:tcW w:w="2386" w:type="dxa"/>
                  <w:vAlign w:val="center"/>
                </w:tcPr>
                <w:p w14:paraId="2407EF9A">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生活区安装有一台0.2t/h 蒸吨的汽水两用锅炉，锅炉燃料使用木材及煤</w:t>
                  </w:r>
                </w:p>
              </w:tc>
              <w:tc>
                <w:tcPr>
                  <w:tcW w:w="4325" w:type="dxa"/>
                  <w:vAlign w:val="center"/>
                </w:tcPr>
                <w:p w14:paraId="69B3E0BB">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拆除生活区汽水两用锅炉，生活区应采用环保节能设备供应热水</w:t>
                  </w:r>
                </w:p>
              </w:tc>
            </w:tr>
            <w:tr w14:paraId="1F9F7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Merge w:val="continue"/>
                  <w:vAlign w:val="center"/>
                </w:tcPr>
                <w:p w14:paraId="459861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color w:val="auto"/>
                      <w:sz w:val="21"/>
                      <w:szCs w:val="21"/>
                      <w:vertAlign w:val="baseline"/>
                      <w:lang w:val="en-US" w:eastAsia="zh-CN"/>
                    </w:rPr>
                  </w:pPr>
                </w:p>
              </w:tc>
              <w:tc>
                <w:tcPr>
                  <w:tcW w:w="723" w:type="dxa"/>
                  <w:vAlign w:val="center"/>
                </w:tcPr>
                <w:p w14:paraId="66AA23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5</w:t>
                  </w:r>
                </w:p>
              </w:tc>
              <w:tc>
                <w:tcPr>
                  <w:tcW w:w="2386" w:type="dxa"/>
                  <w:vAlign w:val="center"/>
                </w:tcPr>
                <w:p w14:paraId="24BF0974">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生活区生活垃圾收集池未搭建雨棚</w:t>
                  </w:r>
                </w:p>
              </w:tc>
              <w:tc>
                <w:tcPr>
                  <w:tcW w:w="4325" w:type="dxa"/>
                  <w:vAlign w:val="center"/>
                </w:tcPr>
                <w:p w14:paraId="5B4F959B">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搭建生活区生活垃圾收集池雨棚，硬化垃圾池地面</w:t>
                  </w:r>
                </w:p>
              </w:tc>
            </w:tr>
            <w:tr w14:paraId="2C9EC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Merge w:val="continue"/>
                  <w:vAlign w:val="center"/>
                </w:tcPr>
                <w:p w14:paraId="678938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color w:val="auto"/>
                      <w:sz w:val="21"/>
                      <w:szCs w:val="21"/>
                      <w:vertAlign w:val="baseline"/>
                      <w:lang w:val="en-US" w:eastAsia="zh-CN"/>
                    </w:rPr>
                  </w:pPr>
                </w:p>
              </w:tc>
              <w:tc>
                <w:tcPr>
                  <w:tcW w:w="723" w:type="dxa"/>
                  <w:vAlign w:val="center"/>
                </w:tcPr>
                <w:p w14:paraId="5E10D9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6</w:t>
                  </w:r>
                </w:p>
              </w:tc>
              <w:tc>
                <w:tcPr>
                  <w:tcW w:w="2386" w:type="dxa"/>
                  <w:vAlign w:val="center"/>
                </w:tcPr>
                <w:p w14:paraId="28699670">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磷石膏废渣堆场未按环评要求建设 2 台喷雾洒水降尘设施</w:t>
                  </w:r>
                </w:p>
              </w:tc>
              <w:tc>
                <w:tcPr>
                  <w:tcW w:w="4325" w:type="dxa"/>
                  <w:vAlign w:val="center"/>
                </w:tcPr>
                <w:p w14:paraId="1943EE64">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恢复渣场作业面洒水设施，根据现场情况实时对作业面进行洒水降尘</w:t>
                  </w:r>
                </w:p>
              </w:tc>
            </w:tr>
            <w:tr w14:paraId="57E29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Merge w:val="continue"/>
                  <w:vAlign w:val="center"/>
                </w:tcPr>
                <w:p w14:paraId="38B23B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color w:val="auto"/>
                      <w:sz w:val="21"/>
                      <w:szCs w:val="21"/>
                      <w:vertAlign w:val="baseline"/>
                      <w:lang w:val="en-US" w:eastAsia="zh-CN"/>
                    </w:rPr>
                  </w:pPr>
                </w:p>
              </w:tc>
              <w:tc>
                <w:tcPr>
                  <w:tcW w:w="723" w:type="dxa"/>
                  <w:vAlign w:val="center"/>
                </w:tcPr>
                <w:p w14:paraId="244B8F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7</w:t>
                  </w:r>
                </w:p>
              </w:tc>
              <w:tc>
                <w:tcPr>
                  <w:tcW w:w="2386" w:type="dxa"/>
                  <w:vAlign w:val="center"/>
                </w:tcPr>
                <w:p w14:paraId="72F6D0CC">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磷石膏堆场截洪沟与雨水沟设有活动闸阀，存在生产废水外排隐患</w:t>
                  </w:r>
                </w:p>
              </w:tc>
              <w:tc>
                <w:tcPr>
                  <w:tcW w:w="4325" w:type="dxa"/>
                  <w:vAlign w:val="center"/>
                </w:tcPr>
                <w:p w14:paraId="19852FB9">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拆除磷石膏堆场截洪沟与雨水沟的活动闸阀，封堵截洪沟与雨水沟之间的通道</w:t>
                  </w:r>
                </w:p>
              </w:tc>
            </w:tr>
            <w:tr w14:paraId="35B08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Merge w:val="continue"/>
                  <w:vAlign w:val="center"/>
                </w:tcPr>
                <w:p w14:paraId="6CE367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color w:val="auto"/>
                      <w:sz w:val="21"/>
                      <w:szCs w:val="21"/>
                      <w:vertAlign w:val="baseline"/>
                      <w:lang w:val="en-US" w:eastAsia="zh-CN"/>
                    </w:rPr>
                  </w:pPr>
                </w:p>
              </w:tc>
              <w:tc>
                <w:tcPr>
                  <w:tcW w:w="723" w:type="dxa"/>
                  <w:vAlign w:val="center"/>
                </w:tcPr>
                <w:p w14:paraId="5C58A1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8</w:t>
                  </w:r>
                </w:p>
              </w:tc>
              <w:tc>
                <w:tcPr>
                  <w:tcW w:w="2386" w:type="dxa"/>
                  <w:vAlign w:val="center"/>
                </w:tcPr>
                <w:p w14:paraId="5BCCE055">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50 吨锅炉在线监测站房管理不规范，空调损坏未及时更换，人员进出频繁，未做登记</w:t>
                  </w:r>
                </w:p>
              </w:tc>
              <w:tc>
                <w:tcPr>
                  <w:tcW w:w="4325" w:type="dxa"/>
                  <w:vAlign w:val="center"/>
                </w:tcPr>
                <w:p w14:paraId="0C16C483">
                  <w:pPr>
                    <w:keepNext w:val="0"/>
                    <w:keepLines w:val="0"/>
                    <w:widowControl/>
                    <w:suppressLineNumbers w:val="0"/>
                    <w:jc w:val="left"/>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修复或更换在线监测站房空调，规范在线监测机房管理，进入机房人员必须进行登记</w:t>
                  </w:r>
                </w:p>
              </w:tc>
            </w:tr>
            <w:tr w14:paraId="78F35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Align w:val="center"/>
                </w:tcPr>
                <w:p w14:paraId="066058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1"/>
                      <w:vertAlign w:val="baseline"/>
                      <w:lang w:val="en-US" w:eastAsia="zh-CN"/>
                    </w:rPr>
                  </w:pPr>
                  <w:r>
                    <w:rPr>
                      <w:rFonts w:hint="eastAsia"/>
                      <w:bCs/>
                      <w:color w:val="auto"/>
                      <w:sz w:val="21"/>
                      <w:szCs w:val="21"/>
                      <w:vertAlign w:val="baseline"/>
                      <w:lang w:val="en-US" w:eastAsia="zh-CN"/>
                    </w:rPr>
                    <w:t>昆明市环境监察支队现场检查笔录（2022年3月15日）</w:t>
                  </w:r>
                </w:p>
              </w:tc>
              <w:tc>
                <w:tcPr>
                  <w:tcW w:w="723" w:type="dxa"/>
                  <w:vAlign w:val="center"/>
                </w:tcPr>
                <w:p w14:paraId="027091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color w:val="auto"/>
                      <w:sz w:val="21"/>
                      <w:szCs w:val="21"/>
                      <w:vertAlign w:val="baseline"/>
                      <w:lang w:val="en-US" w:eastAsia="zh-CN"/>
                    </w:rPr>
                  </w:pPr>
                  <w:r>
                    <w:rPr>
                      <w:rFonts w:hint="eastAsia"/>
                      <w:bCs/>
                      <w:color w:val="auto"/>
                      <w:sz w:val="21"/>
                      <w:szCs w:val="21"/>
                      <w:vertAlign w:val="baseline"/>
                      <w:lang w:val="en-US" w:eastAsia="zh-CN"/>
                    </w:rPr>
                    <w:t>1</w:t>
                  </w:r>
                </w:p>
              </w:tc>
              <w:tc>
                <w:tcPr>
                  <w:tcW w:w="2386" w:type="dxa"/>
                  <w:vAlign w:val="center"/>
                </w:tcPr>
                <w:p w14:paraId="094B4AF6">
                  <w:pPr>
                    <w:keepNext w:val="0"/>
                    <w:keepLines w:val="0"/>
                    <w:widowControl/>
                    <w:suppressLineNumbers w:val="0"/>
                    <w:jc w:val="left"/>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厂区内4600立方米事故应急池未空置，池内有少量雨水</w:t>
                  </w:r>
                </w:p>
              </w:tc>
              <w:tc>
                <w:tcPr>
                  <w:tcW w:w="4325" w:type="dxa"/>
                  <w:vAlign w:val="center"/>
                </w:tcPr>
                <w:p w14:paraId="243E9142">
                  <w:pPr>
                    <w:keepNext w:val="0"/>
                    <w:keepLines w:val="0"/>
                    <w:widowControl/>
                    <w:suppressLineNumbers w:val="0"/>
                    <w:jc w:val="left"/>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配备抽水机，将水用于生产环节，保证事故应急池的应急功能（处于空置状态）</w:t>
                  </w:r>
                </w:p>
              </w:tc>
            </w:tr>
          </w:tbl>
          <w:p w14:paraId="43838168">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（2）自行监测情况</w:t>
            </w:r>
          </w:p>
          <w:p w14:paraId="07F6E985">
            <w:pPr>
              <w:pStyle w:val="2"/>
              <w:spacing w:before="0" w:after="0" w:line="360" w:lineRule="auto"/>
              <w:ind w:left="0" w:firstLine="480" w:firstLineChars="200"/>
              <w:jc w:val="left"/>
              <w:rPr>
                <w:rFonts w:hint="eastAsia" w:ascii="Times New Roman" w:hAnsi="Times New Roman" w:eastAsia="宋体" w:cs="Times New Roman"/>
                <w:b w:val="0"/>
                <w:bCs/>
                <w:color w:val="auto"/>
                <w:kern w:val="0"/>
                <w:sz w:val="24"/>
                <w:szCs w:val="20"/>
                <w:lang w:val="en-US" w:eastAsia="zh-CN" w:bidi="ar-SA"/>
              </w:rPr>
            </w:pPr>
            <w:r>
              <w:rPr>
                <w:rFonts w:hint="eastAsia" w:ascii="Times New Roman" w:hAnsi="Times New Roman" w:eastAsia="宋体" w:cs="Times New Roman"/>
                <w:b w:val="0"/>
                <w:bCs/>
                <w:color w:val="auto"/>
                <w:kern w:val="0"/>
                <w:sz w:val="24"/>
                <w:szCs w:val="20"/>
                <w:lang w:val="en-US" w:eastAsia="zh-CN" w:bidi="ar-SA"/>
              </w:rPr>
              <w:t>根据以上分析，建设单位每年定期开展地下水、噪声自行监测工作，每月定期开展废气自行监测工作。根据自行监测结果，废气排放口及厂界均能达标排放，常青树化工厂区土壤及地下水均能达到相应环境质量标准。</w:t>
            </w:r>
          </w:p>
          <w:p w14:paraId="194E8883">
            <w:pPr>
              <w:pStyle w:val="2"/>
              <w:spacing w:before="0" w:after="0" w:line="360" w:lineRule="auto"/>
              <w:ind w:left="0" w:firstLine="480" w:firstLineChars="200"/>
              <w:jc w:val="left"/>
              <w:rPr>
                <w:rFonts w:hint="default" w:ascii="Times New Roman" w:hAnsi="Times New Roman" w:eastAsia="宋体" w:cs="Times New Roman"/>
                <w:b w:val="0"/>
                <w:bCs/>
                <w:color w:val="auto"/>
                <w:kern w:val="0"/>
                <w:sz w:val="24"/>
                <w:szCs w:val="20"/>
                <w:lang w:val="en-US" w:eastAsia="zh-CN" w:bidi="ar-SA"/>
              </w:rPr>
            </w:pPr>
            <w:r>
              <w:rPr>
                <w:rFonts w:hint="eastAsia" w:eastAsia="宋体" w:cs="Times New Roman"/>
                <w:b w:val="0"/>
                <w:bCs/>
                <w:color w:val="auto"/>
                <w:kern w:val="0"/>
                <w:sz w:val="24"/>
                <w:szCs w:val="20"/>
                <w:lang w:val="en-US" w:eastAsia="zh-CN" w:bidi="ar-SA"/>
              </w:rPr>
              <w:t>（3）污染物处置情况</w:t>
            </w:r>
          </w:p>
          <w:p w14:paraId="487348E4">
            <w:pPr>
              <w:pStyle w:val="2"/>
              <w:spacing w:before="0" w:after="0" w:line="360" w:lineRule="auto"/>
              <w:ind w:left="0" w:firstLine="480" w:firstLineChars="200"/>
              <w:jc w:val="left"/>
              <w:rPr>
                <w:rFonts w:hint="eastAsia" w:ascii="Times New Roman" w:hAnsi="Times New Roman" w:eastAsia="宋体" w:cs="Times New Roman"/>
                <w:b w:val="0"/>
                <w:bCs/>
                <w:color w:val="auto"/>
                <w:kern w:val="0"/>
                <w:sz w:val="24"/>
                <w:szCs w:val="20"/>
                <w:lang w:val="en-US" w:eastAsia="zh-CN" w:bidi="ar-SA"/>
              </w:rPr>
            </w:pPr>
            <w:r>
              <w:rPr>
                <w:rFonts w:hint="eastAsia" w:ascii="Times New Roman" w:hAnsi="Times New Roman" w:eastAsia="宋体" w:cs="Times New Roman"/>
                <w:b w:val="0"/>
                <w:bCs/>
                <w:color w:val="auto"/>
                <w:kern w:val="0"/>
                <w:sz w:val="24"/>
                <w:szCs w:val="20"/>
                <w:lang w:val="en-US" w:eastAsia="zh-CN" w:bidi="ar-SA"/>
              </w:rPr>
              <w:t>根据云南常青树化工有限公司的《排污许可证执行报告（2023年年报）》和自行监测，云南常青树化工有限公司废气实际排放量满足排污许可证上的废气许可排放量；生产废水经厂区生产废水处理站处理达标后回用于生产，不外排；生活污水经隔油池、化粪池处理后回用于厂区生产不外排；噪声排放达标；固废处置率100%合理处置。</w:t>
            </w:r>
          </w:p>
          <w:p w14:paraId="2E6B18AA">
            <w:pPr>
              <w:pStyle w:val="2"/>
              <w:spacing w:before="0" w:after="0" w:line="360" w:lineRule="auto"/>
              <w:ind w:left="0" w:firstLine="480" w:firstLineChars="200"/>
              <w:jc w:val="left"/>
              <w:rPr>
                <w:rFonts w:hint="default" w:ascii="Times New Roman" w:hAnsi="Times New Roman" w:eastAsia="宋体" w:cs="Times New Roman"/>
                <w:b w:val="0"/>
                <w:bCs/>
                <w:color w:val="auto"/>
                <w:kern w:val="0"/>
                <w:sz w:val="24"/>
                <w:szCs w:val="20"/>
                <w:lang w:val="en-US" w:eastAsia="zh-CN" w:bidi="ar-SA"/>
              </w:rPr>
            </w:pPr>
            <w:r>
              <w:rPr>
                <w:rFonts w:hint="eastAsia" w:eastAsia="宋体" w:cs="Times New Roman"/>
                <w:b w:val="0"/>
                <w:bCs/>
                <w:color w:val="auto"/>
                <w:kern w:val="0"/>
                <w:sz w:val="24"/>
                <w:szCs w:val="20"/>
                <w:lang w:val="en-US" w:eastAsia="zh-CN" w:bidi="ar-SA"/>
              </w:rPr>
              <w:t>（4）其他情况</w:t>
            </w:r>
          </w:p>
          <w:p w14:paraId="57DAC346">
            <w:pPr>
              <w:pStyle w:val="2"/>
              <w:spacing w:before="0" w:after="0" w:line="360" w:lineRule="auto"/>
              <w:ind w:left="0" w:firstLine="480" w:firstLineChars="200"/>
              <w:jc w:val="left"/>
              <w:rPr>
                <w:rFonts w:hint="default" w:eastAsia="黑体"/>
                <w:color w:val="auto"/>
                <w:lang w:val="en-US" w:eastAsia="zh-CN"/>
              </w:rPr>
            </w:pPr>
            <w:r>
              <w:rPr>
                <w:rFonts w:hint="eastAsia" w:ascii="Times New Roman" w:hAnsi="Times New Roman" w:eastAsia="宋体" w:cs="Times New Roman"/>
                <w:b w:val="0"/>
                <w:bCs/>
                <w:color w:val="auto"/>
                <w:kern w:val="0"/>
                <w:sz w:val="24"/>
                <w:szCs w:val="20"/>
                <w:lang w:val="en-US" w:eastAsia="zh-CN" w:bidi="ar-SA"/>
              </w:rPr>
              <w:t>云南常青树化工有限公司的突发环境事件应急预案备案文件已于2023年8月3日备案，备案编号为530-129-2023-038-H，且常青树化工</w:t>
            </w:r>
            <w:r>
              <w:rPr>
                <w:rFonts w:hint="eastAsia" w:eastAsia="宋体" w:cs="Times New Roman"/>
                <w:b w:val="0"/>
                <w:bCs/>
                <w:color w:val="auto"/>
                <w:kern w:val="0"/>
                <w:sz w:val="24"/>
                <w:szCs w:val="20"/>
                <w:lang w:val="en-US" w:eastAsia="zh-CN" w:bidi="ar-SA"/>
              </w:rPr>
              <w:t>每年定期进行应急演练</w:t>
            </w:r>
            <w:r>
              <w:rPr>
                <w:rFonts w:hint="eastAsia" w:ascii="Times New Roman" w:hAnsi="Times New Roman" w:eastAsia="宋体" w:cs="Times New Roman"/>
                <w:b w:val="0"/>
                <w:bCs/>
                <w:color w:val="auto"/>
                <w:kern w:val="0"/>
                <w:sz w:val="24"/>
                <w:szCs w:val="20"/>
                <w:lang w:val="en-US" w:eastAsia="zh-CN" w:bidi="ar-SA"/>
              </w:rPr>
              <w:t>。</w:t>
            </w:r>
            <w:r>
              <w:rPr>
                <w:rFonts w:hint="eastAsia" w:eastAsia="宋体" w:cs="Times New Roman"/>
                <w:b w:val="0"/>
                <w:bCs/>
                <w:color w:val="auto"/>
                <w:kern w:val="0"/>
                <w:sz w:val="24"/>
                <w:szCs w:val="20"/>
                <w:lang w:val="en-US" w:eastAsia="zh-CN" w:bidi="ar-SA"/>
              </w:rPr>
              <w:t>此外，根据现场踏勘，运输道路灰尘较大，洒水降尘后容易造成路面泥泞，企业在后续建设运行过程中应加强道路清扫。</w:t>
            </w:r>
          </w:p>
        </w:tc>
      </w:tr>
    </w:tbl>
    <w:p w14:paraId="5B335845">
      <w:pPr>
        <w:pStyle w:val="41"/>
        <w:spacing w:before="0" w:beforeAutospacing="0" w:after="0" w:afterAutospacing="0"/>
        <w:jc w:val="center"/>
        <w:outlineLvl w:val="0"/>
        <w:rPr>
          <w:rFonts w:ascii="Times New Roman" w:hAnsi="Times New Roman"/>
          <w:color w:val="auto"/>
          <w:szCs w:val="24"/>
        </w:rPr>
        <w:sectPr>
          <w:pgSz w:w="11907" w:h="16840"/>
          <w:pgMar w:top="1701" w:right="1531" w:bottom="2127"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48FDB7BB">
      <w:pPr>
        <w:pStyle w:val="41"/>
        <w:spacing w:before="0" w:beforeAutospacing="0" w:after="0" w:afterAutospacing="0"/>
        <w:jc w:val="center"/>
        <w:outlineLvl w:val="0"/>
        <w:rPr>
          <w:b/>
          <w:snapToGrid w:val="0"/>
          <w:color w:val="auto"/>
          <w:sz w:val="30"/>
          <w:szCs w:val="30"/>
        </w:rPr>
      </w:pPr>
      <w:r>
        <w:rPr>
          <w:rFonts w:hint="eastAsia"/>
          <w:b/>
          <w:snapToGrid w:val="0"/>
          <w:color w:val="auto"/>
          <w:sz w:val="30"/>
          <w:szCs w:val="30"/>
        </w:rPr>
        <w:t>三、区域环境质量现状、环境保护目标及评价标准</w:t>
      </w:r>
      <w:bookmarkEnd w:id="6"/>
    </w:p>
    <w:tbl>
      <w:tblPr>
        <w:tblStyle w:val="4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9"/>
        <w:gridCol w:w="8491"/>
      </w:tblGrid>
      <w:tr w14:paraId="55B1C1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6" w:hRule="atLeast"/>
          <w:jc w:val="center"/>
        </w:trPr>
        <w:tc>
          <w:tcPr>
            <w:tcW w:w="499" w:type="dxa"/>
            <w:vAlign w:val="center"/>
          </w:tcPr>
          <w:p w14:paraId="797D2D88">
            <w:pPr>
              <w:adjustRightInd w:val="0"/>
              <w:snapToGrid w:val="0"/>
              <w:spacing w:line="360" w:lineRule="auto"/>
              <w:jc w:val="center"/>
              <w:rPr>
                <w:rFonts w:ascii="宋体" w:hAnsi="宋体" w:cs="宋体"/>
                <w:color w:val="auto"/>
                <w:sz w:val="24"/>
              </w:rPr>
            </w:pPr>
            <w:r>
              <w:rPr>
                <w:rFonts w:hint="eastAsia" w:ascii="宋体" w:hAnsi="宋体" w:cs="宋体"/>
                <w:color w:val="auto"/>
                <w:sz w:val="24"/>
              </w:rPr>
              <w:t>区域</w:t>
            </w:r>
          </w:p>
          <w:p w14:paraId="6D41308B">
            <w:pPr>
              <w:adjustRightInd w:val="0"/>
              <w:snapToGrid w:val="0"/>
              <w:spacing w:line="360" w:lineRule="auto"/>
              <w:jc w:val="center"/>
              <w:rPr>
                <w:rFonts w:ascii="宋体" w:hAnsi="宋体" w:cs="宋体"/>
                <w:color w:val="auto"/>
                <w:sz w:val="24"/>
              </w:rPr>
            </w:pPr>
            <w:r>
              <w:rPr>
                <w:rFonts w:hint="eastAsia" w:ascii="宋体" w:hAnsi="宋体" w:cs="宋体"/>
                <w:color w:val="auto"/>
                <w:sz w:val="24"/>
              </w:rPr>
              <w:t>环境</w:t>
            </w:r>
          </w:p>
          <w:p w14:paraId="03EC2AA7">
            <w:pPr>
              <w:adjustRightInd w:val="0"/>
              <w:snapToGrid w:val="0"/>
              <w:spacing w:line="360" w:lineRule="auto"/>
              <w:jc w:val="center"/>
              <w:rPr>
                <w:rFonts w:ascii="宋体" w:hAnsi="宋体" w:cs="宋体"/>
                <w:color w:val="auto"/>
                <w:sz w:val="24"/>
              </w:rPr>
            </w:pPr>
            <w:r>
              <w:rPr>
                <w:rFonts w:hint="eastAsia" w:ascii="宋体" w:hAnsi="宋体" w:cs="宋体"/>
                <w:color w:val="auto"/>
                <w:sz w:val="24"/>
              </w:rPr>
              <w:t>质量</w:t>
            </w:r>
          </w:p>
          <w:p w14:paraId="054024B9">
            <w:pPr>
              <w:adjustRightInd w:val="0"/>
              <w:snapToGrid w:val="0"/>
              <w:spacing w:line="360" w:lineRule="auto"/>
              <w:jc w:val="center"/>
              <w:rPr>
                <w:rFonts w:ascii="宋体" w:hAnsi="宋体" w:cs="宋体"/>
                <w:color w:val="auto"/>
                <w:szCs w:val="21"/>
              </w:rPr>
            </w:pPr>
            <w:r>
              <w:rPr>
                <w:rFonts w:hint="eastAsia" w:ascii="宋体" w:hAnsi="宋体" w:cs="宋体"/>
                <w:color w:val="auto"/>
                <w:sz w:val="24"/>
              </w:rPr>
              <w:t>现状</w:t>
            </w:r>
          </w:p>
        </w:tc>
        <w:tc>
          <w:tcPr>
            <w:tcW w:w="8491" w:type="dxa"/>
            <w:vAlign w:val="center"/>
          </w:tcPr>
          <w:p w14:paraId="037AB58B">
            <w:pPr>
              <w:spacing w:line="360" w:lineRule="auto"/>
              <w:ind w:firstLine="562" w:firstLineChars="200"/>
              <w:rPr>
                <w:b/>
                <w:bCs/>
                <w:color w:val="auto"/>
                <w:sz w:val="28"/>
                <w:szCs w:val="28"/>
              </w:rPr>
            </w:pPr>
            <w:r>
              <w:rPr>
                <w:b/>
                <w:bCs/>
                <w:color w:val="auto"/>
                <w:sz w:val="28"/>
                <w:szCs w:val="28"/>
              </w:rPr>
              <w:t>1</w:t>
            </w:r>
            <w:r>
              <w:rPr>
                <w:rFonts w:hAnsi="宋体"/>
                <w:b/>
                <w:bCs/>
                <w:color w:val="auto"/>
                <w:sz w:val="28"/>
                <w:szCs w:val="28"/>
              </w:rPr>
              <w:t>、环境空气质量现状</w:t>
            </w:r>
          </w:p>
          <w:p w14:paraId="1EFADED1">
            <w:pPr>
              <w:tabs>
                <w:tab w:val="left" w:pos="6300"/>
              </w:tabs>
              <w:spacing w:line="360" w:lineRule="auto"/>
              <w:ind w:left="100" w:leftChars="50" w:right="100" w:rightChars="50" w:firstLine="480" w:firstLineChars="200"/>
              <w:rPr>
                <w:bCs/>
                <w:color w:val="auto"/>
                <w:sz w:val="24"/>
              </w:rPr>
            </w:pPr>
            <w:r>
              <w:rPr>
                <w:bCs/>
                <w:color w:val="auto"/>
                <w:sz w:val="24"/>
              </w:rPr>
              <w:t>本项目位于</w:t>
            </w:r>
            <w:r>
              <w:rPr>
                <w:rFonts w:hint="eastAsia" w:hAnsi="宋体"/>
                <w:color w:val="auto"/>
                <w:sz w:val="24"/>
                <w:lang w:eastAsia="zh-CN"/>
              </w:rPr>
              <w:t>昆明市寻甸县塘子镇</w:t>
            </w:r>
            <w:r>
              <w:rPr>
                <w:rFonts w:hint="eastAsia" w:hAnsi="宋体"/>
                <w:color w:val="auto"/>
                <w:sz w:val="24"/>
                <w:lang w:val="en-US" w:eastAsia="zh-CN"/>
              </w:rPr>
              <w:t>云南常青树化工有限公司</w:t>
            </w:r>
            <w:r>
              <w:rPr>
                <w:rFonts w:hint="eastAsia" w:hAnsi="宋体"/>
                <w:color w:val="auto"/>
                <w:sz w:val="24"/>
                <w:lang w:eastAsia="zh-CN"/>
              </w:rPr>
              <w:t>厂区内</w:t>
            </w:r>
            <w:r>
              <w:rPr>
                <w:bCs/>
                <w:color w:val="auto"/>
                <w:sz w:val="24"/>
              </w:rPr>
              <w:t>，属于商业交通居民混合区、一般工业区，</w:t>
            </w:r>
            <w:r>
              <w:rPr>
                <w:rFonts w:cs="宋体"/>
                <w:color w:val="auto"/>
                <w:sz w:val="24"/>
              </w:rPr>
              <w:t>环境空气质量功能区划为二类区，执行《环境空气质量标准》（GB</w:t>
            </w:r>
            <w:r>
              <w:rPr>
                <w:rFonts w:hint="eastAsia" w:cs="宋体"/>
                <w:color w:val="auto"/>
                <w:sz w:val="24"/>
              </w:rPr>
              <w:t xml:space="preserve"> </w:t>
            </w:r>
            <w:r>
              <w:rPr>
                <w:rFonts w:cs="宋体"/>
                <w:color w:val="auto"/>
                <w:sz w:val="24"/>
              </w:rPr>
              <w:t>3095</w:t>
            </w:r>
            <w:r>
              <w:rPr>
                <w:rFonts w:hint="eastAsia" w:cs="宋体"/>
                <w:color w:val="auto"/>
                <w:sz w:val="24"/>
              </w:rPr>
              <w:t>-</w:t>
            </w:r>
            <w:r>
              <w:rPr>
                <w:rFonts w:cs="宋体"/>
                <w:color w:val="auto"/>
                <w:sz w:val="24"/>
              </w:rPr>
              <w:t>2012）中二级标准。</w:t>
            </w:r>
          </w:p>
          <w:p w14:paraId="2FD7AE1E">
            <w:pPr>
              <w:adjustRightInd w:val="0"/>
              <w:snapToGrid w:val="0"/>
              <w:spacing w:line="360" w:lineRule="auto"/>
              <w:ind w:firstLine="480" w:firstLineChars="200"/>
              <w:rPr>
                <w:color w:val="auto"/>
                <w:sz w:val="24"/>
                <w:lang w:bidi="ar"/>
              </w:rPr>
            </w:pPr>
            <w:r>
              <w:rPr>
                <w:color w:val="auto"/>
                <w:sz w:val="24"/>
                <w:lang w:val="zh-CN" w:bidi="ar"/>
              </w:rPr>
              <w:t>（</w:t>
            </w:r>
            <w:r>
              <w:rPr>
                <w:color w:val="auto"/>
                <w:sz w:val="24"/>
                <w:lang w:bidi="ar"/>
              </w:rPr>
              <w:t>1</w:t>
            </w:r>
            <w:r>
              <w:rPr>
                <w:color w:val="auto"/>
                <w:sz w:val="24"/>
                <w:lang w:val="zh-CN" w:bidi="ar"/>
              </w:rPr>
              <w:t>）</w:t>
            </w:r>
            <w:r>
              <w:rPr>
                <w:color w:val="auto"/>
                <w:sz w:val="24"/>
                <w:lang w:bidi="ar"/>
              </w:rPr>
              <w:t>达标区判定</w:t>
            </w:r>
          </w:p>
          <w:p w14:paraId="6F88AFE0">
            <w:pPr>
              <w:spacing w:line="360" w:lineRule="auto"/>
              <w:ind w:firstLine="482"/>
              <w:rPr>
                <w:b/>
                <w:bCs/>
                <w:color w:val="auto"/>
                <w:sz w:val="24"/>
              </w:rPr>
            </w:pPr>
            <w:r>
              <w:rPr>
                <w:rFonts w:ascii="Times New Roman" w:hAnsi="Times New Roman" w:eastAsia="宋体" w:cs="Times New Roman"/>
                <w:color w:val="auto"/>
                <w:kern w:val="0"/>
                <w:sz w:val="24"/>
                <w:lang w:val="zh-CN"/>
              </w:rPr>
              <w:t>根据《202</w:t>
            </w:r>
            <w:r>
              <w:rPr>
                <w:rFonts w:hint="eastAsia" w:ascii="Times New Roman" w:hAnsi="Times New Roman" w:eastAsia="宋体" w:cs="Times New Roman"/>
                <w:color w:val="auto"/>
                <w:kern w:val="0"/>
                <w:sz w:val="24"/>
                <w:lang w:val="en-US" w:eastAsia="zh-CN"/>
              </w:rPr>
              <w:t>3</w:t>
            </w:r>
            <w:r>
              <w:rPr>
                <w:rFonts w:ascii="Times New Roman" w:hAnsi="Times New Roman" w:eastAsia="宋体" w:cs="Times New Roman"/>
                <w:color w:val="auto"/>
                <w:kern w:val="0"/>
                <w:sz w:val="24"/>
                <w:lang w:val="zh-CN"/>
              </w:rPr>
              <w:t>年度昆明市生态环境状况公报》可知，</w:t>
            </w:r>
            <w:r>
              <w:rPr>
                <w:rFonts w:ascii="Times New Roman" w:hAnsi="Times New Roman" w:eastAsia="宋体" w:cs="Times New Roman"/>
                <w:color w:val="auto"/>
                <w:kern w:val="0"/>
                <w:sz w:val="24"/>
                <w:lang w:val="en-US" w:eastAsia="zh-CN"/>
              </w:rPr>
              <w:t>昆明市主城区环境空气优良率97.53%，其中优189天、</w:t>
            </w:r>
            <w:r>
              <w:rPr>
                <w:rFonts w:hint="eastAsia" w:ascii="Times New Roman" w:hAnsi="Times New Roman" w:eastAsia="宋体" w:cs="Times New Roman"/>
                <w:color w:val="auto"/>
                <w:kern w:val="0"/>
                <w:sz w:val="24"/>
                <w:lang w:val="en-US" w:eastAsia="zh-CN"/>
              </w:rPr>
              <w:t>良167天。与2022年相比，优级天数减少57天，各项污染物均达到二级空气质量日均值（臭氧为日最大8小时平均）标准。各县（市）区环境空气质量总体保持良好，各项污染物平均浓度均达到二级空气质量标准。与2022年相比，各县（市）区环境空气综合污染指数均上升。</w:t>
            </w:r>
            <w:r>
              <w:rPr>
                <w:rFonts w:ascii="Times New Roman" w:hAnsi="Times New Roman" w:eastAsia="宋体" w:cs="Times New Roman"/>
                <w:color w:val="auto"/>
                <w:kern w:val="0"/>
                <w:sz w:val="24"/>
                <w:lang w:val="zh-CN"/>
              </w:rPr>
              <w:t>因此，202</w:t>
            </w:r>
            <w:r>
              <w:rPr>
                <w:rFonts w:hint="eastAsia" w:ascii="Times New Roman" w:hAnsi="Times New Roman" w:eastAsia="宋体" w:cs="Times New Roman"/>
                <w:color w:val="auto"/>
                <w:kern w:val="0"/>
                <w:sz w:val="24"/>
                <w:lang w:val="en-US" w:eastAsia="zh-CN"/>
              </w:rPr>
              <w:t>3</w:t>
            </w:r>
            <w:r>
              <w:rPr>
                <w:rFonts w:ascii="Times New Roman" w:hAnsi="Times New Roman" w:eastAsia="宋体" w:cs="Times New Roman"/>
                <w:color w:val="auto"/>
                <w:kern w:val="0"/>
                <w:sz w:val="24"/>
                <w:lang w:val="zh-CN"/>
              </w:rPr>
              <w:t>年寻甸县全年环境空气质量达到《环境空气质量标准》（GB3095-2012）二级标准，属于达标区。</w:t>
            </w:r>
          </w:p>
          <w:p w14:paraId="6B4648F6">
            <w:pPr>
              <w:tabs>
                <w:tab w:val="left" w:pos="6300"/>
              </w:tabs>
              <w:spacing w:line="360" w:lineRule="auto"/>
              <w:ind w:left="100" w:leftChars="50" w:right="100" w:rightChars="50" w:firstLine="480" w:firstLineChars="200"/>
              <w:rPr>
                <w:bCs/>
                <w:color w:val="auto"/>
                <w:sz w:val="24"/>
              </w:rPr>
            </w:pPr>
            <w:r>
              <w:rPr>
                <w:rFonts w:hAnsi="宋体"/>
                <w:bCs/>
                <w:color w:val="auto"/>
                <w:sz w:val="24"/>
              </w:rPr>
              <w:t>（</w:t>
            </w:r>
            <w:r>
              <w:rPr>
                <w:bCs/>
                <w:color w:val="auto"/>
                <w:sz w:val="24"/>
              </w:rPr>
              <w:t>2</w:t>
            </w:r>
            <w:r>
              <w:rPr>
                <w:rFonts w:hAnsi="宋体"/>
                <w:bCs/>
                <w:color w:val="auto"/>
                <w:sz w:val="24"/>
              </w:rPr>
              <w:t>）项目区</w:t>
            </w:r>
            <w:r>
              <w:rPr>
                <w:rFonts w:hAnsi="宋体"/>
                <w:color w:val="auto"/>
                <w:sz w:val="24"/>
              </w:rPr>
              <w:t>环境空气</w:t>
            </w:r>
            <w:r>
              <w:rPr>
                <w:rFonts w:hint="eastAsia" w:hAnsi="宋体"/>
                <w:color w:val="auto"/>
                <w:sz w:val="24"/>
              </w:rPr>
              <w:t>特征污染物</w:t>
            </w:r>
            <w:r>
              <w:rPr>
                <w:rFonts w:hAnsi="宋体"/>
                <w:color w:val="auto"/>
                <w:sz w:val="24"/>
              </w:rPr>
              <w:t>现状监测</w:t>
            </w:r>
          </w:p>
          <w:p w14:paraId="7CA53D9E">
            <w:pPr>
              <w:adjustRightInd w:val="0"/>
              <w:snapToGrid w:val="0"/>
              <w:spacing w:line="360" w:lineRule="auto"/>
              <w:ind w:firstLine="480" w:firstLineChars="200"/>
              <w:rPr>
                <w:color w:val="auto"/>
                <w:kern w:val="2"/>
                <w:sz w:val="24"/>
                <w:szCs w:val="24"/>
              </w:rPr>
            </w:pPr>
            <w:r>
              <w:rPr>
                <w:color w:val="auto"/>
                <w:sz w:val="24"/>
                <w:szCs w:val="24"/>
              </w:rPr>
              <w:t>本项目涉及的特征因子为TSP，</w:t>
            </w:r>
            <w:r>
              <w:rPr>
                <w:color w:val="auto"/>
                <w:kern w:val="2"/>
                <w:sz w:val="24"/>
                <w:szCs w:val="24"/>
              </w:rPr>
              <w:t>TSP引用《</w:t>
            </w:r>
            <w:r>
              <w:rPr>
                <w:rFonts w:hint="eastAsia" w:ascii="Times New Roman" w:hAnsi="Times New Roman" w:cs="Times New Roman"/>
                <w:color w:val="auto"/>
                <w:sz w:val="24"/>
                <w:szCs w:val="24"/>
                <w:lang w:eastAsia="zh-CN"/>
              </w:rPr>
              <w:t>云南钟灵锌业有限责任公司环境影响后评价报告</w:t>
            </w:r>
            <w:r>
              <w:rPr>
                <w:rFonts w:hint="eastAsia" w:ascii="Times New Roman" w:hAnsi="Times New Roman" w:cs="Times New Roman"/>
                <w:color w:val="auto"/>
                <w:sz w:val="24"/>
                <w:szCs w:val="24"/>
                <w:lang w:val="en-US" w:eastAsia="zh-CN"/>
              </w:rPr>
              <w:t>书</w:t>
            </w:r>
            <w:r>
              <w:rPr>
                <w:rFonts w:hint="eastAsia" w:ascii="Times New Roman" w:hAnsi="Times New Roman" w:cs="Times New Roman"/>
                <w:color w:val="auto"/>
                <w:sz w:val="24"/>
                <w:szCs w:val="24"/>
                <w:lang w:eastAsia="zh-CN"/>
              </w:rPr>
              <w:t>》</w:t>
            </w:r>
            <w:r>
              <w:rPr>
                <w:color w:val="auto"/>
                <w:kern w:val="2"/>
                <w:sz w:val="24"/>
                <w:szCs w:val="24"/>
              </w:rPr>
              <w:t>环境质量现状监测报告</w:t>
            </w:r>
            <w:r>
              <w:rPr>
                <w:color w:val="auto"/>
                <w:kern w:val="2"/>
                <w:sz w:val="24"/>
                <w:szCs w:val="24"/>
                <w:highlight w:val="none"/>
              </w:rPr>
              <w:t>（详见附件</w:t>
            </w:r>
            <w:r>
              <w:rPr>
                <w:rFonts w:hint="eastAsia"/>
                <w:color w:val="auto"/>
                <w:kern w:val="2"/>
                <w:sz w:val="24"/>
                <w:szCs w:val="24"/>
                <w:highlight w:val="none"/>
                <w:lang w:val="en-US" w:eastAsia="zh-CN"/>
              </w:rPr>
              <w:t>17</w:t>
            </w:r>
            <w:r>
              <w:rPr>
                <w:color w:val="auto"/>
                <w:kern w:val="2"/>
                <w:sz w:val="24"/>
                <w:szCs w:val="24"/>
                <w:highlight w:val="none"/>
              </w:rPr>
              <w:t>）</w:t>
            </w:r>
            <w:r>
              <w:rPr>
                <w:color w:val="auto"/>
                <w:kern w:val="2"/>
                <w:sz w:val="24"/>
                <w:szCs w:val="24"/>
              </w:rPr>
              <w:t>中的检测数据，监测时间为</w:t>
            </w:r>
            <w:r>
              <w:rPr>
                <w:rFonts w:hint="eastAsia" w:ascii="Times New Roman" w:hAnsi="Times New Roman" w:cs="Times New Roman"/>
                <w:color w:val="auto"/>
                <w:sz w:val="24"/>
                <w:lang w:val="en-US" w:eastAsia="zh-CN"/>
              </w:rPr>
              <w:t>2023年5月23日~5月29日</w:t>
            </w:r>
            <w:r>
              <w:rPr>
                <w:color w:val="auto"/>
                <w:kern w:val="2"/>
                <w:sz w:val="24"/>
                <w:szCs w:val="24"/>
              </w:rPr>
              <w:t>，监测单位为云南健牛生物科技有限公司，监测点位为</w:t>
            </w:r>
            <w:r>
              <w:rPr>
                <w:rFonts w:hint="eastAsia"/>
                <w:color w:val="auto"/>
                <w:kern w:val="2"/>
                <w:sz w:val="24"/>
                <w:szCs w:val="24"/>
                <w:lang w:val="en-US" w:eastAsia="zh-CN"/>
              </w:rPr>
              <w:t>大桥村、王岗屯村、陡峰湾村</w:t>
            </w:r>
            <w:r>
              <w:rPr>
                <w:rFonts w:hint="eastAsia"/>
                <w:color w:val="auto"/>
                <w:kern w:val="2"/>
                <w:sz w:val="24"/>
                <w:szCs w:val="24"/>
                <w:lang w:eastAsia="zh-CN"/>
              </w:rPr>
              <w:t>。</w:t>
            </w:r>
            <w:r>
              <w:rPr>
                <w:rFonts w:hint="eastAsia" w:ascii="Times New Roman" w:hAnsi="Times New Roman" w:cs="Times New Roman"/>
                <w:color w:val="auto"/>
                <w:sz w:val="24"/>
                <w:szCs w:val="24"/>
                <w:lang w:eastAsia="zh-CN"/>
              </w:rPr>
              <w:t>云南钟灵锌业有限责任公司</w:t>
            </w:r>
            <w:r>
              <w:rPr>
                <w:rFonts w:hint="eastAsia" w:ascii="Times New Roman" w:hAnsi="Times New Roman" w:cs="Times New Roman"/>
                <w:color w:val="auto"/>
                <w:sz w:val="24"/>
                <w:szCs w:val="24"/>
                <w:lang w:val="en-US" w:eastAsia="zh-CN"/>
              </w:rPr>
              <w:t>位于本项目北侧340m，大桥村位于</w:t>
            </w:r>
            <w:r>
              <w:rPr>
                <w:rFonts w:hint="eastAsia" w:cs="Times New Roman"/>
                <w:color w:val="auto"/>
                <w:sz w:val="24"/>
                <w:lang w:val="en-US" w:eastAsia="zh-CN"/>
              </w:rPr>
              <w:t>常青树化工厂界西南侧330m、王岗屯村位于常青树化工厂界</w:t>
            </w:r>
            <w:r>
              <w:rPr>
                <w:rFonts w:hint="eastAsia"/>
                <w:color w:val="auto"/>
                <w:sz w:val="24"/>
                <w:lang w:val="en-US" w:eastAsia="zh-CN"/>
              </w:rPr>
              <w:t>东侧290m、</w:t>
            </w:r>
            <w:r>
              <w:rPr>
                <w:rFonts w:hint="eastAsia" w:ascii="Times New Roman" w:hAnsi="Times New Roman" w:cs="Times New Roman"/>
                <w:color w:val="auto"/>
                <w:sz w:val="24"/>
                <w:lang w:val="en-US" w:eastAsia="zh-CN"/>
              </w:rPr>
              <w:t>陡峰湾村位于</w:t>
            </w:r>
            <w:r>
              <w:rPr>
                <w:rFonts w:hint="eastAsia" w:cs="Times New Roman"/>
                <w:color w:val="auto"/>
                <w:sz w:val="24"/>
                <w:lang w:val="en-US" w:eastAsia="zh-CN"/>
              </w:rPr>
              <w:t>常青树化工厂界</w:t>
            </w:r>
            <w:r>
              <w:rPr>
                <w:rFonts w:hint="eastAsia"/>
                <w:color w:val="auto"/>
                <w:sz w:val="24"/>
                <w:lang w:val="en-US" w:eastAsia="zh-CN"/>
              </w:rPr>
              <w:t>东北侧2150m，</w:t>
            </w:r>
            <w:r>
              <w:rPr>
                <w:color w:val="auto"/>
                <w:kern w:val="2"/>
                <w:sz w:val="24"/>
                <w:szCs w:val="24"/>
              </w:rPr>
              <w:t>与本项目属于同一区域，且检测时间为近3年的有效期，故本次引用可行</w:t>
            </w:r>
            <w:r>
              <w:rPr>
                <w:rFonts w:hint="eastAsia" w:ascii="Times New Roman" w:hAnsi="Times New Roman" w:cs="Times New Roman"/>
                <w:color w:val="auto"/>
                <w:sz w:val="24"/>
                <w:szCs w:val="24"/>
                <w:lang w:val="en-US" w:eastAsia="zh-CN"/>
              </w:rPr>
              <w:t>。</w:t>
            </w:r>
            <w:r>
              <w:rPr>
                <w:color w:val="auto"/>
                <w:kern w:val="2"/>
                <w:sz w:val="24"/>
                <w:szCs w:val="24"/>
              </w:rPr>
              <w:t>具体监测数据如下：</w:t>
            </w:r>
          </w:p>
          <w:p w14:paraId="7816C42F">
            <w:pPr>
              <w:jc w:val="center"/>
              <w:rPr>
                <w:b/>
                <w:color w:val="auto"/>
                <w:kern w:val="2"/>
                <w:sz w:val="24"/>
                <w:szCs w:val="24"/>
              </w:rPr>
            </w:pPr>
            <w:r>
              <w:rPr>
                <w:b/>
                <w:color w:val="auto"/>
                <w:kern w:val="2"/>
                <w:sz w:val="24"/>
                <w:szCs w:val="24"/>
              </w:rPr>
              <w:t>表3-</w:t>
            </w:r>
            <w:r>
              <w:rPr>
                <w:rFonts w:hint="eastAsia"/>
                <w:b/>
                <w:color w:val="auto"/>
                <w:kern w:val="2"/>
                <w:sz w:val="24"/>
                <w:szCs w:val="24"/>
                <w:lang w:val="en-US" w:eastAsia="zh-CN"/>
              </w:rPr>
              <w:t>1</w:t>
            </w:r>
            <w:r>
              <w:rPr>
                <w:b/>
                <w:color w:val="auto"/>
                <w:kern w:val="2"/>
                <w:sz w:val="24"/>
                <w:szCs w:val="24"/>
              </w:rPr>
              <w:t xml:space="preserve">  TSP监测结果统计表</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1"/>
              <w:gridCol w:w="2436"/>
              <w:gridCol w:w="1853"/>
              <w:gridCol w:w="1892"/>
            </w:tblGrid>
            <w:tr w14:paraId="05B92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9" w:type="pct"/>
                  <w:vMerge w:val="restart"/>
                  <w:vAlign w:val="center"/>
                </w:tcPr>
                <w:p w14:paraId="18693656">
                  <w:pPr>
                    <w:ind w:left="100" w:leftChars="50"/>
                    <w:jc w:val="center"/>
                    <w:rPr>
                      <w:color w:val="auto"/>
                      <w:kern w:val="2"/>
                      <w:sz w:val="21"/>
                      <w:szCs w:val="21"/>
                    </w:rPr>
                  </w:pPr>
                  <w:r>
                    <w:rPr>
                      <w:color w:val="auto"/>
                      <w:kern w:val="2"/>
                      <w:sz w:val="21"/>
                      <w:szCs w:val="21"/>
                    </w:rPr>
                    <mc:AlternateContent>
                      <mc:Choice Requires="wps">
                        <w:drawing>
                          <wp:anchor distT="0" distB="0" distL="114300" distR="114300" simplePos="0" relativeHeight="251660288" behindDoc="0" locked="0" layoutInCell="1" allowOverlap="1">
                            <wp:simplePos x="0" y="0"/>
                            <wp:positionH relativeFrom="column">
                              <wp:posOffset>-53975</wp:posOffset>
                            </wp:positionH>
                            <wp:positionV relativeFrom="paragraph">
                              <wp:posOffset>12700</wp:posOffset>
                            </wp:positionV>
                            <wp:extent cx="1301750" cy="663575"/>
                            <wp:effectExtent l="1905" t="4445" r="10795" b="17780"/>
                            <wp:wrapNone/>
                            <wp:docPr id="8" name="直接箭头连接符 8"/>
                            <wp:cNvGraphicFramePr/>
                            <a:graphic xmlns:a="http://schemas.openxmlformats.org/drawingml/2006/main">
                              <a:graphicData uri="http://schemas.microsoft.com/office/word/2010/wordprocessingShape">
                                <wps:wsp>
                                  <wps:cNvCnPr>
                                    <a:cxnSpLocks noChangeShapeType="1"/>
                                  </wps:cNvCnPr>
                                  <wps:spPr bwMode="auto">
                                    <a:xfrm flipH="1" flipV="1">
                                      <a:off x="0" y="0"/>
                                      <a:ext cx="1301750" cy="663575"/>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flip:x y;margin-left:-4.25pt;margin-top:1pt;height:52.25pt;width:102.5pt;z-index:251660288;mso-width-relative:page;mso-height-relative:page;" filled="f" stroked="t" coordsize="21600,21600" o:gfxdata="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SYLstUAAAAIAQAADwAAAAAAAAABACAAAAAiAAAAZHJzL2Rv&#10;d25yZXYueG1sUEsBAhQAFAAAAAgAh07iQAuYQs4EAgAA1wMAAA4AAAAAAAAAAQAgAAAAJAEAAGRy&#10;cy9lMm9Eb2MueG1sUEsFBgAAAAAGAAYAWQEAAJoFAAAAAA==&#10;">
                            <v:fill on="f" focussize="0,0"/>
                            <v:stroke color="#000000" joinstyle="round"/>
                            <v:imagedata o:title=""/>
                            <o:lock v:ext="edit" aspectratio="f"/>
                          </v:shape>
                        </w:pict>
                      </mc:Fallback>
                    </mc:AlternateContent>
                  </w:r>
                  <w:r>
                    <w:rPr>
                      <w:rFonts w:hint="eastAsia"/>
                      <w:color w:val="auto"/>
                      <w:kern w:val="2"/>
                      <w:sz w:val="21"/>
                      <w:szCs w:val="21"/>
                      <w:lang w:val="en-US" w:eastAsia="zh-CN"/>
                    </w:rPr>
                    <w:t xml:space="preserve">  </w:t>
                  </w:r>
                  <w:r>
                    <w:rPr>
                      <w:rFonts w:hint="eastAsia"/>
                      <w:color w:val="auto"/>
                      <w:kern w:val="2"/>
                      <w:sz w:val="21"/>
                      <w:szCs w:val="21"/>
                    </w:rPr>
                    <w:t>采样项目</w:t>
                  </w:r>
                </w:p>
                <w:p w14:paraId="67EA5F98">
                  <w:pPr>
                    <w:ind w:left="100" w:leftChars="50"/>
                    <w:jc w:val="center"/>
                    <w:rPr>
                      <w:color w:val="auto"/>
                      <w:kern w:val="2"/>
                      <w:sz w:val="21"/>
                      <w:szCs w:val="21"/>
                    </w:rPr>
                  </w:pPr>
                  <w:r>
                    <w:rPr>
                      <w:rFonts w:hint="eastAsia"/>
                      <w:color w:val="auto"/>
                      <w:kern w:val="2"/>
                      <w:sz w:val="21"/>
                      <w:szCs w:val="21"/>
                      <w:lang w:val="en-US" w:eastAsia="zh-CN"/>
                    </w:rPr>
                    <w:t xml:space="preserve">      </w:t>
                  </w:r>
                  <w:r>
                    <w:rPr>
                      <w:rFonts w:hint="eastAsia"/>
                      <w:color w:val="auto"/>
                      <w:kern w:val="2"/>
                      <w:sz w:val="21"/>
                      <w:szCs w:val="21"/>
                    </w:rPr>
                    <w:t>及地点结果</w:t>
                  </w:r>
                </w:p>
                <w:p w14:paraId="6522CB11">
                  <w:pPr>
                    <w:jc w:val="center"/>
                    <w:rPr>
                      <w:color w:val="auto"/>
                      <w:kern w:val="2"/>
                      <w:sz w:val="21"/>
                      <w:szCs w:val="21"/>
                    </w:rPr>
                  </w:pPr>
                </w:p>
                <w:p w14:paraId="1FA0CA9D">
                  <w:pPr>
                    <w:jc w:val="both"/>
                    <w:rPr>
                      <w:color w:val="auto"/>
                      <w:kern w:val="2"/>
                      <w:sz w:val="21"/>
                      <w:szCs w:val="21"/>
                    </w:rPr>
                  </w:pPr>
                  <w:r>
                    <w:rPr>
                      <w:rFonts w:hint="eastAsia"/>
                      <w:color w:val="auto"/>
                      <w:kern w:val="2"/>
                      <w:sz w:val="21"/>
                      <w:szCs w:val="21"/>
                    </w:rPr>
                    <w:t>采样时间</w:t>
                  </w:r>
                </w:p>
              </w:tc>
              <w:tc>
                <w:tcPr>
                  <w:tcW w:w="3740" w:type="pct"/>
                  <w:gridSpan w:val="3"/>
                  <w:vAlign w:val="center"/>
                </w:tcPr>
                <w:p w14:paraId="39517AF4">
                  <w:pPr>
                    <w:jc w:val="center"/>
                    <w:rPr>
                      <w:rFonts w:hint="eastAsia"/>
                      <w:bCs/>
                      <w:color w:val="auto"/>
                      <w:kern w:val="2"/>
                      <w:sz w:val="21"/>
                      <w:szCs w:val="21"/>
                      <w:lang w:val="en-GB"/>
                    </w:rPr>
                  </w:pPr>
                  <w:r>
                    <w:rPr>
                      <w:rFonts w:hint="eastAsia"/>
                      <w:bCs/>
                      <w:color w:val="auto"/>
                      <w:kern w:val="2"/>
                      <w:sz w:val="21"/>
                      <w:szCs w:val="21"/>
                      <w:lang w:val="en-GB"/>
                    </w:rPr>
                    <w:t>TSP（</w:t>
                  </w:r>
                  <w:r>
                    <w:rPr>
                      <w:rFonts w:hint="eastAsia"/>
                      <w:color w:val="auto"/>
                      <w:kern w:val="2"/>
                      <w:sz w:val="21"/>
                      <w:szCs w:val="21"/>
                      <w:lang w:val="en-US" w:eastAsia="zh-CN"/>
                    </w:rPr>
                    <w:t>m</w:t>
                  </w:r>
                  <w:r>
                    <w:rPr>
                      <w:color w:val="auto"/>
                      <w:kern w:val="2"/>
                      <w:sz w:val="21"/>
                      <w:szCs w:val="21"/>
                    </w:rPr>
                    <w:t>g/m</w:t>
                  </w:r>
                  <w:r>
                    <w:rPr>
                      <w:color w:val="auto"/>
                      <w:kern w:val="2"/>
                      <w:sz w:val="21"/>
                      <w:szCs w:val="21"/>
                      <w:vertAlign w:val="superscript"/>
                    </w:rPr>
                    <w:t>3</w:t>
                  </w:r>
                  <w:r>
                    <w:rPr>
                      <w:rFonts w:hint="eastAsia"/>
                      <w:bCs/>
                      <w:color w:val="auto"/>
                      <w:kern w:val="2"/>
                      <w:sz w:val="21"/>
                      <w:szCs w:val="21"/>
                      <w:lang w:val="en-GB"/>
                    </w:rPr>
                    <w:t>）</w:t>
                  </w:r>
                </w:p>
              </w:tc>
            </w:tr>
            <w:tr w14:paraId="7A573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9" w:type="pct"/>
                  <w:vMerge w:val="continue"/>
                  <w:vAlign w:val="center"/>
                </w:tcPr>
                <w:p w14:paraId="2A4F7B80">
                  <w:pPr>
                    <w:ind w:left="605" w:leftChars="250" w:hanging="105" w:hangingChars="50"/>
                    <w:jc w:val="center"/>
                    <w:rPr>
                      <w:color w:val="auto"/>
                      <w:kern w:val="2"/>
                      <w:sz w:val="21"/>
                      <w:szCs w:val="21"/>
                    </w:rPr>
                  </w:pPr>
                </w:p>
              </w:tc>
              <w:tc>
                <w:tcPr>
                  <w:tcW w:w="1474" w:type="pct"/>
                  <w:vAlign w:val="center"/>
                </w:tcPr>
                <w:p w14:paraId="049492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大桥村</w:t>
                  </w:r>
                </w:p>
              </w:tc>
              <w:tc>
                <w:tcPr>
                  <w:tcW w:w="1121" w:type="pct"/>
                  <w:vAlign w:val="center"/>
                </w:tcPr>
                <w:p w14:paraId="194F46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王岗屯村</w:t>
                  </w:r>
                </w:p>
              </w:tc>
              <w:tc>
                <w:tcPr>
                  <w:tcW w:w="1145" w:type="pct"/>
                  <w:vAlign w:val="center"/>
                </w:tcPr>
                <w:p w14:paraId="110F39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陡峰湾村</w:t>
                  </w:r>
                </w:p>
              </w:tc>
            </w:tr>
            <w:tr w14:paraId="614EE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9" w:type="pct"/>
                  <w:vAlign w:val="center"/>
                </w:tcPr>
                <w:p w14:paraId="1DAEC177">
                  <w:pPr>
                    <w:adjustRightInd w:val="0"/>
                    <w:snapToGrid w:val="0"/>
                    <w:jc w:val="center"/>
                    <w:rPr>
                      <w:color w:val="auto"/>
                      <w:kern w:val="2"/>
                      <w:sz w:val="21"/>
                      <w:szCs w:val="21"/>
                    </w:rPr>
                  </w:pPr>
                  <w:r>
                    <w:rPr>
                      <w:rFonts w:hint="eastAsia"/>
                      <w:color w:val="auto"/>
                      <w:sz w:val="21"/>
                      <w:szCs w:val="21"/>
                    </w:rPr>
                    <w:t>2023.05.23</w:t>
                  </w:r>
                </w:p>
              </w:tc>
              <w:tc>
                <w:tcPr>
                  <w:tcW w:w="1474" w:type="pct"/>
                  <w:vAlign w:val="center"/>
                </w:tcPr>
                <w:p w14:paraId="1A37B25E">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0.051</w:t>
                  </w:r>
                </w:p>
              </w:tc>
              <w:tc>
                <w:tcPr>
                  <w:tcW w:w="1121" w:type="pct"/>
                  <w:vAlign w:val="center"/>
                </w:tcPr>
                <w:p w14:paraId="38A4184E">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0.061</w:t>
                  </w:r>
                </w:p>
              </w:tc>
              <w:tc>
                <w:tcPr>
                  <w:tcW w:w="1145" w:type="pct"/>
                  <w:vAlign w:val="center"/>
                </w:tcPr>
                <w:p w14:paraId="3CB9EB94">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0.061</w:t>
                  </w:r>
                </w:p>
              </w:tc>
            </w:tr>
            <w:tr w14:paraId="5BB05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9" w:type="pct"/>
                  <w:vAlign w:val="center"/>
                </w:tcPr>
                <w:p w14:paraId="34634A21">
                  <w:pPr>
                    <w:adjustRightInd w:val="0"/>
                    <w:snapToGrid w:val="0"/>
                    <w:jc w:val="center"/>
                    <w:rPr>
                      <w:color w:val="auto"/>
                      <w:kern w:val="2"/>
                      <w:sz w:val="21"/>
                      <w:szCs w:val="21"/>
                    </w:rPr>
                  </w:pPr>
                  <w:r>
                    <w:rPr>
                      <w:rFonts w:hint="eastAsia"/>
                      <w:color w:val="auto"/>
                      <w:sz w:val="21"/>
                      <w:szCs w:val="21"/>
                    </w:rPr>
                    <w:t>2023.05.24</w:t>
                  </w:r>
                </w:p>
              </w:tc>
              <w:tc>
                <w:tcPr>
                  <w:tcW w:w="1474" w:type="pct"/>
                  <w:vAlign w:val="center"/>
                </w:tcPr>
                <w:p w14:paraId="358CFF89">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0.053</w:t>
                  </w:r>
                </w:p>
              </w:tc>
              <w:tc>
                <w:tcPr>
                  <w:tcW w:w="1121" w:type="pct"/>
                  <w:vAlign w:val="center"/>
                </w:tcPr>
                <w:p w14:paraId="01ECA220">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0.052</w:t>
                  </w:r>
                </w:p>
              </w:tc>
              <w:tc>
                <w:tcPr>
                  <w:tcW w:w="1145" w:type="pct"/>
                  <w:vAlign w:val="center"/>
                </w:tcPr>
                <w:p w14:paraId="4B09E79E">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0.063</w:t>
                  </w:r>
                </w:p>
              </w:tc>
            </w:tr>
            <w:tr w14:paraId="69BE1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9" w:type="pct"/>
                  <w:vAlign w:val="center"/>
                </w:tcPr>
                <w:p w14:paraId="4DB66448">
                  <w:pPr>
                    <w:adjustRightInd w:val="0"/>
                    <w:snapToGrid w:val="0"/>
                    <w:jc w:val="center"/>
                    <w:rPr>
                      <w:color w:val="auto"/>
                      <w:kern w:val="2"/>
                      <w:sz w:val="21"/>
                      <w:szCs w:val="21"/>
                    </w:rPr>
                  </w:pPr>
                  <w:r>
                    <w:rPr>
                      <w:rFonts w:hint="eastAsia"/>
                      <w:color w:val="auto"/>
                      <w:sz w:val="21"/>
                      <w:szCs w:val="21"/>
                    </w:rPr>
                    <w:t>2023.05.25</w:t>
                  </w:r>
                </w:p>
              </w:tc>
              <w:tc>
                <w:tcPr>
                  <w:tcW w:w="1474" w:type="pct"/>
                  <w:vAlign w:val="center"/>
                </w:tcPr>
                <w:p w14:paraId="4CB79704">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0.057</w:t>
                  </w:r>
                </w:p>
              </w:tc>
              <w:tc>
                <w:tcPr>
                  <w:tcW w:w="1121" w:type="pct"/>
                  <w:vAlign w:val="center"/>
                </w:tcPr>
                <w:p w14:paraId="7C1982C6">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0.056</w:t>
                  </w:r>
                </w:p>
              </w:tc>
              <w:tc>
                <w:tcPr>
                  <w:tcW w:w="1145" w:type="pct"/>
                  <w:vAlign w:val="center"/>
                </w:tcPr>
                <w:p w14:paraId="391AACDB">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0.060</w:t>
                  </w:r>
                </w:p>
              </w:tc>
            </w:tr>
            <w:tr w14:paraId="1EE33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9" w:type="pct"/>
                  <w:vAlign w:val="center"/>
                </w:tcPr>
                <w:p w14:paraId="1FBB781C">
                  <w:pPr>
                    <w:adjustRightInd w:val="0"/>
                    <w:snapToGrid w:val="0"/>
                    <w:jc w:val="center"/>
                    <w:rPr>
                      <w:color w:val="auto"/>
                      <w:kern w:val="2"/>
                      <w:sz w:val="21"/>
                      <w:szCs w:val="21"/>
                    </w:rPr>
                  </w:pPr>
                  <w:r>
                    <w:rPr>
                      <w:rFonts w:hint="eastAsia"/>
                      <w:color w:val="auto"/>
                      <w:sz w:val="21"/>
                      <w:szCs w:val="21"/>
                    </w:rPr>
                    <w:t>2023.05.26</w:t>
                  </w:r>
                </w:p>
              </w:tc>
              <w:tc>
                <w:tcPr>
                  <w:tcW w:w="1474" w:type="pct"/>
                  <w:vAlign w:val="center"/>
                </w:tcPr>
                <w:p w14:paraId="26DCA9EB">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0.052</w:t>
                  </w:r>
                </w:p>
              </w:tc>
              <w:tc>
                <w:tcPr>
                  <w:tcW w:w="1121" w:type="pct"/>
                  <w:vAlign w:val="center"/>
                </w:tcPr>
                <w:p w14:paraId="529D7E71">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0.058</w:t>
                  </w:r>
                </w:p>
              </w:tc>
              <w:tc>
                <w:tcPr>
                  <w:tcW w:w="1145" w:type="pct"/>
                  <w:vAlign w:val="center"/>
                </w:tcPr>
                <w:p w14:paraId="4E22A9D1">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0.061</w:t>
                  </w:r>
                </w:p>
              </w:tc>
            </w:tr>
            <w:tr w14:paraId="6086B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9" w:type="pct"/>
                  <w:vAlign w:val="center"/>
                </w:tcPr>
                <w:p w14:paraId="678B9082">
                  <w:pPr>
                    <w:adjustRightInd w:val="0"/>
                    <w:snapToGrid w:val="0"/>
                    <w:jc w:val="center"/>
                    <w:rPr>
                      <w:color w:val="auto"/>
                      <w:kern w:val="2"/>
                      <w:sz w:val="21"/>
                      <w:szCs w:val="21"/>
                    </w:rPr>
                  </w:pPr>
                  <w:r>
                    <w:rPr>
                      <w:rFonts w:hint="eastAsia"/>
                      <w:color w:val="auto"/>
                      <w:sz w:val="21"/>
                      <w:szCs w:val="21"/>
                    </w:rPr>
                    <w:t>2023.05.27</w:t>
                  </w:r>
                </w:p>
              </w:tc>
              <w:tc>
                <w:tcPr>
                  <w:tcW w:w="1474" w:type="pct"/>
                  <w:vAlign w:val="center"/>
                </w:tcPr>
                <w:p w14:paraId="17589139">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0.055</w:t>
                  </w:r>
                </w:p>
              </w:tc>
              <w:tc>
                <w:tcPr>
                  <w:tcW w:w="1121" w:type="pct"/>
                  <w:vAlign w:val="center"/>
                </w:tcPr>
                <w:p w14:paraId="580266B0">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0.056</w:t>
                  </w:r>
                </w:p>
              </w:tc>
              <w:tc>
                <w:tcPr>
                  <w:tcW w:w="1145" w:type="pct"/>
                  <w:vAlign w:val="center"/>
                </w:tcPr>
                <w:p w14:paraId="2EB0E2DB">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0.063</w:t>
                  </w:r>
                </w:p>
              </w:tc>
            </w:tr>
            <w:tr w14:paraId="0CC20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9" w:type="pct"/>
                  <w:vAlign w:val="center"/>
                </w:tcPr>
                <w:p w14:paraId="0914F081">
                  <w:pPr>
                    <w:adjustRightInd w:val="0"/>
                    <w:snapToGrid w:val="0"/>
                    <w:jc w:val="center"/>
                    <w:rPr>
                      <w:color w:val="auto"/>
                      <w:kern w:val="2"/>
                      <w:sz w:val="21"/>
                      <w:szCs w:val="21"/>
                    </w:rPr>
                  </w:pPr>
                  <w:r>
                    <w:rPr>
                      <w:rFonts w:hint="eastAsia"/>
                      <w:color w:val="auto"/>
                      <w:sz w:val="21"/>
                      <w:szCs w:val="21"/>
                    </w:rPr>
                    <w:t>2023.05.28</w:t>
                  </w:r>
                </w:p>
              </w:tc>
              <w:tc>
                <w:tcPr>
                  <w:tcW w:w="1474" w:type="pct"/>
                  <w:vAlign w:val="center"/>
                </w:tcPr>
                <w:p w14:paraId="40AB2D93">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0.056</w:t>
                  </w:r>
                </w:p>
              </w:tc>
              <w:tc>
                <w:tcPr>
                  <w:tcW w:w="1121" w:type="pct"/>
                  <w:vAlign w:val="center"/>
                </w:tcPr>
                <w:p w14:paraId="50A8869A">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0.057</w:t>
                  </w:r>
                </w:p>
              </w:tc>
              <w:tc>
                <w:tcPr>
                  <w:tcW w:w="1145" w:type="pct"/>
                  <w:vAlign w:val="center"/>
                </w:tcPr>
                <w:p w14:paraId="5A627CB4">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0.061</w:t>
                  </w:r>
                </w:p>
              </w:tc>
            </w:tr>
            <w:tr w14:paraId="335AC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9" w:type="pct"/>
                  <w:vAlign w:val="center"/>
                </w:tcPr>
                <w:p w14:paraId="5F9F0B10">
                  <w:pPr>
                    <w:adjustRightInd w:val="0"/>
                    <w:snapToGrid w:val="0"/>
                    <w:jc w:val="center"/>
                    <w:rPr>
                      <w:color w:val="auto"/>
                      <w:kern w:val="2"/>
                      <w:sz w:val="21"/>
                      <w:szCs w:val="21"/>
                    </w:rPr>
                  </w:pPr>
                  <w:r>
                    <w:rPr>
                      <w:rFonts w:hint="eastAsia"/>
                      <w:color w:val="auto"/>
                      <w:sz w:val="21"/>
                      <w:szCs w:val="21"/>
                    </w:rPr>
                    <w:t>2023.05.29</w:t>
                  </w:r>
                </w:p>
              </w:tc>
              <w:tc>
                <w:tcPr>
                  <w:tcW w:w="1474" w:type="pct"/>
                  <w:vAlign w:val="center"/>
                </w:tcPr>
                <w:p w14:paraId="7418DDEF">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0.056</w:t>
                  </w:r>
                </w:p>
              </w:tc>
              <w:tc>
                <w:tcPr>
                  <w:tcW w:w="1121" w:type="pct"/>
                  <w:vAlign w:val="center"/>
                </w:tcPr>
                <w:p w14:paraId="70A0F512">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0.059</w:t>
                  </w:r>
                </w:p>
              </w:tc>
              <w:tc>
                <w:tcPr>
                  <w:tcW w:w="1145" w:type="pct"/>
                  <w:vAlign w:val="center"/>
                </w:tcPr>
                <w:p w14:paraId="027B882E">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0.064</w:t>
                  </w:r>
                </w:p>
              </w:tc>
            </w:tr>
            <w:tr w14:paraId="312C0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9" w:type="pct"/>
                  <w:vAlign w:val="center"/>
                </w:tcPr>
                <w:p w14:paraId="760E7637">
                  <w:pPr>
                    <w:jc w:val="center"/>
                    <w:rPr>
                      <w:color w:val="auto"/>
                      <w:kern w:val="2"/>
                      <w:sz w:val="21"/>
                      <w:szCs w:val="21"/>
                    </w:rPr>
                  </w:pPr>
                  <w:r>
                    <w:rPr>
                      <w:rFonts w:hint="eastAsia"/>
                      <w:color w:val="auto"/>
                      <w:kern w:val="2"/>
                      <w:sz w:val="21"/>
                      <w:szCs w:val="21"/>
                    </w:rPr>
                    <w:t>标准值</w:t>
                  </w:r>
                </w:p>
              </w:tc>
              <w:tc>
                <w:tcPr>
                  <w:tcW w:w="3740" w:type="pct"/>
                  <w:gridSpan w:val="3"/>
                  <w:vAlign w:val="center"/>
                </w:tcPr>
                <w:p w14:paraId="3A8D7CDB">
                  <w:pPr>
                    <w:jc w:val="center"/>
                    <w:rPr>
                      <w:rFonts w:hint="default" w:eastAsia="宋体"/>
                      <w:color w:val="auto"/>
                      <w:kern w:val="2"/>
                      <w:sz w:val="21"/>
                      <w:szCs w:val="21"/>
                      <w:lang w:val="en-US" w:eastAsia="zh-CN"/>
                    </w:rPr>
                  </w:pPr>
                  <w:r>
                    <w:rPr>
                      <w:rFonts w:hint="eastAsia"/>
                      <w:color w:val="auto"/>
                      <w:kern w:val="2"/>
                      <w:sz w:val="21"/>
                      <w:szCs w:val="21"/>
                      <w:lang w:val="en-US" w:eastAsia="zh-CN"/>
                    </w:rPr>
                    <w:t>0.3</w:t>
                  </w:r>
                </w:p>
              </w:tc>
            </w:tr>
            <w:tr w14:paraId="48734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9" w:type="pct"/>
                  <w:vAlign w:val="center"/>
                </w:tcPr>
                <w:p w14:paraId="0B163765">
                  <w:pPr>
                    <w:jc w:val="center"/>
                    <w:rPr>
                      <w:color w:val="auto"/>
                      <w:kern w:val="2"/>
                      <w:sz w:val="21"/>
                      <w:szCs w:val="21"/>
                    </w:rPr>
                  </w:pPr>
                  <w:r>
                    <w:rPr>
                      <w:rFonts w:hint="eastAsia"/>
                      <w:color w:val="auto"/>
                      <w:kern w:val="2"/>
                      <w:sz w:val="21"/>
                      <w:szCs w:val="21"/>
                    </w:rPr>
                    <w:t>达标情况</w:t>
                  </w:r>
                </w:p>
              </w:tc>
              <w:tc>
                <w:tcPr>
                  <w:tcW w:w="3740" w:type="pct"/>
                  <w:gridSpan w:val="3"/>
                  <w:vAlign w:val="center"/>
                </w:tcPr>
                <w:p w14:paraId="02A2581C">
                  <w:pPr>
                    <w:jc w:val="center"/>
                    <w:rPr>
                      <w:rFonts w:hint="eastAsia"/>
                      <w:color w:val="auto"/>
                      <w:kern w:val="2"/>
                      <w:sz w:val="21"/>
                      <w:szCs w:val="21"/>
                    </w:rPr>
                  </w:pPr>
                  <w:r>
                    <w:rPr>
                      <w:rFonts w:hint="eastAsia"/>
                      <w:color w:val="auto"/>
                      <w:kern w:val="2"/>
                      <w:sz w:val="21"/>
                      <w:szCs w:val="21"/>
                    </w:rPr>
                    <w:t>达标</w:t>
                  </w:r>
                </w:p>
              </w:tc>
            </w:tr>
          </w:tbl>
          <w:p w14:paraId="637B1AAC">
            <w:pPr>
              <w:spacing w:line="360" w:lineRule="auto"/>
              <w:ind w:firstLine="480" w:firstLineChars="200"/>
              <w:rPr>
                <w:color w:val="auto"/>
                <w:kern w:val="2"/>
                <w:sz w:val="24"/>
                <w:szCs w:val="24"/>
              </w:rPr>
            </w:pPr>
            <w:r>
              <w:rPr>
                <w:color w:val="auto"/>
                <w:kern w:val="2"/>
                <w:sz w:val="24"/>
                <w:szCs w:val="24"/>
              </w:rPr>
              <w:t>根据引用结果可知，项目特征污染物TSP日均值满足《环境空气质量标准》（GB3095-2012）中的二级标准，属于环境空气质量达标区。</w:t>
            </w:r>
          </w:p>
          <w:p w14:paraId="40D8AC9F">
            <w:pPr>
              <w:adjustRightInd w:val="0"/>
              <w:snapToGrid w:val="0"/>
              <w:spacing w:line="360" w:lineRule="auto"/>
              <w:ind w:firstLine="480" w:firstLineChars="200"/>
              <w:rPr>
                <w:color w:val="auto"/>
                <w:kern w:val="2"/>
                <w:sz w:val="24"/>
                <w:szCs w:val="24"/>
              </w:rPr>
            </w:pPr>
            <w:r>
              <w:rPr>
                <w:color w:val="auto"/>
                <w:kern w:val="2"/>
                <w:sz w:val="24"/>
                <w:szCs w:val="24"/>
              </w:rPr>
              <w:t>综上，项目所处区域属于环境空气质量达标区。</w:t>
            </w:r>
          </w:p>
          <w:p w14:paraId="634D927D">
            <w:pPr>
              <w:widowControl/>
              <w:spacing w:line="360" w:lineRule="auto"/>
              <w:ind w:firstLine="562" w:firstLineChars="200"/>
              <w:rPr>
                <w:b/>
                <w:bCs/>
                <w:color w:val="auto"/>
                <w:sz w:val="28"/>
                <w:szCs w:val="28"/>
              </w:rPr>
            </w:pPr>
            <w:r>
              <w:rPr>
                <w:b/>
                <w:bCs/>
                <w:color w:val="auto"/>
                <w:sz w:val="28"/>
                <w:szCs w:val="28"/>
              </w:rPr>
              <w:t>2</w:t>
            </w:r>
            <w:r>
              <w:rPr>
                <w:rFonts w:hAnsi="宋体"/>
                <w:b/>
                <w:bCs/>
                <w:color w:val="auto"/>
                <w:sz w:val="28"/>
                <w:szCs w:val="28"/>
              </w:rPr>
              <w:t>、</w:t>
            </w:r>
            <w:r>
              <w:rPr>
                <w:rFonts w:hint="eastAsia" w:hAnsi="宋体"/>
                <w:b/>
                <w:bCs/>
                <w:color w:val="auto"/>
                <w:sz w:val="28"/>
                <w:szCs w:val="28"/>
              </w:rPr>
              <w:t>地表</w:t>
            </w:r>
            <w:r>
              <w:rPr>
                <w:rFonts w:hAnsi="宋体"/>
                <w:b/>
                <w:bCs/>
                <w:color w:val="auto"/>
                <w:sz w:val="28"/>
                <w:szCs w:val="28"/>
              </w:rPr>
              <w:t>水环境质量现状</w:t>
            </w:r>
          </w:p>
          <w:p w14:paraId="1CECF7E3">
            <w:pPr>
              <w:spacing w:line="360" w:lineRule="auto"/>
              <w:ind w:firstLine="480" w:firstLineChars="200"/>
              <w:rPr>
                <w:rFonts w:ascii="Times New Roman" w:hAnsi="Times New Roman" w:eastAsia="宋体" w:cs="Times New Roman"/>
                <w:color w:val="auto"/>
                <w:sz w:val="24"/>
              </w:rPr>
            </w:pPr>
            <w:r>
              <w:rPr>
                <w:rFonts w:hint="default" w:ascii="Times New Roman" w:hAnsi="Times New Roman" w:eastAsia="宋体" w:cs="Times New Roman"/>
                <w:color w:val="auto"/>
                <w:sz w:val="24"/>
              </w:rPr>
              <w:t>项目区</w:t>
            </w:r>
            <w:r>
              <w:rPr>
                <w:rFonts w:hint="eastAsia" w:ascii="Times New Roman" w:hAnsi="Times New Roman" w:eastAsia="宋体" w:cs="Times New Roman"/>
                <w:color w:val="auto"/>
                <w:sz w:val="24"/>
                <w:lang w:val="en-US" w:eastAsia="zh-CN"/>
              </w:rPr>
              <w:t>最近</w:t>
            </w:r>
            <w:r>
              <w:rPr>
                <w:rFonts w:hint="default" w:ascii="Times New Roman" w:hAnsi="Times New Roman" w:eastAsia="宋体" w:cs="Times New Roman"/>
                <w:color w:val="auto"/>
                <w:sz w:val="24"/>
              </w:rPr>
              <w:t>地表水</w:t>
            </w:r>
            <w:r>
              <w:rPr>
                <w:rFonts w:hint="eastAsia" w:ascii="Times New Roman" w:hAnsi="Times New Roman" w:eastAsia="宋体" w:cs="Times New Roman"/>
                <w:color w:val="auto"/>
                <w:sz w:val="24"/>
                <w:lang w:val="en-US" w:eastAsia="zh-CN"/>
              </w:rPr>
              <w:t>体</w:t>
            </w:r>
            <w:r>
              <w:rPr>
                <w:rFonts w:hint="default" w:ascii="Times New Roman" w:hAnsi="Times New Roman" w:eastAsia="宋体" w:cs="Times New Roman"/>
                <w:color w:val="auto"/>
                <w:sz w:val="24"/>
                <w:highlight w:val="none"/>
                <w:lang w:val="en-US" w:eastAsia="zh-CN"/>
              </w:rPr>
              <w:t>为</w:t>
            </w:r>
            <w:r>
              <w:rPr>
                <w:rFonts w:hint="eastAsia" w:cs="Times New Roman"/>
                <w:color w:val="auto"/>
                <w:sz w:val="24"/>
                <w:highlight w:val="none"/>
                <w:lang w:val="en-US" w:eastAsia="zh-CN"/>
              </w:rPr>
              <w:t>穿过常青树化工的</w:t>
            </w:r>
            <w:r>
              <w:rPr>
                <w:rFonts w:hint="eastAsia" w:ascii="Times New Roman" w:hAnsi="Times New Roman" w:eastAsia="宋体" w:cs="Times New Roman"/>
                <w:color w:val="auto"/>
                <w:sz w:val="24"/>
                <w:lang w:val="en-US" w:eastAsia="zh-CN"/>
              </w:rPr>
              <w:t>聂鼠龙河，为牛栏江支流</w:t>
            </w:r>
            <w:r>
              <w:rPr>
                <w:rFonts w:hint="default" w:ascii="Times New Roman" w:hAnsi="Times New Roman" w:eastAsia="宋体" w:cs="Times New Roman"/>
                <w:color w:val="auto"/>
                <w:sz w:val="24"/>
              </w:rPr>
              <w:t>。根据</w:t>
            </w:r>
            <w:r>
              <w:rPr>
                <w:rFonts w:hint="default" w:ascii="Times New Roman" w:hAnsi="Times New Roman" w:eastAsia="宋体" w:cs="Times New Roman"/>
                <w:i w:val="0"/>
                <w:iCs w:val="0"/>
                <w:color w:val="auto"/>
                <w:sz w:val="24"/>
                <w:highlight w:val="none"/>
              </w:rPr>
              <w:t>《昆明市和滇中产业新区水功能区划》（2010~2030年）</w:t>
            </w:r>
            <w:r>
              <w:rPr>
                <w:rFonts w:hint="default" w:ascii="Times New Roman" w:hAnsi="Times New Roman" w:eastAsia="宋体" w:cs="Times New Roman"/>
                <w:color w:val="auto"/>
                <w:sz w:val="24"/>
              </w:rPr>
              <w:t>，</w:t>
            </w:r>
            <w:r>
              <w:rPr>
                <w:rFonts w:hint="eastAsia" w:cs="Times New Roman"/>
                <w:color w:val="auto"/>
                <w:sz w:val="24"/>
                <w:lang w:val="en-US" w:eastAsia="zh-CN"/>
              </w:rPr>
              <w:t>牛栏江</w:t>
            </w:r>
            <w:r>
              <w:rPr>
                <w:rFonts w:hint="eastAsia" w:ascii="宋体" w:hAnsi="宋体" w:eastAsia="宋体" w:cs="宋体"/>
                <w:color w:val="auto"/>
                <w:kern w:val="0"/>
                <w:sz w:val="24"/>
                <w:szCs w:val="24"/>
                <w:lang w:val="en-US" w:eastAsia="zh-CN" w:bidi="ar"/>
              </w:rPr>
              <w:t>规划水平年水质保护目标为</w:t>
            </w:r>
            <w:r>
              <w:rPr>
                <w:rFonts w:hint="default" w:ascii="Times New Roman" w:hAnsi="Times New Roman" w:eastAsia="宋体" w:cs="Times New Roman"/>
                <w:color w:val="auto"/>
                <w:sz w:val="24"/>
              </w:rPr>
              <w:t>Ⅲ类，执行《地表水环境质量标准》（GB3838-2002）Ⅲ类标准</w:t>
            </w:r>
            <w:r>
              <w:rPr>
                <w:rFonts w:hint="default" w:ascii="Times New Roman" w:hAnsi="Times New Roman" w:eastAsia="宋体" w:cs="Times New Roman"/>
                <w:color w:val="auto"/>
                <w:sz w:val="24"/>
                <w:lang w:val="en-US" w:eastAsia="zh-CN"/>
              </w:rPr>
              <w:t>。</w:t>
            </w:r>
          </w:p>
          <w:p w14:paraId="5071EB77">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w:t>
            </w:r>
            <w:r>
              <w:rPr>
                <w:rFonts w:hint="eastAsia" w:ascii="Times New Roman" w:hAnsi="Times New Roman" w:eastAsia="宋体" w:cs="Times New Roman"/>
                <w:color w:val="auto"/>
                <w:sz w:val="24"/>
              </w:rPr>
              <w:t>《202</w:t>
            </w:r>
            <w:r>
              <w:rPr>
                <w:rFonts w:hint="eastAsia" w:ascii="Times New Roman" w:hAnsi="Times New Roman" w:eastAsia="宋体" w:cs="Times New Roman"/>
                <w:color w:val="auto"/>
                <w:sz w:val="24"/>
                <w:lang w:val="en-US" w:eastAsia="zh-CN"/>
              </w:rPr>
              <w:t>3</w:t>
            </w:r>
            <w:r>
              <w:rPr>
                <w:rFonts w:hint="eastAsia" w:ascii="Times New Roman" w:hAnsi="Times New Roman" w:eastAsia="宋体" w:cs="Times New Roman"/>
                <w:color w:val="auto"/>
                <w:sz w:val="24"/>
              </w:rPr>
              <w:t>年度昆明市环境质量状况公报》，牛栏江与2022年相比，四营水文站、河口断面水质上升，水质类别分别由Ⅳ类、Ⅲ类上升为Ⅲ类、Ⅱ类；崔家庄、七星水文站断面水质不变，水质类别均为Ⅲ类。</w:t>
            </w:r>
          </w:p>
          <w:p w14:paraId="5B377C6C">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根据寻甸回族彝族自治县人民政府官网公布的地表水水质状况，聂鼠龙河(汇入牛栏江前)为省控断面，考核目标按照Ⅲ类。水质现状不能达到《地表水环境质量标准》（GB3838-2002）中Ⅲ类，超标情况见表</w:t>
            </w:r>
            <w:r>
              <w:rPr>
                <w:rFonts w:hint="eastAsia" w:cs="Times New Roman"/>
                <w:color w:val="auto"/>
                <w:sz w:val="24"/>
                <w:lang w:val="en-US" w:eastAsia="zh-CN"/>
              </w:rPr>
              <w:t>3</w:t>
            </w:r>
            <w:r>
              <w:rPr>
                <w:rFonts w:hint="eastAsia" w:ascii="Times New Roman" w:hAnsi="Times New Roman" w:eastAsia="宋体" w:cs="Times New Roman"/>
                <w:color w:val="auto"/>
                <w:sz w:val="24"/>
                <w:lang w:val="en-US" w:eastAsia="zh-CN"/>
              </w:rPr>
              <w:t>-</w:t>
            </w:r>
            <w:r>
              <w:rPr>
                <w:rFonts w:hint="eastAsia" w:cs="Times New Roman"/>
                <w:color w:val="auto"/>
                <w:sz w:val="24"/>
                <w:lang w:val="en-US" w:eastAsia="zh-CN"/>
              </w:rPr>
              <w:t>2</w:t>
            </w:r>
            <w:r>
              <w:rPr>
                <w:rFonts w:hint="default" w:ascii="Times New Roman" w:hAnsi="Times New Roman" w:eastAsia="宋体" w:cs="Times New Roman"/>
                <w:color w:val="auto"/>
                <w:sz w:val="24"/>
                <w:lang w:val="en-US" w:eastAsia="zh-CN"/>
              </w:rPr>
              <w:t>。</w:t>
            </w:r>
          </w:p>
          <w:p w14:paraId="61B0EC69">
            <w:pPr>
              <w:keepNext w:val="0"/>
              <w:keepLines w:val="0"/>
              <w:pageBreakBefore w:val="0"/>
              <w:widowControl w:val="0"/>
              <w:kinsoku/>
              <w:wordWrap/>
              <w:overflowPunct/>
              <w:bidi w:val="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w:t>
            </w:r>
            <w:r>
              <w:rPr>
                <w:rFonts w:hint="eastAsia" w:cs="Times New Roman"/>
                <w:b/>
                <w:bCs/>
                <w:color w:val="auto"/>
                <w:sz w:val="24"/>
                <w:szCs w:val="24"/>
                <w:highlight w:val="none"/>
                <w:lang w:val="en-US" w:eastAsia="zh-CN"/>
              </w:rPr>
              <w:t>3-2</w:t>
            </w:r>
            <w:r>
              <w:rPr>
                <w:rFonts w:hint="default" w:ascii="Times New Roman" w:hAnsi="Times New Roman" w:eastAsia="宋体" w:cs="Times New Roman"/>
                <w:b/>
                <w:bCs/>
                <w:color w:val="auto"/>
                <w:sz w:val="24"/>
                <w:szCs w:val="24"/>
                <w:highlight w:val="none"/>
                <w:lang w:val="en-US" w:eastAsia="zh-CN"/>
              </w:rPr>
              <w:t xml:space="preserve">  聂鼠龙河(汇入牛栏江前)断面水质状况统计</w:t>
            </w:r>
          </w:p>
          <w:tbl>
            <w:tblPr>
              <w:tblStyle w:val="46"/>
              <w:tblW w:w="83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75"/>
              <w:gridCol w:w="1406"/>
              <w:gridCol w:w="1016"/>
              <w:gridCol w:w="1125"/>
              <w:gridCol w:w="1113"/>
              <w:gridCol w:w="2876"/>
            </w:tblGrid>
            <w:tr w14:paraId="35329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775" w:type="dxa"/>
                  <w:vAlign w:val="center"/>
                </w:tcPr>
                <w:p w14:paraId="2E37D921">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断面</w:t>
                  </w:r>
                </w:p>
              </w:tc>
              <w:tc>
                <w:tcPr>
                  <w:tcW w:w="1406" w:type="dxa"/>
                  <w:vAlign w:val="center"/>
                </w:tcPr>
                <w:p w14:paraId="580D637F">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监测时间</w:t>
                  </w:r>
                </w:p>
              </w:tc>
              <w:tc>
                <w:tcPr>
                  <w:tcW w:w="1016" w:type="dxa"/>
                  <w:vAlign w:val="center"/>
                </w:tcPr>
                <w:p w14:paraId="39E0C6E6">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考核目标</w:t>
                  </w:r>
                </w:p>
              </w:tc>
              <w:tc>
                <w:tcPr>
                  <w:tcW w:w="1125" w:type="dxa"/>
                  <w:vAlign w:val="center"/>
                </w:tcPr>
                <w:p w14:paraId="76885D64">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水质类比</w:t>
                  </w:r>
                </w:p>
              </w:tc>
              <w:tc>
                <w:tcPr>
                  <w:tcW w:w="1113" w:type="dxa"/>
                  <w:vAlign w:val="center"/>
                </w:tcPr>
                <w:p w14:paraId="197E069C">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达标情况</w:t>
                  </w:r>
                </w:p>
              </w:tc>
              <w:tc>
                <w:tcPr>
                  <w:tcW w:w="2876" w:type="dxa"/>
                  <w:vAlign w:val="center"/>
                </w:tcPr>
                <w:p w14:paraId="537B73E6">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超标指标及倍数</w:t>
                  </w:r>
                </w:p>
              </w:tc>
            </w:tr>
            <w:tr w14:paraId="76211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775" w:type="dxa"/>
                  <w:vMerge w:val="restart"/>
                  <w:vAlign w:val="center"/>
                </w:tcPr>
                <w:p w14:paraId="429BFA9A">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highlight w:val="none"/>
                      <w:lang w:val="en-US" w:eastAsia="zh-CN"/>
                    </w:rPr>
                    <w:t>聂鼠龙河(汇入牛栏江前)</w:t>
                  </w:r>
                  <w:r>
                    <w:rPr>
                      <w:rFonts w:hint="default" w:ascii="Times New Roman" w:hAnsi="Times New Roman" w:eastAsia="宋体" w:cs="Times New Roman"/>
                      <w:color w:val="auto"/>
                      <w:sz w:val="21"/>
                      <w:szCs w:val="21"/>
                      <w:highlight w:val="none"/>
                      <w:lang w:val="en-US" w:eastAsia="zh-CN"/>
                    </w:rPr>
                    <w:t>断面</w:t>
                  </w:r>
                </w:p>
              </w:tc>
              <w:tc>
                <w:tcPr>
                  <w:tcW w:w="1406" w:type="dxa"/>
                  <w:vAlign w:val="center"/>
                </w:tcPr>
                <w:p w14:paraId="3FFEB4F9">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年</w:t>
                  </w:r>
                  <w:r>
                    <w:rPr>
                      <w:rFonts w:hint="eastAsia" w:cs="Times New Roman"/>
                      <w:color w:val="auto"/>
                      <w:sz w:val="21"/>
                      <w:szCs w:val="21"/>
                      <w:highlight w:val="none"/>
                      <w:lang w:val="en-US" w:eastAsia="zh-CN"/>
                    </w:rPr>
                    <w:t>1月</w:t>
                  </w:r>
                </w:p>
              </w:tc>
              <w:tc>
                <w:tcPr>
                  <w:tcW w:w="1016" w:type="dxa"/>
                  <w:vAlign w:val="center"/>
                </w:tcPr>
                <w:p w14:paraId="2317CEFD">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highlight w:val="none"/>
                      <w:lang w:val="en-US" w:eastAsia="zh-CN"/>
                    </w:rPr>
                    <w:t>Ⅲ</w:t>
                  </w:r>
                  <w:r>
                    <w:rPr>
                      <w:rFonts w:hint="default" w:ascii="Times New Roman" w:hAnsi="Times New Roman" w:eastAsia="宋体" w:cs="Times New Roman"/>
                      <w:color w:val="auto"/>
                      <w:sz w:val="21"/>
                      <w:szCs w:val="21"/>
                      <w:highlight w:val="none"/>
                      <w:lang w:val="en-US" w:eastAsia="zh-CN"/>
                    </w:rPr>
                    <w:t>类</w:t>
                  </w:r>
                </w:p>
              </w:tc>
              <w:tc>
                <w:tcPr>
                  <w:tcW w:w="1125" w:type="dxa"/>
                  <w:vAlign w:val="center"/>
                </w:tcPr>
                <w:p w14:paraId="061B0455">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highlight w:val="none"/>
                      <w:lang w:val="en-US" w:eastAsia="zh-CN"/>
                    </w:rPr>
                    <w:t>Ⅲ</w:t>
                  </w:r>
                  <w:r>
                    <w:rPr>
                      <w:rFonts w:hint="default" w:ascii="Times New Roman" w:hAnsi="Times New Roman" w:eastAsia="宋体" w:cs="Times New Roman"/>
                      <w:color w:val="auto"/>
                      <w:sz w:val="21"/>
                      <w:szCs w:val="21"/>
                      <w:highlight w:val="none"/>
                      <w:lang w:val="en-US" w:eastAsia="zh-CN"/>
                    </w:rPr>
                    <w:t>类</w:t>
                  </w:r>
                </w:p>
              </w:tc>
              <w:tc>
                <w:tcPr>
                  <w:tcW w:w="1113" w:type="dxa"/>
                  <w:vAlign w:val="center"/>
                </w:tcPr>
                <w:p w14:paraId="23E74994">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2876" w:type="dxa"/>
                  <w:vAlign w:val="center"/>
                </w:tcPr>
                <w:p w14:paraId="259CB52E">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0C86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775" w:type="dxa"/>
                  <w:vMerge w:val="continue"/>
                  <w:vAlign w:val="center"/>
                </w:tcPr>
                <w:p w14:paraId="1E472460">
                  <w:pPr>
                    <w:pStyle w:val="271"/>
                    <w:widowControl w:val="0"/>
                    <w:jc w:val="center"/>
                    <w:rPr>
                      <w:rFonts w:hint="default" w:ascii="Times New Roman" w:hAnsi="Times New Roman" w:eastAsia="宋体" w:cs="Times New Roman"/>
                      <w:color w:val="auto"/>
                      <w:sz w:val="21"/>
                      <w:szCs w:val="21"/>
                      <w:highlight w:val="none"/>
                      <w:lang w:val="en-US" w:eastAsia="zh-CN"/>
                    </w:rPr>
                  </w:pPr>
                </w:p>
              </w:tc>
              <w:tc>
                <w:tcPr>
                  <w:tcW w:w="1406" w:type="dxa"/>
                  <w:vAlign w:val="center"/>
                </w:tcPr>
                <w:p w14:paraId="475D87D3">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年</w:t>
                  </w:r>
                  <w:r>
                    <w:rPr>
                      <w:rFonts w:hint="eastAsia" w:cs="Times New Roman"/>
                      <w:color w:val="auto"/>
                      <w:sz w:val="21"/>
                      <w:szCs w:val="21"/>
                      <w:highlight w:val="none"/>
                      <w:lang w:val="en-US" w:eastAsia="zh-CN"/>
                    </w:rPr>
                    <w:t>2月</w:t>
                  </w:r>
                </w:p>
              </w:tc>
              <w:tc>
                <w:tcPr>
                  <w:tcW w:w="1016" w:type="dxa"/>
                  <w:vAlign w:val="center"/>
                </w:tcPr>
                <w:p w14:paraId="2717656E">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highlight w:val="none"/>
                      <w:lang w:val="en-US" w:eastAsia="zh-CN"/>
                    </w:rPr>
                    <w:t>Ⅲ</w:t>
                  </w:r>
                  <w:r>
                    <w:rPr>
                      <w:rFonts w:hint="default" w:ascii="Times New Roman" w:hAnsi="Times New Roman" w:eastAsia="宋体" w:cs="Times New Roman"/>
                      <w:color w:val="auto"/>
                      <w:sz w:val="21"/>
                      <w:szCs w:val="21"/>
                      <w:highlight w:val="none"/>
                      <w:lang w:val="en-US" w:eastAsia="zh-CN"/>
                    </w:rPr>
                    <w:t>类</w:t>
                  </w:r>
                </w:p>
              </w:tc>
              <w:tc>
                <w:tcPr>
                  <w:tcW w:w="1125" w:type="dxa"/>
                  <w:vAlign w:val="center"/>
                </w:tcPr>
                <w:p w14:paraId="4E566A52">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113" w:type="dxa"/>
                  <w:vAlign w:val="center"/>
                </w:tcPr>
                <w:p w14:paraId="21775D41">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876" w:type="dxa"/>
                  <w:vAlign w:val="center"/>
                </w:tcPr>
                <w:p w14:paraId="7FB42678">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27EAD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775" w:type="dxa"/>
                  <w:vMerge w:val="continue"/>
                  <w:vAlign w:val="center"/>
                </w:tcPr>
                <w:p w14:paraId="1B71904A">
                  <w:pPr>
                    <w:pStyle w:val="271"/>
                    <w:widowControl w:val="0"/>
                    <w:jc w:val="center"/>
                    <w:rPr>
                      <w:rFonts w:hint="default" w:ascii="Times New Roman" w:hAnsi="Times New Roman" w:eastAsia="宋体" w:cs="Times New Roman"/>
                      <w:color w:val="auto"/>
                      <w:sz w:val="21"/>
                      <w:szCs w:val="21"/>
                      <w:highlight w:val="none"/>
                      <w:lang w:val="en-US" w:eastAsia="zh-CN"/>
                    </w:rPr>
                  </w:pPr>
                </w:p>
              </w:tc>
              <w:tc>
                <w:tcPr>
                  <w:tcW w:w="1406" w:type="dxa"/>
                  <w:vAlign w:val="center"/>
                </w:tcPr>
                <w:p w14:paraId="3FC17070">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年</w:t>
                  </w:r>
                  <w:r>
                    <w:rPr>
                      <w:rFonts w:hint="eastAsia" w:cs="Times New Roman"/>
                      <w:color w:val="auto"/>
                      <w:sz w:val="21"/>
                      <w:szCs w:val="21"/>
                      <w:highlight w:val="none"/>
                      <w:lang w:val="en-US" w:eastAsia="zh-CN"/>
                    </w:rPr>
                    <w:t>3月</w:t>
                  </w:r>
                </w:p>
              </w:tc>
              <w:tc>
                <w:tcPr>
                  <w:tcW w:w="1016" w:type="dxa"/>
                  <w:vAlign w:val="center"/>
                </w:tcPr>
                <w:p w14:paraId="1007CE9C">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highlight w:val="none"/>
                      <w:lang w:val="en-US" w:eastAsia="zh-CN"/>
                    </w:rPr>
                    <w:t>Ⅲ</w:t>
                  </w:r>
                  <w:r>
                    <w:rPr>
                      <w:rFonts w:hint="default" w:ascii="Times New Roman" w:hAnsi="Times New Roman" w:eastAsia="宋体" w:cs="Times New Roman"/>
                      <w:color w:val="auto"/>
                      <w:sz w:val="21"/>
                      <w:szCs w:val="21"/>
                      <w:highlight w:val="none"/>
                      <w:lang w:val="en-US" w:eastAsia="zh-CN"/>
                    </w:rPr>
                    <w:t>类</w:t>
                  </w:r>
                </w:p>
              </w:tc>
              <w:tc>
                <w:tcPr>
                  <w:tcW w:w="1125" w:type="dxa"/>
                  <w:vAlign w:val="center"/>
                </w:tcPr>
                <w:p w14:paraId="04234E97">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Ⅴ类</w:t>
                  </w:r>
                </w:p>
              </w:tc>
              <w:tc>
                <w:tcPr>
                  <w:tcW w:w="1113" w:type="dxa"/>
                  <w:vAlign w:val="center"/>
                </w:tcPr>
                <w:p w14:paraId="34D70508">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不达标</w:t>
                  </w:r>
                </w:p>
              </w:tc>
              <w:tc>
                <w:tcPr>
                  <w:tcW w:w="2876" w:type="dxa"/>
                  <w:vAlign w:val="center"/>
                </w:tcPr>
                <w:p w14:paraId="08DE1B74">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总磷(0.75)(Ⅴ类)</w:t>
                  </w:r>
                </w:p>
              </w:tc>
            </w:tr>
            <w:tr w14:paraId="5B039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775" w:type="dxa"/>
                  <w:vMerge w:val="continue"/>
                  <w:vAlign w:val="center"/>
                </w:tcPr>
                <w:p w14:paraId="2129037D">
                  <w:pPr>
                    <w:pStyle w:val="271"/>
                    <w:widowControl w:val="0"/>
                    <w:jc w:val="center"/>
                    <w:rPr>
                      <w:rFonts w:hint="default" w:ascii="Times New Roman" w:hAnsi="Times New Roman" w:eastAsia="宋体" w:cs="Times New Roman"/>
                      <w:color w:val="auto"/>
                      <w:sz w:val="21"/>
                      <w:szCs w:val="21"/>
                      <w:highlight w:val="none"/>
                      <w:lang w:val="en-US" w:eastAsia="zh-CN"/>
                    </w:rPr>
                  </w:pPr>
                </w:p>
              </w:tc>
              <w:tc>
                <w:tcPr>
                  <w:tcW w:w="1406" w:type="dxa"/>
                  <w:vAlign w:val="center"/>
                </w:tcPr>
                <w:p w14:paraId="2A31FE88">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年</w:t>
                  </w:r>
                  <w:r>
                    <w:rPr>
                      <w:rFonts w:hint="eastAsia" w:cs="Times New Roman"/>
                      <w:color w:val="auto"/>
                      <w:sz w:val="21"/>
                      <w:szCs w:val="21"/>
                      <w:highlight w:val="none"/>
                      <w:lang w:val="en-US" w:eastAsia="zh-CN"/>
                    </w:rPr>
                    <w:t>4月</w:t>
                  </w:r>
                </w:p>
              </w:tc>
              <w:tc>
                <w:tcPr>
                  <w:tcW w:w="1016" w:type="dxa"/>
                  <w:vAlign w:val="center"/>
                </w:tcPr>
                <w:p w14:paraId="70E062C9">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highlight w:val="none"/>
                      <w:lang w:val="en-US" w:eastAsia="zh-CN"/>
                    </w:rPr>
                    <w:t>Ⅲ</w:t>
                  </w:r>
                  <w:r>
                    <w:rPr>
                      <w:rFonts w:hint="default" w:ascii="Times New Roman" w:hAnsi="Times New Roman" w:eastAsia="宋体" w:cs="Times New Roman"/>
                      <w:color w:val="auto"/>
                      <w:sz w:val="21"/>
                      <w:szCs w:val="21"/>
                      <w:highlight w:val="none"/>
                      <w:lang w:val="en-US" w:eastAsia="zh-CN"/>
                    </w:rPr>
                    <w:t>类</w:t>
                  </w:r>
                </w:p>
              </w:tc>
              <w:tc>
                <w:tcPr>
                  <w:tcW w:w="1125" w:type="dxa"/>
                  <w:vAlign w:val="center"/>
                </w:tcPr>
                <w:p w14:paraId="47E3C215">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Ⅴ类</w:t>
                  </w:r>
                </w:p>
              </w:tc>
              <w:tc>
                <w:tcPr>
                  <w:tcW w:w="1113" w:type="dxa"/>
                  <w:vAlign w:val="center"/>
                </w:tcPr>
                <w:p w14:paraId="29E414FE">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不达标</w:t>
                  </w:r>
                </w:p>
              </w:tc>
              <w:tc>
                <w:tcPr>
                  <w:tcW w:w="2876" w:type="dxa"/>
                  <w:vAlign w:val="center"/>
                </w:tcPr>
                <w:p w14:paraId="60A71311">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化学需氧量(0.60)(Ⅴ类), 高锰酸盐指数(0.32)(Ⅳ类), 氟化物(0.21)(Ⅳ类)</w:t>
                  </w:r>
                </w:p>
              </w:tc>
            </w:tr>
            <w:tr w14:paraId="5DD8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775" w:type="dxa"/>
                  <w:vMerge w:val="continue"/>
                  <w:vAlign w:val="center"/>
                </w:tcPr>
                <w:p w14:paraId="4684A270">
                  <w:pPr>
                    <w:pStyle w:val="271"/>
                    <w:widowControl w:val="0"/>
                    <w:jc w:val="center"/>
                    <w:rPr>
                      <w:rFonts w:hint="default" w:ascii="Times New Roman" w:hAnsi="Times New Roman" w:eastAsia="宋体" w:cs="Times New Roman"/>
                      <w:color w:val="auto"/>
                      <w:sz w:val="21"/>
                      <w:szCs w:val="21"/>
                      <w:highlight w:val="none"/>
                      <w:lang w:val="en-US" w:eastAsia="zh-CN"/>
                    </w:rPr>
                  </w:pPr>
                </w:p>
              </w:tc>
              <w:tc>
                <w:tcPr>
                  <w:tcW w:w="1406" w:type="dxa"/>
                  <w:vAlign w:val="center"/>
                </w:tcPr>
                <w:p w14:paraId="44B79C1A">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年</w:t>
                  </w:r>
                  <w:r>
                    <w:rPr>
                      <w:rFonts w:hint="eastAsia" w:cs="Times New Roman"/>
                      <w:color w:val="auto"/>
                      <w:sz w:val="21"/>
                      <w:szCs w:val="21"/>
                      <w:highlight w:val="none"/>
                      <w:lang w:val="en-US" w:eastAsia="zh-CN"/>
                    </w:rPr>
                    <w:t>5月</w:t>
                  </w:r>
                </w:p>
              </w:tc>
              <w:tc>
                <w:tcPr>
                  <w:tcW w:w="1016" w:type="dxa"/>
                  <w:vAlign w:val="center"/>
                </w:tcPr>
                <w:p w14:paraId="516CF4BF">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highlight w:val="none"/>
                      <w:lang w:val="en-US" w:eastAsia="zh-CN"/>
                    </w:rPr>
                    <w:t>Ⅲ</w:t>
                  </w:r>
                  <w:r>
                    <w:rPr>
                      <w:rFonts w:hint="default" w:ascii="Times New Roman" w:hAnsi="Times New Roman" w:eastAsia="宋体" w:cs="Times New Roman"/>
                      <w:color w:val="auto"/>
                      <w:sz w:val="21"/>
                      <w:szCs w:val="21"/>
                      <w:highlight w:val="none"/>
                      <w:lang w:val="en-US" w:eastAsia="zh-CN"/>
                    </w:rPr>
                    <w:t>类</w:t>
                  </w:r>
                </w:p>
              </w:tc>
              <w:tc>
                <w:tcPr>
                  <w:tcW w:w="1125" w:type="dxa"/>
                  <w:vAlign w:val="center"/>
                </w:tcPr>
                <w:p w14:paraId="6E1C6118">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断流</w:t>
                  </w:r>
                </w:p>
              </w:tc>
              <w:tc>
                <w:tcPr>
                  <w:tcW w:w="1113" w:type="dxa"/>
                  <w:vAlign w:val="center"/>
                </w:tcPr>
                <w:p w14:paraId="5A6D645F">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876" w:type="dxa"/>
                  <w:vAlign w:val="center"/>
                </w:tcPr>
                <w:p w14:paraId="41111129">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44C23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775" w:type="dxa"/>
                  <w:vMerge w:val="continue"/>
                  <w:vAlign w:val="center"/>
                </w:tcPr>
                <w:p w14:paraId="550FF33F">
                  <w:pPr>
                    <w:pStyle w:val="271"/>
                    <w:widowControl w:val="0"/>
                    <w:jc w:val="center"/>
                    <w:rPr>
                      <w:rFonts w:hint="default" w:ascii="Times New Roman" w:hAnsi="Times New Roman" w:eastAsia="宋体" w:cs="Times New Roman"/>
                      <w:color w:val="auto"/>
                      <w:sz w:val="21"/>
                      <w:szCs w:val="21"/>
                      <w:highlight w:val="none"/>
                      <w:lang w:val="en-US" w:eastAsia="zh-CN"/>
                    </w:rPr>
                  </w:pPr>
                </w:p>
              </w:tc>
              <w:tc>
                <w:tcPr>
                  <w:tcW w:w="1406" w:type="dxa"/>
                  <w:vAlign w:val="center"/>
                </w:tcPr>
                <w:p w14:paraId="22367646">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年</w:t>
                  </w:r>
                  <w:r>
                    <w:rPr>
                      <w:rFonts w:hint="eastAsia" w:cs="Times New Roman"/>
                      <w:color w:val="auto"/>
                      <w:sz w:val="21"/>
                      <w:szCs w:val="21"/>
                      <w:highlight w:val="none"/>
                      <w:lang w:val="en-US" w:eastAsia="zh-CN"/>
                    </w:rPr>
                    <w:t>6月</w:t>
                  </w:r>
                </w:p>
              </w:tc>
              <w:tc>
                <w:tcPr>
                  <w:tcW w:w="1016" w:type="dxa"/>
                  <w:vAlign w:val="center"/>
                </w:tcPr>
                <w:p w14:paraId="20845595">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highlight w:val="none"/>
                      <w:lang w:val="en-US" w:eastAsia="zh-CN"/>
                    </w:rPr>
                    <w:t>Ⅲ</w:t>
                  </w:r>
                  <w:r>
                    <w:rPr>
                      <w:rFonts w:hint="default" w:ascii="Times New Roman" w:hAnsi="Times New Roman" w:eastAsia="宋体" w:cs="Times New Roman"/>
                      <w:color w:val="auto"/>
                      <w:sz w:val="21"/>
                      <w:szCs w:val="21"/>
                      <w:highlight w:val="none"/>
                      <w:lang w:val="en-US" w:eastAsia="zh-CN"/>
                    </w:rPr>
                    <w:t>类</w:t>
                  </w:r>
                </w:p>
              </w:tc>
              <w:tc>
                <w:tcPr>
                  <w:tcW w:w="1125" w:type="dxa"/>
                  <w:vAlign w:val="center"/>
                </w:tcPr>
                <w:p w14:paraId="10F6A42F">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Ⅳ类</w:t>
                  </w:r>
                </w:p>
              </w:tc>
              <w:tc>
                <w:tcPr>
                  <w:tcW w:w="1113" w:type="dxa"/>
                  <w:vAlign w:val="center"/>
                </w:tcPr>
                <w:p w14:paraId="71B89C5B">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不达标</w:t>
                  </w:r>
                </w:p>
              </w:tc>
              <w:tc>
                <w:tcPr>
                  <w:tcW w:w="2876" w:type="dxa"/>
                  <w:vAlign w:val="center"/>
                </w:tcPr>
                <w:p w14:paraId="174F2F03">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化学需氧量(0.50)(Ⅳ类), 高锰酸盐指数(0.18)(Ⅳ类)</w:t>
                  </w:r>
                </w:p>
              </w:tc>
            </w:tr>
            <w:tr w14:paraId="6415A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775" w:type="dxa"/>
                  <w:vMerge w:val="continue"/>
                  <w:vAlign w:val="center"/>
                </w:tcPr>
                <w:p w14:paraId="3F4EA09C">
                  <w:pPr>
                    <w:pStyle w:val="271"/>
                    <w:widowControl w:val="0"/>
                    <w:jc w:val="center"/>
                    <w:rPr>
                      <w:rFonts w:hint="default" w:ascii="Times New Roman" w:hAnsi="Times New Roman" w:eastAsia="宋体" w:cs="Times New Roman"/>
                      <w:color w:val="auto"/>
                      <w:sz w:val="21"/>
                      <w:szCs w:val="21"/>
                      <w:highlight w:val="none"/>
                      <w:lang w:val="en-US" w:eastAsia="zh-CN"/>
                    </w:rPr>
                  </w:pPr>
                </w:p>
              </w:tc>
              <w:tc>
                <w:tcPr>
                  <w:tcW w:w="1406" w:type="dxa"/>
                  <w:vAlign w:val="center"/>
                </w:tcPr>
                <w:p w14:paraId="0E27CB2D">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年</w:t>
                  </w:r>
                  <w:r>
                    <w:rPr>
                      <w:rFonts w:hint="eastAsia" w:cs="Times New Roman"/>
                      <w:color w:val="auto"/>
                      <w:sz w:val="21"/>
                      <w:szCs w:val="21"/>
                      <w:highlight w:val="none"/>
                      <w:lang w:val="en-US" w:eastAsia="zh-CN"/>
                    </w:rPr>
                    <w:t>7月</w:t>
                  </w:r>
                </w:p>
              </w:tc>
              <w:tc>
                <w:tcPr>
                  <w:tcW w:w="1016" w:type="dxa"/>
                  <w:vAlign w:val="center"/>
                </w:tcPr>
                <w:p w14:paraId="03C819AF">
                  <w:pPr>
                    <w:pStyle w:val="271"/>
                    <w:widowControl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Ⅲ</w:t>
                  </w:r>
                  <w:r>
                    <w:rPr>
                      <w:rFonts w:hint="default" w:ascii="Times New Roman" w:hAnsi="Times New Roman" w:eastAsia="宋体" w:cs="Times New Roman"/>
                      <w:color w:val="auto"/>
                      <w:sz w:val="21"/>
                      <w:szCs w:val="21"/>
                      <w:highlight w:val="none"/>
                      <w:lang w:val="en-US" w:eastAsia="zh-CN"/>
                    </w:rPr>
                    <w:t>类</w:t>
                  </w:r>
                </w:p>
              </w:tc>
              <w:tc>
                <w:tcPr>
                  <w:tcW w:w="1125" w:type="dxa"/>
                  <w:vAlign w:val="center"/>
                </w:tcPr>
                <w:p w14:paraId="5FF094C0">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Ⅳ类</w:t>
                  </w:r>
                </w:p>
              </w:tc>
              <w:tc>
                <w:tcPr>
                  <w:tcW w:w="1113" w:type="dxa"/>
                  <w:vAlign w:val="center"/>
                </w:tcPr>
                <w:p w14:paraId="089C1F74">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不达标</w:t>
                  </w:r>
                </w:p>
              </w:tc>
              <w:tc>
                <w:tcPr>
                  <w:tcW w:w="2876" w:type="dxa"/>
                  <w:vAlign w:val="center"/>
                </w:tcPr>
                <w:p w14:paraId="4DFA2EEF">
                  <w:pPr>
                    <w:pStyle w:val="271"/>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化学需氧量(0.1)(Ⅳ类), 高锰酸盐指数(0.1)(Ⅳ类)</w:t>
                  </w:r>
                </w:p>
              </w:tc>
            </w:tr>
          </w:tbl>
          <w:p w14:paraId="060D0124">
            <w:pPr>
              <w:spacing w:line="360" w:lineRule="auto"/>
              <w:ind w:firstLine="480"/>
              <w:rPr>
                <w:color w:val="auto"/>
                <w:sz w:val="24"/>
              </w:rPr>
            </w:pPr>
            <w:r>
              <w:rPr>
                <w:rFonts w:hint="default" w:ascii="Times New Roman" w:hAnsi="Times New Roman" w:eastAsia="宋体" w:cs="Times New Roman"/>
                <w:color w:val="auto"/>
                <w:sz w:val="24"/>
                <w:lang w:val="en-US" w:eastAsia="zh-CN"/>
              </w:rPr>
              <w:t>本次评价按照</w:t>
            </w:r>
            <w:r>
              <w:rPr>
                <w:rFonts w:hint="default" w:ascii="Times New Roman" w:hAnsi="Times New Roman" w:eastAsia="宋体" w:cs="Times New Roman"/>
                <w:i w:val="0"/>
                <w:iCs w:val="0"/>
                <w:color w:val="auto"/>
                <w:sz w:val="24"/>
                <w:highlight w:val="none"/>
              </w:rPr>
              <w:t>《昆明市和滇中产业新区水功能区划》（2010~2030年）</w:t>
            </w:r>
            <w:r>
              <w:rPr>
                <w:rFonts w:hint="default" w:ascii="Times New Roman" w:hAnsi="Times New Roman" w:eastAsia="宋体" w:cs="Times New Roman"/>
                <w:color w:val="auto"/>
                <w:sz w:val="24"/>
                <w:lang w:val="en-US" w:eastAsia="zh-CN"/>
              </w:rPr>
              <w:t>的Ⅲ类标准进行评价，寻甸回族彝族自治县人民政府官网公布的聂鼠龙河(汇入牛栏江前)断面地表水水质状况按照Ⅲ类进行对标，根据其公布的结果，不能达到《地表水环境质量标准》（GB3838-2002）Ⅲ类标准</w:t>
            </w:r>
            <w:r>
              <w:rPr>
                <w:rFonts w:hint="eastAsia" w:ascii="Times New Roman" w:hAnsi="Times New Roman" w:eastAsia="宋体" w:cs="Times New Roman"/>
                <w:color w:val="auto"/>
                <w:sz w:val="24"/>
                <w:lang w:val="en-US" w:eastAsia="zh-CN"/>
              </w:rPr>
              <w:t>，</w:t>
            </w:r>
            <w:r>
              <w:rPr>
                <w:color w:val="auto"/>
                <w:sz w:val="24"/>
              </w:rPr>
              <w:t>属于不达标区。</w:t>
            </w:r>
          </w:p>
          <w:p w14:paraId="0EF7378D">
            <w:pPr>
              <w:spacing w:line="360" w:lineRule="auto"/>
              <w:ind w:firstLine="480"/>
              <w:rPr>
                <w:b/>
                <w:bCs/>
                <w:color w:val="auto"/>
                <w:sz w:val="28"/>
                <w:szCs w:val="28"/>
              </w:rPr>
            </w:pPr>
            <w:r>
              <w:rPr>
                <w:b/>
                <w:bCs/>
                <w:color w:val="auto"/>
                <w:sz w:val="28"/>
                <w:szCs w:val="28"/>
              </w:rPr>
              <w:t>3</w:t>
            </w:r>
            <w:r>
              <w:rPr>
                <w:rFonts w:hAnsi="宋体"/>
                <w:b/>
                <w:bCs/>
                <w:color w:val="auto"/>
                <w:sz w:val="28"/>
                <w:szCs w:val="28"/>
              </w:rPr>
              <w:t>、声环境质量现状</w:t>
            </w:r>
          </w:p>
          <w:p w14:paraId="52D714FA">
            <w:pPr>
              <w:tabs>
                <w:tab w:val="left" w:pos="6300"/>
              </w:tabs>
              <w:spacing w:line="360" w:lineRule="auto"/>
              <w:ind w:firstLine="480" w:firstLineChars="200"/>
              <w:rPr>
                <w:bCs/>
                <w:color w:val="auto"/>
                <w:sz w:val="24"/>
              </w:rPr>
            </w:pPr>
            <w:r>
              <w:rPr>
                <w:color w:val="auto"/>
                <w:sz w:val="24"/>
              </w:rPr>
              <w:t>项目位于</w:t>
            </w:r>
            <w:r>
              <w:rPr>
                <w:rFonts w:hint="eastAsia"/>
                <w:color w:val="auto"/>
                <w:sz w:val="24"/>
                <w:lang w:val="en-US" w:eastAsia="zh-CN"/>
              </w:rPr>
              <w:t>云南常青树化工有限公司</w:t>
            </w:r>
            <w:r>
              <w:rPr>
                <w:rFonts w:hint="eastAsia"/>
                <w:color w:val="auto"/>
                <w:sz w:val="24"/>
                <w:lang w:eastAsia="zh-CN"/>
              </w:rPr>
              <w:t>厂区</w:t>
            </w:r>
            <w:r>
              <w:rPr>
                <w:rFonts w:hint="eastAsia" w:ascii="Times New Roman" w:hAnsi="Times New Roman" w:eastAsia="宋体" w:cs="Times New Roman"/>
                <w:color w:val="auto"/>
                <w:sz w:val="24"/>
                <w:lang w:eastAsia="zh-CN"/>
              </w:rPr>
              <w:t>内，</w:t>
            </w:r>
            <w:r>
              <w:rPr>
                <w:rFonts w:hint="default" w:ascii="Times New Roman" w:hAnsi="Times New Roman" w:eastAsia="宋体" w:cs="Times New Roman"/>
                <w:color w:val="auto"/>
                <w:sz w:val="24"/>
                <w:lang w:eastAsia="zh-CN"/>
              </w:rPr>
              <w:t>属于居住、商业混合区，为声环境功能区2类区。执行《声环境质量标准》（GB3096</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eastAsia="zh-CN"/>
              </w:rPr>
              <w:t>2008）</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eastAsia="zh-CN"/>
              </w:rPr>
              <w:t>类标准。</w:t>
            </w:r>
          </w:p>
          <w:p w14:paraId="58585B18">
            <w:pPr>
              <w:spacing w:line="360" w:lineRule="auto"/>
              <w:ind w:firstLine="480" w:firstLineChars="200"/>
              <w:rPr>
                <w:rFonts w:hint="eastAsia" w:eastAsia="宋体"/>
                <w:b/>
                <w:bCs/>
                <w:color w:val="auto"/>
                <w:sz w:val="24"/>
                <w:lang w:eastAsia="zh-CN"/>
              </w:rPr>
            </w:pPr>
            <w:r>
              <w:rPr>
                <w:color w:val="auto"/>
                <w:sz w:val="24"/>
              </w:rPr>
              <w:t>根据现场调查，项目周边为已建成</w:t>
            </w:r>
            <w:r>
              <w:rPr>
                <w:rFonts w:hint="eastAsia"/>
                <w:color w:val="auto"/>
                <w:sz w:val="24"/>
              </w:rPr>
              <w:t>企业</w:t>
            </w:r>
            <w:r>
              <w:rPr>
                <w:color w:val="auto"/>
                <w:sz w:val="24"/>
              </w:rPr>
              <w:t>，入驻企业加工噪声相互影响不大。本次评价声环境质量现状引用</w:t>
            </w:r>
            <w:r>
              <w:rPr>
                <w:color w:val="auto"/>
                <w:kern w:val="2"/>
                <w:sz w:val="24"/>
                <w:szCs w:val="24"/>
              </w:rPr>
              <w:t>《</w:t>
            </w:r>
            <w:r>
              <w:rPr>
                <w:rFonts w:hint="eastAsia" w:ascii="Times New Roman" w:hAnsi="Times New Roman" w:cs="Times New Roman"/>
                <w:color w:val="auto"/>
                <w:sz w:val="24"/>
                <w:szCs w:val="24"/>
                <w:lang w:eastAsia="zh-CN"/>
              </w:rPr>
              <w:t>云南钟灵锌业有限责任公司环境影响后评价报告</w:t>
            </w:r>
            <w:r>
              <w:rPr>
                <w:rFonts w:hint="eastAsia" w:ascii="Times New Roman" w:hAnsi="Times New Roman" w:cs="Times New Roman"/>
                <w:color w:val="auto"/>
                <w:sz w:val="24"/>
                <w:szCs w:val="24"/>
                <w:lang w:val="en-US" w:eastAsia="zh-CN"/>
              </w:rPr>
              <w:t>书</w:t>
            </w:r>
            <w:r>
              <w:rPr>
                <w:rFonts w:hint="eastAsia" w:ascii="Times New Roman" w:hAnsi="Times New Roman" w:cs="Times New Roman"/>
                <w:color w:val="auto"/>
                <w:sz w:val="24"/>
                <w:szCs w:val="24"/>
                <w:lang w:eastAsia="zh-CN"/>
              </w:rPr>
              <w:t>》</w:t>
            </w:r>
            <w:r>
              <w:rPr>
                <w:color w:val="auto"/>
                <w:sz w:val="24"/>
              </w:rPr>
              <w:t>对</w:t>
            </w:r>
            <w:r>
              <w:rPr>
                <w:rFonts w:hint="eastAsia" w:ascii="Times New Roman" w:hAnsi="宋体" w:eastAsia="宋体" w:cs="Times New Roman"/>
                <w:bCs/>
                <w:color w:val="auto"/>
                <w:sz w:val="24"/>
                <w:lang w:val="en-US" w:eastAsia="zh-CN"/>
              </w:rPr>
              <w:t>塘子街道社区卫生服务中心</w:t>
            </w:r>
            <w:r>
              <w:rPr>
                <w:rFonts w:hint="eastAsia" w:hAnsi="宋体" w:cs="Times New Roman"/>
                <w:bCs/>
                <w:color w:val="auto"/>
                <w:sz w:val="24"/>
                <w:lang w:val="en-US" w:eastAsia="zh-CN"/>
              </w:rPr>
              <w:t>（位于本次改扩建工程西北侧610m）</w:t>
            </w:r>
            <w:r>
              <w:rPr>
                <w:color w:val="auto"/>
                <w:sz w:val="24"/>
              </w:rPr>
              <w:t>的监测数据，监测时间为</w:t>
            </w:r>
            <w:r>
              <w:rPr>
                <w:rFonts w:hint="eastAsia" w:hAnsi="宋体"/>
                <w:bCs/>
                <w:color w:val="auto"/>
                <w:sz w:val="24"/>
                <w:lang w:val="en-US" w:eastAsia="zh-CN"/>
              </w:rPr>
              <w:t>2023年5月23日~5月24日</w:t>
            </w:r>
            <w:r>
              <w:rPr>
                <w:color w:val="auto"/>
                <w:sz w:val="24"/>
              </w:rPr>
              <w:t>，监测单位为</w:t>
            </w:r>
            <w:r>
              <w:rPr>
                <w:rFonts w:hint="eastAsia" w:ascii="Times New Roman" w:hAnsi="宋体" w:eastAsia="宋体" w:cs="Times New Roman"/>
                <w:bCs/>
                <w:color w:val="auto"/>
                <w:sz w:val="24"/>
                <w:lang w:val="en-US" w:eastAsia="zh-CN"/>
              </w:rPr>
              <w:t>云南健牛环境监测有限公司</w:t>
            </w:r>
            <w:r>
              <w:rPr>
                <w:color w:val="auto"/>
                <w:sz w:val="24"/>
              </w:rPr>
              <w:t>。自</w:t>
            </w:r>
            <w:r>
              <w:rPr>
                <w:rFonts w:hint="eastAsia"/>
                <w:color w:val="auto"/>
                <w:sz w:val="24"/>
              </w:rPr>
              <w:t>202</w:t>
            </w:r>
            <w:r>
              <w:rPr>
                <w:rFonts w:hint="eastAsia"/>
                <w:color w:val="auto"/>
                <w:sz w:val="24"/>
                <w:lang w:val="en-US" w:eastAsia="zh-CN"/>
              </w:rPr>
              <w:t>3</w:t>
            </w:r>
            <w:r>
              <w:rPr>
                <w:rFonts w:hint="eastAsia"/>
                <w:color w:val="auto"/>
                <w:sz w:val="24"/>
              </w:rPr>
              <w:t>年</w:t>
            </w:r>
            <w:r>
              <w:rPr>
                <w:rFonts w:hint="eastAsia"/>
                <w:color w:val="auto"/>
                <w:sz w:val="24"/>
                <w:lang w:val="en-US" w:eastAsia="zh-CN"/>
              </w:rPr>
              <w:t>5</w:t>
            </w:r>
            <w:r>
              <w:rPr>
                <w:rFonts w:hint="eastAsia"/>
                <w:color w:val="auto"/>
                <w:sz w:val="24"/>
              </w:rPr>
              <w:t>月到现今</w:t>
            </w:r>
            <w:r>
              <w:rPr>
                <w:color w:val="auto"/>
                <w:sz w:val="24"/>
              </w:rPr>
              <w:t>，</w:t>
            </w:r>
            <w:r>
              <w:rPr>
                <w:rFonts w:hint="eastAsia"/>
                <w:color w:val="auto"/>
                <w:sz w:val="24"/>
                <w:lang w:eastAsia="zh-CN"/>
              </w:rPr>
              <w:t>云南常青树化工有限公司</w:t>
            </w:r>
            <w:r>
              <w:rPr>
                <w:color w:val="auto"/>
                <w:sz w:val="24"/>
              </w:rPr>
              <w:t>内未新增产噪较大的项目，因此本次引用的噪声监测能够体现项目所在区域环境质量现状。</w:t>
            </w:r>
            <w:r>
              <w:rPr>
                <w:bCs/>
                <w:color w:val="auto"/>
                <w:sz w:val="24"/>
              </w:rPr>
              <w:t>监测结果详见表3-</w:t>
            </w:r>
            <w:r>
              <w:rPr>
                <w:rFonts w:hint="eastAsia"/>
                <w:bCs/>
                <w:color w:val="auto"/>
                <w:sz w:val="24"/>
                <w:lang w:val="en-US" w:eastAsia="zh-CN"/>
              </w:rPr>
              <w:t>3</w:t>
            </w:r>
            <w:r>
              <w:rPr>
                <w:rFonts w:hint="eastAsia"/>
                <w:bCs/>
                <w:color w:val="auto"/>
                <w:sz w:val="24"/>
                <w:lang w:eastAsia="zh-CN"/>
              </w:rPr>
              <w:t>。</w:t>
            </w:r>
          </w:p>
          <w:p w14:paraId="09519410">
            <w:pPr>
              <w:jc w:val="center"/>
              <w:rPr>
                <w:b/>
                <w:bCs/>
                <w:color w:val="auto"/>
                <w:sz w:val="24"/>
              </w:rPr>
            </w:pPr>
            <w:r>
              <w:rPr>
                <w:b/>
                <w:bCs/>
                <w:color w:val="auto"/>
                <w:sz w:val="24"/>
              </w:rPr>
              <w:t>表3-</w:t>
            </w:r>
            <w:r>
              <w:rPr>
                <w:rFonts w:hint="eastAsia"/>
                <w:b/>
                <w:bCs/>
                <w:color w:val="auto"/>
                <w:sz w:val="24"/>
                <w:lang w:val="en-US" w:eastAsia="zh-CN"/>
              </w:rPr>
              <w:t>3</w:t>
            </w:r>
            <w:r>
              <w:rPr>
                <w:b/>
                <w:bCs/>
                <w:color w:val="auto"/>
                <w:sz w:val="24"/>
              </w:rPr>
              <w:t xml:space="preserve">  </w:t>
            </w:r>
            <w:r>
              <w:rPr>
                <w:rFonts w:hint="eastAsia"/>
                <w:b/>
                <w:bCs/>
                <w:color w:val="auto"/>
                <w:sz w:val="24"/>
                <w:lang w:val="en-US" w:eastAsia="zh-CN"/>
              </w:rPr>
              <w:t>环境</w:t>
            </w:r>
            <w:r>
              <w:rPr>
                <w:b/>
                <w:bCs/>
                <w:color w:val="auto"/>
                <w:sz w:val="24"/>
              </w:rPr>
              <w:t>噪声监测结果一览表</w:t>
            </w:r>
          </w:p>
          <w:tbl>
            <w:tblPr>
              <w:tblStyle w:val="46"/>
              <w:tblW w:w="84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1322"/>
              <w:gridCol w:w="936"/>
              <w:gridCol w:w="936"/>
              <w:gridCol w:w="936"/>
              <w:gridCol w:w="937"/>
              <w:gridCol w:w="937"/>
              <w:gridCol w:w="937"/>
              <w:gridCol w:w="937"/>
            </w:tblGrid>
            <w:tr w14:paraId="386A2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 w:type="dxa"/>
                  <w:vMerge w:val="restart"/>
                  <w:vAlign w:val="center"/>
                </w:tcPr>
                <w:p w14:paraId="63CFFCF3">
                  <w:pPr>
                    <w:snapToGrid w:val="0"/>
                    <w:spacing w:line="240" w:lineRule="auto"/>
                    <w:ind w:left="0" w:leftChars="0" w:firstLine="0" w:firstLineChars="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cs="Times New Roman"/>
                      <w:b/>
                      <w:bCs/>
                      <w:color w:val="auto"/>
                      <w:sz w:val="21"/>
                      <w:szCs w:val="21"/>
                      <w:highlight w:val="none"/>
                    </w:rPr>
                    <w:t>检测内容</w:t>
                  </w:r>
                </w:p>
              </w:tc>
              <w:tc>
                <w:tcPr>
                  <w:tcW w:w="1322" w:type="dxa"/>
                  <w:vMerge w:val="restart"/>
                  <w:vAlign w:val="center"/>
                </w:tcPr>
                <w:p w14:paraId="7FE5ADBC">
                  <w:pPr>
                    <w:snapToGrid w:val="0"/>
                    <w:spacing w:line="240" w:lineRule="auto"/>
                    <w:ind w:left="0" w:leftChars="0" w:firstLine="0" w:firstLineChars="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cs="Times New Roman"/>
                      <w:b/>
                      <w:bCs/>
                      <w:color w:val="auto"/>
                      <w:sz w:val="21"/>
                      <w:szCs w:val="21"/>
                      <w:highlight w:val="none"/>
                    </w:rPr>
                    <w:t>检测点位置</w:t>
                  </w:r>
                </w:p>
              </w:tc>
              <w:tc>
                <w:tcPr>
                  <w:tcW w:w="1872" w:type="dxa"/>
                  <w:gridSpan w:val="2"/>
                  <w:vAlign w:val="center"/>
                </w:tcPr>
                <w:p w14:paraId="275C9DF5">
                  <w:pPr>
                    <w:jc w:val="center"/>
                    <w:rPr>
                      <w:b/>
                      <w:bCs/>
                      <w:color w:val="auto"/>
                      <w:sz w:val="24"/>
                      <w:vertAlign w:val="baseline"/>
                    </w:rPr>
                  </w:pPr>
                  <w:r>
                    <w:rPr>
                      <w:rFonts w:hint="default" w:ascii="Times New Roman" w:hAnsi="Times New Roman" w:cs="Times New Roman"/>
                      <w:b/>
                      <w:bCs/>
                      <w:color w:val="auto"/>
                      <w:sz w:val="21"/>
                      <w:szCs w:val="21"/>
                      <w:highlight w:val="none"/>
                      <w:lang w:val="en-US" w:eastAsia="zh-CN"/>
                    </w:rPr>
                    <w:t>202</w:t>
                  </w:r>
                  <w:r>
                    <w:rPr>
                      <w:rFonts w:hint="eastAsia" w:ascii="Times New Roman" w:hAnsi="Times New Roman"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lang w:val="en-US" w:eastAsia="zh-CN"/>
                    </w:rPr>
                    <w:t>.0</w:t>
                  </w:r>
                  <w:r>
                    <w:rPr>
                      <w:rFonts w:hint="eastAsia" w:ascii="Times New Roman" w:hAnsi="Times New Roman" w:cs="Times New Roman"/>
                      <w:b/>
                      <w:bCs/>
                      <w:color w:val="auto"/>
                      <w:sz w:val="21"/>
                      <w:szCs w:val="21"/>
                      <w:highlight w:val="none"/>
                      <w:lang w:val="en-US" w:eastAsia="zh-CN"/>
                    </w:rPr>
                    <w:t>5</w:t>
                  </w:r>
                  <w:r>
                    <w:rPr>
                      <w:rFonts w:hint="default" w:ascii="Times New Roman" w:hAnsi="Times New Roman" w:cs="Times New Roman"/>
                      <w:b/>
                      <w:bCs/>
                      <w:color w:val="auto"/>
                      <w:sz w:val="21"/>
                      <w:szCs w:val="21"/>
                      <w:highlight w:val="none"/>
                      <w:lang w:val="en-US" w:eastAsia="zh-CN"/>
                    </w:rPr>
                    <w:t>.</w:t>
                  </w:r>
                  <w:r>
                    <w:rPr>
                      <w:rFonts w:hint="eastAsia" w:ascii="Times New Roman" w:hAnsi="Times New Roman" w:cs="Times New Roman"/>
                      <w:b/>
                      <w:bCs/>
                      <w:color w:val="auto"/>
                      <w:sz w:val="21"/>
                      <w:szCs w:val="21"/>
                      <w:highlight w:val="none"/>
                      <w:lang w:val="en-US" w:eastAsia="zh-CN"/>
                    </w:rPr>
                    <w:t>23</w:t>
                  </w:r>
                </w:p>
              </w:tc>
              <w:tc>
                <w:tcPr>
                  <w:tcW w:w="1873" w:type="dxa"/>
                  <w:gridSpan w:val="2"/>
                  <w:vAlign w:val="center"/>
                </w:tcPr>
                <w:p w14:paraId="4FCBC108">
                  <w:pPr>
                    <w:jc w:val="center"/>
                    <w:rPr>
                      <w:b/>
                      <w:bCs/>
                      <w:color w:val="auto"/>
                      <w:sz w:val="24"/>
                      <w:vertAlign w:val="baseline"/>
                    </w:rPr>
                  </w:pPr>
                  <w:r>
                    <w:rPr>
                      <w:rFonts w:hint="default" w:ascii="Times New Roman" w:hAnsi="Times New Roman" w:cs="Times New Roman"/>
                      <w:b/>
                      <w:bCs/>
                      <w:color w:val="auto"/>
                      <w:sz w:val="21"/>
                      <w:szCs w:val="21"/>
                      <w:highlight w:val="none"/>
                      <w:lang w:val="en-US" w:eastAsia="zh-CN"/>
                    </w:rPr>
                    <w:t>202</w:t>
                  </w:r>
                  <w:r>
                    <w:rPr>
                      <w:rFonts w:hint="eastAsia" w:ascii="Times New Roman" w:hAnsi="Times New Roman"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lang w:val="en-US" w:eastAsia="zh-CN"/>
                    </w:rPr>
                    <w:t>.0</w:t>
                  </w:r>
                  <w:r>
                    <w:rPr>
                      <w:rFonts w:hint="eastAsia" w:ascii="Times New Roman" w:hAnsi="Times New Roman" w:cs="Times New Roman"/>
                      <w:b/>
                      <w:bCs/>
                      <w:color w:val="auto"/>
                      <w:sz w:val="21"/>
                      <w:szCs w:val="21"/>
                      <w:highlight w:val="none"/>
                      <w:lang w:val="en-US" w:eastAsia="zh-CN"/>
                    </w:rPr>
                    <w:t>5</w:t>
                  </w:r>
                  <w:r>
                    <w:rPr>
                      <w:rFonts w:hint="default" w:ascii="Times New Roman" w:hAnsi="Times New Roman" w:cs="Times New Roman"/>
                      <w:b/>
                      <w:bCs/>
                      <w:color w:val="auto"/>
                      <w:sz w:val="21"/>
                      <w:szCs w:val="21"/>
                      <w:highlight w:val="none"/>
                      <w:lang w:val="en-US" w:eastAsia="zh-CN"/>
                    </w:rPr>
                    <w:t>.</w:t>
                  </w:r>
                  <w:r>
                    <w:rPr>
                      <w:rFonts w:hint="eastAsia" w:ascii="Times New Roman" w:hAnsi="Times New Roman" w:cs="Times New Roman"/>
                      <w:b/>
                      <w:bCs/>
                      <w:color w:val="auto"/>
                      <w:sz w:val="21"/>
                      <w:szCs w:val="21"/>
                      <w:highlight w:val="none"/>
                      <w:lang w:val="en-US" w:eastAsia="zh-CN"/>
                    </w:rPr>
                    <w:t>24</w:t>
                  </w:r>
                </w:p>
              </w:tc>
              <w:tc>
                <w:tcPr>
                  <w:tcW w:w="1874" w:type="dxa"/>
                  <w:gridSpan w:val="2"/>
                  <w:vAlign w:val="center"/>
                </w:tcPr>
                <w:p w14:paraId="2418A7D3">
                  <w:pPr>
                    <w:jc w:val="center"/>
                    <w:rPr>
                      <w:b/>
                      <w:bCs/>
                      <w:color w:val="auto"/>
                      <w:sz w:val="24"/>
                      <w:vertAlign w:val="baseline"/>
                    </w:rPr>
                  </w:pPr>
                  <w:r>
                    <w:rPr>
                      <w:rFonts w:hint="default" w:ascii="Times New Roman" w:hAnsi="Times New Roman" w:cs="Times New Roman"/>
                      <w:b/>
                      <w:bCs/>
                      <w:color w:val="auto"/>
                      <w:sz w:val="21"/>
                      <w:szCs w:val="21"/>
                      <w:highlight w:val="none"/>
                    </w:rPr>
                    <w:t>执行标准</w:t>
                  </w:r>
                </w:p>
              </w:tc>
              <w:tc>
                <w:tcPr>
                  <w:tcW w:w="937" w:type="dxa"/>
                  <w:vMerge w:val="restart"/>
                  <w:vAlign w:val="center"/>
                </w:tcPr>
                <w:p w14:paraId="46E0DC02">
                  <w:pPr>
                    <w:snapToGrid w:val="0"/>
                    <w:spacing w:line="240" w:lineRule="auto"/>
                    <w:ind w:left="0" w:leftChars="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结果</w:t>
                  </w:r>
                </w:p>
                <w:p w14:paraId="46FE0F7B">
                  <w:pPr>
                    <w:jc w:val="center"/>
                    <w:rPr>
                      <w:b/>
                      <w:bCs/>
                      <w:color w:val="auto"/>
                      <w:sz w:val="24"/>
                      <w:vertAlign w:val="baseline"/>
                    </w:rPr>
                  </w:pPr>
                  <w:r>
                    <w:rPr>
                      <w:rFonts w:hint="default" w:ascii="Times New Roman" w:hAnsi="Times New Roman" w:cs="Times New Roman"/>
                      <w:b/>
                      <w:bCs/>
                      <w:color w:val="auto"/>
                      <w:sz w:val="21"/>
                      <w:szCs w:val="21"/>
                      <w:highlight w:val="none"/>
                    </w:rPr>
                    <w:t>评价</w:t>
                  </w:r>
                </w:p>
              </w:tc>
            </w:tr>
            <w:tr w14:paraId="1EF4C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 w:type="dxa"/>
                  <w:vMerge w:val="continue"/>
                  <w:vAlign w:val="center"/>
                </w:tcPr>
                <w:p w14:paraId="5DA102FD">
                  <w:pPr>
                    <w:jc w:val="center"/>
                    <w:rPr>
                      <w:b/>
                      <w:bCs/>
                      <w:color w:val="auto"/>
                      <w:sz w:val="24"/>
                      <w:vertAlign w:val="baseline"/>
                    </w:rPr>
                  </w:pPr>
                </w:p>
              </w:tc>
              <w:tc>
                <w:tcPr>
                  <w:tcW w:w="1322" w:type="dxa"/>
                  <w:vMerge w:val="continue"/>
                  <w:vAlign w:val="center"/>
                </w:tcPr>
                <w:p w14:paraId="020DF22C">
                  <w:pPr>
                    <w:jc w:val="center"/>
                    <w:rPr>
                      <w:b/>
                      <w:bCs/>
                      <w:color w:val="auto"/>
                      <w:sz w:val="24"/>
                      <w:vertAlign w:val="baseline"/>
                    </w:rPr>
                  </w:pPr>
                </w:p>
              </w:tc>
              <w:tc>
                <w:tcPr>
                  <w:tcW w:w="936" w:type="dxa"/>
                  <w:vAlign w:val="center"/>
                </w:tcPr>
                <w:p w14:paraId="4FB9B711">
                  <w:pPr>
                    <w:snapToGrid w:val="0"/>
                    <w:spacing w:line="240" w:lineRule="auto"/>
                    <w:ind w:left="0" w:leftChars="0" w:firstLine="0" w:firstLineChars="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cs="Times New Roman"/>
                      <w:b/>
                      <w:bCs/>
                      <w:color w:val="auto"/>
                      <w:sz w:val="21"/>
                      <w:szCs w:val="21"/>
                      <w:highlight w:val="none"/>
                    </w:rPr>
                    <w:t>昼间dB(A)</w:t>
                  </w:r>
                </w:p>
              </w:tc>
              <w:tc>
                <w:tcPr>
                  <w:tcW w:w="936" w:type="dxa"/>
                  <w:vAlign w:val="center"/>
                </w:tcPr>
                <w:p w14:paraId="57686BBF">
                  <w:pPr>
                    <w:snapToGrid w:val="0"/>
                    <w:spacing w:line="240" w:lineRule="auto"/>
                    <w:ind w:left="0" w:leftChars="0" w:firstLine="0" w:firstLineChars="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cs="Times New Roman"/>
                      <w:b/>
                      <w:bCs/>
                      <w:color w:val="auto"/>
                      <w:sz w:val="21"/>
                      <w:szCs w:val="21"/>
                      <w:highlight w:val="none"/>
                    </w:rPr>
                    <w:t>夜间dB(A)</w:t>
                  </w:r>
                </w:p>
              </w:tc>
              <w:tc>
                <w:tcPr>
                  <w:tcW w:w="936" w:type="dxa"/>
                  <w:vAlign w:val="center"/>
                </w:tcPr>
                <w:p w14:paraId="0C0C16CD">
                  <w:pPr>
                    <w:snapToGrid w:val="0"/>
                    <w:spacing w:line="240" w:lineRule="auto"/>
                    <w:ind w:left="0" w:leftChars="0" w:firstLine="0" w:firstLineChars="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cs="Times New Roman"/>
                      <w:b/>
                      <w:bCs/>
                      <w:color w:val="auto"/>
                      <w:sz w:val="21"/>
                      <w:szCs w:val="21"/>
                      <w:highlight w:val="none"/>
                    </w:rPr>
                    <w:t>昼间dB(A)</w:t>
                  </w:r>
                </w:p>
              </w:tc>
              <w:tc>
                <w:tcPr>
                  <w:tcW w:w="937" w:type="dxa"/>
                  <w:vAlign w:val="center"/>
                </w:tcPr>
                <w:p w14:paraId="37B3EF0D">
                  <w:pPr>
                    <w:snapToGrid w:val="0"/>
                    <w:spacing w:line="240" w:lineRule="auto"/>
                    <w:ind w:left="0" w:leftChars="0" w:firstLine="0" w:firstLineChars="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cs="Times New Roman"/>
                      <w:b/>
                      <w:bCs/>
                      <w:color w:val="auto"/>
                      <w:sz w:val="21"/>
                      <w:szCs w:val="21"/>
                      <w:highlight w:val="none"/>
                    </w:rPr>
                    <w:t>夜间dB(A)</w:t>
                  </w:r>
                </w:p>
              </w:tc>
              <w:tc>
                <w:tcPr>
                  <w:tcW w:w="937" w:type="dxa"/>
                  <w:vAlign w:val="center"/>
                </w:tcPr>
                <w:p w14:paraId="3BB6B151">
                  <w:pPr>
                    <w:snapToGrid w:val="0"/>
                    <w:spacing w:line="240" w:lineRule="auto"/>
                    <w:ind w:left="0" w:leftChars="0" w:firstLine="0" w:firstLineChars="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cs="Times New Roman"/>
                      <w:b/>
                      <w:bCs/>
                      <w:color w:val="auto"/>
                      <w:sz w:val="21"/>
                      <w:szCs w:val="21"/>
                      <w:highlight w:val="none"/>
                    </w:rPr>
                    <w:t>昼间dB(A)</w:t>
                  </w:r>
                </w:p>
              </w:tc>
              <w:tc>
                <w:tcPr>
                  <w:tcW w:w="937" w:type="dxa"/>
                  <w:vAlign w:val="center"/>
                </w:tcPr>
                <w:p w14:paraId="767309C2">
                  <w:pPr>
                    <w:snapToGrid w:val="0"/>
                    <w:spacing w:line="240" w:lineRule="auto"/>
                    <w:ind w:left="0" w:leftChars="0" w:firstLine="0" w:firstLineChars="0"/>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cs="Times New Roman"/>
                      <w:b/>
                      <w:bCs/>
                      <w:color w:val="auto"/>
                      <w:sz w:val="21"/>
                      <w:szCs w:val="21"/>
                      <w:highlight w:val="none"/>
                    </w:rPr>
                    <w:t>夜间dB(A)</w:t>
                  </w:r>
                </w:p>
              </w:tc>
              <w:tc>
                <w:tcPr>
                  <w:tcW w:w="937" w:type="dxa"/>
                  <w:vMerge w:val="continue"/>
                  <w:vAlign w:val="center"/>
                </w:tcPr>
                <w:p w14:paraId="5E94E77E">
                  <w:pPr>
                    <w:jc w:val="center"/>
                    <w:rPr>
                      <w:b/>
                      <w:bCs/>
                      <w:color w:val="auto"/>
                      <w:sz w:val="24"/>
                      <w:vertAlign w:val="baseline"/>
                    </w:rPr>
                  </w:pPr>
                </w:p>
              </w:tc>
            </w:tr>
            <w:tr w14:paraId="088B9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 w:type="dxa"/>
                  <w:vAlign w:val="center"/>
                </w:tcPr>
                <w:p w14:paraId="244363FA">
                  <w:pPr>
                    <w:snapToGrid w:val="0"/>
                    <w:spacing w:line="240" w:lineRule="auto"/>
                    <w:ind w:left="0" w:leftChars="0" w:firstLine="0" w:firstLineChars="0"/>
                    <w:jc w:val="center"/>
                    <w:rPr>
                      <w:rFonts w:hint="eastAsia" w:ascii="Times New Roman" w:hAnsi="Times New Roman" w:eastAsia="宋体" w:cs="Times New Roman"/>
                      <w:b/>
                      <w:bCs/>
                      <w:color w:val="auto"/>
                      <w:sz w:val="21"/>
                      <w:szCs w:val="21"/>
                      <w:highlight w:val="none"/>
                      <w:lang w:val="en-US" w:eastAsia="zh-CN" w:bidi="ar-SA"/>
                    </w:rPr>
                  </w:pPr>
                  <w:r>
                    <w:rPr>
                      <w:rFonts w:hint="eastAsia" w:ascii="Times New Roman" w:hAnsi="Times New Roman" w:cs="Times New Roman"/>
                      <w:b/>
                      <w:bCs/>
                      <w:color w:val="auto"/>
                      <w:sz w:val="21"/>
                      <w:szCs w:val="21"/>
                      <w:highlight w:val="none"/>
                      <w:lang w:eastAsia="zh-CN"/>
                    </w:rPr>
                    <w:t>环境噪声</w:t>
                  </w:r>
                </w:p>
              </w:tc>
              <w:tc>
                <w:tcPr>
                  <w:tcW w:w="1322" w:type="dxa"/>
                  <w:vAlign w:val="center"/>
                </w:tcPr>
                <w:p w14:paraId="5D3C4489">
                  <w:pPr>
                    <w:snapToGrid w:val="0"/>
                    <w:spacing w:line="240" w:lineRule="auto"/>
                    <w:ind w:left="0" w:leftChars="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塘子街道社区卫生服务</w:t>
                  </w:r>
                </w:p>
                <w:p w14:paraId="054DDE9D">
                  <w:pPr>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rPr>
                    <w:t>中心</w:t>
                  </w:r>
                </w:p>
              </w:tc>
              <w:tc>
                <w:tcPr>
                  <w:tcW w:w="936" w:type="dxa"/>
                  <w:vAlign w:val="center"/>
                </w:tcPr>
                <w:p w14:paraId="1C9EC6CC">
                  <w:pPr>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56.1</w:t>
                  </w:r>
                </w:p>
              </w:tc>
              <w:tc>
                <w:tcPr>
                  <w:tcW w:w="936" w:type="dxa"/>
                  <w:vAlign w:val="center"/>
                </w:tcPr>
                <w:p w14:paraId="41724094">
                  <w:pPr>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42.2</w:t>
                  </w:r>
                </w:p>
              </w:tc>
              <w:tc>
                <w:tcPr>
                  <w:tcW w:w="936" w:type="dxa"/>
                  <w:vAlign w:val="center"/>
                </w:tcPr>
                <w:p w14:paraId="58E6A830">
                  <w:pPr>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50.5</w:t>
                  </w:r>
                </w:p>
              </w:tc>
              <w:tc>
                <w:tcPr>
                  <w:tcW w:w="937" w:type="dxa"/>
                  <w:vAlign w:val="center"/>
                </w:tcPr>
                <w:p w14:paraId="2DF62832">
                  <w:pPr>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43.5</w:t>
                  </w:r>
                </w:p>
              </w:tc>
              <w:tc>
                <w:tcPr>
                  <w:tcW w:w="937" w:type="dxa"/>
                  <w:vAlign w:val="center"/>
                </w:tcPr>
                <w:p w14:paraId="698B9AD3">
                  <w:pPr>
                    <w:jc w:val="center"/>
                    <w:rPr>
                      <w:b/>
                      <w:bCs/>
                      <w:color w:val="auto"/>
                      <w:sz w:val="24"/>
                      <w:vertAlign w:val="baseline"/>
                    </w:rPr>
                  </w:pPr>
                  <w:r>
                    <w:rPr>
                      <w:rFonts w:hint="default" w:ascii="Times New Roman" w:hAnsi="Times New Roman" w:cs="Times New Roman"/>
                      <w:color w:val="auto"/>
                      <w:sz w:val="21"/>
                      <w:szCs w:val="21"/>
                      <w:highlight w:val="none"/>
                      <w:lang w:val="en-US" w:eastAsia="zh-CN"/>
                    </w:rPr>
                    <w:t>60</w:t>
                  </w:r>
                </w:p>
              </w:tc>
              <w:tc>
                <w:tcPr>
                  <w:tcW w:w="937" w:type="dxa"/>
                  <w:vAlign w:val="center"/>
                </w:tcPr>
                <w:p w14:paraId="26E8C258">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w:t>
                  </w:r>
                </w:p>
              </w:tc>
              <w:tc>
                <w:tcPr>
                  <w:tcW w:w="937" w:type="dxa"/>
                  <w:vAlign w:val="center"/>
                </w:tcPr>
                <w:p w14:paraId="745300C1">
                  <w:pPr>
                    <w:snapToGrid w:val="0"/>
                    <w:spacing w:line="240" w:lineRule="auto"/>
                    <w:ind w:left="0" w:leftChars="0" w:firstLine="0" w:firstLineChars="0"/>
                    <w:jc w:val="center"/>
                    <w:rPr>
                      <w:rFonts w:hint="default" w:ascii="Times New Roman" w:hAnsi="Times New Roman" w:eastAsia="宋体" w:cs="Times New Roman"/>
                      <w:b/>
                      <w:bCs/>
                      <w:color w:val="auto"/>
                      <w:sz w:val="21"/>
                      <w:szCs w:val="21"/>
                      <w:highlight w:val="none"/>
                      <w:lang w:val="en-US" w:eastAsia="zh-CN" w:bidi="ar-SA"/>
                    </w:rPr>
                  </w:pPr>
                  <w:r>
                    <w:rPr>
                      <w:rFonts w:hint="eastAsia" w:ascii="Times New Roman" w:hAnsi="Times New Roman" w:cs="Times New Roman"/>
                      <w:b/>
                      <w:bCs/>
                      <w:color w:val="auto"/>
                      <w:sz w:val="21"/>
                      <w:szCs w:val="21"/>
                      <w:highlight w:val="none"/>
                      <w:lang w:eastAsia="zh-CN"/>
                    </w:rPr>
                    <w:t>达标</w:t>
                  </w:r>
                </w:p>
              </w:tc>
            </w:tr>
          </w:tbl>
          <w:p w14:paraId="2286BE67">
            <w:pPr>
              <w:autoSpaceDE w:val="0"/>
              <w:autoSpaceDN w:val="0"/>
              <w:adjustRightInd w:val="0"/>
              <w:spacing w:before="120" w:beforeLines="50" w:line="360" w:lineRule="auto"/>
              <w:ind w:firstLine="480" w:firstLineChars="200"/>
              <w:rPr>
                <w:rFonts w:cs="宋体"/>
                <w:color w:val="auto"/>
                <w:sz w:val="24"/>
                <w:szCs w:val="22"/>
              </w:rPr>
            </w:pPr>
            <w:r>
              <w:rPr>
                <w:color w:val="auto"/>
                <w:sz w:val="24"/>
              </w:rPr>
              <w:t>根据</w:t>
            </w:r>
            <w:r>
              <w:rPr>
                <w:rFonts w:hint="eastAsia"/>
                <w:color w:val="auto"/>
                <w:sz w:val="24"/>
                <w:lang w:eastAsia="zh-CN"/>
              </w:rPr>
              <w:t>云南常青树化工有限公司</w:t>
            </w:r>
            <w:r>
              <w:rPr>
                <w:color w:val="auto"/>
                <w:sz w:val="24"/>
              </w:rPr>
              <w:t>厂界</w:t>
            </w:r>
            <w:r>
              <w:rPr>
                <w:rFonts w:hint="eastAsia"/>
                <w:color w:val="auto"/>
                <w:sz w:val="24"/>
              </w:rPr>
              <w:t>声环境</w:t>
            </w:r>
            <w:r>
              <w:rPr>
                <w:color w:val="auto"/>
                <w:sz w:val="24"/>
              </w:rPr>
              <w:t>监测结果可知，</w:t>
            </w:r>
            <w:r>
              <w:rPr>
                <w:rFonts w:hint="eastAsia" w:ascii="Times New Roman" w:hAnsi="Times New Roman" w:eastAsia="宋体" w:cs="宋体"/>
                <w:color w:val="auto"/>
                <w:sz w:val="24"/>
                <w:szCs w:val="22"/>
              </w:rPr>
              <w:t>项目周边声环境敏感点</w:t>
            </w:r>
            <w:r>
              <w:rPr>
                <w:rFonts w:hint="eastAsia" w:ascii="Times New Roman" w:hAnsi="Times New Roman" w:eastAsia="宋体" w:cs="宋体"/>
                <w:color w:val="auto"/>
                <w:sz w:val="24"/>
                <w:szCs w:val="22"/>
                <w:lang w:eastAsia="zh-CN"/>
              </w:rPr>
              <w:t>（</w:t>
            </w:r>
            <w:r>
              <w:rPr>
                <w:rFonts w:hint="default" w:ascii="Times New Roman" w:hAnsi="Times New Roman" w:eastAsia="宋体" w:cs="宋体"/>
                <w:color w:val="auto"/>
                <w:sz w:val="24"/>
                <w:szCs w:val="22"/>
              </w:rPr>
              <w:t>塘子街道社区卫生服务中心</w:t>
            </w:r>
            <w:r>
              <w:rPr>
                <w:rFonts w:hint="eastAsia" w:ascii="Times New Roman" w:hAnsi="Times New Roman" w:eastAsia="宋体" w:cs="宋体"/>
                <w:color w:val="auto"/>
                <w:sz w:val="24"/>
                <w:szCs w:val="22"/>
                <w:lang w:eastAsia="zh-CN"/>
              </w:rPr>
              <w:t>）</w:t>
            </w:r>
            <w:r>
              <w:rPr>
                <w:rFonts w:hint="eastAsia" w:ascii="Times New Roman" w:hAnsi="Times New Roman" w:eastAsia="宋体" w:cs="宋体"/>
                <w:color w:val="auto"/>
                <w:sz w:val="24"/>
                <w:szCs w:val="22"/>
              </w:rPr>
              <w:t>声</w:t>
            </w:r>
            <w:r>
              <w:rPr>
                <w:rFonts w:hint="eastAsia" w:cs="宋体"/>
                <w:color w:val="auto"/>
                <w:sz w:val="24"/>
                <w:szCs w:val="22"/>
              </w:rPr>
              <w:t>环境质量可以达到《声环境质量标准》（GB 3096-2008）2类区标准要求。</w:t>
            </w:r>
          </w:p>
          <w:p w14:paraId="3E0DA6B6">
            <w:pPr>
              <w:spacing w:line="360" w:lineRule="auto"/>
              <w:ind w:firstLine="562" w:firstLineChars="200"/>
              <w:rPr>
                <w:b/>
                <w:bCs/>
                <w:color w:val="auto"/>
                <w:sz w:val="28"/>
                <w:szCs w:val="28"/>
              </w:rPr>
            </w:pPr>
            <w:r>
              <w:rPr>
                <w:b/>
                <w:bCs/>
                <w:color w:val="auto"/>
                <w:sz w:val="28"/>
                <w:szCs w:val="28"/>
              </w:rPr>
              <w:t>4</w:t>
            </w:r>
            <w:r>
              <w:rPr>
                <w:rFonts w:hAnsi="宋体"/>
                <w:b/>
                <w:bCs/>
                <w:color w:val="auto"/>
                <w:sz w:val="28"/>
                <w:szCs w:val="28"/>
              </w:rPr>
              <w:t>、土壤环境质量现状</w:t>
            </w:r>
          </w:p>
          <w:p w14:paraId="1ECC5959">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宋体"/>
                <w:color w:val="auto"/>
                <w:sz w:val="24"/>
                <w:szCs w:val="22"/>
                <w:lang w:val="zh-CN"/>
              </w:rPr>
            </w:pPr>
            <w:r>
              <w:rPr>
                <w:rFonts w:hint="default" w:ascii="Times New Roman" w:hAnsi="Times New Roman" w:eastAsia="宋体" w:cs="宋体"/>
                <w:color w:val="auto"/>
                <w:sz w:val="24"/>
                <w:szCs w:val="22"/>
                <w:lang w:val="zh-CN"/>
              </w:rPr>
              <w:t>根据《建设项目环境影响报告表编制技术指南（污染影响类）》，“原则上不开展土壤环境质量现状调查，建设项目存在土壤污染途径的，应结合污染源、保护目标分布情况开展现状调查以保留背景值”。</w:t>
            </w:r>
          </w:p>
          <w:p w14:paraId="2621B5A7">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宋体"/>
                <w:color w:val="auto"/>
                <w:sz w:val="24"/>
                <w:szCs w:val="22"/>
              </w:rPr>
            </w:pPr>
            <w:r>
              <w:rPr>
                <w:rFonts w:hint="default" w:ascii="Times New Roman" w:hAnsi="Times New Roman" w:eastAsia="宋体" w:cs="宋体"/>
                <w:color w:val="auto"/>
                <w:sz w:val="24"/>
                <w:szCs w:val="22"/>
              </w:rPr>
              <w:t>项目区土壤环境质量现状评价引用</w:t>
            </w:r>
            <w:r>
              <w:rPr>
                <w:rFonts w:hint="eastAsia" w:ascii="Times New Roman" w:hAnsi="Times New Roman" w:eastAsia="宋体" w:cs="宋体"/>
                <w:color w:val="auto"/>
                <w:sz w:val="24"/>
                <w:szCs w:val="22"/>
                <w:lang w:eastAsia="zh-CN"/>
              </w:rPr>
              <w:t>《</w:t>
            </w:r>
            <w:r>
              <w:rPr>
                <w:rFonts w:hint="eastAsia" w:ascii="Times New Roman" w:hAnsi="Times New Roman" w:eastAsia="宋体" w:cs="宋体"/>
                <w:color w:val="auto"/>
                <w:sz w:val="24"/>
                <w:szCs w:val="22"/>
                <w:lang w:val="en-US" w:eastAsia="zh-CN"/>
              </w:rPr>
              <w:t>云南常青树化工有限公司环境影响后评价报告书</w:t>
            </w:r>
            <w:r>
              <w:rPr>
                <w:rFonts w:hint="eastAsia" w:ascii="Times New Roman" w:hAnsi="Times New Roman" w:eastAsia="宋体" w:cs="宋体"/>
                <w:color w:val="auto"/>
                <w:sz w:val="24"/>
                <w:szCs w:val="22"/>
                <w:lang w:eastAsia="zh-CN"/>
              </w:rPr>
              <w:t>》</w:t>
            </w:r>
            <w:r>
              <w:rPr>
                <w:rFonts w:hint="eastAsia" w:ascii="Times New Roman" w:hAnsi="Times New Roman" w:eastAsia="宋体" w:cs="宋体"/>
                <w:color w:val="auto"/>
                <w:sz w:val="24"/>
                <w:szCs w:val="22"/>
                <w:lang w:val="en-US" w:eastAsia="zh-CN"/>
              </w:rPr>
              <w:t>中</w:t>
            </w:r>
            <w:r>
              <w:rPr>
                <w:rFonts w:hint="eastAsia" w:ascii="Times New Roman" w:hAnsi="Times New Roman" w:eastAsia="宋体" w:cs="宋体"/>
                <w:color w:val="auto"/>
                <w:sz w:val="24"/>
                <w:szCs w:val="22"/>
              </w:rPr>
              <w:t>202</w:t>
            </w:r>
            <w:r>
              <w:rPr>
                <w:rFonts w:hint="eastAsia" w:cs="宋体"/>
                <w:color w:val="auto"/>
                <w:sz w:val="24"/>
                <w:szCs w:val="22"/>
                <w:lang w:val="en-US" w:eastAsia="zh-CN"/>
              </w:rPr>
              <w:t>2</w:t>
            </w:r>
            <w:r>
              <w:rPr>
                <w:rFonts w:hint="eastAsia" w:ascii="Times New Roman" w:hAnsi="Times New Roman" w:eastAsia="宋体" w:cs="宋体"/>
                <w:color w:val="auto"/>
                <w:sz w:val="24"/>
                <w:szCs w:val="22"/>
              </w:rPr>
              <w:t>年</w:t>
            </w:r>
            <w:r>
              <w:rPr>
                <w:rFonts w:hint="eastAsia" w:ascii="Times New Roman" w:hAnsi="Times New Roman" w:eastAsia="宋体" w:cs="宋体"/>
                <w:color w:val="auto"/>
                <w:sz w:val="24"/>
                <w:szCs w:val="22"/>
                <w:lang w:val="en-US" w:eastAsia="zh-CN"/>
              </w:rPr>
              <w:t>6月29日委托云南厚望环保科技有限公司对项目区域及周围的土壤监测数据，监测点位为6#磷石膏渣场北侧、7#雨水收集池旁外绿化带内、8#液氨储罐南侧、9#项目区外上风向、10#项目区外下风向。</w:t>
            </w:r>
            <w:r>
              <w:rPr>
                <w:rFonts w:hint="default" w:ascii="Times New Roman" w:hAnsi="Times New Roman" w:eastAsia="宋体" w:cs="宋体"/>
                <w:color w:val="auto"/>
                <w:sz w:val="24"/>
                <w:szCs w:val="22"/>
              </w:rPr>
              <w:t>具体监测数据如下：</w:t>
            </w:r>
          </w:p>
          <w:p w14:paraId="53EEDB38">
            <w:pPr>
              <w:autoSpaceDE w:val="0"/>
              <w:autoSpaceDN w:val="0"/>
              <w:adjustRightInd w:val="0"/>
              <w:ind w:firstLine="482" w:firstLineChars="200"/>
              <w:jc w:val="center"/>
              <w:rPr>
                <w:b/>
                <w:color w:val="auto"/>
                <w:sz w:val="24"/>
              </w:rPr>
            </w:pPr>
            <w:r>
              <w:rPr>
                <w:b/>
                <w:color w:val="auto"/>
                <w:sz w:val="24"/>
              </w:rPr>
              <w:t>表3-</w:t>
            </w:r>
            <w:r>
              <w:rPr>
                <w:rFonts w:hint="eastAsia"/>
                <w:b/>
                <w:color w:val="auto"/>
                <w:sz w:val="24"/>
                <w:lang w:val="en-US" w:eastAsia="zh-CN"/>
              </w:rPr>
              <w:t>4</w:t>
            </w:r>
            <w:r>
              <w:rPr>
                <w:b/>
                <w:color w:val="auto"/>
                <w:sz w:val="24"/>
              </w:rPr>
              <w:t xml:space="preserve">  土壤检测结果一览表  单位：mg/kg</w:t>
            </w:r>
          </w:p>
          <w:tbl>
            <w:tblPr>
              <w:tblStyle w:val="4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8"/>
              <w:gridCol w:w="887"/>
              <w:gridCol w:w="876"/>
              <w:gridCol w:w="966"/>
              <w:gridCol w:w="885"/>
              <w:gridCol w:w="907"/>
              <w:gridCol w:w="1137"/>
              <w:gridCol w:w="1284"/>
            </w:tblGrid>
            <w:tr w14:paraId="41938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pct"/>
                  <w:vMerge w:val="restart"/>
                  <w:vAlign w:val="center"/>
                </w:tcPr>
                <w:p w14:paraId="14528FD0">
                  <w:pPr>
                    <w:adjustRightInd w:val="0"/>
                    <w:jc w:val="center"/>
                    <w:rPr>
                      <w:b/>
                      <w:bCs/>
                      <w:color w:val="auto"/>
                      <w:spacing w:val="-9"/>
                      <w:sz w:val="21"/>
                      <w:szCs w:val="21"/>
                    </w:rPr>
                  </w:pPr>
                  <w:r>
                    <w:rPr>
                      <w:color w:val="auto"/>
                      <w:spacing w:val="-9"/>
                      <w:sz w:val="21"/>
                      <w:szCs w:val="21"/>
                    </w:rPr>
                    <w:t>项目</w:t>
                  </w:r>
                </w:p>
              </w:tc>
              <w:tc>
                <w:tcPr>
                  <w:tcW w:w="536" w:type="pct"/>
                  <w:vMerge w:val="restart"/>
                  <w:vAlign w:val="center"/>
                </w:tcPr>
                <w:p w14:paraId="6A6A5C1C">
                  <w:pPr>
                    <w:adjustRightInd w:val="0"/>
                    <w:jc w:val="center"/>
                    <w:rPr>
                      <w:rFonts w:hint="default" w:eastAsia="宋体"/>
                      <w:color w:val="auto"/>
                      <w:sz w:val="21"/>
                      <w:szCs w:val="21"/>
                      <w:lang w:val="en-US" w:eastAsia="zh-CN"/>
                    </w:rPr>
                  </w:pPr>
                  <w:r>
                    <w:rPr>
                      <w:rFonts w:hint="eastAsia"/>
                      <w:color w:val="auto"/>
                      <w:sz w:val="21"/>
                      <w:szCs w:val="21"/>
                      <w:lang w:val="en-US" w:eastAsia="zh-CN"/>
                    </w:rPr>
                    <w:t>6#</w:t>
                  </w:r>
                </w:p>
              </w:tc>
              <w:tc>
                <w:tcPr>
                  <w:tcW w:w="530" w:type="pct"/>
                  <w:vMerge w:val="restart"/>
                  <w:vAlign w:val="center"/>
                </w:tcPr>
                <w:p w14:paraId="01A00D44">
                  <w:pPr>
                    <w:adjustRightInd w:val="0"/>
                    <w:jc w:val="center"/>
                    <w:rPr>
                      <w:rFonts w:hint="default" w:eastAsia="宋体"/>
                      <w:color w:val="auto"/>
                      <w:sz w:val="21"/>
                      <w:szCs w:val="21"/>
                      <w:lang w:val="en-US" w:eastAsia="zh-CN"/>
                    </w:rPr>
                  </w:pPr>
                  <w:r>
                    <w:rPr>
                      <w:rFonts w:hint="eastAsia"/>
                      <w:color w:val="auto"/>
                      <w:sz w:val="21"/>
                      <w:szCs w:val="21"/>
                      <w:lang w:val="en-US" w:eastAsia="zh-CN"/>
                    </w:rPr>
                    <w:t>7#</w:t>
                  </w:r>
                </w:p>
              </w:tc>
              <w:tc>
                <w:tcPr>
                  <w:tcW w:w="584" w:type="pct"/>
                  <w:vMerge w:val="restart"/>
                  <w:vAlign w:val="center"/>
                </w:tcPr>
                <w:p w14:paraId="67751CBD">
                  <w:pPr>
                    <w:adjustRightInd w:val="0"/>
                    <w:jc w:val="center"/>
                    <w:rPr>
                      <w:rFonts w:hint="default" w:eastAsia="宋体"/>
                      <w:color w:val="auto"/>
                      <w:sz w:val="21"/>
                      <w:szCs w:val="21"/>
                      <w:lang w:val="en-US" w:eastAsia="zh-CN"/>
                    </w:rPr>
                  </w:pPr>
                  <w:r>
                    <w:rPr>
                      <w:rFonts w:hint="eastAsia"/>
                      <w:color w:val="auto"/>
                      <w:sz w:val="21"/>
                      <w:szCs w:val="21"/>
                      <w:lang w:val="en-US" w:eastAsia="zh-CN"/>
                    </w:rPr>
                    <w:t>8#</w:t>
                  </w:r>
                </w:p>
              </w:tc>
              <w:tc>
                <w:tcPr>
                  <w:tcW w:w="535" w:type="pct"/>
                  <w:vMerge w:val="restart"/>
                  <w:vAlign w:val="center"/>
                </w:tcPr>
                <w:p w14:paraId="0A498187">
                  <w:pPr>
                    <w:adjustRightInd w:val="0"/>
                    <w:jc w:val="center"/>
                    <w:rPr>
                      <w:rFonts w:hint="default" w:eastAsia="宋体"/>
                      <w:color w:val="auto"/>
                      <w:sz w:val="21"/>
                      <w:szCs w:val="21"/>
                      <w:lang w:val="en-US" w:eastAsia="zh-CN"/>
                    </w:rPr>
                  </w:pPr>
                  <w:r>
                    <w:rPr>
                      <w:rFonts w:hint="eastAsia"/>
                      <w:color w:val="auto"/>
                      <w:sz w:val="21"/>
                      <w:szCs w:val="21"/>
                      <w:lang w:val="en-US" w:eastAsia="zh-CN"/>
                    </w:rPr>
                    <w:t>9#</w:t>
                  </w:r>
                </w:p>
              </w:tc>
              <w:tc>
                <w:tcPr>
                  <w:tcW w:w="549" w:type="pct"/>
                  <w:vMerge w:val="restart"/>
                  <w:vAlign w:val="center"/>
                </w:tcPr>
                <w:p w14:paraId="2DCBB4B6">
                  <w:pPr>
                    <w:adjustRightInd w:val="0"/>
                    <w:jc w:val="center"/>
                    <w:rPr>
                      <w:rFonts w:hint="default" w:eastAsia="宋体"/>
                      <w:color w:val="auto"/>
                      <w:sz w:val="21"/>
                      <w:szCs w:val="21"/>
                      <w:lang w:val="en-US" w:eastAsia="zh-CN"/>
                    </w:rPr>
                  </w:pPr>
                  <w:r>
                    <w:rPr>
                      <w:rFonts w:hint="eastAsia"/>
                      <w:color w:val="auto"/>
                      <w:sz w:val="21"/>
                      <w:szCs w:val="21"/>
                      <w:lang w:val="en-US" w:eastAsia="zh-CN"/>
                    </w:rPr>
                    <w:t>10#</w:t>
                  </w:r>
                </w:p>
              </w:tc>
              <w:tc>
                <w:tcPr>
                  <w:tcW w:w="688" w:type="pct"/>
                  <w:vAlign w:val="center"/>
                </w:tcPr>
                <w:p w14:paraId="38F7767F">
                  <w:pPr>
                    <w:adjustRightInd w:val="0"/>
                    <w:jc w:val="center"/>
                    <w:rPr>
                      <w:color w:val="auto"/>
                      <w:sz w:val="21"/>
                      <w:szCs w:val="21"/>
                    </w:rPr>
                  </w:pPr>
                  <w:r>
                    <w:rPr>
                      <w:rFonts w:hint="eastAsia"/>
                      <w:color w:val="auto"/>
                      <w:sz w:val="21"/>
                      <w:szCs w:val="21"/>
                    </w:rPr>
                    <w:t>二类用地</w:t>
                  </w:r>
                </w:p>
              </w:tc>
              <w:tc>
                <w:tcPr>
                  <w:tcW w:w="777" w:type="pct"/>
                  <w:vMerge w:val="restart"/>
                  <w:vAlign w:val="center"/>
                </w:tcPr>
                <w:p w14:paraId="5780BAF2">
                  <w:pPr>
                    <w:adjustRightInd w:val="0"/>
                    <w:jc w:val="center"/>
                    <w:rPr>
                      <w:color w:val="auto"/>
                      <w:sz w:val="21"/>
                      <w:szCs w:val="21"/>
                    </w:rPr>
                  </w:pPr>
                  <w:r>
                    <w:rPr>
                      <w:rFonts w:hint="eastAsia"/>
                      <w:color w:val="auto"/>
                      <w:sz w:val="21"/>
                      <w:szCs w:val="21"/>
                    </w:rPr>
                    <w:t>评价</w:t>
                  </w:r>
                </w:p>
              </w:tc>
            </w:tr>
            <w:tr w14:paraId="07F7B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pct"/>
                  <w:vMerge w:val="continue"/>
                  <w:vAlign w:val="center"/>
                </w:tcPr>
                <w:p w14:paraId="178FDEF5">
                  <w:pPr>
                    <w:adjustRightInd w:val="0"/>
                    <w:jc w:val="center"/>
                    <w:rPr>
                      <w:color w:val="auto"/>
                      <w:spacing w:val="-9"/>
                      <w:sz w:val="21"/>
                      <w:szCs w:val="21"/>
                    </w:rPr>
                  </w:pPr>
                </w:p>
              </w:tc>
              <w:tc>
                <w:tcPr>
                  <w:tcW w:w="536" w:type="pct"/>
                  <w:vMerge w:val="continue"/>
                  <w:vAlign w:val="center"/>
                </w:tcPr>
                <w:p w14:paraId="271DFF0B">
                  <w:pPr>
                    <w:adjustRightInd w:val="0"/>
                    <w:jc w:val="center"/>
                    <w:rPr>
                      <w:color w:val="auto"/>
                      <w:sz w:val="21"/>
                      <w:szCs w:val="21"/>
                    </w:rPr>
                  </w:pPr>
                </w:p>
              </w:tc>
              <w:tc>
                <w:tcPr>
                  <w:tcW w:w="530" w:type="pct"/>
                  <w:vMerge w:val="continue"/>
                  <w:vAlign w:val="center"/>
                </w:tcPr>
                <w:p w14:paraId="1019BCE3">
                  <w:pPr>
                    <w:adjustRightInd w:val="0"/>
                    <w:jc w:val="center"/>
                    <w:rPr>
                      <w:color w:val="auto"/>
                      <w:sz w:val="21"/>
                      <w:szCs w:val="21"/>
                    </w:rPr>
                  </w:pPr>
                </w:p>
              </w:tc>
              <w:tc>
                <w:tcPr>
                  <w:tcW w:w="584" w:type="pct"/>
                  <w:vMerge w:val="continue"/>
                  <w:vAlign w:val="center"/>
                </w:tcPr>
                <w:p w14:paraId="1E2A4A3B">
                  <w:pPr>
                    <w:adjustRightInd w:val="0"/>
                    <w:jc w:val="center"/>
                    <w:rPr>
                      <w:color w:val="auto"/>
                      <w:sz w:val="21"/>
                      <w:szCs w:val="21"/>
                    </w:rPr>
                  </w:pPr>
                </w:p>
              </w:tc>
              <w:tc>
                <w:tcPr>
                  <w:tcW w:w="535" w:type="pct"/>
                  <w:vMerge w:val="continue"/>
                  <w:vAlign w:val="center"/>
                </w:tcPr>
                <w:p w14:paraId="29C72595">
                  <w:pPr>
                    <w:adjustRightInd w:val="0"/>
                    <w:jc w:val="center"/>
                    <w:rPr>
                      <w:color w:val="auto"/>
                      <w:sz w:val="21"/>
                      <w:szCs w:val="21"/>
                    </w:rPr>
                  </w:pPr>
                </w:p>
              </w:tc>
              <w:tc>
                <w:tcPr>
                  <w:tcW w:w="549" w:type="pct"/>
                  <w:vMerge w:val="continue"/>
                  <w:vAlign w:val="center"/>
                </w:tcPr>
                <w:p w14:paraId="5E9C26ED">
                  <w:pPr>
                    <w:adjustRightInd w:val="0"/>
                    <w:jc w:val="center"/>
                    <w:rPr>
                      <w:color w:val="auto"/>
                      <w:sz w:val="21"/>
                      <w:szCs w:val="21"/>
                    </w:rPr>
                  </w:pPr>
                </w:p>
              </w:tc>
              <w:tc>
                <w:tcPr>
                  <w:tcW w:w="688" w:type="pct"/>
                  <w:vAlign w:val="center"/>
                </w:tcPr>
                <w:p w14:paraId="0BFB4DE4">
                  <w:pPr>
                    <w:adjustRightInd w:val="0"/>
                    <w:jc w:val="center"/>
                    <w:rPr>
                      <w:color w:val="auto"/>
                      <w:sz w:val="21"/>
                      <w:szCs w:val="21"/>
                    </w:rPr>
                  </w:pPr>
                  <w:r>
                    <w:rPr>
                      <w:rFonts w:hint="eastAsia"/>
                      <w:color w:val="auto"/>
                      <w:sz w:val="21"/>
                      <w:szCs w:val="21"/>
                    </w:rPr>
                    <w:t>筛选值</w:t>
                  </w:r>
                </w:p>
              </w:tc>
              <w:tc>
                <w:tcPr>
                  <w:tcW w:w="777" w:type="pct"/>
                  <w:vMerge w:val="continue"/>
                  <w:vAlign w:val="center"/>
                </w:tcPr>
                <w:p w14:paraId="6C890427">
                  <w:pPr>
                    <w:adjustRightInd w:val="0"/>
                    <w:jc w:val="center"/>
                    <w:rPr>
                      <w:color w:val="auto"/>
                      <w:sz w:val="21"/>
                      <w:szCs w:val="21"/>
                    </w:rPr>
                  </w:pPr>
                </w:p>
              </w:tc>
            </w:tr>
            <w:tr w14:paraId="78109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pct"/>
                  <w:vAlign w:val="center"/>
                </w:tcPr>
                <w:p w14:paraId="114C34AF">
                  <w:pPr>
                    <w:adjustRightInd w:val="0"/>
                    <w:jc w:val="center"/>
                    <w:rPr>
                      <w:color w:val="auto"/>
                      <w:sz w:val="21"/>
                      <w:szCs w:val="21"/>
                    </w:rPr>
                  </w:pPr>
                  <w:r>
                    <w:rPr>
                      <w:color w:val="auto"/>
                      <w:sz w:val="21"/>
                      <w:szCs w:val="21"/>
                    </w:rPr>
                    <w:t>pH</w:t>
                  </w:r>
                </w:p>
              </w:tc>
              <w:tc>
                <w:tcPr>
                  <w:tcW w:w="536" w:type="pct"/>
                  <w:vAlign w:val="center"/>
                </w:tcPr>
                <w:p w14:paraId="622D556F">
                  <w:pPr>
                    <w:jc w:val="center"/>
                    <w:rPr>
                      <w:rFonts w:hint="default" w:eastAsia="宋体"/>
                      <w:color w:val="auto"/>
                      <w:sz w:val="21"/>
                      <w:szCs w:val="21"/>
                      <w:lang w:val="en-US" w:eastAsia="zh-CN"/>
                    </w:rPr>
                  </w:pPr>
                  <w:r>
                    <w:rPr>
                      <w:rFonts w:hint="eastAsia"/>
                      <w:color w:val="auto"/>
                      <w:sz w:val="21"/>
                      <w:szCs w:val="21"/>
                      <w:lang w:val="en-US" w:eastAsia="zh-CN"/>
                    </w:rPr>
                    <w:t>4.77</w:t>
                  </w:r>
                </w:p>
              </w:tc>
              <w:tc>
                <w:tcPr>
                  <w:tcW w:w="530" w:type="pct"/>
                  <w:vAlign w:val="center"/>
                </w:tcPr>
                <w:p w14:paraId="77796D66">
                  <w:pPr>
                    <w:jc w:val="center"/>
                    <w:rPr>
                      <w:rFonts w:hint="default" w:eastAsia="宋体"/>
                      <w:color w:val="auto"/>
                      <w:sz w:val="21"/>
                      <w:szCs w:val="21"/>
                      <w:lang w:val="en-US" w:eastAsia="zh-CN"/>
                    </w:rPr>
                  </w:pPr>
                  <w:r>
                    <w:rPr>
                      <w:rFonts w:hint="eastAsia"/>
                      <w:color w:val="auto"/>
                      <w:sz w:val="21"/>
                      <w:szCs w:val="21"/>
                      <w:lang w:val="en-US" w:eastAsia="zh-CN"/>
                    </w:rPr>
                    <w:t>6.25</w:t>
                  </w:r>
                </w:p>
              </w:tc>
              <w:tc>
                <w:tcPr>
                  <w:tcW w:w="584" w:type="pct"/>
                  <w:vAlign w:val="center"/>
                </w:tcPr>
                <w:p w14:paraId="6A4FACE3">
                  <w:pPr>
                    <w:jc w:val="center"/>
                    <w:rPr>
                      <w:rFonts w:hint="default" w:eastAsia="宋体"/>
                      <w:color w:val="auto"/>
                      <w:sz w:val="21"/>
                      <w:szCs w:val="21"/>
                      <w:lang w:val="en-US" w:eastAsia="zh-CN"/>
                    </w:rPr>
                  </w:pPr>
                  <w:r>
                    <w:rPr>
                      <w:rFonts w:hint="eastAsia"/>
                      <w:color w:val="auto"/>
                      <w:sz w:val="21"/>
                      <w:szCs w:val="21"/>
                      <w:lang w:val="en-US" w:eastAsia="zh-CN"/>
                    </w:rPr>
                    <w:t>7.29</w:t>
                  </w:r>
                </w:p>
              </w:tc>
              <w:tc>
                <w:tcPr>
                  <w:tcW w:w="535" w:type="pct"/>
                  <w:vAlign w:val="center"/>
                </w:tcPr>
                <w:p w14:paraId="071AAEDD">
                  <w:pPr>
                    <w:jc w:val="center"/>
                    <w:rPr>
                      <w:rFonts w:hint="default" w:eastAsia="宋体"/>
                      <w:color w:val="auto"/>
                      <w:sz w:val="21"/>
                      <w:szCs w:val="21"/>
                      <w:lang w:val="en-US" w:eastAsia="zh-CN"/>
                    </w:rPr>
                  </w:pPr>
                  <w:r>
                    <w:rPr>
                      <w:rFonts w:hint="eastAsia"/>
                      <w:color w:val="auto"/>
                      <w:sz w:val="21"/>
                      <w:szCs w:val="21"/>
                      <w:lang w:val="en-US" w:eastAsia="zh-CN"/>
                    </w:rPr>
                    <w:t>5.57</w:t>
                  </w:r>
                </w:p>
              </w:tc>
              <w:tc>
                <w:tcPr>
                  <w:tcW w:w="549" w:type="pct"/>
                  <w:vAlign w:val="center"/>
                </w:tcPr>
                <w:p w14:paraId="192879D9">
                  <w:pPr>
                    <w:jc w:val="center"/>
                    <w:rPr>
                      <w:rFonts w:hint="default" w:eastAsia="宋体"/>
                      <w:color w:val="auto"/>
                      <w:sz w:val="21"/>
                      <w:szCs w:val="21"/>
                      <w:lang w:val="en-US" w:eastAsia="zh-CN"/>
                    </w:rPr>
                  </w:pPr>
                  <w:r>
                    <w:rPr>
                      <w:rFonts w:hint="eastAsia"/>
                      <w:color w:val="auto"/>
                      <w:sz w:val="21"/>
                      <w:szCs w:val="21"/>
                      <w:lang w:val="en-US" w:eastAsia="zh-CN"/>
                    </w:rPr>
                    <w:t>4.77</w:t>
                  </w:r>
                </w:p>
              </w:tc>
              <w:tc>
                <w:tcPr>
                  <w:tcW w:w="688" w:type="pct"/>
                  <w:vAlign w:val="center"/>
                </w:tcPr>
                <w:p w14:paraId="1FA83923">
                  <w:pPr>
                    <w:widowControl/>
                    <w:jc w:val="center"/>
                    <w:textAlignment w:val="center"/>
                    <w:rPr>
                      <w:color w:val="auto"/>
                      <w:sz w:val="21"/>
                      <w:szCs w:val="21"/>
                    </w:rPr>
                  </w:pPr>
                  <w:r>
                    <w:rPr>
                      <w:color w:val="auto"/>
                      <w:sz w:val="21"/>
                      <w:szCs w:val="21"/>
                    </w:rPr>
                    <w:t>--</w:t>
                  </w:r>
                </w:p>
              </w:tc>
              <w:tc>
                <w:tcPr>
                  <w:tcW w:w="777" w:type="pct"/>
                  <w:vAlign w:val="center"/>
                </w:tcPr>
                <w:p w14:paraId="68EFE420">
                  <w:pPr>
                    <w:widowControl/>
                    <w:jc w:val="center"/>
                    <w:textAlignment w:val="center"/>
                    <w:rPr>
                      <w:color w:val="auto"/>
                      <w:sz w:val="21"/>
                      <w:szCs w:val="21"/>
                    </w:rPr>
                  </w:pPr>
                  <w:r>
                    <w:rPr>
                      <w:rFonts w:hint="eastAsia"/>
                      <w:color w:val="auto"/>
                      <w:sz w:val="21"/>
                      <w:szCs w:val="21"/>
                    </w:rPr>
                    <w:t>--</w:t>
                  </w:r>
                </w:p>
              </w:tc>
            </w:tr>
            <w:tr w14:paraId="0CF64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pct"/>
                  <w:vAlign w:val="center"/>
                </w:tcPr>
                <w:p w14:paraId="7F5DF6A9">
                  <w:pPr>
                    <w:adjustRightInd w:val="0"/>
                    <w:jc w:val="center"/>
                    <w:rPr>
                      <w:color w:val="auto"/>
                      <w:sz w:val="21"/>
                      <w:szCs w:val="21"/>
                    </w:rPr>
                  </w:pPr>
                  <w:r>
                    <w:rPr>
                      <w:rFonts w:hint="eastAsia"/>
                      <w:color w:val="auto"/>
                      <w:sz w:val="21"/>
                      <w:szCs w:val="21"/>
                    </w:rPr>
                    <w:t>砷（mg/kg）</w:t>
                  </w:r>
                </w:p>
              </w:tc>
              <w:tc>
                <w:tcPr>
                  <w:tcW w:w="536" w:type="pct"/>
                  <w:vAlign w:val="center"/>
                </w:tcPr>
                <w:p w14:paraId="0A517C93">
                  <w:pPr>
                    <w:jc w:val="center"/>
                    <w:rPr>
                      <w:color w:val="auto"/>
                      <w:sz w:val="21"/>
                      <w:szCs w:val="21"/>
                    </w:rPr>
                  </w:pPr>
                  <w:r>
                    <w:rPr>
                      <w:rFonts w:hint="eastAsia"/>
                      <w:color w:val="auto"/>
                      <w:sz w:val="21"/>
                      <w:szCs w:val="21"/>
                      <w:lang w:val="en-US" w:eastAsia="zh-CN"/>
                    </w:rPr>
                    <w:t>33.0</w:t>
                  </w:r>
                </w:p>
              </w:tc>
              <w:tc>
                <w:tcPr>
                  <w:tcW w:w="530" w:type="pct"/>
                  <w:vAlign w:val="center"/>
                </w:tcPr>
                <w:p w14:paraId="2EC8EB3A">
                  <w:pPr>
                    <w:jc w:val="center"/>
                    <w:rPr>
                      <w:rFonts w:hint="default" w:eastAsia="宋体"/>
                      <w:color w:val="auto"/>
                      <w:sz w:val="21"/>
                      <w:szCs w:val="21"/>
                      <w:lang w:val="en-US" w:eastAsia="zh-CN"/>
                    </w:rPr>
                  </w:pPr>
                  <w:r>
                    <w:rPr>
                      <w:rFonts w:hint="eastAsia"/>
                      <w:color w:val="auto"/>
                      <w:sz w:val="21"/>
                      <w:szCs w:val="21"/>
                      <w:lang w:val="en-US" w:eastAsia="zh-CN"/>
                    </w:rPr>
                    <w:t>27.4</w:t>
                  </w:r>
                </w:p>
              </w:tc>
              <w:tc>
                <w:tcPr>
                  <w:tcW w:w="584" w:type="pct"/>
                  <w:vAlign w:val="center"/>
                </w:tcPr>
                <w:p w14:paraId="736E4848">
                  <w:pPr>
                    <w:jc w:val="center"/>
                    <w:rPr>
                      <w:rFonts w:hint="default" w:eastAsia="宋体"/>
                      <w:color w:val="auto"/>
                      <w:sz w:val="21"/>
                      <w:szCs w:val="21"/>
                      <w:lang w:val="en-US" w:eastAsia="zh-CN"/>
                    </w:rPr>
                  </w:pPr>
                  <w:r>
                    <w:rPr>
                      <w:rFonts w:hint="eastAsia"/>
                      <w:color w:val="auto"/>
                      <w:sz w:val="21"/>
                      <w:szCs w:val="21"/>
                      <w:lang w:val="en-US" w:eastAsia="zh-CN"/>
                    </w:rPr>
                    <w:t>25.1</w:t>
                  </w:r>
                </w:p>
              </w:tc>
              <w:tc>
                <w:tcPr>
                  <w:tcW w:w="535" w:type="pct"/>
                  <w:vAlign w:val="center"/>
                </w:tcPr>
                <w:p w14:paraId="7110E544">
                  <w:pPr>
                    <w:jc w:val="center"/>
                    <w:rPr>
                      <w:rFonts w:hint="default" w:eastAsia="宋体"/>
                      <w:color w:val="auto"/>
                      <w:sz w:val="21"/>
                      <w:szCs w:val="21"/>
                      <w:lang w:val="en-US" w:eastAsia="zh-CN"/>
                    </w:rPr>
                  </w:pPr>
                  <w:r>
                    <w:rPr>
                      <w:rFonts w:hint="eastAsia"/>
                      <w:color w:val="auto"/>
                      <w:sz w:val="21"/>
                      <w:szCs w:val="21"/>
                      <w:lang w:val="en-US" w:eastAsia="zh-CN"/>
                    </w:rPr>
                    <w:t>28.1</w:t>
                  </w:r>
                </w:p>
              </w:tc>
              <w:tc>
                <w:tcPr>
                  <w:tcW w:w="549" w:type="pct"/>
                  <w:vAlign w:val="center"/>
                </w:tcPr>
                <w:p w14:paraId="348DF74F">
                  <w:pPr>
                    <w:jc w:val="center"/>
                    <w:rPr>
                      <w:rFonts w:hint="default" w:eastAsia="宋体"/>
                      <w:color w:val="auto"/>
                      <w:sz w:val="21"/>
                      <w:szCs w:val="21"/>
                      <w:lang w:val="en-US" w:eastAsia="zh-CN"/>
                    </w:rPr>
                  </w:pPr>
                  <w:r>
                    <w:rPr>
                      <w:rFonts w:hint="eastAsia"/>
                      <w:color w:val="auto"/>
                      <w:sz w:val="21"/>
                      <w:szCs w:val="21"/>
                      <w:lang w:val="en-US" w:eastAsia="zh-CN"/>
                    </w:rPr>
                    <w:t>51.4</w:t>
                  </w:r>
                </w:p>
              </w:tc>
              <w:tc>
                <w:tcPr>
                  <w:tcW w:w="688" w:type="pct"/>
                  <w:vAlign w:val="center"/>
                </w:tcPr>
                <w:p w14:paraId="7CF6634C">
                  <w:pPr>
                    <w:widowControl/>
                    <w:jc w:val="center"/>
                    <w:textAlignment w:val="center"/>
                    <w:rPr>
                      <w:color w:val="auto"/>
                      <w:sz w:val="21"/>
                      <w:szCs w:val="21"/>
                    </w:rPr>
                  </w:pPr>
                  <w:r>
                    <w:rPr>
                      <w:color w:val="auto"/>
                      <w:sz w:val="21"/>
                      <w:szCs w:val="21"/>
                    </w:rPr>
                    <w:t>60</w:t>
                  </w:r>
                </w:p>
              </w:tc>
              <w:tc>
                <w:tcPr>
                  <w:tcW w:w="777" w:type="pct"/>
                  <w:vAlign w:val="center"/>
                </w:tcPr>
                <w:p w14:paraId="33E87D87">
                  <w:pPr>
                    <w:widowControl/>
                    <w:jc w:val="center"/>
                    <w:textAlignment w:val="center"/>
                    <w:rPr>
                      <w:color w:val="auto"/>
                      <w:sz w:val="21"/>
                      <w:szCs w:val="21"/>
                    </w:rPr>
                  </w:pPr>
                  <w:r>
                    <w:rPr>
                      <w:rFonts w:hint="eastAsia"/>
                      <w:color w:val="auto"/>
                      <w:sz w:val="21"/>
                      <w:szCs w:val="21"/>
                    </w:rPr>
                    <w:t>低于筛选值</w:t>
                  </w:r>
                </w:p>
              </w:tc>
            </w:tr>
            <w:tr w14:paraId="52A6C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pct"/>
                  <w:vAlign w:val="center"/>
                </w:tcPr>
                <w:p w14:paraId="64D5A048">
                  <w:pPr>
                    <w:adjustRightInd w:val="0"/>
                    <w:jc w:val="center"/>
                    <w:rPr>
                      <w:color w:val="auto"/>
                      <w:sz w:val="21"/>
                      <w:szCs w:val="21"/>
                    </w:rPr>
                  </w:pPr>
                  <w:r>
                    <w:rPr>
                      <w:rFonts w:hint="eastAsia"/>
                      <w:color w:val="auto"/>
                      <w:sz w:val="21"/>
                      <w:szCs w:val="21"/>
                    </w:rPr>
                    <w:t>镉（mg/kg）</w:t>
                  </w:r>
                </w:p>
              </w:tc>
              <w:tc>
                <w:tcPr>
                  <w:tcW w:w="536" w:type="pct"/>
                  <w:vAlign w:val="center"/>
                </w:tcPr>
                <w:p w14:paraId="79B25BB2">
                  <w:pPr>
                    <w:jc w:val="center"/>
                    <w:rPr>
                      <w:rFonts w:hint="default" w:eastAsia="宋体"/>
                      <w:color w:val="auto"/>
                      <w:sz w:val="21"/>
                      <w:szCs w:val="21"/>
                      <w:lang w:val="en-US" w:eastAsia="zh-CN"/>
                    </w:rPr>
                  </w:pPr>
                  <w:r>
                    <w:rPr>
                      <w:rFonts w:hint="eastAsia"/>
                      <w:color w:val="auto"/>
                      <w:sz w:val="21"/>
                      <w:szCs w:val="21"/>
                      <w:lang w:val="en-US" w:eastAsia="zh-CN"/>
                    </w:rPr>
                    <w:t>5.84</w:t>
                  </w:r>
                </w:p>
              </w:tc>
              <w:tc>
                <w:tcPr>
                  <w:tcW w:w="530" w:type="pct"/>
                  <w:vAlign w:val="center"/>
                </w:tcPr>
                <w:p w14:paraId="03D38486">
                  <w:pPr>
                    <w:jc w:val="center"/>
                    <w:rPr>
                      <w:color w:val="auto"/>
                      <w:sz w:val="21"/>
                      <w:szCs w:val="21"/>
                    </w:rPr>
                  </w:pPr>
                  <w:r>
                    <w:rPr>
                      <w:rFonts w:hint="eastAsia"/>
                      <w:color w:val="auto"/>
                      <w:sz w:val="21"/>
                      <w:szCs w:val="21"/>
                      <w:lang w:val="en-US" w:eastAsia="zh-CN"/>
                    </w:rPr>
                    <w:t>1.60</w:t>
                  </w:r>
                </w:p>
              </w:tc>
              <w:tc>
                <w:tcPr>
                  <w:tcW w:w="584" w:type="pct"/>
                  <w:vAlign w:val="center"/>
                </w:tcPr>
                <w:p w14:paraId="2E75FEBE">
                  <w:pPr>
                    <w:jc w:val="center"/>
                    <w:rPr>
                      <w:rFonts w:hint="default" w:eastAsia="宋体"/>
                      <w:color w:val="auto"/>
                      <w:sz w:val="21"/>
                      <w:szCs w:val="21"/>
                      <w:lang w:val="en-US" w:eastAsia="zh-CN"/>
                    </w:rPr>
                  </w:pPr>
                  <w:r>
                    <w:rPr>
                      <w:rFonts w:hint="eastAsia"/>
                      <w:color w:val="auto"/>
                      <w:sz w:val="21"/>
                      <w:szCs w:val="21"/>
                      <w:lang w:val="en-US" w:eastAsia="zh-CN"/>
                    </w:rPr>
                    <w:t>2.13</w:t>
                  </w:r>
                </w:p>
              </w:tc>
              <w:tc>
                <w:tcPr>
                  <w:tcW w:w="535" w:type="pct"/>
                  <w:vAlign w:val="center"/>
                </w:tcPr>
                <w:p w14:paraId="0C283BEA">
                  <w:pPr>
                    <w:jc w:val="center"/>
                    <w:rPr>
                      <w:rFonts w:hint="default" w:eastAsia="宋体"/>
                      <w:color w:val="auto"/>
                      <w:sz w:val="21"/>
                      <w:szCs w:val="21"/>
                      <w:lang w:val="en-US" w:eastAsia="zh-CN"/>
                    </w:rPr>
                  </w:pPr>
                  <w:r>
                    <w:rPr>
                      <w:rFonts w:hint="eastAsia"/>
                      <w:color w:val="auto"/>
                      <w:sz w:val="21"/>
                      <w:szCs w:val="21"/>
                      <w:lang w:val="en-US" w:eastAsia="zh-CN"/>
                    </w:rPr>
                    <w:t>3.57</w:t>
                  </w:r>
                </w:p>
              </w:tc>
              <w:tc>
                <w:tcPr>
                  <w:tcW w:w="549" w:type="pct"/>
                  <w:vAlign w:val="center"/>
                </w:tcPr>
                <w:p w14:paraId="201C992F">
                  <w:pPr>
                    <w:jc w:val="center"/>
                    <w:rPr>
                      <w:rFonts w:hint="default" w:eastAsia="宋体"/>
                      <w:color w:val="auto"/>
                      <w:sz w:val="21"/>
                      <w:szCs w:val="21"/>
                      <w:lang w:val="en-US" w:eastAsia="zh-CN"/>
                    </w:rPr>
                  </w:pPr>
                  <w:r>
                    <w:rPr>
                      <w:rFonts w:hint="eastAsia"/>
                      <w:color w:val="auto"/>
                      <w:sz w:val="21"/>
                      <w:szCs w:val="21"/>
                      <w:lang w:val="en-US" w:eastAsia="zh-CN"/>
                    </w:rPr>
                    <w:t>0.42</w:t>
                  </w:r>
                </w:p>
              </w:tc>
              <w:tc>
                <w:tcPr>
                  <w:tcW w:w="688" w:type="pct"/>
                  <w:vAlign w:val="center"/>
                </w:tcPr>
                <w:p w14:paraId="2186374E">
                  <w:pPr>
                    <w:widowControl/>
                    <w:jc w:val="center"/>
                    <w:textAlignment w:val="center"/>
                    <w:rPr>
                      <w:color w:val="auto"/>
                      <w:sz w:val="21"/>
                      <w:szCs w:val="21"/>
                    </w:rPr>
                  </w:pPr>
                  <w:r>
                    <w:rPr>
                      <w:color w:val="auto"/>
                      <w:sz w:val="21"/>
                      <w:szCs w:val="21"/>
                    </w:rPr>
                    <w:t>65</w:t>
                  </w:r>
                </w:p>
              </w:tc>
              <w:tc>
                <w:tcPr>
                  <w:tcW w:w="777" w:type="pct"/>
                  <w:vAlign w:val="center"/>
                </w:tcPr>
                <w:p w14:paraId="0C35CDED">
                  <w:pPr>
                    <w:jc w:val="center"/>
                    <w:rPr>
                      <w:color w:val="auto"/>
                      <w:sz w:val="21"/>
                      <w:szCs w:val="21"/>
                    </w:rPr>
                  </w:pPr>
                  <w:r>
                    <w:rPr>
                      <w:rFonts w:hint="eastAsia"/>
                      <w:color w:val="auto"/>
                      <w:sz w:val="21"/>
                      <w:szCs w:val="21"/>
                    </w:rPr>
                    <w:t>低于筛选值</w:t>
                  </w:r>
                </w:p>
              </w:tc>
            </w:tr>
            <w:tr w14:paraId="00640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pct"/>
                  <w:vAlign w:val="center"/>
                </w:tcPr>
                <w:p w14:paraId="28BAA01E">
                  <w:pPr>
                    <w:adjustRightInd w:val="0"/>
                    <w:jc w:val="center"/>
                    <w:rPr>
                      <w:color w:val="auto"/>
                      <w:sz w:val="21"/>
                      <w:szCs w:val="21"/>
                    </w:rPr>
                  </w:pPr>
                  <w:r>
                    <w:rPr>
                      <w:rFonts w:hint="eastAsia"/>
                      <w:color w:val="auto"/>
                      <w:sz w:val="21"/>
                      <w:szCs w:val="21"/>
                    </w:rPr>
                    <w:t>六价铬（mg/kg）</w:t>
                  </w:r>
                </w:p>
              </w:tc>
              <w:tc>
                <w:tcPr>
                  <w:tcW w:w="536" w:type="pct"/>
                  <w:vAlign w:val="center"/>
                </w:tcPr>
                <w:p w14:paraId="44D7B215">
                  <w:pPr>
                    <w:jc w:val="center"/>
                    <w:rPr>
                      <w:rFonts w:hint="eastAsia" w:eastAsia="宋体"/>
                      <w:color w:val="auto"/>
                      <w:sz w:val="21"/>
                      <w:szCs w:val="21"/>
                      <w:lang w:val="en-US" w:eastAsia="zh-CN"/>
                    </w:rPr>
                  </w:pPr>
                  <w:r>
                    <w:rPr>
                      <w:rFonts w:hint="eastAsia"/>
                      <w:color w:val="auto"/>
                      <w:sz w:val="21"/>
                      <w:szCs w:val="21"/>
                      <w:lang w:val="en-US" w:eastAsia="zh-CN"/>
                    </w:rPr>
                    <w:t>未检出</w:t>
                  </w:r>
                </w:p>
              </w:tc>
              <w:tc>
                <w:tcPr>
                  <w:tcW w:w="530" w:type="pct"/>
                  <w:vAlign w:val="center"/>
                </w:tcPr>
                <w:p w14:paraId="0B359514">
                  <w:pPr>
                    <w:jc w:val="center"/>
                    <w:rPr>
                      <w:color w:val="auto"/>
                      <w:sz w:val="21"/>
                      <w:szCs w:val="21"/>
                    </w:rPr>
                  </w:pPr>
                  <w:r>
                    <w:rPr>
                      <w:rFonts w:hint="eastAsia"/>
                      <w:color w:val="auto"/>
                      <w:sz w:val="21"/>
                      <w:szCs w:val="21"/>
                      <w:lang w:val="en-US" w:eastAsia="zh-CN"/>
                    </w:rPr>
                    <w:t>未检出</w:t>
                  </w:r>
                </w:p>
              </w:tc>
              <w:tc>
                <w:tcPr>
                  <w:tcW w:w="584" w:type="pct"/>
                  <w:vAlign w:val="center"/>
                </w:tcPr>
                <w:p w14:paraId="501C0930">
                  <w:pPr>
                    <w:jc w:val="center"/>
                    <w:rPr>
                      <w:rFonts w:hint="eastAsia" w:eastAsia="宋体"/>
                      <w:color w:val="auto"/>
                      <w:sz w:val="21"/>
                      <w:szCs w:val="21"/>
                      <w:lang w:val="en-US" w:eastAsia="zh-CN"/>
                    </w:rPr>
                  </w:pPr>
                  <w:r>
                    <w:rPr>
                      <w:rFonts w:hint="eastAsia"/>
                      <w:color w:val="auto"/>
                      <w:sz w:val="21"/>
                      <w:szCs w:val="21"/>
                      <w:lang w:val="en-US" w:eastAsia="zh-CN"/>
                    </w:rPr>
                    <w:t>未检出</w:t>
                  </w:r>
                </w:p>
              </w:tc>
              <w:tc>
                <w:tcPr>
                  <w:tcW w:w="535" w:type="pct"/>
                  <w:vAlign w:val="center"/>
                </w:tcPr>
                <w:p w14:paraId="2EED0F90">
                  <w:pPr>
                    <w:jc w:val="center"/>
                    <w:rPr>
                      <w:rFonts w:hint="eastAsia" w:eastAsia="宋体"/>
                      <w:color w:val="auto"/>
                      <w:sz w:val="21"/>
                      <w:szCs w:val="21"/>
                      <w:lang w:val="en-US" w:eastAsia="zh-CN"/>
                    </w:rPr>
                  </w:pPr>
                  <w:r>
                    <w:rPr>
                      <w:rFonts w:hint="eastAsia"/>
                      <w:color w:val="auto"/>
                      <w:sz w:val="21"/>
                      <w:szCs w:val="21"/>
                      <w:lang w:val="en-US" w:eastAsia="zh-CN"/>
                    </w:rPr>
                    <w:t>/</w:t>
                  </w:r>
                </w:p>
              </w:tc>
              <w:tc>
                <w:tcPr>
                  <w:tcW w:w="549" w:type="pct"/>
                  <w:vAlign w:val="center"/>
                </w:tcPr>
                <w:p w14:paraId="763041D5">
                  <w:pPr>
                    <w:jc w:val="center"/>
                    <w:rPr>
                      <w:rFonts w:hint="eastAsia" w:eastAsia="宋体"/>
                      <w:color w:val="auto"/>
                      <w:sz w:val="21"/>
                      <w:szCs w:val="21"/>
                      <w:lang w:val="en-US" w:eastAsia="zh-CN"/>
                    </w:rPr>
                  </w:pPr>
                  <w:r>
                    <w:rPr>
                      <w:rFonts w:hint="eastAsia"/>
                      <w:color w:val="auto"/>
                      <w:sz w:val="21"/>
                      <w:szCs w:val="21"/>
                      <w:lang w:val="en-US" w:eastAsia="zh-CN"/>
                    </w:rPr>
                    <w:t>/</w:t>
                  </w:r>
                </w:p>
              </w:tc>
              <w:tc>
                <w:tcPr>
                  <w:tcW w:w="688" w:type="pct"/>
                  <w:vAlign w:val="center"/>
                </w:tcPr>
                <w:p w14:paraId="364B138F">
                  <w:pPr>
                    <w:widowControl/>
                    <w:jc w:val="center"/>
                    <w:textAlignment w:val="center"/>
                    <w:rPr>
                      <w:color w:val="auto"/>
                      <w:sz w:val="21"/>
                      <w:szCs w:val="21"/>
                    </w:rPr>
                  </w:pPr>
                  <w:r>
                    <w:rPr>
                      <w:color w:val="auto"/>
                      <w:sz w:val="21"/>
                      <w:szCs w:val="21"/>
                    </w:rPr>
                    <w:t>5.7</w:t>
                  </w:r>
                </w:p>
              </w:tc>
              <w:tc>
                <w:tcPr>
                  <w:tcW w:w="777" w:type="pct"/>
                  <w:vAlign w:val="center"/>
                </w:tcPr>
                <w:p w14:paraId="2FAACFA8">
                  <w:pPr>
                    <w:jc w:val="center"/>
                    <w:rPr>
                      <w:color w:val="auto"/>
                      <w:sz w:val="21"/>
                      <w:szCs w:val="21"/>
                    </w:rPr>
                  </w:pPr>
                  <w:r>
                    <w:rPr>
                      <w:rFonts w:hint="eastAsia"/>
                      <w:color w:val="auto"/>
                      <w:sz w:val="21"/>
                      <w:szCs w:val="21"/>
                    </w:rPr>
                    <w:t>低于筛选值</w:t>
                  </w:r>
                </w:p>
              </w:tc>
            </w:tr>
            <w:tr w14:paraId="14F2B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pct"/>
                  <w:vAlign w:val="center"/>
                </w:tcPr>
                <w:p w14:paraId="1C9D8C01">
                  <w:pPr>
                    <w:adjustRightInd w:val="0"/>
                    <w:jc w:val="center"/>
                    <w:rPr>
                      <w:color w:val="auto"/>
                      <w:sz w:val="21"/>
                      <w:szCs w:val="21"/>
                    </w:rPr>
                  </w:pPr>
                  <w:r>
                    <w:rPr>
                      <w:rFonts w:hint="eastAsia"/>
                      <w:color w:val="auto"/>
                      <w:sz w:val="21"/>
                      <w:szCs w:val="21"/>
                    </w:rPr>
                    <w:t>铜（mg/kg）</w:t>
                  </w:r>
                </w:p>
              </w:tc>
              <w:tc>
                <w:tcPr>
                  <w:tcW w:w="536" w:type="pct"/>
                  <w:vAlign w:val="center"/>
                </w:tcPr>
                <w:p w14:paraId="440E7B36">
                  <w:pPr>
                    <w:jc w:val="center"/>
                    <w:rPr>
                      <w:rFonts w:hint="default" w:eastAsia="宋体"/>
                      <w:color w:val="auto"/>
                      <w:sz w:val="21"/>
                      <w:szCs w:val="21"/>
                      <w:lang w:val="en-US" w:eastAsia="zh-CN"/>
                    </w:rPr>
                  </w:pPr>
                  <w:r>
                    <w:rPr>
                      <w:rFonts w:hint="eastAsia"/>
                      <w:color w:val="auto"/>
                      <w:sz w:val="21"/>
                      <w:szCs w:val="21"/>
                      <w:lang w:val="en-US" w:eastAsia="zh-CN"/>
                    </w:rPr>
                    <w:t>77</w:t>
                  </w:r>
                </w:p>
              </w:tc>
              <w:tc>
                <w:tcPr>
                  <w:tcW w:w="530" w:type="pct"/>
                  <w:vAlign w:val="center"/>
                </w:tcPr>
                <w:p w14:paraId="759D8BA4">
                  <w:pPr>
                    <w:jc w:val="center"/>
                    <w:rPr>
                      <w:rFonts w:hint="default" w:eastAsia="宋体"/>
                      <w:color w:val="auto"/>
                      <w:sz w:val="21"/>
                      <w:szCs w:val="21"/>
                      <w:lang w:val="en-US" w:eastAsia="zh-CN"/>
                    </w:rPr>
                  </w:pPr>
                  <w:r>
                    <w:rPr>
                      <w:rFonts w:hint="eastAsia"/>
                      <w:color w:val="auto"/>
                      <w:sz w:val="21"/>
                      <w:szCs w:val="21"/>
                      <w:lang w:val="en-US" w:eastAsia="zh-CN"/>
                    </w:rPr>
                    <w:t>36</w:t>
                  </w:r>
                </w:p>
              </w:tc>
              <w:tc>
                <w:tcPr>
                  <w:tcW w:w="584" w:type="pct"/>
                  <w:vAlign w:val="center"/>
                </w:tcPr>
                <w:p w14:paraId="464B14C4">
                  <w:pPr>
                    <w:jc w:val="center"/>
                    <w:rPr>
                      <w:rFonts w:hint="default" w:eastAsia="宋体"/>
                      <w:color w:val="auto"/>
                      <w:sz w:val="21"/>
                      <w:szCs w:val="21"/>
                      <w:lang w:val="en-US" w:eastAsia="zh-CN"/>
                    </w:rPr>
                  </w:pPr>
                  <w:r>
                    <w:rPr>
                      <w:rFonts w:hint="eastAsia"/>
                      <w:color w:val="auto"/>
                      <w:sz w:val="21"/>
                      <w:szCs w:val="21"/>
                      <w:lang w:val="en-US" w:eastAsia="zh-CN"/>
                    </w:rPr>
                    <w:t>47</w:t>
                  </w:r>
                </w:p>
              </w:tc>
              <w:tc>
                <w:tcPr>
                  <w:tcW w:w="535" w:type="pct"/>
                  <w:vAlign w:val="center"/>
                </w:tcPr>
                <w:p w14:paraId="7A579CFA">
                  <w:pPr>
                    <w:jc w:val="center"/>
                    <w:rPr>
                      <w:rFonts w:hint="default" w:eastAsia="宋体"/>
                      <w:color w:val="auto"/>
                      <w:sz w:val="21"/>
                      <w:szCs w:val="21"/>
                      <w:lang w:val="en-US" w:eastAsia="zh-CN"/>
                    </w:rPr>
                  </w:pPr>
                  <w:r>
                    <w:rPr>
                      <w:rFonts w:hint="eastAsia"/>
                      <w:color w:val="auto"/>
                      <w:sz w:val="21"/>
                      <w:szCs w:val="21"/>
                      <w:lang w:val="en-US" w:eastAsia="zh-CN"/>
                    </w:rPr>
                    <w:t>102</w:t>
                  </w:r>
                </w:p>
              </w:tc>
              <w:tc>
                <w:tcPr>
                  <w:tcW w:w="549" w:type="pct"/>
                  <w:vAlign w:val="center"/>
                </w:tcPr>
                <w:p w14:paraId="0D504F71">
                  <w:pPr>
                    <w:jc w:val="center"/>
                    <w:rPr>
                      <w:rFonts w:hint="default" w:eastAsia="宋体"/>
                      <w:color w:val="auto"/>
                      <w:sz w:val="21"/>
                      <w:szCs w:val="21"/>
                      <w:lang w:val="en-US" w:eastAsia="zh-CN"/>
                    </w:rPr>
                  </w:pPr>
                  <w:r>
                    <w:rPr>
                      <w:rFonts w:hint="eastAsia"/>
                      <w:color w:val="auto"/>
                      <w:sz w:val="21"/>
                      <w:szCs w:val="21"/>
                      <w:lang w:val="en-US" w:eastAsia="zh-CN"/>
                    </w:rPr>
                    <w:t>62</w:t>
                  </w:r>
                </w:p>
              </w:tc>
              <w:tc>
                <w:tcPr>
                  <w:tcW w:w="688" w:type="pct"/>
                  <w:vAlign w:val="center"/>
                </w:tcPr>
                <w:p w14:paraId="3D88594B">
                  <w:pPr>
                    <w:widowControl/>
                    <w:jc w:val="center"/>
                    <w:textAlignment w:val="center"/>
                    <w:rPr>
                      <w:color w:val="auto"/>
                      <w:sz w:val="21"/>
                      <w:szCs w:val="21"/>
                    </w:rPr>
                  </w:pPr>
                  <w:r>
                    <w:rPr>
                      <w:color w:val="auto"/>
                      <w:sz w:val="21"/>
                      <w:szCs w:val="21"/>
                    </w:rPr>
                    <w:t>18000</w:t>
                  </w:r>
                </w:p>
              </w:tc>
              <w:tc>
                <w:tcPr>
                  <w:tcW w:w="777" w:type="pct"/>
                  <w:vAlign w:val="center"/>
                </w:tcPr>
                <w:p w14:paraId="10581897">
                  <w:pPr>
                    <w:jc w:val="center"/>
                    <w:rPr>
                      <w:color w:val="auto"/>
                      <w:sz w:val="21"/>
                      <w:szCs w:val="21"/>
                    </w:rPr>
                  </w:pPr>
                  <w:r>
                    <w:rPr>
                      <w:rFonts w:hint="eastAsia"/>
                      <w:color w:val="auto"/>
                      <w:sz w:val="21"/>
                      <w:szCs w:val="21"/>
                    </w:rPr>
                    <w:t>低于筛选值</w:t>
                  </w:r>
                </w:p>
              </w:tc>
            </w:tr>
            <w:tr w14:paraId="5FCA3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pct"/>
                  <w:vAlign w:val="center"/>
                </w:tcPr>
                <w:p w14:paraId="7566DFB3">
                  <w:pPr>
                    <w:adjustRightInd w:val="0"/>
                    <w:jc w:val="center"/>
                    <w:rPr>
                      <w:color w:val="auto"/>
                      <w:sz w:val="21"/>
                      <w:szCs w:val="21"/>
                    </w:rPr>
                  </w:pPr>
                  <w:r>
                    <w:rPr>
                      <w:rFonts w:hint="eastAsia"/>
                      <w:color w:val="auto"/>
                      <w:sz w:val="21"/>
                      <w:szCs w:val="21"/>
                    </w:rPr>
                    <w:t>铅（mg/kg）</w:t>
                  </w:r>
                </w:p>
              </w:tc>
              <w:tc>
                <w:tcPr>
                  <w:tcW w:w="536" w:type="pct"/>
                  <w:vAlign w:val="center"/>
                </w:tcPr>
                <w:p w14:paraId="6C330108">
                  <w:pPr>
                    <w:jc w:val="center"/>
                    <w:rPr>
                      <w:rFonts w:hint="default" w:eastAsia="宋体"/>
                      <w:color w:val="auto"/>
                      <w:sz w:val="21"/>
                      <w:szCs w:val="21"/>
                      <w:lang w:val="en-US" w:eastAsia="zh-CN"/>
                    </w:rPr>
                  </w:pPr>
                  <w:r>
                    <w:rPr>
                      <w:rFonts w:hint="eastAsia"/>
                      <w:color w:val="auto"/>
                      <w:sz w:val="21"/>
                      <w:szCs w:val="21"/>
                      <w:lang w:val="en-US" w:eastAsia="zh-CN"/>
                    </w:rPr>
                    <w:t>81</w:t>
                  </w:r>
                </w:p>
              </w:tc>
              <w:tc>
                <w:tcPr>
                  <w:tcW w:w="530" w:type="pct"/>
                  <w:vAlign w:val="center"/>
                </w:tcPr>
                <w:p w14:paraId="10A39EB7">
                  <w:pPr>
                    <w:jc w:val="center"/>
                    <w:rPr>
                      <w:rFonts w:hint="default" w:eastAsia="宋体"/>
                      <w:color w:val="auto"/>
                      <w:sz w:val="21"/>
                      <w:szCs w:val="21"/>
                      <w:lang w:val="en-US" w:eastAsia="zh-CN"/>
                    </w:rPr>
                  </w:pPr>
                  <w:r>
                    <w:rPr>
                      <w:rFonts w:hint="eastAsia"/>
                      <w:color w:val="auto"/>
                      <w:sz w:val="21"/>
                      <w:szCs w:val="21"/>
                      <w:lang w:val="en-US" w:eastAsia="zh-CN"/>
                    </w:rPr>
                    <w:t>45</w:t>
                  </w:r>
                </w:p>
              </w:tc>
              <w:tc>
                <w:tcPr>
                  <w:tcW w:w="584" w:type="pct"/>
                  <w:vAlign w:val="center"/>
                </w:tcPr>
                <w:p w14:paraId="37EDC7D6">
                  <w:pPr>
                    <w:jc w:val="center"/>
                    <w:rPr>
                      <w:rFonts w:hint="default" w:eastAsia="宋体"/>
                      <w:color w:val="auto"/>
                      <w:sz w:val="21"/>
                      <w:szCs w:val="21"/>
                      <w:lang w:val="en-US" w:eastAsia="zh-CN"/>
                    </w:rPr>
                  </w:pPr>
                  <w:r>
                    <w:rPr>
                      <w:rFonts w:hint="eastAsia"/>
                      <w:color w:val="auto"/>
                      <w:sz w:val="21"/>
                      <w:szCs w:val="21"/>
                      <w:lang w:val="en-US" w:eastAsia="zh-CN"/>
                    </w:rPr>
                    <w:t>40</w:t>
                  </w:r>
                </w:p>
              </w:tc>
              <w:tc>
                <w:tcPr>
                  <w:tcW w:w="535" w:type="pct"/>
                  <w:vAlign w:val="center"/>
                </w:tcPr>
                <w:p w14:paraId="345963FD">
                  <w:pPr>
                    <w:jc w:val="center"/>
                    <w:rPr>
                      <w:rFonts w:hint="default" w:eastAsia="宋体"/>
                      <w:color w:val="auto"/>
                      <w:sz w:val="21"/>
                      <w:szCs w:val="21"/>
                      <w:lang w:val="en-US" w:eastAsia="zh-CN"/>
                    </w:rPr>
                  </w:pPr>
                  <w:r>
                    <w:rPr>
                      <w:rFonts w:hint="eastAsia"/>
                      <w:color w:val="auto"/>
                      <w:sz w:val="21"/>
                      <w:szCs w:val="21"/>
                      <w:lang w:val="en-US" w:eastAsia="zh-CN"/>
                    </w:rPr>
                    <w:t>74</w:t>
                  </w:r>
                </w:p>
              </w:tc>
              <w:tc>
                <w:tcPr>
                  <w:tcW w:w="549" w:type="pct"/>
                  <w:vAlign w:val="center"/>
                </w:tcPr>
                <w:p w14:paraId="0986A4DB">
                  <w:pPr>
                    <w:jc w:val="center"/>
                    <w:rPr>
                      <w:rFonts w:hint="default" w:eastAsia="宋体"/>
                      <w:color w:val="auto"/>
                      <w:sz w:val="21"/>
                      <w:szCs w:val="21"/>
                      <w:lang w:val="en-US" w:eastAsia="zh-CN"/>
                    </w:rPr>
                  </w:pPr>
                  <w:r>
                    <w:rPr>
                      <w:rFonts w:hint="eastAsia"/>
                      <w:color w:val="auto"/>
                      <w:sz w:val="21"/>
                      <w:szCs w:val="21"/>
                      <w:lang w:val="en-US" w:eastAsia="zh-CN"/>
                    </w:rPr>
                    <w:t>66</w:t>
                  </w:r>
                </w:p>
              </w:tc>
              <w:tc>
                <w:tcPr>
                  <w:tcW w:w="688" w:type="pct"/>
                  <w:vAlign w:val="center"/>
                </w:tcPr>
                <w:p w14:paraId="27771F05">
                  <w:pPr>
                    <w:widowControl/>
                    <w:jc w:val="center"/>
                    <w:textAlignment w:val="center"/>
                    <w:rPr>
                      <w:color w:val="auto"/>
                      <w:sz w:val="21"/>
                      <w:szCs w:val="21"/>
                    </w:rPr>
                  </w:pPr>
                  <w:r>
                    <w:rPr>
                      <w:color w:val="auto"/>
                      <w:sz w:val="21"/>
                      <w:szCs w:val="21"/>
                    </w:rPr>
                    <w:t>800</w:t>
                  </w:r>
                </w:p>
              </w:tc>
              <w:tc>
                <w:tcPr>
                  <w:tcW w:w="777" w:type="pct"/>
                  <w:vAlign w:val="center"/>
                </w:tcPr>
                <w:p w14:paraId="62E8993F">
                  <w:pPr>
                    <w:jc w:val="center"/>
                    <w:rPr>
                      <w:color w:val="auto"/>
                      <w:sz w:val="21"/>
                      <w:szCs w:val="21"/>
                    </w:rPr>
                  </w:pPr>
                  <w:r>
                    <w:rPr>
                      <w:rFonts w:hint="eastAsia"/>
                      <w:color w:val="auto"/>
                      <w:sz w:val="21"/>
                      <w:szCs w:val="21"/>
                    </w:rPr>
                    <w:t>低于筛选值</w:t>
                  </w:r>
                </w:p>
              </w:tc>
            </w:tr>
            <w:tr w14:paraId="5BC01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pct"/>
                  <w:vAlign w:val="center"/>
                </w:tcPr>
                <w:p w14:paraId="58762BF7">
                  <w:pPr>
                    <w:adjustRightInd w:val="0"/>
                    <w:jc w:val="center"/>
                    <w:rPr>
                      <w:color w:val="auto"/>
                      <w:sz w:val="21"/>
                      <w:szCs w:val="21"/>
                    </w:rPr>
                  </w:pPr>
                  <w:r>
                    <w:rPr>
                      <w:rFonts w:hint="eastAsia"/>
                      <w:color w:val="auto"/>
                      <w:sz w:val="21"/>
                      <w:szCs w:val="21"/>
                    </w:rPr>
                    <w:t>汞（mg/kg）</w:t>
                  </w:r>
                </w:p>
              </w:tc>
              <w:tc>
                <w:tcPr>
                  <w:tcW w:w="536" w:type="pct"/>
                  <w:vAlign w:val="center"/>
                </w:tcPr>
                <w:p w14:paraId="4CB43D1F">
                  <w:pPr>
                    <w:jc w:val="center"/>
                    <w:rPr>
                      <w:rFonts w:hint="default" w:eastAsia="宋体"/>
                      <w:color w:val="auto"/>
                      <w:sz w:val="21"/>
                      <w:szCs w:val="21"/>
                      <w:lang w:val="en-US" w:eastAsia="zh-CN"/>
                    </w:rPr>
                  </w:pPr>
                  <w:r>
                    <w:rPr>
                      <w:rFonts w:hint="eastAsia"/>
                      <w:color w:val="auto"/>
                      <w:sz w:val="21"/>
                      <w:szCs w:val="21"/>
                      <w:lang w:val="en-US" w:eastAsia="zh-CN"/>
                    </w:rPr>
                    <w:t>0.286</w:t>
                  </w:r>
                </w:p>
              </w:tc>
              <w:tc>
                <w:tcPr>
                  <w:tcW w:w="530" w:type="pct"/>
                  <w:vAlign w:val="center"/>
                </w:tcPr>
                <w:p w14:paraId="0778C676">
                  <w:pPr>
                    <w:jc w:val="center"/>
                    <w:rPr>
                      <w:rFonts w:hint="default" w:eastAsia="宋体"/>
                      <w:color w:val="auto"/>
                      <w:sz w:val="21"/>
                      <w:szCs w:val="21"/>
                      <w:lang w:val="en-US" w:eastAsia="zh-CN"/>
                    </w:rPr>
                  </w:pPr>
                  <w:r>
                    <w:rPr>
                      <w:rFonts w:hint="eastAsia"/>
                      <w:color w:val="auto"/>
                      <w:sz w:val="21"/>
                      <w:szCs w:val="21"/>
                      <w:lang w:val="en-US" w:eastAsia="zh-CN"/>
                    </w:rPr>
                    <w:t>0.180</w:t>
                  </w:r>
                </w:p>
              </w:tc>
              <w:tc>
                <w:tcPr>
                  <w:tcW w:w="584" w:type="pct"/>
                  <w:vAlign w:val="center"/>
                </w:tcPr>
                <w:p w14:paraId="77560A20">
                  <w:pPr>
                    <w:jc w:val="center"/>
                    <w:rPr>
                      <w:rFonts w:hint="default" w:eastAsia="宋体"/>
                      <w:color w:val="auto"/>
                      <w:sz w:val="21"/>
                      <w:szCs w:val="21"/>
                      <w:lang w:val="en-US" w:eastAsia="zh-CN"/>
                    </w:rPr>
                  </w:pPr>
                  <w:r>
                    <w:rPr>
                      <w:rFonts w:hint="eastAsia"/>
                      <w:color w:val="auto"/>
                      <w:sz w:val="21"/>
                      <w:szCs w:val="21"/>
                      <w:lang w:val="en-US" w:eastAsia="zh-CN"/>
                    </w:rPr>
                    <w:t>1.35</w:t>
                  </w:r>
                </w:p>
              </w:tc>
              <w:tc>
                <w:tcPr>
                  <w:tcW w:w="535" w:type="pct"/>
                  <w:vAlign w:val="center"/>
                </w:tcPr>
                <w:p w14:paraId="5A18A877">
                  <w:pPr>
                    <w:jc w:val="center"/>
                    <w:rPr>
                      <w:rFonts w:hint="default" w:eastAsia="宋体"/>
                      <w:color w:val="auto"/>
                      <w:sz w:val="21"/>
                      <w:szCs w:val="21"/>
                      <w:lang w:val="en-US" w:eastAsia="zh-CN"/>
                    </w:rPr>
                  </w:pPr>
                  <w:r>
                    <w:rPr>
                      <w:rFonts w:hint="eastAsia"/>
                      <w:color w:val="auto"/>
                      <w:sz w:val="21"/>
                      <w:szCs w:val="21"/>
                      <w:lang w:val="en-US" w:eastAsia="zh-CN"/>
                    </w:rPr>
                    <w:t>0.166</w:t>
                  </w:r>
                </w:p>
              </w:tc>
              <w:tc>
                <w:tcPr>
                  <w:tcW w:w="549" w:type="pct"/>
                  <w:vAlign w:val="center"/>
                </w:tcPr>
                <w:p w14:paraId="6B7F69F2">
                  <w:pPr>
                    <w:jc w:val="center"/>
                    <w:rPr>
                      <w:rFonts w:hint="default" w:eastAsia="宋体"/>
                      <w:color w:val="auto"/>
                      <w:sz w:val="21"/>
                      <w:szCs w:val="21"/>
                      <w:lang w:val="en-US" w:eastAsia="zh-CN"/>
                    </w:rPr>
                  </w:pPr>
                  <w:r>
                    <w:rPr>
                      <w:rFonts w:hint="eastAsia"/>
                      <w:color w:val="auto"/>
                      <w:sz w:val="21"/>
                      <w:szCs w:val="21"/>
                      <w:lang w:val="en-US" w:eastAsia="zh-CN"/>
                    </w:rPr>
                    <w:t>0.169</w:t>
                  </w:r>
                </w:p>
              </w:tc>
              <w:tc>
                <w:tcPr>
                  <w:tcW w:w="688" w:type="pct"/>
                  <w:vAlign w:val="center"/>
                </w:tcPr>
                <w:p w14:paraId="1BA93442">
                  <w:pPr>
                    <w:widowControl/>
                    <w:jc w:val="center"/>
                    <w:textAlignment w:val="center"/>
                    <w:rPr>
                      <w:color w:val="auto"/>
                      <w:sz w:val="21"/>
                      <w:szCs w:val="21"/>
                    </w:rPr>
                  </w:pPr>
                  <w:r>
                    <w:rPr>
                      <w:color w:val="auto"/>
                      <w:sz w:val="21"/>
                      <w:szCs w:val="21"/>
                    </w:rPr>
                    <w:t>38</w:t>
                  </w:r>
                </w:p>
              </w:tc>
              <w:tc>
                <w:tcPr>
                  <w:tcW w:w="777" w:type="pct"/>
                  <w:vAlign w:val="center"/>
                </w:tcPr>
                <w:p w14:paraId="101114AE">
                  <w:pPr>
                    <w:jc w:val="center"/>
                    <w:rPr>
                      <w:color w:val="auto"/>
                      <w:sz w:val="21"/>
                      <w:szCs w:val="21"/>
                    </w:rPr>
                  </w:pPr>
                  <w:r>
                    <w:rPr>
                      <w:rFonts w:hint="eastAsia"/>
                      <w:color w:val="auto"/>
                      <w:sz w:val="21"/>
                      <w:szCs w:val="21"/>
                    </w:rPr>
                    <w:t>低于筛选值</w:t>
                  </w:r>
                </w:p>
              </w:tc>
            </w:tr>
            <w:tr w14:paraId="2F6CE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pct"/>
                  <w:vAlign w:val="center"/>
                </w:tcPr>
                <w:p w14:paraId="7F63F679">
                  <w:pPr>
                    <w:adjustRightInd w:val="0"/>
                    <w:jc w:val="center"/>
                    <w:rPr>
                      <w:color w:val="auto"/>
                      <w:sz w:val="21"/>
                      <w:szCs w:val="21"/>
                    </w:rPr>
                  </w:pPr>
                  <w:r>
                    <w:rPr>
                      <w:rFonts w:hint="eastAsia"/>
                      <w:color w:val="auto"/>
                      <w:sz w:val="21"/>
                      <w:szCs w:val="21"/>
                    </w:rPr>
                    <w:t>镍（mg/kg）</w:t>
                  </w:r>
                </w:p>
              </w:tc>
              <w:tc>
                <w:tcPr>
                  <w:tcW w:w="536" w:type="pct"/>
                  <w:vAlign w:val="center"/>
                </w:tcPr>
                <w:p w14:paraId="460B5CCD">
                  <w:pPr>
                    <w:jc w:val="center"/>
                    <w:rPr>
                      <w:rFonts w:hint="default" w:eastAsia="宋体"/>
                      <w:color w:val="auto"/>
                      <w:sz w:val="21"/>
                      <w:szCs w:val="21"/>
                      <w:lang w:val="en-US" w:eastAsia="zh-CN"/>
                    </w:rPr>
                  </w:pPr>
                  <w:r>
                    <w:rPr>
                      <w:rFonts w:hint="eastAsia"/>
                      <w:color w:val="auto"/>
                      <w:sz w:val="21"/>
                      <w:szCs w:val="21"/>
                      <w:lang w:val="en-US" w:eastAsia="zh-CN"/>
                    </w:rPr>
                    <w:t>50</w:t>
                  </w:r>
                </w:p>
              </w:tc>
              <w:tc>
                <w:tcPr>
                  <w:tcW w:w="530" w:type="pct"/>
                  <w:vAlign w:val="center"/>
                </w:tcPr>
                <w:p w14:paraId="7EEDC34D">
                  <w:pPr>
                    <w:jc w:val="center"/>
                    <w:rPr>
                      <w:rFonts w:hint="default" w:eastAsia="宋体"/>
                      <w:color w:val="auto"/>
                      <w:sz w:val="21"/>
                      <w:szCs w:val="21"/>
                      <w:lang w:val="en-US" w:eastAsia="zh-CN"/>
                    </w:rPr>
                  </w:pPr>
                  <w:r>
                    <w:rPr>
                      <w:rFonts w:hint="eastAsia"/>
                      <w:color w:val="auto"/>
                      <w:sz w:val="21"/>
                      <w:szCs w:val="21"/>
                      <w:lang w:val="en-US" w:eastAsia="zh-CN"/>
                    </w:rPr>
                    <w:t>30</w:t>
                  </w:r>
                </w:p>
              </w:tc>
              <w:tc>
                <w:tcPr>
                  <w:tcW w:w="584" w:type="pct"/>
                  <w:vAlign w:val="center"/>
                </w:tcPr>
                <w:p w14:paraId="13604D19">
                  <w:pPr>
                    <w:jc w:val="center"/>
                    <w:rPr>
                      <w:rFonts w:hint="default" w:eastAsia="宋体"/>
                      <w:color w:val="auto"/>
                      <w:sz w:val="21"/>
                      <w:szCs w:val="21"/>
                      <w:lang w:val="en-US" w:eastAsia="zh-CN"/>
                    </w:rPr>
                  </w:pPr>
                  <w:r>
                    <w:rPr>
                      <w:rFonts w:hint="eastAsia"/>
                      <w:color w:val="auto"/>
                      <w:sz w:val="21"/>
                      <w:szCs w:val="21"/>
                      <w:lang w:val="en-US" w:eastAsia="zh-CN"/>
                    </w:rPr>
                    <w:t>44</w:t>
                  </w:r>
                </w:p>
              </w:tc>
              <w:tc>
                <w:tcPr>
                  <w:tcW w:w="535" w:type="pct"/>
                  <w:vAlign w:val="center"/>
                </w:tcPr>
                <w:p w14:paraId="7B9D3E7F">
                  <w:pPr>
                    <w:jc w:val="center"/>
                    <w:rPr>
                      <w:rFonts w:hint="default" w:eastAsia="宋体"/>
                      <w:color w:val="auto"/>
                      <w:sz w:val="21"/>
                      <w:szCs w:val="21"/>
                      <w:lang w:val="en-US" w:eastAsia="zh-CN"/>
                    </w:rPr>
                  </w:pPr>
                  <w:r>
                    <w:rPr>
                      <w:rFonts w:hint="eastAsia"/>
                      <w:color w:val="auto"/>
                      <w:sz w:val="21"/>
                      <w:szCs w:val="21"/>
                      <w:lang w:val="en-US" w:eastAsia="zh-CN"/>
                    </w:rPr>
                    <w:t>43</w:t>
                  </w:r>
                </w:p>
              </w:tc>
              <w:tc>
                <w:tcPr>
                  <w:tcW w:w="549" w:type="pct"/>
                  <w:vAlign w:val="center"/>
                </w:tcPr>
                <w:p w14:paraId="7B2C5A9F">
                  <w:pPr>
                    <w:jc w:val="center"/>
                    <w:rPr>
                      <w:rFonts w:hint="default" w:eastAsia="宋体"/>
                      <w:color w:val="auto"/>
                      <w:sz w:val="21"/>
                      <w:szCs w:val="21"/>
                      <w:lang w:val="en-US" w:eastAsia="zh-CN"/>
                    </w:rPr>
                  </w:pPr>
                  <w:r>
                    <w:rPr>
                      <w:rFonts w:hint="eastAsia"/>
                      <w:color w:val="auto"/>
                      <w:sz w:val="21"/>
                      <w:szCs w:val="21"/>
                      <w:lang w:val="en-US" w:eastAsia="zh-CN"/>
                    </w:rPr>
                    <w:t>58</w:t>
                  </w:r>
                </w:p>
              </w:tc>
              <w:tc>
                <w:tcPr>
                  <w:tcW w:w="688" w:type="pct"/>
                  <w:vAlign w:val="center"/>
                </w:tcPr>
                <w:p w14:paraId="046CFE7C">
                  <w:pPr>
                    <w:widowControl/>
                    <w:jc w:val="center"/>
                    <w:textAlignment w:val="center"/>
                    <w:rPr>
                      <w:color w:val="auto"/>
                      <w:sz w:val="21"/>
                      <w:szCs w:val="21"/>
                    </w:rPr>
                  </w:pPr>
                  <w:r>
                    <w:rPr>
                      <w:color w:val="auto"/>
                      <w:sz w:val="21"/>
                      <w:szCs w:val="21"/>
                    </w:rPr>
                    <w:t>900</w:t>
                  </w:r>
                </w:p>
              </w:tc>
              <w:tc>
                <w:tcPr>
                  <w:tcW w:w="777" w:type="pct"/>
                  <w:vAlign w:val="center"/>
                </w:tcPr>
                <w:p w14:paraId="45912EB4">
                  <w:pPr>
                    <w:jc w:val="center"/>
                    <w:rPr>
                      <w:color w:val="auto"/>
                      <w:sz w:val="21"/>
                      <w:szCs w:val="21"/>
                    </w:rPr>
                  </w:pPr>
                  <w:r>
                    <w:rPr>
                      <w:rFonts w:hint="eastAsia"/>
                      <w:color w:val="auto"/>
                      <w:sz w:val="21"/>
                      <w:szCs w:val="21"/>
                    </w:rPr>
                    <w:t>低于筛选值</w:t>
                  </w:r>
                </w:p>
              </w:tc>
            </w:tr>
            <w:tr w14:paraId="0809B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8"/>
                  <w:vAlign w:val="center"/>
                </w:tcPr>
                <w:p w14:paraId="73130907">
                  <w:pPr>
                    <w:jc w:val="center"/>
                    <w:rPr>
                      <w:color w:val="auto"/>
                      <w:sz w:val="21"/>
                      <w:szCs w:val="21"/>
                    </w:rPr>
                  </w:pPr>
                  <w:r>
                    <w:rPr>
                      <w:color w:val="auto"/>
                      <w:sz w:val="21"/>
                      <w:szCs w:val="21"/>
                    </w:rPr>
                    <w:t>注：</w:t>
                  </w:r>
                  <w:r>
                    <w:rPr>
                      <w:rFonts w:hint="eastAsia"/>
                      <w:color w:val="auto"/>
                      <w:spacing w:val="4"/>
                      <w:sz w:val="21"/>
                      <w:szCs w:val="21"/>
                    </w:rPr>
                    <w:t>“最低检出限+L”表示检测结果低于分析方法检出限。</w:t>
                  </w:r>
                </w:p>
              </w:tc>
            </w:tr>
          </w:tbl>
          <w:p w14:paraId="0AAF0544">
            <w:pPr>
              <w:autoSpaceDE w:val="0"/>
              <w:autoSpaceDN w:val="0"/>
              <w:adjustRightInd w:val="0"/>
              <w:spacing w:before="120" w:beforeLines="50" w:line="360" w:lineRule="auto"/>
              <w:ind w:firstLine="480" w:firstLineChars="200"/>
              <w:rPr>
                <w:color w:val="auto"/>
                <w:sz w:val="24"/>
              </w:rPr>
            </w:pPr>
            <w:r>
              <w:rPr>
                <w:color w:val="auto"/>
                <w:sz w:val="24"/>
              </w:rPr>
              <w:t>根据检测数据，项目区土壤监测因子均</w:t>
            </w:r>
            <w:r>
              <w:rPr>
                <w:rFonts w:hint="eastAsia"/>
                <w:color w:val="auto"/>
                <w:sz w:val="24"/>
              </w:rPr>
              <w:t>低于</w:t>
            </w:r>
            <w:r>
              <w:rPr>
                <w:color w:val="auto"/>
                <w:sz w:val="24"/>
              </w:rPr>
              <w:t>《土壤环境质量建设用地土壤污染风险管控标准（试行）》</w:t>
            </w:r>
            <w:r>
              <w:rPr>
                <w:rFonts w:hint="eastAsia"/>
                <w:color w:val="auto"/>
                <w:sz w:val="24"/>
              </w:rPr>
              <w:t>（</w:t>
            </w:r>
            <w:r>
              <w:rPr>
                <w:color w:val="auto"/>
                <w:sz w:val="24"/>
              </w:rPr>
              <w:t>GB36600-2018</w:t>
            </w:r>
            <w:r>
              <w:rPr>
                <w:rFonts w:hint="eastAsia"/>
                <w:color w:val="auto"/>
                <w:sz w:val="24"/>
              </w:rPr>
              <w:t>）</w:t>
            </w:r>
            <w:r>
              <w:rPr>
                <w:color w:val="auto"/>
                <w:sz w:val="24"/>
              </w:rPr>
              <w:t>表1建设用地土壤污染风险筛选值第二类用地标准</w:t>
            </w:r>
            <w:r>
              <w:rPr>
                <w:rFonts w:hint="eastAsia"/>
                <w:color w:val="auto"/>
                <w:sz w:val="24"/>
              </w:rPr>
              <w:t>值要求，为达标</w:t>
            </w:r>
            <w:r>
              <w:rPr>
                <w:color w:val="auto"/>
                <w:sz w:val="24"/>
              </w:rPr>
              <w:t>区。</w:t>
            </w:r>
          </w:p>
          <w:p w14:paraId="0C233D08">
            <w:pPr>
              <w:spacing w:line="360" w:lineRule="auto"/>
              <w:ind w:firstLine="562" w:firstLineChars="200"/>
              <w:rPr>
                <w:b/>
                <w:bCs/>
                <w:color w:val="auto"/>
                <w:sz w:val="28"/>
                <w:szCs w:val="28"/>
              </w:rPr>
            </w:pPr>
            <w:r>
              <w:rPr>
                <w:rFonts w:hint="eastAsia"/>
                <w:b/>
                <w:bCs/>
                <w:color w:val="auto"/>
                <w:sz w:val="28"/>
                <w:szCs w:val="28"/>
              </w:rPr>
              <w:t>5、地下水环境现状</w:t>
            </w:r>
          </w:p>
          <w:p w14:paraId="034EE4B9">
            <w:pPr>
              <w:spacing w:line="360" w:lineRule="auto"/>
              <w:ind w:firstLine="480" w:firstLineChars="200"/>
              <w:rPr>
                <w:color w:val="auto"/>
                <w:sz w:val="24"/>
                <w:lang w:val="zh-CN"/>
              </w:rPr>
            </w:pPr>
            <w:r>
              <w:rPr>
                <w:color w:val="auto"/>
                <w:sz w:val="24"/>
                <w:lang w:val="zh-CN"/>
              </w:rPr>
              <w:t>根据《建设项目环境影响报告表编制技术指南（污染影响类）》，“原则上不开展地下水环境质量现状调查，建设项目存在地下水污染途径的，应结合污染源、保护目标分布情况开展现状调查以保留背景值”。</w:t>
            </w:r>
          </w:p>
          <w:p w14:paraId="1DE0A2CB">
            <w:pPr>
              <w:spacing w:line="360" w:lineRule="auto"/>
              <w:ind w:firstLine="480" w:firstLineChars="200"/>
              <w:rPr>
                <w:rFonts w:eastAsia="宋体"/>
                <w:b w:val="0"/>
                <w:color w:val="auto"/>
              </w:rPr>
            </w:pPr>
            <w:r>
              <w:rPr>
                <w:color w:val="auto"/>
                <w:sz w:val="24"/>
              </w:rPr>
              <w:t>项目区地下水环境质量现状评价</w:t>
            </w:r>
            <w:r>
              <w:rPr>
                <w:rFonts w:hint="eastAsia"/>
                <w:color w:val="auto"/>
                <w:sz w:val="24"/>
                <w:lang w:val="en-US" w:eastAsia="zh-CN"/>
              </w:rPr>
              <w:t>采用</w:t>
            </w:r>
            <w:r>
              <w:rPr>
                <w:rFonts w:hint="eastAsia"/>
                <w:bCs/>
                <w:color w:val="auto"/>
                <w:sz w:val="24"/>
                <w:lang w:eastAsia="zh-CN"/>
              </w:rPr>
              <w:t>云南常青树化工有限公司</w:t>
            </w:r>
            <w:r>
              <w:rPr>
                <w:rFonts w:hint="default" w:ascii="Times New Roman" w:hAnsi="Times New Roman" w:eastAsia="宋体" w:cs="Times New Roman"/>
                <w:color w:val="auto"/>
                <w:sz w:val="24"/>
                <w:lang w:val="en-US" w:eastAsia="zh-CN"/>
              </w:rPr>
              <w:t>委托</w:t>
            </w:r>
            <w:r>
              <w:rPr>
                <w:rFonts w:hint="eastAsia"/>
                <w:bCs/>
                <w:color w:val="auto"/>
                <w:sz w:val="24"/>
                <w:lang w:val="en-US" w:eastAsia="zh-CN"/>
              </w:rPr>
              <w:t>云南浩辰环保科技有限公司</w:t>
            </w:r>
            <w:r>
              <w:rPr>
                <w:rFonts w:hint="default" w:ascii="Times New Roman" w:hAnsi="Times New Roman" w:eastAsia="宋体" w:cs="Times New Roman"/>
                <w:color w:val="auto"/>
                <w:sz w:val="24"/>
                <w:lang w:val="en-US" w:eastAsia="zh-CN"/>
              </w:rPr>
              <w:t>于</w:t>
            </w:r>
            <w:r>
              <w:rPr>
                <w:rFonts w:hint="eastAsia"/>
                <w:bCs/>
                <w:color w:val="auto"/>
                <w:sz w:val="24"/>
                <w:lang w:val="en-US" w:eastAsia="zh-CN"/>
              </w:rPr>
              <w:t>2023年3月16日、2023年6月27日、2023年9月24日、2023年12月27日分别</w:t>
            </w:r>
            <w:r>
              <w:rPr>
                <w:rFonts w:hint="default" w:ascii="Times New Roman" w:hAnsi="Times New Roman" w:eastAsia="宋体" w:cs="Times New Roman"/>
                <w:color w:val="auto"/>
                <w:sz w:val="24"/>
                <w:lang w:val="en-US" w:eastAsia="zh-CN"/>
              </w:rPr>
              <w:t>对</w:t>
            </w:r>
            <w:r>
              <w:rPr>
                <w:rFonts w:hint="eastAsia" w:ascii="Times New Roman" w:hAnsi="Times New Roman" w:eastAsia="宋体" w:cs="Times New Roman"/>
                <w:color w:val="auto"/>
                <w:sz w:val="24"/>
                <w:lang w:val="en-US" w:eastAsia="zh-CN"/>
              </w:rPr>
              <w:t>1#、2#、3#监测井</w:t>
            </w:r>
            <w:r>
              <w:rPr>
                <w:rFonts w:hint="eastAsia" w:cs="Times New Roman"/>
                <w:color w:val="auto"/>
                <w:sz w:val="24"/>
                <w:lang w:val="en-US" w:eastAsia="zh-CN"/>
              </w:rPr>
              <w:t>的</w:t>
            </w:r>
            <w:r>
              <w:rPr>
                <w:rFonts w:hint="eastAsia" w:ascii="Times New Roman" w:hAnsi="Times New Roman" w:eastAsia="宋体" w:cs="Times New Roman"/>
                <w:color w:val="auto"/>
                <w:sz w:val="24"/>
                <w:lang w:val="en-US" w:eastAsia="zh-CN"/>
              </w:rPr>
              <w:t>监测</w:t>
            </w:r>
            <w:r>
              <w:rPr>
                <w:rFonts w:hint="eastAsia" w:cs="Times New Roman"/>
                <w:color w:val="auto"/>
                <w:sz w:val="24"/>
                <w:lang w:val="en-US" w:eastAsia="zh-CN"/>
              </w:rPr>
              <w:t>数据，具体监测数据见表</w:t>
            </w:r>
            <w:r>
              <w:rPr>
                <w:rFonts w:hint="eastAsia" w:cs="Times New Roman"/>
                <w:color w:val="auto"/>
                <w:sz w:val="24"/>
                <w:highlight w:val="none"/>
                <w:lang w:val="en-US" w:eastAsia="zh-CN"/>
              </w:rPr>
              <w:t>2-32。</w:t>
            </w:r>
            <w:r>
              <w:rPr>
                <w:rFonts w:eastAsia="宋体"/>
                <w:b w:val="0"/>
                <w:color w:val="auto"/>
                <w:sz w:val="24"/>
              </w:rPr>
              <w:t>项目区地下水监测指标均能达到《地下水环境质量标准》</w:t>
            </w:r>
            <w:r>
              <w:rPr>
                <w:rFonts w:hint="eastAsia" w:eastAsia="宋体"/>
                <w:b w:val="0"/>
                <w:color w:val="auto"/>
                <w:sz w:val="24"/>
              </w:rPr>
              <w:t>（</w:t>
            </w:r>
            <w:r>
              <w:rPr>
                <w:rFonts w:eastAsia="宋体"/>
                <w:b w:val="0"/>
                <w:color w:val="auto"/>
                <w:sz w:val="24"/>
              </w:rPr>
              <w:t>GB/T 14848-2017</w:t>
            </w:r>
            <w:r>
              <w:rPr>
                <w:rFonts w:hint="eastAsia" w:eastAsia="宋体"/>
                <w:b w:val="0"/>
                <w:color w:val="auto"/>
                <w:sz w:val="24"/>
              </w:rPr>
              <w:t>）</w:t>
            </w:r>
            <w:r>
              <w:rPr>
                <w:rFonts w:eastAsia="宋体"/>
                <w:b w:val="0"/>
                <w:color w:val="auto"/>
                <w:sz w:val="24"/>
              </w:rPr>
              <w:t>III类标准要求；项目区地下水环境质量现状良好。</w:t>
            </w:r>
          </w:p>
          <w:p w14:paraId="7073E8C2">
            <w:pPr>
              <w:spacing w:line="360" w:lineRule="auto"/>
              <w:ind w:firstLine="562" w:firstLineChars="200"/>
              <w:rPr>
                <w:rFonts w:hint="eastAsia"/>
                <w:b/>
                <w:bCs/>
                <w:color w:val="auto"/>
                <w:sz w:val="28"/>
                <w:szCs w:val="28"/>
              </w:rPr>
            </w:pPr>
          </w:p>
          <w:p w14:paraId="43B07389">
            <w:pPr>
              <w:spacing w:line="360" w:lineRule="auto"/>
              <w:ind w:firstLine="562" w:firstLineChars="200"/>
              <w:rPr>
                <w:b/>
                <w:bCs/>
                <w:color w:val="auto"/>
                <w:sz w:val="28"/>
                <w:szCs w:val="28"/>
              </w:rPr>
            </w:pPr>
            <w:r>
              <w:rPr>
                <w:rFonts w:hint="eastAsia"/>
                <w:b/>
                <w:bCs/>
                <w:color w:val="auto"/>
                <w:sz w:val="28"/>
                <w:szCs w:val="28"/>
              </w:rPr>
              <w:t>6</w:t>
            </w:r>
            <w:r>
              <w:rPr>
                <w:rFonts w:hAnsi="宋体"/>
                <w:b/>
                <w:bCs/>
                <w:color w:val="auto"/>
                <w:sz w:val="28"/>
                <w:szCs w:val="28"/>
              </w:rPr>
              <w:t>、生态环境现状</w:t>
            </w:r>
          </w:p>
          <w:p w14:paraId="1928ABDA">
            <w:pPr>
              <w:spacing w:line="360" w:lineRule="auto"/>
              <w:ind w:firstLine="480" w:firstLineChars="200"/>
              <w:rPr>
                <w:color w:val="auto"/>
                <w:sz w:val="24"/>
              </w:rPr>
            </w:pPr>
            <w:r>
              <w:rPr>
                <w:rFonts w:hint="eastAsia"/>
                <w:color w:val="auto"/>
                <w:sz w:val="24"/>
              </w:rPr>
              <w:t>项目位于</w:t>
            </w:r>
            <w:r>
              <w:rPr>
                <w:rFonts w:hint="eastAsia"/>
                <w:color w:val="auto"/>
                <w:sz w:val="24"/>
                <w:lang w:eastAsia="zh-CN"/>
              </w:rPr>
              <w:t>云南常青树化工有限公司</w:t>
            </w:r>
            <w:r>
              <w:rPr>
                <w:rFonts w:hint="eastAsia"/>
                <w:color w:val="auto"/>
                <w:sz w:val="24"/>
              </w:rPr>
              <w:t>厂内</w:t>
            </w:r>
            <w:r>
              <w:rPr>
                <w:rFonts w:hint="eastAsia"/>
                <w:color w:val="auto"/>
                <w:sz w:val="24"/>
                <w:lang w:eastAsia="zh-CN"/>
              </w:rPr>
              <w:t>，</w:t>
            </w:r>
            <w:r>
              <w:rPr>
                <w:rFonts w:hint="eastAsia" w:ascii="Times New Roman" w:hAnsi="Times New Roman" w:eastAsia="宋体" w:cs="Times New Roman"/>
                <w:color w:val="auto"/>
                <w:sz w:val="24"/>
                <w:lang w:val="en-US" w:eastAsia="zh-CN"/>
              </w:rPr>
              <w:t>用地</w:t>
            </w:r>
            <w:r>
              <w:rPr>
                <w:rFonts w:hint="default" w:ascii="Times New Roman" w:hAnsi="Times New Roman" w:eastAsia="宋体" w:cs="Times New Roman"/>
                <w:color w:val="auto"/>
                <w:sz w:val="24"/>
                <w:lang w:val="en-US" w:eastAsia="zh-CN"/>
              </w:rPr>
              <w:t>为工业用地，</w:t>
            </w:r>
            <w:r>
              <w:rPr>
                <w:rFonts w:hint="default" w:ascii="Times New Roman" w:hAnsi="Times New Roman" w:eastAsia="宋体" w:cs="Times New Roman"/>
                <w:color w:val="auto"/>
                <w:sz w:val="24"/>
                <w:lang w:eastAsia="zh-CN"/>
              </w:rPr>
              <w:t>项目</w:t>
            </w:r>
            <w:r>
              <w:rPr>
                <w:rFonts w:hint="default" w:ascii="Times New Roman" w:hAnsi="Times New Roman" w:eastAsia="宋体" w:cs="Times New Roman"/>
                <w:color w:val="auto"/>
                <w:kern w:val="2"/>
                <w:sz w:val="24"/>
                <w:szCs w:val="24"/>
                <w:highlight w:val="none"/>
              </w:rPr>
              <w:t>厂址5km范围内不涉及自然保护区、风景名胜区、集中饮用水水源地保护区、世界文化和自然遗产地、地质公园、森林公园、重要湿地，以及文物古迹保护单位等敏感目标。据现场踏勘，现有厂区内有人工种植绿化植被，常见动物有老鼠、麻雀等</w:t>
            </w:r>
            <w:r>
              <w:rPr>
                <w:rFonts w:hint="eastAsia" w:ascii="Times New Roman" w:hAnsi="Times New Roman"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周围无国家保护及名贵植物，未发现存在大型野生的动物，只有少量小型啮齿类动物和山雀等，未发现珍稀濒危和国家重点保护野生植物、云南省级保护植物及地方狭域种类分布，无国家重点保护的鸟类、两栖类、爬行类、哺乳类动物种类分布。</w:t>
            </w:r>
          </w:p>
        </w:tc>
      </w:tr>
      <w:tr w14:paraId="1DA1C8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499" w:type="dxa"/>
            <w:vAlign w:val="center"/>
          </w:tcPr>
          <w:p w14:paraId="52CB3FC6">
            <w:pPr>
              <w:adjustRightInd w:val="0"/>
              <w:snapToGrid w:val="0"/>
              <w:spacing w:line="360" w:lineRule="auto"/>
              <w:jc w:val="center"/>
              <w:rPr>
                <w:rFonts w:ascii="宋体" w:hAnsi="宋体" w:cs="宋体"/>
                <w:color w:val="auto"/>
                <w:sz w:val="24"/>
              </w:rPr>
            </w:pPr>
            <w:r>
              <w:rPr>
                <w:rFonts w:hint="eastAsia" w:ascii="宋体" w:hAnsi="宋体" w:cs="宋体"/>
                <w:color w:val="auto"/>
                <w:sz w:val="24"/>
              </w:rPr>
              <w:t>环境</w:t>
            </w:r>
          </w:p>
          <w:p w14:paraId="1058A320">
            <w:pPr>
              <w:adjustRightInd w:val="0"/>
              <w:snapToGrid w:val="0"/>
              <w:spacing w:line="360" w:lineRule="auto"/>
              <w:jc w:val="center"/>
              <w:rPr>
                <w:rFonts w:ascii="宋体" w:hAnsi="宋体" w:cs="宋体"/>
                <w:color w:val="auto"/>
                <w:sz w:val="24"/>
              </w:rPr>
            </w:pPr>
            <w:r>
              <w:rPr>
                <w:rFonts w:hint="eastAsia" w:ascii="宋体" w:hAnsi="宋体" w:cs="宋体"/>
                <w:color w:val="auto"/>
                <w:sz w:val="24"/>
              </w:rPr>
              <w:t>保护</w:t>
            </w:r>
          </w:p>
          <w:p w14:paraId="1F603B6E">
            <w:pPr>
              <w:adjustRightInd w:val="0"/>
              <w:snapToGrid w:val="0"/>
              <w:spacing w:line="360" w:lineRule="auto"/>
              <w:jc w:val="center"/>
              <w:rPr>
                <w:rFonts w:ascii="宋体" w:hAnsi="宋体" w:cs="宋体"/>
                <w:color w:val="auto"/>
                <w:szCs w:val="21"/>
              </w:rPr>
            </w:pPr>
            <w:r>
              <w:rPr>
                <w:rFonts w:hint="eastAsia" w:ascii="宋体" w:hAnsi="宋体" w:cs="宋体"/>
                <w:color w:val="auto"/>
                <w:sz w:val="24"/>
              </w:rPr>
              <w:t>目标</w:t>
            </w:r>
          </w:p>
        </w:tc>
        <w:tc>
          <w:tcPr>
            <w:tcW w:w="8491" w:type="dxa"/>
            <w:vAlign w:val="center"/>
          </w:tcPr>
          <w:p w14:paraId="7A15C535">
            <w:pPr>
              <w:topLinePunct/>
              <w:spacing w:line="360" w:lineRule="auto"/>
              <w:ind w:firstLine="465"/>
              <w:rPr>
                <w:b/>
                <w:color w:val="auto"/>
                <w:sz w:val="28"/>
                <w:szCs w:val="28"/>
              </w:rPr>
            </w:pPr>
            <w:r>
              <w:rPr>
                <w:rFonts w:hint="eastAsia"/>
                <w:b/>
                <w:color w:val="auto"/>
                <w:sz w:val="28"/>
                <w:szCs w:val="28"/>
              </w:rPr>
              <w:t>1、大气环境</w:t>
            </w:r>
          </w:p>
          <w:p w14:paraId="122E58EC">
            <w:pPr>
              <w:topLinePunct/>
              <w:spacing w:line="360" w:lineRule="auto"/>
              <w:ind w:firstLine="465"/>
              <w:rPr>
                <w:rFonts w:hint="default" w:eastAsia="宋体"/>
                <w:color w:val="auto"/>
                <w:sz w:val="24"/>
                <w:lang w:val="en-US" w:eastAsia="zh-CN"/>
              </w:rPr>
            </w:pPr>
            <w:r>
              <w:rPr>
                <w:color w:val="auto"/>
                <w:sz w:val="24"/>
              </w:rPr>
              <w:t>本项目位于</w:t>
            </w:r>
            <w:r>
              <w:rPr>
                <w:rFonts w:hint="eastAsia" w:hAnsi="宋体"/>
                <w:color w:val="auto"/>
                <w:sz w:val="24"/>
                <w:lang w:val="en-US" w:eastAsia="zh-CN"/>
              </w:rPr>
              <w:t>云南常青树化工有限公司</w:t>
            </w:r>
            <w:r>
              <w:rPr>
                <w:rFonts w:hint="eastAsia" w:hAnsi="宋体"/>
                <w:color w:val="auto"/>
                <w:sz w:val="24"/>
                <w:lang w:eastAsia="zh-CN"/>
              </w:rPr>
              <w:t>厂区内</w:t>
            </w:r>
            <w:r>
              <w:rPr>
                <w:color w:val="auto"/>
                <w:sz w:val="24"/>
              </w:rPr>
              <w:t>，在</w:t>
            </w:r>
            <w:r>
              <w:rPr>
                <w:rFonts w:hint="eastAsia"/>
                <w:color w:val="auto"/>
                <w:sz w:val="24"/>
                <w:lang w:val="en-US" w:eastAsia="zh-CN"/>
              </w:rPr>
              <w:t>国能公司</w:t>
            </w:r>
            <w:r>
              <w:rPr>
                <w:color w:val="auto"/>
                <w:sz w:val="24"/>
              </w:rPr>
              <w:t>厂区厂址</w:t>
            </w:r>
            <w:r>
              <w:rPr>
                <w:rFonts w:hint="eastAsia"/>
                <w:color w:val="auto"/>
                <w:sz w:val="24"/>
              </w:rPr>
              <w:t>500m范围内，</w:t>
            </w:r>
            <w:r>
              <w:rPr>
                <w:rFonts w:hint="eastAsia"/>
                <w:color w:val="auto"/>
                <w:sz w:val="24"/>
                <w:highlight w:val="none"/>
                <w:lang w:val="en-US" w:eastAsia="zh-CN"/>
              </w:rPr>
              <w:t>有王岗屯村、大桥村、聂鼠龙村、云集村、仁德镇塘子中心幼儿园、塘子街道社区卫生服务中心</w:t>
            </w:r>
            <w:r>
              <w:rPr>
                <w:rFonts w:hint="eastAsia"/>
                <w:color w:val="auto"/>
                <w:sz w:val="24"/>
                <w:lang w:val="en-US" w:eastAsia="zh-CN"/>
              </w:rPr>
              <w:t>，具体见表3-5。</w:t>
            </w:r>
          </w:p>
          <w:p w14:paraId="447B89E6">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eastAsia" w:ascii="Times New Roman" w:hAnsi="宋体" w:eastAsia="宋体" w:cs="Times New Roman"/>
                <w:b/>
                <w:bCs/>
                <w:color w:val="auto"/>
                <w:sz w:val="24"/>
                <w:highlight w:val="yellow"/>
                <w:lang w:val="en-US" w:eastAsia="zh-CN"/>
              </w:rPr>
            </w:pPr>
            <w:r>
              <w:rPr>
                <w:rFonts w:hint="eastAsia" w:ascii="Times New Roman" w:hAnsi="宋体" w:eastAsia="宋体" w:cs="Times New Roman"/>
                <w:b/>
                <w:bCs/>
                <w:color w:val="auto"/>
                <w:sz w:val="24"/>
                <w:highlight w:val="none"/>
                <w:lang w:val="en-US" w:eastAsia="zh-CN"/>
              </w:rPr>
              <w:t>表3-</w:t>
            </w:r>
            <w:r>
              <w:rPr>
                <w:rFonts w:hint="eastAsia" w:hAnsi="宋体" w:cs="Times New Roman"/>
                <w:b/>
                <w:bCs/>
                <w:color w:val="auto"/>
                <w:sz w:val="24"/>
                <w:highlight w:val="none"/>
                <w:lang w:val="en-US" w:eastAsia="zh-CN"/>
              </w:rPr>
              <w:t>5</w:t>
            </w:r>
            <w:r>
              <w:rPr>
                <w:rFonts w:hint="eastAsia" w:ascii="Times New Roman" w:hAnsi="宋体" w:eastAsia="宋体" w:cs="Times New Roman"/>
                <w:b/>
                <w:bCs/>
                <w:color w:val="auto"/>
                <w:sz w:val="24"/>
                <w:highlight w:val="none"/>
                <w:lang w:val="en-US" w:eastAsia="zh-CN"/>
              </w:rPr>
              <w:t xml:space="preserve">  项目大气环境保护目标</w:t>
            </w:r>
          </w:p>
          <w:tbl>
            <w:tblPr>
              <w:tblStyle w:val="46"/>
              <w:tblW w:w="82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
              <w:gridCol w:w="936"/>
              <w:gridCol w:w="1536"/>
              <w:gridCol w:w="1431"/>
              <w:gridCol w:w="448"/>
              <w:gridCol w:w="744"/>
              <w:gridCol w:w="448"/>
              <w:gridCol w:w="1078"/>
              <w:gridCol w:w="1206"/>
            </w:tblGrid>
            <w:tr w14:paraId="3029E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8" w:type="dxa"/>
                  <w:vMerge w:val="restart"/>
                  <w:noWrap w:val="0"/>
                  <w:vAlign w:val="center"/>
                </w:tcPr>
                <w:p w14:paraId="0F7DED98">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类别</w:t>
                  </w:r>
                </w:p>
              </w:tc>
              <w:tc>
                <w:tcPr>
                  <w:tcW w:w="936" w:type="dxa"/>
                  <w:vMerge w:val="restart"/>
                  <w:noWrap w:val="0"/>
                  <w:vAlign w:val="center"/>
                </w:tcPr>
                <w:p w14:paraId="5E279E6B">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名称</w:t>
                  </w:r>
                </w:p>
              </w:tc>
              <w:tc>
                <w:tcPr>
                  <w:tcW w:w="2967" w:type="dxa"/>
                  <w:gridSpan w:val="2"/>
                  <w:noWrap w:val="0"/>
                  <w:vAlign w:val="center"/>
                </w:tcPr>
                <w:p w14:paraId="6B161DF1">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坐标</w:t>
                  </w:r>
                </w:p>
              </w:tc>
              <w:tc>
                <w:tcPr>
                  <w:tcW w:w="448" w:type="dxa"/>
                  <w:vMerge w:val="restart"/>
                  <w:noWrap w:val="0"/>
                  <w:vAlign w:val="center"/>
                </w:tcPr>
                <w:p w14:paraId="2B8300BE">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保护对象</w:t>
                  </w:r>
                </w:p>
              </w:tc>
              <w:tc>
                <w:tcPr>
                  <w:tcW w:w="744" w:type="dxa"/>
                  <w:vMerge w:val="restart"/>
                  <w:noWrap w:val="0"/>
                  <w:vAlign w:val="center"/>
                </w:tcPr>
                <w:p w14:paraId="0139D9A2">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保护内容</w:t>
                  </w:r>
                </w:p>
              </w:tc>
              <w:tc>
                <w:tcPr>
                  <w:tcW w:w="448" w:type="dxa"/>
                  <w:vMerge w:val="restart"/>
                  <w:noWrap w:val="0"/>
                  <w:vAlign w:val="center"/>
                </w:tcPr>
                <w:p w14:paraId="77649C85">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环境功能区</w:t>
                  </w:r>
                </w:p>
              </w:tc>
              <w:tc>
                <w:tcPr>
                  <w:tcW w:w="1078" w:type="dxa"/>
                  <w:vMerge w:val="restart"/>
                  <w:noWrap w:val="0"/>
                  <w:vAlign w:val="center"/>
                </w:tcPr>
                <w:p w14:paraId="5149ECE0">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相对常青树厂区厂址方位，距离</w:t>
                  </w:r>
                </w:p>
              </w:tc>
              <w:tc>
                <w:tcPr>
                  <w:tcW w:w="1206" w:type="dxa"/>
                  <w:vMerge w:val="restart"/>
                  <w:noWrap w:val="0"/>
                  <w:vAlign w:val="center"/>
                </w:tcPr>
                <w:p w14:paraId="7966B824">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相对本项目厂址方位，距离</w:t>
                  </w:r>
                </w:p>
              </w:tc>
            </w:tr>
            <w:tr w14:paraId="697AA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8" w:type="dxa"/>
                  <w:vMerge w:val="continue"/>
                  <w:noWrap w:val="0"/>
                  <w:vAlign w:val="center"/>
                </w:tcPr>
                <w:p w14:paraId="222C5157">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936" w:type="dxa"/>
                  <w:vMerge w:val="continue"/>
                  <w:noWrap w:val="0"/>
                  <w:vAlign w:val="center"/>
                </w:tcPr>
                <w:p w14:paraId="73396133">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536" w:type="dxa"/>
                  <w:noWrap w:val="0"/>
                  <w:vAlign w:val="center"/>
                </w:tcPr>
                <w:p w14:paraId="7AB699F4">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经度</w:t>
                  </w:r>
                </w:p>
              </w:tc>
              <w:tc>
                <w:tcPr>
                  <w:tcW w:w="1431" w:type="dxa"/>
                  <w:noWrap w:val="0"/>
                  <w:vAlign w:val="center"/>
                </w:tcPr>
                <w:p w14:paraId="20500872">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纬度</w:t>
                  </w:r>
                </w:p>
              </w:tc>
              <w:tc>
                <w:tcPr>
                  <w:tcW w:w="448" w:type="dxa"/>
                  <w:vMerge w:val="continue"/>
                  <w:noWrap w:val="0"/>
                  <w:vAlign w:val="center"/>
                </w:tcPr>
                <w:p w14:paraId="5A4D65B5">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44" w:type="dxa"/>
                  <w:vMerge w:val="continue"/>
                  <w:noWrap w:val="0"/>
                  <w:vAlign w:val="center"/>
                </w:tcPr>
                <w:p w14:paraId="0D4C59AB">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48" w:type="dxa"/>
                  <w:vMerge w:val="continue"/>
                  <w:noWrap w:val="0"/>
                  <w:vAlign w:val="center"/>
                </w:tcPr>
                <w:p w14:paraId="698F01B1">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078" w:type="dxa"/>
                  <w:vMerge w:val="continue"/>
                  <w:noWrap w:val="0"/>
                  <w:vAlign w:val="center"/>
                </w:tcPr>
                <w:p w14:paraId="0B870023">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206" w:type="dxa"/>
                  <w:vMerge w:val="continue"/>
                  <w:noWrap w:val="0"/>
                  <w:vAlign w:val="center"/>
                </w:tcPr>
                <w:p w14:paraId="5DB07906">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r>
            <w:tr w14:paraId="1D74F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8" w:type="dxa"/>
                  <w:vMerge w:val="restart"/>
                  <w:noWrap w:val="0"/>
                  <w:vAlign w:val="center"/>
                </w:tcPr>
                <w:p w14:paraId="7535C3AA">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大气环境</w:t>
                  </w:r>
                </w:p>
              </w:tc>
              <w:tc>
                <w:tcPr>
                  <w:tcW w:w="936" w:type="dxa"/>
                  <w:noWrap w:val="0"/>
                  <w:vAlign w:val="center"/>
                </w:tcPr>
                <w:p w14:paraId="19D72DCA">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王岗屯村</w:t>
                  </w:r>
                </w:p>
              </w:tc>
              <w:tc>
                <w:tcPr>
                  <w:tcW w:w="1536" w:type="dxa"/>
                  <w:noWrap w:val="0"/>
                  <w:vAlign w:val="center"/>
                </w:tcPr>
                <w:p w14:paraId="0C9D647F">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highlight w:val="none"/>
                      <w:lang w:val="en-US" w:eastAsia="zh-CN"/>
                    </w:rPr>
                    <w:t>10</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16</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9.025</w:t>
                  </w:r>
                  <w:r>
                    <w:rPr>
                      <w:rFonts w:hint="default" w:ascii="Times New Roman" w:hAnsi="Times New Roman" w:cs="Times New Roman"/>
                      <w:color w:val="auto"/>
                      <w:sz w:val="21"/>
                      <w:szCs w:val="21"/>
                      <w:highlight w:val="none"/>
                      <w:lang w:val="en-US" w:eastAsia="zh-CN"/>
                    </w:rPr>
                    <w:t>″</w:t>
                  </w:r>
                </w:p>
              </w:tc>
              <w:tc>
                <w:tcPr>
                  <w:tcW w:w="1431" w:type="dxa"/>
                  <w:noWrap w:val="0"/>
                  <w:vAlign w:val="center"/>
                </w:tcPr>
                <w:p w14:paraId="139E5069">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32.207</w:t>
                  </w:r>
                  <w:r>
                    <w:rPr>
                      <w:rFonts w:hint="default" w:ascii="Times New Roman" w:hAnsi="Times New Roman" w:cs="Times New Roman"/>
                      <w:color w:val="auto"/>
                      <w:sz w:val="21"/>
                      <w:szCs w:val="21"/>
                      <w:highlight w:val="none"/>
                      <w:lang w:val="en-US" w:eastAsia="zh-CN"/>
                    </w:rPr>
                    <w:t>″</w:t>
                  </w:r>
                </w:p>
              </w:tc>
              <w:tc>
                <w:tcPr>
                  <w:tcW w:w="448" w:type="dxa"/>
                  <w:vMerge w:val="restart"/>
                  <w:noWrap w:val="0"/>
                  <w:vAlign w:val="center"/>
                </w:tcPr>
                <w:p w14:paraId="1A3C1E76">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居民住户</w:t>
                  </w:r>
                </w:p>
              </w:tc>
              <w:tc>
                <w:tcPr>
                  <w:tcW w:w="744" w:type="dxa"/>
                  <w:noWrap w:val="0"/>
                  <w:vAlign w:val="center"/>
                </w:tcPr>
                <w:p w14:paraId="788FCC66">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约417人</w:t>
                  </w:r>
                </w:p>
              </w:tc>
              <w:tc>
                <w:tcPr>
                  <w:tcW w:w="448" w:type="dxa"/>
                  <w:vMerge w:val="restart"/>
                  <w:noWrap w:val="0"/>
                  <w:vAlign w:val="center"/>
                </w:tcPr>
                <w:p w14:paraId="3534D3E9">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二类区</w:t>
                  </w:r>
                </w:p>
              </w:tc>
              <w:tc>
                <w:tcPr>
                  <w:tcW w:w="1078" w:type="dxa"/>
                  <w:noWrap w:val="0"/>
                  <w:vAlign w:val="center"/>
                </w:tcPr>
                <w:p w14:paraId="6E485C17">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东侧，290m</w:t>
                  </w:r>
                </w:p>
              </w:tc>
              <w:tc>
                <w:tcPr>
                  <w:tcW w:w="1206" w:type="dxa"/>
                  <w:noWrap w:val="0"/>
                  <w:vAlign w:val="center"/>
                </w:tcPr>
                <w:p w14:paraId="0EA7FF44">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东侧，436m</w:t>
                  </w:r>
                </w:p>
              </w:tc>
            </w:tr>
            <w:tr w14:paraId="4DAFA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8" w:type="dxa"/>
                  <w:vMerge w:val="continue"/>
                  <w:noWrap w:val="0"/>
                  <w:vAlign w:val="center"/>
                </w:tcPr>
                <w:p w14:paraId="57FA089B">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936" w:type="dxa"/>
                  <w:noWrap w:val="0"/>
                  <w:vAlign w:val="center"/>
                </w:tcPr>
                <w:p w14:paraId="1EED998A">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大桥村</w:t>
                  </w:r>
                </w:p>
              </w:tc>
              <w:tc>
                <w:tcPr>
                  <w:tcW w:w="1536" w:type="dxa"/>
                  <w:noWrap w:val="0"/>
                  <w:vAlign w:val="center"/>
                </w:tcPr>
                <w:p w14:paraId="6217B151">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highlight w:val="none"/>
                      <w:lang w:val="en-US" w:eastAsia="zh-CN"/>
                    </w:rPr>
                    <w:t>10</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19.374</w:t>
                  </w:r>
                  <w:r>
                    <w:rPr>
                      <w:rFonts w:hint="default" w:ascii="Times New Roman" w:hAnsi="Times New Roman" w:cs="Times New Roman"/>
                      <w:color w:val="auto"/>
                      <w:sz w:val="21"/>
                      <w:szCs w:val="21"/>
                      <w:highlight w:val="none"/>
                      <w:lang w:val="en-US" w:eastAsia="zh-CN"/>
                    </w:rPr>
                    <w:t>″</w:t>
                  </w:r>
                </w:p>
              </w:tc>
              <w:tc>
                <w:tcPr>
                  <w:tcW w:w="1431" w:type="dxa"/>
                  <w:noWrap w:val="0"/>
                  <w:vAlign w:val="center"/>
                </w:tcPr>
                <w:p w14:paraId="42F626B4">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34.736</w:t>
                  </w:r>
                  <w:r>
                    <w:rPr>
                      <w:rFonts w:hint="default" w:ascii="Times New Roman" w:hAnsi="Times New Roman" w:cs="Times New Roman"/>
                      <w:color w:val="auto"/>
                      <w:sz w:val="21"/>
                      <w:szCs w:val="21"/>
                      <w:highlight w:val="none"/>
                      <w:lang w:val="en-US" w:eastAsia="zh-CN"/>
                    </w:rPr>
                    <w:t>″</w:t>
                  </w:r>
                </w:p>
              </w:tc>
              <w:tc>
                <w:tcPr>
                  <w:tcW w:w="448" w:type="dxa"/>
                  <w:vMerge w:val="continue"/>
                  <w:noWrap w:val="0"/>
                  <w:vAlign w:val="center"/>
                </w:tcPr>
                <w:p w14:paraId="608CC4D9">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744" w:type="dxa"/>
                  <w:noWrap w:val="0"/>
                  <w:vAlign w:val="center"/>
                </w:tcPr>
                <w:p w14:paraId="089BBB34">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约86人</w:t>
                  </w:r>
                </w:p>
              </w:tc>
              <w:tc>
                <w:tcPr>
                  <w:tcW w:w="448" w:type="dxa"/>
                  <w:vMerge w:val="continue"/>
                  <w:noWrap w:val="0"/>
                  <w:vAlign w:val="center"/>
                </w:tcPr>
                <w:p w14:paraId="289B2FBB">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1078" w:type="dxa"/>
                  <w:noWrap w:val="0"/>
                  <w:vAlign w:val="center"/>
                </w:tcPr>
                <w:p w14:paraId="08BEE015">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西南侧，330m</w:t>
                  </w:r>
                </w:p>
              </w:tc>
              <w:tc>
                <w:tcPr>
                  <w:tcW w:w="1206" w:type="dxa"/>
                  <w:noWrap w:val="0"/>
                  <w:vAlign w:val="center"/>
                </w:tcPr>
                <w:p w14:paraId="0E86441D">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西南侧，680m</w:t>
                  </w:r>
                </w:p>
              </w:tc>
            </w:tr>
            <w:tr w14:paraId="7BEC6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8" w:type="dxa"/>
                  <w:vMerge w:val="continue"/>
                  <w:noWrap w:val="0"/>
                  <w:vAlign w:val="center"/>
                </w:tcPr>
                <w:p w14:paraId="4B7B6022">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936" w:type="dxa"/>
                  <w:noWrap w:val="0"/>
                  <w:vAlign w:val="center"/>
                </w:tcPr>
                <w:p w14:paraId="0AF51985">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聂鼠龙村</w:t>
                  </w:r>
                </w:p>
              </w:tc>
              <w:tc>
                <w:tcPr>
                  <w:tcW w:w="1536" w:type="dxa"/>
                  <w:noWrap w:val="0"/>
                  <w:vAlign w:val="center"/>
                </w:tcPr>
                <w:p w14:paraId="0B241B99">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highlight w:val="none"/>
                      <w:lang w:val="en-US" w:eastAsia="zh-CN"/>
                    </w:rPr>
                    <w:t>10</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30.246</w:t>
                  </w:r>
                  <w:r>
                    <w:rPr>
                      <w:rFonts w:hint="default" w:ascii="Times New Roman" w:hAnsi="Times New Roman" w:cs="Times New Roman"/>
                      <w:color w:val="auto"/>
                      <w:sz w:val="21"/>
                      <w:szCs w:val="21"/>
                      <w:highlight w:val="none"/>
                      <w:lang w:val="en-US" w:eastAsia="zh-CN"/>
                    </w:rPr>
                    <w:t>″</w:t>
                  </w:r>
                </w:p>
              </w:tc>
              <w:tc>
                <w:tcPr>
                  <w:tcW w:w="1431" w:type="dxa"/>
                  <w:noWrap w:val="0"/>
                  <w:vAlign w:val="center"/>
                </w:tcPr>
                <w:p w14:paraId="680261CC">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55.844</w:t>
                  </w:r>
                  <w:r>
                    <w:rPr>
                      <w:rFonts w:hint="default" w:ascii="Times New Roman" w:hAnsi="Times New Roman" w:cs="Times New Roman"/>
                      <w:color w:val="auto"/>
                      <w:sz w:val="21"/>
                      <w:szCs w:val="21"/>
                      <w:highlight w:val="none"/>
                      <w:lang w:val="en-US" w:eastAsia="zh-CN"/>
                    </w:rPr>
                    <w:t>″</w:t>
                  </w:r>
                </w:p>
              </w:tc>
              <w:tc>
                <w:tcPr>
                  <w:tcW w:w="448" w:type="dxa"/>
                  <w:vMerge w:val="continue"/>
                  <w:noWrap w:val="0"/>
                  <w:vAlign w:val="center"/>
                </w:tcPr>
                <w:p w14:paraId="234BE427">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744" w:type="dxa"/>
                  <w:noWrap w:val="0"/>
                  <w:vAlign w:val="center"/>
                </w:tcPr>
                <w:p w14:paraId="4C1B87E0">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b w:val="0"/>
                      <w:bCs w:val="0"/>
                      <w:color w:val="auto"/>
                      <w:sz w:val="21"/>
                      <w:szCs w:val="21"/>
                      <w:lang w:val="en-US" w:eastAsia="zh-CN"/>
                    </w:rPr>
                    <w:t>约675人</w:t>
                  </w:r>
                </w:p>
              </w:tc>
              <w:tc>
                <w:tcPr>
                  <w:tcW w:w="448" w:type="dxa"/>
                  <w:vMerge w:val="continue"/>
                  <w:noWrap w:val="0"/>
                  <w:vAlign w:val="center"/>
                </w:tcPr>
                <w:p w14:paraId="2C803282">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1078" w:type="dxa"/>
                  <w:noWrap w:val="0"/>
                  <w:vAlign w:val="center"/>
                </w:tcPr>
                <w:p w14:paraId="268134D8">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bidi="ar-SA"/>
                    </w:rPr>
                  </w:pPr>
                  <w:r>
                    <w:rPr>
                      <w:rFonts w:hint="eastAsia" w:cs="Times New Roman"/>
                      <w:color w:val="auto"/>
                      <w:kern w:val="2"/>
                      <w:sz w:val="21"/>
                      <w:szCs w:val="21"/>
                      <w:lang w:val="en-US" w:eastAsia="zh-CN" w:bidi="zh-CN"/>
                    </w:rPr>
                    <w:t>西北侧，365m</w:t>
                  </w:r>
                </w:p>
              </w:tc>
              <w:tc>
                <w:tcPr>
                  <w:tcW w:w="1206" w:type="dxa"/>
                  <w:noWrap w:val="0"/>
                  <w:vAlign w:val="center"/>
                </w:tcPr>
                <w:p w14:paraId="46A0271D">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西北侧，583m</w:t>
                  </w:r>
                </w:p>
              </w:tc>
            </w:tr>
            <w:tr w14:paraId="78D74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8" w:type="dxa"/>
                  <w:vMerge w:val="continue"/>
                  <w:noWrap w:val="0"/>
                  <w:vAlign w:val="center"/>
                </w:tcPr>
                <w:p w14:paraId="18C3C4B7">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936" w:type="dxa"/>
                  <w:noWrap w:val="0"/>
                  <w:vAlign w:val="center"/>
                </w:tcPr>
                <w:p w14:paraId="23FA4D6A">
                  <w:pPr>
                    <w:adjustRightInd w:val="0"/>
                    <w:snapToGrid w:val="0"/>
                    <w:spacing w:line="240" w:lineRule="auto"/>
                    <w:ind w:firstLine="0" w:firstLineChars="0"/>
                    <w:jc w:val="center"/>
                    <w:rPr>
                      <w:rFonts w:hint="eastAsia" w:ascii="Times New Roman" w:hAnsi="Times New Roman" w:eastAsia="宋体" w:cs="Times New Roman"/>
                      <w:b w:val="0"/>
                      <w:bCs w:val="0"/>
                      <w:color w:val="auto"/>
                      <w:sz w:val="21"/>
                      <w:szCs w:val="21"/>
                      <w:lang w:val="en-US" w:eastAsia="zh-CN" w:bidi="ar-SA"/>
                    </w:rPr>
                  </w:pPr>
                  <w:r>
                    <w:rPr>
                      <w:rFonts w:hint="default" w:ascii="Times New Roman" w:hAnsi="Times New Roman" w:cs="Times New Roman"/>
                      <w:b w:val="0"/>
                      <w:bCs w:val="0"/>
                      <w:color w:val="auto"/>
                      <w:sz w:val="21"/>
                      <w:szCs w:val="21"/>
                      <w:lang w:val="en-US" w:eastAsia="zh-CN"/>
                    </w:rPr>
                    <w:t>云集村</w:t>
                  </w:r>
                </w:p>
              </w:tc>
              <w:tc>
                <w:tcPr>
                  <w:tcW w:w="1536" w:type="dxa"/>
                  <w:noWrap w:val="0"/>
                  <w:vAlign w:val="center"/>
                </w:tcPr>
                <w:p w14:paraId="6849CD6E">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highlight w:val="none"/>
                      <w:lang w:val="en-US" w:eastAsia="zh-CN"/>
                    </w:rPr>
                    <w:t>10</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25.998</w:t>
                  </w:r>
                  <w:r>
                    <w:rPr>
                      <w:rFonts w:hint="default" w:ascii="Times New Roman" w:hAnsi="Times New Roman" w:cs="Times New Roman"/>
                      <w:color w:val="auto"/>
                      <w:sz w:val="21"/>
                      <w:szCs w:val="21"/>
                      <w:highlight w:val="none"/>
                      <w:lang w:val="en-US" w:eastAsia="zh-CN"/>
                    </w:rPr>
                    <w:t>″</w:t>
                  </w:r>
                </w:p>
              </w:tc>
              <w:tc>
                <w:tcPr>
                  <w:tcW w:w="1431" w:type="dxa"/>
                  <w:noWrap w:val="0"/>
                  <w:vAlign w:val="center"/>
                </w:tcPr>
                <w:p w14:paraId="5DEF7BDB">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47.193</w:t>
                  </w:r>
                  <w:r>
                    <w:rPr>
                      <w:rFonts w:hint="default" w:ascii="Times New Roman" w:hAnsi="Times New Roman" w:cs="Times New Roman"/>
                      <w:color w:val="auto"/>
                      <w:sz w:val="21"/>
                      <w:szCs w:val="21"/>
                      <w:highlight w:val="none"/>
                      <w:lang w:val="en-US" w:eastAsia="zh-CN"/>
                    </w:rPr>
                    <w:t>″</w:t>
                  </w:r>
                </w:p>
              </w:tc>
              <w:tc>
                <w:tcPr>
                  <w:tcW w:w="448" w:type="dxa"/>
                  <w:vMerge w:val="continue"/>
                  <w:noWrap w:val="0"/>
                  <w:vAlign w:val="center"/>
                </w:tcPr>
                <w:p w14:paraId="57711640">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744" w:type="dxa"/>
                  <w:noWrap w:val="0"/>
                  <w:vAlign w:val="center"/>
                </w:tcPr>
                <w:p w14:paraId="3784F468">
                  <w:pPr>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lang w:val="en-US" w:eastAsia="zh-CN"/>
                    </w:rPr>
                    <w:t>约350人</w:t>
                  </w:r>
                </w:p>
              </w:tc>
              <w:tc>
                <w:tcPr>
                  <w:tcW w:w="448" w:type="dxa"/>
                  <w:vMerge w:val="continue"/>
                  <w:noWrap w:val="0"/>
                  <w:vAlign w:val="center"/>
                </w:tcPr>
                <w:p w14:paraId="7BC0AD0A">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1078" w:type="dxa"/>
                  <w:noWrap w:val="0"/>
                  <w:vAlign w:val="center"/>
                </w:tcPr>
                <w:p w14:paraId="2EC675C4">
                  <w:pPr>
                    <w:adjustRightInd w:val="0"/>
                    <w:snapToGrid w:val="0"/>
                    <w:spacing w:line="240" w:lineRule="auto"/>
                    <w:ind w:firstLine="0" w:firstLineChars="0"/>
                    <w:jc w:val="center"/>
                    <w:rPr>
                      <w:rFonts w:hint="eastAsia"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color w:val="auto"/>
                      <w:kern w:val="2"/>
                      <w:sz w:val="21"/>
                      <w:szCs w:val="21"/>
                      <w:lang w:val="en-US" w:eastAsia="zh-CN" w:bidi="zh-CN"/>
                    </w:rPr>
                    <w:t>西</w:t>
                  </w:r>
                  <w:r>
                    <w:rPr>
                      <w:rFonts w:hint="eastAsia" w:ascii="Times New Roman" w:hAnsi="Times New Roman" w:eastAsia="宋体" w:cs="Times New Roman"/>
                      <w:color w:val="auto"/>
                      <w:kern w:val="2"/>
                      <w:sz w:val="21"/>
                      <w:szCs w:val="21"/>
                      <w:lang w:val="en-US" w:eastAsia="zh-CN" w:bidi="zh-CN"/>
                    </w:rPr>
                    <w:t>侧，</w:t>
                  </w:r>
                  <w:r>
                    <w:rPr>
                      <w:rFonts w:hint="eastAsia" w:cs="Times New Roman"/>
                      <w:color w:val="auto"/>
                      <w:kern w:val="2"/>
                      <w:sz w:val="21"/>
                      <w:szCs w:val="21"/>
                      <w:lang w:val="en-US" w:eastAsia="zh-CN" w:bidi="zh-CN"/>
                    </w:rPr>
                    <w:t>130</w:t>
                  </w:r>
                  <w:r>
                    <w:rPr>
                      <w:rFonts w:hint="default" w:ascii="Times New Roman" w:hAnsi="Times New Roman" w:eastAsia="宋体" w:cs="Times New Roman"/>
                      <w:color w:val="auto"/>
                      <w:kern w:val="2"/>
                      <w:sz w:val="21"/>
                      <w:szCs w:val="21"/>
                      <w:lang w:val="en-US" w:eastAsia="zh-CN" w:bidi="zh-CN"/>
                    </w:rPr>
                    <w:t>m</w:t>
                  </w:r>
                </w:p>
              </w:tc>
              <w:tc>
                <w:tcPr>
                  <w:tcW w:w="1206" w:type="dxa"/>
                  <w:noWrap w:val="0"/>
                  <w:vAlign w:val="center"/>
                </w:tcPr>
                <w:p w14:paraId="28BF52BA">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西北侧，413m</w:t>
                  </w:r>
                </w:p>
              </w:tc>
            </w:tr>
            <w:tr w14:paraId="1D25E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8" w:type="dxa"/>
                  <w:vMerge w:val="continue"/>
                  <w:noWrap w:val="0"/>
                  <w:vAlign w:val="center"/>
                </w:tcPr>
                <w:p w14:paraId="631F20BD">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936" w:type="dxa"/>
                  <w:noWrap w:val="0"/>
                  <w:vAlign w:val="center"/>
                </w:tcPr>
                <w:p w14:paraId="172B0AA4">
                  <w:pPr>
                    <w:adjustRightInd w:val="0"/>
                    <w:snapToGrid w:val="0"/>
                    <w:spacing w:line="240" w:lineRule="auto"/>
                    <w:ind w:firstLine="0" w:firstLineChars="0"/>
                    <w:jc w:val="center"/>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塘子街道</w:t>
                  </w:r>
                </w:p>
              </w:tc>
              <w:tc>
                <w:tcPr>
                  <w:tcW w:w="1536" w:type="dxa"/>
                  <w:noWrap w:val="0"/>
                  <w:vAlign w:val="center"/>
                </w:tcPr>
                <w:p w14:paraId="77DD099E">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highlight w:val="none"/>
                      <w:lang w:val="en-US" w:eastAsia="zh-CN"/>
                    </w:rPr>
                    <w:t>10</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32.151</w:t>
                  </w:r>
                  <w:r>
                    <w:rPr>
                      <w:rFonts w:hint="default" w:ascii="Times New Roman" w:hAnsi="Times New Roman" w:cs="Times New Roman"/>
                      <w:color w:val="auto"/>
                      <w:sz w:val="21"/>
                      <w:szCs w:val="21"/>
                      <w:highlight w:val="none"/>
                      <w:lang w:val="en-US" w:eastAsia="zh-CN"/>
                    </w:rPr>
                    <w:t>″</w:t>
                  </w:r>
                </w:p>
              </w:tc>
              <w:tc>
                <w:tcPr>
                  <w:tcW w:w="1431" w:type="dxa"/>
                  <w:noWrap w:val="0"/>
                  <w:vAlign w:val="center"/>
                </w:tcPr>
                <w:p w14:paraId="4667560C">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26</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4.912</w:t>
                  </w:r>
                  <w:r>
                    <w:rPr>
                      <w:rFonts w:hint="default" w:ascii="Times New Roman" w:hAnsi="Times New Roman" w:cs="Times New Roman"/>
                      <w:color w:val="auto"/>
                      <w:sz w:val="21"/>
                      <w:szCs w:val="21"/>
                      <w:highlight w:val="none"/>
                      <w:lang w:val="en-US" w:eastAsia="zh-CN"/>
                    </w:rPr>
                    <w:t>″</w:t>
                  </w:r>
                </w:p>
              </w:tc>
              <w:tc>
                <w:tcPr>
                  <w:tcW w:w="448" w:type="dxa"/>
                  <w:vMerge w:val="continue"/>
                  <w:noWrap w:val="0"/>
                  <w:vAlign w:val="center"/>
                </w:tcPr>
                <w:p w14:paraId="49B93E13">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744" w:type="dxa"/>
                  <w:noWrap w:val="0"/>
                  <w:vAlign w:val="center"/>
                </w:tcPr>
                <w:p w14:paraId="68DA0751">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约1000人</w:t>
                  </w:r>
                </w:p>
              </w:tc>
              <w:tc>
                <w:tcPr>
                  <w:tcW w:w="448" w:type="dxa"/>
                  <w:vMerge w:val="continue"/>
                  <w:noWrap w:val="0"/>
                  <w:vAlign w:val="center"/>
                </w:tcPr>
                <w:p w14:paraId="4800DB52">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1078" w:type="dxa"/>
                  <w:noWrap w:val="0"/>
                  <w:vAlign w:val="center"/>
                </w:tcPr>
                <w:p w14:paraId="31128030">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eastAsia" w:cs="Times New Roman"/>
                      <w:color w:val="auto"/>
                      <w:kern w:val="2"/>
                      <w:sz w:val="21"/>
                      <w:szCs w:val="21"/>
                      <w:lang w:val="en-US" w:eastAsia="zh-CN" w:bidi="zh-CN"/>
                    </w:rPr>
                    <w:t>西北侧，496m</w:t>
                  </w:r>
                </w:p>
              </w:tc>
              <w:tc>
                <w:tcPr>
                  <w:tcW w:w="1206" w:type="dxa"/>
                  <w:noWrap w:val="0"/>
                  <w:vAlign w:val="center"/>
                </w:tcPr>
                <w:p w14:paraId="7ECAB0E8">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西北侧，711m</w:t>
                  </w:r>
                </w:p>
              </w:tc>
            </w:tr>
            <w:tr w14:paraId="74315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8" w:type="dxa"/>
                  <w:vMerge w:val="continue"/>
                  <w:noWrap w:val="0"/>
                  <w:vAlign w:val="center"/>
                </w:tcPr>
                <w:p w14:paraId="4A051E7B">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936" w:type="dxa"/>
                  <w:noWrap w:val="0"/>
                  <w:vAlign w:val="center"/>
                </w:tcPr>
                <w:p w14:paraId="005AFC57">
                  <w:pPr>
                    <w:adjustRightInd w:val="0"/>
                    <w:snapToGrid w:val="0"/>
                    <w:spacing w:line="240" w:lineRule="auto"/>
                    <w:ind w:firstLine="0" w:firstLineChars="0"/>
                    <w:jc w:val="center"/>
                    <w:rPr>
                      <w:rFonts w:hint="default" w:ascii="Times New Roman" w:hAnsi="Times New Roman" w:cs="Times New Roman"/>
                      <w:b w:val="0"/>
                      <w:bCs w:val="0"/>
                      <w:color w:val="auto"/>
                      <w:sz w:val="21"/>
                      <w:szCs w:val="21"/>
                      <w:lang w:val="en-US" w:eastAsia="zh-CN"/>
                    </w:rPr>
                  </w:pPr>
                  <w:r>
                    <w:rPr>
                      <w:rFonts w:hint="eastAsia"/>
                      <w:color w:val="auto"/>
                      <w:sz w:val="21"/>
                      <w:szCs w:val="21"/>
                      <w:lang w:val="en-US" w:eastAsia="zh-CN"/>
                    </w:rPr>
                    <w:t>仁德镇塘子中心幼儿园</w:t>
                  </w:r>
                </w:p>
              </w:tc>
              <w:tc>
                <w:tcPr>
                  <w:tcW w:w="1536" w:type="dxa"/>
                  <w:noWrap w:val="0"/>
                  <w:vAlign w:val="center"/>
                </w:tcPr>
                <w:p w14:paraId="117EF9F9">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highlight w:val="none"/>
                      <w:lang w:val="en-US" w:eastAsia="zh-CN"/>
                    </w:rPr>
                    <w:t>10</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32.422</w:t>
                  </w:r>
                  <w:r>
                    <w:rPr>
                      <w:rFonts w:hint="default" w:ascii="Times New Roman" w:hAnsi="Times New Roman" w:cs="Times New Roman"/>
                      <w:color w:val="auto"/>
                      <w:sz w:val="21"/>
                      <w:szCs w:val="21"/>
                      <w:highlight w:val="none"/>
                      <w:lang w:val="en-US" w:eastAsia="zh-CN"/>
                    </w:rPr>
                    <w:t>″</w:t>
                  </w:r>
                </w:p>
              </w:tc>
              <w:tc>
                <w:tcPr>
                  <w:tcW w:w="1431" w:type="dxa"/>
                  <w:noWrap w:val="0"/>
                  <w:vAlign w:val="center"/>
                </w:tcPr>
                <w:p w14:paraId="3ECCC3AF">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26</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2.633</w:t>
                  </w:r>
                  <w:r>
                    <w:rPr>
                      <w:rFonts w:hint="default" w:ascii="Times New Roman" w:hAnsi="Times New Roman" w:cs="Times New Roman"/>
                      <w:color w:val="auto"/>
                      <w:sz w:val="21"/>
                      <w:szCs w:val="21"/>
                      <w:highlight w:val="none"/>
                      <w:lang w:val="en-US" w:eastAsia="zh-CN"/>
                    </w:rPr>
                    <w:t>″</w:t>
                  </w:r>
                </w:p>
              </w:tc>
              <w:tc>
                <w:tcPr>
                  <w:tcW w:w="448" w:type="dxa"/>
                  <w:noWrap w:val="0"/>
                  <w:vAlign w:val="center"/>
                </w:tcPr>
                <w:p w14:paraId="5244357E">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学校</w:t>
                  </w:r>
                </w:p>
              </w:tc>
              <w:tc>
                <w:tcPr>
                  <w:tcW w:w="744" w:type="dxa"/>
                  <w:noWrap w:val="0"/>
                  <w:vAlign w:val="center"/>
                </w:tcPr>
                <w:p w14:paraId="0B496DAF">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约100人</w:t>
                  </w:r>
                </w:p>
              </w:tc>
              <w:tc>
                <w:tcPr>
                  <w:tcW w:w="448" w:type="dxa"/>
                  <w:vMerge w:val="continue"/>
                  <w:noWrap w:val="0"/>
                  <w:vAlign w:val="center"/>
                </w:tcPr>
                <w:p w14:paraId="2420451D">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1078" w:type="dxa"/>
                  <w:noWrap w:val="0"/>
                  <w:vAlign w:val="center"/>
                </w:tcPr>
                <w:p w14:paraId="6A3E12B6">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eastAsia" w:cs="Times New Roman"/>
                      <w:color w:val="auto"/>
                      <w:kern w:val="2"/>
                      <w:sz w:val="21"/>
                      <w:szCs w:val="21"/>
                      <w:lang w:val="en-US" w:eastAsia="zh-CN" w:bidi="zh-CN"/>
                    </w:rPr>
                    <w:t>西北侧，580m</w:t>
                  </w:r>
                </w:p>
              </w:tc>
              <w:tc>
                <w:tcPr>
                  <w:tcW w:w="1206" w:type="dxa"/>
                  <w:noWrap w:val="0"/>
                  <w:vAlign w:val="center"/>
                </w:tcPr>
                <w:p w14:paraId="57599FAE">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西北侧，823m</w:t>
                  </w:r>
                </w:p>
              </w:tc>
            </w:tr>
            <w:tr w14:paraId="75E07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8" w:type="dxa"/>
                  <w:vMerge w:val="continue"/>
                  <w:noWrap w:val="0"/>
                  <w:vAlign w:val="center"/>
                </w:tcPr>
                <w:p w14:paraId="1A3DD4BC">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936" w:type="dxa"/>
                  <w:noWrap w:val="0"/>
                  <w:vAlign w:val="center"/>
                </w:tcPr>
                <w:p w14:paraId="190AAB31">
                  <w:pPr>
                    <w:adjustRightInd w:val="0"/>
                    <w:snapToGrid w:val="0"/>
                    <w:spacing w:line="240" w:lineRule="auto"/>
                    <w:ind w:firstLine="0" w:firstLineChars="0"/>
                    <w:jc w:val="center"/>
                    <w:rPr>
                      <w:rFonts w:hint="default" w:ascii="Times New Roman" w:hAnsi="Times New Roman" w:cs="Times New Roman"/>
                      <w:b w:val="0"/>
                      <w:bCs w:val="0"/>
                      <w:color w:val="auto"/>
                      <w:sz w:val="21"/>
                      <w:szCs w:val="21"/>
                      <w:lang w:val="en-US" w:eastAsia="zh-CN"/>
                    </w:rPr>
                  </w:pPr>
                  <w:r>
                    <w:rPr>
                      <w:rFonts w:hint="eastAsia"/>
                      <w:color w:val="auto"/>
                      <w:sz w:val="21"/>
                      <w:szCs w:val="21"/>
                      <w:lang w:val="en-US" w:eastAsia="zh-CN"/>
                    </w:rPr>
                    <w:t>塘子街道社区卫生服务中心</w:t>
                  </w:r>
                </w:p>
              </w:tc>
              <w:tc>
                <w:tcPr>
                  <w:tcW w:w="1536" w:type="dxa"/>
                  <w:noWrap w:val="0"/>
                  <w:vAlign w:val="center"/>
                </w:tcPr>
                <w:p w14:paraId="57A035D6">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highlight w:val="none"/>
                      <w:lang w:val="en-US" w:eastAsia="zh-CN"/>
                    </w:rPr>
                    <w:t>10</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36.921</w:t>
                  </w:r>
                  <w:r>
                    <w:rPr>
                      <w:rFonts w:hint="default" w:ascii="Times New Roman" w:hAnsi="Times New Roman" w:cs="Times New Roman"/>
                      <w:color w:val="auto"/>
                      <w:sz w:val="21"/>
                      <w:szCs w:val="21"/>
                      <w:highlight w:val="none"/>
                      <w:lang w:val="en-US" w:eastAsia="zh-CN"/>
                    </w:rPr>
                    <w:t>″</w:t>
                  </w:r>
                </w:p>
              </w:tc>
              <w:tc>
                <w:tcPr>
                  <w:tcW w:w="1431" w:type="dxa"/>
                  <w:noWrap w:val="0"/>
                  <w:vAlign w:val="center"/>
                </w:tcPr>
                <w:p w14:paraId="36AA7902">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57.225</w:t>
                  </w:r>
                  <w:r>
                    <w:rPr>
                      <w:rFonts w:hint="default" w:ascii="Times New Roman" w:hAnsi="Times New Roman" w:cs="Times New Roman"/>
                      <w:color w:val="auto"/>
                      <w:sz w:val="21"/>
                      <w:szCs w:val="21"/>
                      <w:highlight w:val="none"/>
                      <w:lang w:val="en-US" w:eastAsia="zh-CN"/>
                    </w:rPr>
                    <w:t>″</w:t>
                  </w:r>
                </w:p>
              </w:tc>
              <w:tc>
                <w:tcPr>
                  <w:tcW w:w="448" w:type="dxa"/>
                  <w:noWrap w:val="0"/>
                  <w:vAlign w:val="center"/>
                </w:tcPr>
                <w:p w14:paraId="0983E986">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医院</w:t>
                  </w:r>
                </w:p>
              </w:tc>
              <w:tc>
                <w:tcPr>
                  <w:tcW w:w="744" w:type="dxa"/>
                  <w:noWrap w:val="0"/>
                  <w:vAlign w:val="center"/>
                </w:tcPr>
                <w:p w14:paraId="0F7C820F">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约5人</w:t>
                  </w:r>
                </w:p>
              </w:tc>
              <w:tc>
                <w:tcPr>
                  <w:tcW w:w="448" w:type="dxa"/>
                  <w:vMerge w:val="continue"/>
                  <w:noWrap w:val="0"/>
                  <w:vAlign w:val="center"/>
                </w:tcPr>
                <w:p w14:paraId="1EFB0135">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1078" w:type="dxa"/>
                  <w:noWrap w:val="0"/>
                  <w:vAlign w:val="center"/>
                </w:tcPr>
                <w:p w14:paraId="3385CC4F">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eastAsia" w:cs="Times New Roman"/>
                      <w:color w:val="auto"/>
                      <w:kern w:val="2"/>
                      <w:sz w:val="21"/>
                      <w:szCs w:val="21"/>
                      <w:lang w:val="en-US" w:eastAsia="zh-CN" w:bidi="zh-CN"/>
                    </w:rPr>
                    <w:t>西北侧，383m</w:t>
                  </w:r>
                </w:p>
              </w:tc>
              <w:tc>
                <w:tcPr>
                  <w:tcW w:w="1206" w:type="dxa"/>
                  <w:noWrap w:val="0"/>
                  <w:vAlign w:val="center"/>
                </w:tcPr>
                <w:p w14:paraId="06017612">
                  <w:pPr>
                    <w:pStyle w:val="7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西北侧615m</w:t>
                  </w:r>
                </w:p>
              </w:tc>
            </w:tr>
          </w:tbl>
          <w:p w14:paraId="2D64D376">
            <w:pPr>
              <w:keepNext w:val="0"/>
              <w:keepLines w:val="0"/>
              <w:pageBreakBefore w:val="0"/>
              <w:widowControl w:val="0"/>
              <w:kinsoku/>
              <w:wordWrap/>
              <w:overflowPunct/>
              <w:topLinePunct/>
              <w:autoSpaceDE/>
              <w:autoSpaceDN/>
              <w:bidi w:val="0"/>
              <w:adjustRightInd/>
              <w:snapToGrid/>
              <w:spacing w:before="157" w:beforeLines="50" w:line="360" w:lineRule="auto"/>
              <w:ind w:firstLine="562" w:firstLineChars="200"/>
              <w:textAlignment w:val="auto"/>
              <w:rPr>
                <w:b/>
                <w:color w:val="auto"/>
                <w:sz w:val="28"/>
                <w:szCs w:val="28"/>
              </w:rPr>
            </w:pPr>
            <w:r>
              <w:rPr>
                <w:rFonts w:hint="eastAsia"/>
                <w:b/>
                <w:color w:val="auto"/>
                <w:sz w:val="28"/>
                <w:szCs w:val="28"/>
              </w:rPr>
              <w:t>2、声环境</w:t>
            </w:r>
          </w:p>
          <w:p w14:paraId="723C49F2">
            <w:pPr>
              <w:topLinePunct/>
              <w:spacing w:line="360" w:lineRule="auto"/>
              <w:ind w:firstLine="465"/>
              <w:rPr>
                <w:color w:val="auto"/>
                <w:sz w:val="24"/>
              </w:rPr>
            </w:pPr>
            <w:r>
              <w:rPr>
                <w:color w:val="auto"/>
                <w:sz w:val="24"/>
              </w:rPr>
              <w:t>本项目位于</w:t>
            </w:r>
            <w:r>
              <w:rPr>
                <w:rFonts w:hint="eastAsia" w:hAnsi="宋体"/>
                <w:color w:val="auto"/>
                <w:sz w:val="24"/>
                <w:lang w:val="en-US" w:eastAsia="zh-CN"/>
              </w:rPr>
              <w:t>寻甸县塘子镇</w:t>
            </w:r>
            <w:r>
              <w:rPr>
                <w:rFonts w:hint="eastAsia" w:hAnsi="宋体"/>
                <w:color w:val="auto"/>
                <w:sz w:val="24"/>
                <w:lang w:eastAsia="zh-CN"/>
              </w:rPr>
              <w:t>云南常青树化工有限公司</w:t>
            </w:r>
            <w:r>
              <w:rPr>
                <w:rFonts w:hint="eastAsia" w:hAnsi="宋体"/>
                <w:color w:val="auto"/>
                <w:sz w:val="24"/>
              </w:rPr>
              <w:t>内</w:t>
            </w:r>
            <w:r>
              <w:rPr>
                <w:color w:val="auto"/>
                <w:sz w:val="24"/>
              </w:rPr>
              <w:t>，在</w:t>
            </w:r>
            <w:r>
              <w:rPr>
                <w:rFonts w:hint="eastAsia"/>
                <w:color w:val="auto"/>
                <w:sz w:val="24"/>
                <w:lang w:val="en-US" w:eastAsia="zh-CN"/>
              </w:rPr>
              <w:t>常青树化工</w:t>
            </w:r>
            <w:r>
              <w:rPr>
                <w:color w:val="auto"/>
                <w:sz w:val="24"/>
              </w:rPr>
              <w:t>厂区厂址</w:t>
            </w:r>
            <w:r>
              <w:rPr>
                <w:rFonts w:hint="eastAsia"/>
                <w:color w:val="auto"/>
                <w:sz w:val="24"/>
              </w:rPr>
              <w:t>50m范围内</w:t>
            </w:r>
            <w:r>
              <w:rPr>
                <w:rFonts w:hint="eastAsia"/>
                <w:color w:val="auto"/>
                <w:sz w:val="24"/>
                <w:lang w:val="en-US" w:eastAsia="zh-CN"/>
              </w:rPr>
              <w:t>无声环境保护目标</w:t>
            </w:r>
            <w:r>
              <w:rPr>
                <w:color w:val="auto"/>
                <w:sz w:val="24"/>
              </w:rPr>
              <w:t>。</w:t>
            </w:r>
          </w:p>
          <w:p w14:paraId="7E272583">
            <w:pPr>
              <w:topLinePunct/>
              <w:spacing w:line="360" w:lineRule="auto"/>
              <w:ind w:firstLine="465"/>
              <w:rPr>
                <w:b/>
                <w:color w:val="auto"/>
                <w:sz w:val="28"/>
                <w:szCs w:val="28"/>
              </w:rPr>
            </w:pPr>
            <w:r>
              <w:rPr>
                <w:rFonts w:hint="eastAsia"/>
                <w:b/>
                <w:color w:val="auto"/>
                <w:sz w:val="28"/>
                <w:szCs w:val="28"/>
              </w:rPr>
              <w:t>3、地下水环境</w:t>
            </w:r>
          </w:p>
          <w:p w14:paraId="06792D37">
            <w:pPr>
              <w:topLinePunct/>
              <w:spacing w:line="360" w:lineRule="auto"/>
              <w:ind w:firstLine="480" w:firstLineChars="200"/>
              <w:rPr>
                <w:color w:val="auto"/>
                <w:sz w:val="24"/>
              </w:rPr>
            </w:pPr>
            <w:r>
              <w:rPr>
                <w:color w:val="auto"/>
                <w:sz w:val="24"/>
              </w:rPr>
              <w:t>本项目位于</w:t>
            </w:r>
            <w:r>
              <w:rPr>
                <w:rFonts w:hint="eastAsia" w:hAnsi="宋体"/>
                <w:color w:val="auto"/>
                <w:sz w:val="24"/>
              </w:rPr>
              <w:t>寻甸</w:t>
            </w:r>
            <w:r>
              <w:rPr>
                <w:rFonts w:hint="eastAsia" w:hAnsi="宋体"/>
                <w:color w:val="auto"/>
                <w:sz w:val="24"/>
                <w:lang w:val="en-US" w:eastAsia="zh-CN"/>
              </w:rPr>
              <w:t>塘子镇</w:t>
            </w:r>
            <w:r>
              <w:rPr>
                <w:rFonts w:hint="eastAsia" w:hAnsi="宋体"/>
                <w:color w:val="auto"/>
                <w:sz w:val="24"/>
                <w:lang w:eastAsia="zh-CN"/>
              </w:rPr>
              <w:t>云南常青树化工有限公司</w:t>
            </w:r>
            <w:r>
              <w:rPr>
                <w:rFonts w:hint="eastAsia" w:hAnsi="宋体"/>
                <w:color w:val="auto"/>
                <w:sz w:val="24"/>
              </w:rPr>
              <w:t>内</w:t>
            </w:r>
            <w:r>
              <w:rPr>
                <w:color w:val="auto"/>
                <w:sz w:val="24"/>
              </w:rPr>
              <w:t>，</w:t>
            </w:r>
            <w:r>
              <w:rPr>
                <w:rFonts w:hint="eastAsia"/>
                <w:color w:val="auto"/>
                <w:sz w:val="24"/>
              </w:rPr>
              <w:t>项目所在厂界外500m范围内不涉及地下水集中式饮用水水源和热水、矿泉水、温泉等特殊地下水资源。</w:t>
            </w:r>
          </w:p>
          <w:p w14:paraId="29A4F77A">
            <w:pPr>
              <w:topLinePunct/>
              <w:spacing w:line="360" w:lineRule="auto"/>
              <w:ind w:firstLine="465"/>
              <w:rPr>
                <w:b/>
                <w:color w:val="auto"/>
                <w:sz w:val="28"/>
                <w:szCs w:val="28"/>
              </w:rPr>
            </w:pPr>
            <w:r>
              <w:rPr>
                <w:rFonts w:hint="eastAsia"/>
                <w:b/>
                <w:color w:val="auto"/>
                <w:sz w:val="28"/>
                <w:szCs w:val="28"/>
              </w:rPr>
              <w:t>4、地表水环境</w:t>
            </w:r>
          </w:p>
          <w:p w14:paraId="5295554A">
            <w:pPr>
              <w:topLinePunct/>
              <w:spacing w:line="360" w:lineRule="auto"/>
              <w:ind w:firstLine="480" w:firstLineChars="200"/>
              <w:rPr>
                <w:rFonts w:hAnsi="宋体"/>
                <w:color w:val="auto"/>
                <w:sz w:val="24"/>
              </w:rPr>
            </w:pPr>
            <w:r>
              <w:rPr>
                <w:rFonts w:hint="eastAsia"/>
                <w:color w:val="auto"/>
                <w:sz w:val="24"/>
                <w:szCs w:val="24"/>
                <w:lang w:val="en-US" w:eastAsia="zh-CN"/>
              </w:rPr>
              <w:t>本次改扩建工程不新增劳动人员，从公司内部进行调配，没有新增生活废水，也无生产废水产生。</w:t>
            </w:r>
            <w:r>
              <w:rPr>
                <w:rFonts w:hAnsi="宋体"/>
                <w:color w:val="auto"/>
                <w:sz w:val="24"/>
                <w:highlight w:val="none"/>
              </w:rPr>
              <w:t>项目</w:t>
            </w:r>
            <w:r>
              <w:rPr>
                <w:rFonts w:hint="eastAsia" w:hAnsi="宋体"/>
                <w:color w:val="auto"/>
                <w:sz w:val="24"/>
                <w:highlight w:val="none"/>
                <w:lang w:val="en-US" w:eastAsia="zh-CN"/>
              </w:rPr>
              <w:t>最近</w:t>
            </w:r>
            <w:r>
              <w:rPr>
                <w:rFonts w:hAnsi="宋体"/>
                <w:color w:val="auto"/>
                <w:sz w:val="24"/>
                <w:highlight w:val="none"/>
              </w:rPr>
              <w:t>地表水体主要为</w:t>
            </w:r>
            <w:r>
              <w:rPr>
                <w:rFonts w:hint="eastAsia" w:hAnsi="宋体"/>
                <w:color w:val="auto"/>
                <w:sz w:val="24"/>
                <w:highlight w:val="none"/>
                <w:lang w:val="en-US" w:eastAsia="zh-CN"/>
              </w:rPr>
              <w:t>穿过常青树化工的</w:t>
            </w:r>
            <w:r>
              <w:rPr>
                <w:rFonts w:hint="eastAsia" w:ascii="Times New Roman" w:hAnsi="Times New Roman" w:eastAsia="宋体" w:cs="Times New Roman"/>
                <w:color w:val="auto"/>
                <w:sz w:val="24"/>
                <w:highlight w:val="none"/>
                <w:lang w:val="en-US" w:eastAsia="zh-CN"/>
              </w:rPr>
              <w:t>聂鼠龙河</w:t>
            </w:r>
            <w:r>
              <w:rPr>
                <w:rFonts w:hint="eastAsia" w:hAnsi="宋体"/>
                <w:color w:val="auto"/>
                <w:sz w:val="24"/>
                <w:highlight w:val="none"/>
              </w:rPr>
              <w:t>。</w:t>
            </w:r>
            <w:r>
              <w:rPr>
                <w:rFonts w:hAnsi="宋体"/>
                <w:color w:val="auto"/>
                <w:sz w:val="24"/>
              </w:rPr>
              <w:t xml:space="preserve">根据《环境影响评价技术导则 </w:t>
            </w:r>
            <w:r>
              <w:rPr>
                <w:rFonts w:hint="eastAsia" w:hAnsi="宋体"/>
                <w:color w:val="auto"/>
                <w:sz w:val="24"/>
              </w:rPr>
              <w:t xml:space="preserve"> </w:t>
            </w:r>
            <w:r>
              <w:rPr>
                <w:rFonts w:hAnsi="宋体"/>
                <w:color w:val="auto"/>
                <w:sz w:val="24"/>
              </w:rPr>
              <w:t>地表水环境》（HJ</w:t>
            </w:r>
            <w:r>
              <w:rPr>
                <w:rFonts w:hint="eastAsia" w:hAnsi="宋体"/>
                <w:color w:val="auto"/>
                <w:sz w:val="24"/>
              </w:rPr>
              <w:t xml:space="preserve"> </w:t>
            </w:r>
            <w:r>
              <w:rPr>
                <w:rFonts w:hAnsi="宋体"/>
                <w:color w:val="auto"/>
                <w:sz w:val="24"/>
              </w:rPr>
              <w:t>2.3-2018），</w:t>
            </w:r>
            <w:r>
              <w:rPr>
                <w:rFonts w:hint="eastAsia" w:ascii="Times New Roman" w:hAnsi="Times New Roman" w:eastAsia="宋体" w:cs="Times New Roman"/>
                <w:color w:val="auto"/>
                <w:sz w:val="24"/>
                <w:lang w:val="en-US" w:eastAsia="zh-CN"/>
              </w:rPr>
              <w:t>聂鼠龙河</w:t>
            </w:r>
            <w:r>
              <w:rPr>
                <w:rFonts w:hAnsi="宋体"/>
                <w:color w:val="auto"/>
                <w:sz w:val="24"/>
              </w:rPr>
              <w:t>不属于饮用水水源保护区、饮用水取水口，涉水的自然保护区、风景名胜区，重要湿地、重点保护与珍稀水生生物的栖息地、重要水生生物的自然产卵场及索饵场、越冬场和洄游通道，天然渔场等渔业水体，以及水产种质资源保护区等，不在导则规定的水环境保护目标范畴内，故项目不设地表水环境保护目标。</w:t>
            </w:r>
          </w:p>
          <w:p w14:paraId="627C1CD9">
            <w:pPr>
              <w:topLinePunct/>
              <w:spacing w:line="360" w:lineRule="auto"/>
              <w:ind w:firstLine="465"/>
              <w:rPr>
                <w:b/>
                <w:color w:val="auto"/>
                <w:sz w:val="28"/>
                <w:szCs w:val="28"/>
              </w:rPr>
            </w:pPr>
            <w:r>
              <w:rPr>
                <w:rFonts w:hint="eastAsia"/>
                <w:b/>
                <w:color w:val="auto"/>
                <w:sz w:val="28"/>
                <w:szCs w:val="28"/>
              </w:rPr>
              <w:t>5、生态环境</w:t>
            </w:r>
          </w:p>
          <w:p w14:paraId="04601472">
            <w:pPr>
              <w:spacing w:line="360" w:lineRule="auto"/>
              <w:ind w:firstLine="480" w:firstLineChars="200"/>
              <w:rPr>
                <w:color w:val="auto"/>
              </w:rPr>
            </w:pPr>
            <w:r>
              <w:rPr>
                <w:color w:val="auto"/>
                <w:sz w:val="24"/>
              </w:rPr>
              <w:t>本项目位于</w:t>
            </w:r>
            <w:r>
              <w:rPr>
                <w:rFonts w:hint="eastAsia" w:hAnsi="宋体"/>
                <w:color w:val="auto"/>
                <w:sz w:val="24"/>
              </w:rPr>
              <w:t>寻甸</w:t>
            </w:r>
            <w:r>
              <w:rPr>
                <w:rFonts w:hint="eastAsia" w:hAnsi="宋体"/>
                <w:color w:val="auto"/>
                <w:sz w:val="24"/>
                <w:lang w:val="en-US" w:eastAsia="zh-CN"/>
              </w:rPr>
              <w:t>塘子镇</w:t>
            </w:r>
            <w:r>
              <w:rPr>
                <w:rFonts w:hint="eastAsia" w:hAnsi="宋体"/>
                <w:color w:val="auto"/>
                <w:sz w:val="24"/>
                <w:lang w:eastAsia="zh-CN"/>
              </w:rPr>
              <w:t>云南常青树化工有限公司</w:t>
            </w:r>
            <w:r>
              <w:rPr>
                <w:rFonts w:hint="eastAsia" w:hAnsi="宋体"/>
                <w:color w:val="auto"/>
                <w:sz w:val="24"/>
              </w:rPr>
              <w:t>内</w:t>
            </w:r>
            <w:r>
              <w:rPr>
                <w:color w:val="auto"/>
                <w:sz w:val="24"/>
              </w:rPr>
              <w:t>，</w:t>
            </w:r>
            <w:r>
              <w:rPr>
                <w:rFonts w:hint="eastAsia"/>
                <w:color w:val="auto"/>
                <w:sz w:val="24"/>
                <w:szCs w:val="24"/>
              </w:rPr>
              <w:t>在</w:t>
            </w:r>
            <w:r>
              <w:rPr>
                <w:rFonts w:hint="eastAsia" w:ascii="Times New Roman" w:hAnsi="Times New Roman"/>
                <w:bCs w:val="0"/>
                <w:color w:val="auto"/>
                <w:sz w:val="24"/>
                <w:szCs w:val="24"/>
                <w:lang w:val="en-US" w:eastAsia="zh-CN"/>
              </w:rPr>
              <w:t>50万吨</w:t>
            </w:r>
            <w:r>
              <w:rPr>
                <w:rFonts w:hint="eastAsia" w:ascii="Times New Roman" w:hAnsi="Times New Roman" w:eastAsia="宋体" w:cs="Times New Roman"/>
                <w:color w:val="auto"/>
                <w:kern w:val="0"/>
                <w:sz w:val="24"/>
                <w:szCs w:val="24"/>
                <w:lang w:val="en-US" w:eastAsia="zh-CN" w:bidi="ar"/>
              </w:rPr>
              <w:t>/年球状水泥缓凝剂生产线</w:t>
            </w:r>
            <w:r>
              <w:rPr>
                <w:rFonts w:hint="eastAsia" w:ascii="Times New Roman" w:hAnsi="Times New Roman" w:cs="Times New Roman"/>
                <w:color w:val="auto"/>
                <w:kern w:val="0"/>
                <w:sz w:val="24"/>
                <w:szCs w:val="24"/>
                <w:lang w:val="en-US" w:eastAsia="zh-CN" w:bidi="ar"/>
              </w:rPr>
              <w:t>基础上，利用球状水泥缓凝剂生产线已建的受料仓、计量系统、搅拌机，并新增出料系统等配套设施</w:t>
            </w:r>
            <w:r>
              <w:rPr>
                <w:rFonts w:hint="eastAsia"/>
                <w:color w:val="auto"/>
                <w:sz w:val="24"/>
              </w:rPr>
              <w:t>进行建设</w:t>
            </w:r>
            <w:r>
              <w:rPr>
                <w:color w:val="auto"/>
                <w:sz w:val="24"/>
              </w:rPr>
              <w:t>，</w:t>
            </w:r>
            <w:r>
              <w:rPr>
                <w:rFonts w:hint="eastAsia"/>
                <w:color w:val="auto"/>
                <w:sz w:val="24"/>
              </w:rPr>
              <w:t>用地范围内不涉及生态环境保护目标。</w:t>
            </w:r>
          </w:p>
        </w:tc>
      </w:tr>
      <w:tr w14:paraId="056577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499" w:type="dxa"/>
            <w:tcMar>
              <w:left w:w="28" w:type="dxa"/>
              <w:right w:w="28" w:type="dxa"/>
            </w:tcMar>
            <w:vAlign w:val="center"/>
          </w:tcPr>
          <w:p w14:paraId="33239A51">
            <w:pPr>
              <w:adjustRightInd w:val="0"/>
              <w:snapToGrid w:val="0"/>
              <w:spacing w:line="360" w:lineRule="auto"/>
              <w:jc w:val="center"/>
              <w:rPr>
                <w:rFonts w:ascii="宋体" w:hAnsi="宋体" w:cs="宋体"/>
                <w:color w:val="auto"/>
                <w:sz w:val="24"/>
              </w:rPr>
            </w:pPr>
            <w:r>
              <w:rPr>
                <w:rFonts w:hint="eastAsia" w:ascii="宋体" w:hAnsi="宋体" w:cs="宋体"/>
                <w:color w:val="auto"/>
                <w:sz w:val="24"/>
              </w:rPr>
              <w:t>污染</w:t>
            </w:r>
          </w:p>
          <w:p w14:paraId="43D7CF34">
            <w:pPr>
              <w:adjustRightInd w:val="0"/>
              <w:snapToGrid w:val="0"/>
              <w:spacing w:line="360" w:lineRule="auto"/>
              <w:jc w:val="center"/>
              <w:rPr>
                <w:rFonts w:ascii="宋体" w:hAnsi="宋体" w:cs="宋体"/>
                <w:color w:val="auto"/>
                <w:sz w:val="24"/>
              </w:rPr>
            </w:pPr>
            <w:r>
              <w:rPr>
                <w:rFonts w:hint="eastAsia" w:ascii="宋体" w:hAnsi="宋体" w:cs="宋体"/>
                <w:color w:val="auto"/>
                <w:sz w:val="24"/>
              </w:rPr>
              <w:t>物排</w:t>
            </w:r>
          </w:p>
          <w:p w14:paraId="6ED16937">
            <w:pPr>
              <w:adjustRightInd w:val="0"/>
              <w:snapToGrid w:val="0"/>
              <w:spacing w:line="360" w:lineRule="auto"/>
              <w:jc w:val="center"/>
              <w:rPr>
                <w:rFonts w:ascii="宋体" w:hAnsi="宋体" w:cs="宋体"/>
                <w:color w:val="auto"/>
                <w:sz w:val="24"/>
              </w:rPr>
            </w:pPr>
            <w:r>
              <w:rPr>
                <w:rFonts w:hint="eastAsia" w:ascii="宋体" w:hAnsi="宋体" w:cs="宋体"/>
                <w:color w:val="auto"/>
                <w:sz w:val="24"/>
              </w:rPr>
              <w:t>放控</w:t>
            </w:r>
          </w:p>
          <w:p w14:paraId="4DCE9AEA">
            <w:pPr>
              <w:adjustRightInd w:val="0"/>
              <w:snapToGrid w:val="0"/>
              <w:spacing w:line="360" w:lineRule="auto"/>
              <w:jc w:val="center"/>
              <w:rPr>
                <w:rFonts w:ascii="宋体" w:hAnsi="宋体" w:cs="宋体"/>
                <w:color w:val="auto"/>
                <w:sz w:val="24"/>
              </w:rPr>
            </w:pPr>
            <w:r>
              <w:rPr>
                <w:rFonts w:hint="eastAsia" w:ascii="宋体" w:hAnsi="宋体" w:cs="宋体"/>
                <w:color w:val="auto"/>
                <w:sz w:val="24"/>
              </w:rPr>
              <w:t>制标</w:t>
            </w:r>
          </w:p>
          <w:p w14:paraId="63EFF750">
            <w:pPr>
              <w:adjustRightInd w:val="0"/>
              <w:snapToGrid w:val="0"/>
              <w:spacing w:line="360" w:lineRule="auto"/>
              <w:jc w:val="center"/>
              <w:rPr>
                <w:rFonts w:ascii="宋体" w:hAnsi="宋体" w:cs="宋体"/>
                <w:color w:val="auto"/>
                <w:sz w:val="24"/>
              </w:rPr>
            </w:pPr>
            <w:r>
              <w:rPr>
                <w:rFonts w:hint="eastAsia" w:ascii="宋体" w:hAnsi="宋体" w:cs="宋体"/>
                <w:color w:val="auto"/>
                <w:sz w:val="24"/>
              </w:rPr>
              <w:t>准</w:t>
            </w:r>
          </w:p>
        </w:tc>
        <w:tc>
          <w:tcPr>
            <w:tcW w:w="8491" w:type="dxa"/>
            <w:vAlign w:val="center"/>
          </w:tcPr>
          <w:p w14:paraId="6A3F22E7">
            <w:pPr>
              <w:spacing w:line="360" w:lineRule="auto"/>
              <w:ind w:firstLine="562" w:firstLineChars="200"/>
              <w:rPr>
                <w:b/>
                <w:color w:val="auto"/>
                <w:sz w:val="28"/>
                <w:szCs w:val="28"/>
              </w:rPr>
            </w:pPr>
            <w:r>
              <w:rPr>
                <w:b/>
                <w:color w:val="auto"/>
                <w:sz w:val="28"/>
                <w:szCs w:val="28"/>
              </w:rPr>
              <w:t>1</w:t>
            </w:r>
            <w:r>
              <w:rPr>
                <w:rFonts w:hAnsi="宋体"/>
                <w:b/>
                <w:color w:val="auto"/>
                <w:sz w:val="28"/>
                <w:szCs w:val="28"/>
              </w:rPr>
              <w:t>、大气污染物</w:t>
            </w:r>
          </w:p>
          <w:p w14:paraId="25BEB0C1">
            <w:pPr>
              <w:spacing w:line="360" w:lineRule="auto"/>
              <w:ind w:firstLine="480" w:firstLineChars="200"/>
              <w:rPr>
                <w:bCs/>
                <w:color w:val="auto"/>
                <w:sz w:val="24"/>
              </w:rPr>
            </w:pPr>
            <w:r>
              <w:rPr>
                <w:bCs/>
                <w:color w:val="auto"/>
                <w:sz w:val="24"/>
              </w:rPr>
              <w:t>（</w:t>
            </w:r>
            <w:r>
              <w:rPr>
                <w:rFonts w:hint="eastAsia"/>
                <w:bCs/>
                <w:color w:val="auto"/>
                <w:sz w:val="24"/>
              </w:rPr>
              <w:t>一</w:t>
            </w:r>
            <w:r>
              <w:rPr>
                <w:bCs/>
                <w:color w:val="auto"/>
                <w:sz w:val="24"/>
              </w:rPr>
              <w:t>）施工期</w:t>
            </w:r>
          </w:p>
          <w:p w14:paraId="3FED6C1B">
            <w:pPr>
              <w:spacing w:line="360" w:lineRule="auto"/>
              <w:ind w:firstLine="480" w:firstLineChars="200"/>
              <w:rPr>
                <w:bCs/>
                <w:color w:val="auto"/>
                <w:sz w:val="24"/>
              </w:rPr>
            </w:pPr>
            <w:r>
              <w:rPr>
                <w:bCs/>
                <w:color w:val="auto"/>
                <w:sz w:val="24"/>
              </w:rPr>
              <w:t>项目施工期无组织颗粒物排放执行《大气污染物综合排放标准》（GB16297-1996）中表2规定的限值，即厂界颗粒物无组织排放浓度≤1.0mg/m</w:t>
            </w:r>
            <w:r>
              <w:rPr>
                <w:bCs/>
                <w:color w:val="auto"/>
                <w:sz w:val="24"/>
                <w:vertAlign w:val="superscript"/>
              </w:rPr>
              <w:t>3</w:t>
            </w:r>
            <w:r>
              <w:rPr>
                <w:bCs/>
                <w:color w:val="auto"/>
                <w:sz w:val="24"/>
              </w:rPr>
              <w:t>，具体指标见表</w:t>
            </w:r>
            <w:r>
              <w:rPr>
                <w:rFonts w:hint="eastAsia"/>
                <w:bCs/>
                <w:color w:val="auto"/>
                <w:sz w:val="24"/>
              </w:rPr>
              <w:t>3-</w:t>
            </w:r>
            <w:r>
              <w:rPr>
                <w:rFonts w:hint="eastAsia"/>
                <w:bCs/>
                <w:color w:val="auto"/>
                <w:sz w:val="24"/>
                <w:lang w:val="en-US" w:eastAsia="zh-CN"/>
              </w:rPr>
              <w:t>6</w:t>
            </w:r>
            <w:r>
              <w:rPr>
                <w:bCs/>
                <w:color w:val="auto"/>
                <w:sz w:val="24"/>
              </w:rPr>
              <w:t>。</w:t>
            </w:r>
          </w:p>
          <w:p w14:paraId="1881EC85">
            <w:pPr>
              <w:jc w:val="center"/>
              <w:rPr>
                <w:b/>
                <w:bCs/>
                <w:color w:val="auto"/>
                <w:sz w:val="24"/>
              </w:rPr>
            </w:pPr>
            <w:r>
              <w:rPr>
                <w:b/>
                <w:bCs/>
                <w:color w:val="auto"/>
                <w:sz w:val="24"/>
              </w:rPr>
              <w:t>表</w:t>
            </w:r>
            <w:r>
              <w:rPr>
                <w:rFonts w:hint="eastAsia"/>
                <w:b/>
                <w:bCs/>
                <w:color w:val="auto"/>
                <w:sz w:val="24"/>
              </w:rPr>
              <w:t>3-</w:t>
            </w:r>
            <w:r>
              <w:rPr>
                <w:rFonts w:hint="eastAsia"/>
                <w:b/>
                <w:bCs/>
                <w:color w:val="auto"/>
                <w:sz w:val="24"/>
                <w:lang w:val="en-US" w:eastAsia="zh-CN"/>
              </w:rPr>
              <w:t>6</w:t>
            </w:r>
            <w:r>
              <w:rPr>
                <w:rFonts w:hint="eastAsia"/>
                <w:b/>
                <w:bCs/>
                <w:color w:val="auto"/>
                <w:sz w:val="24"/>
              </w:rPr>
              <w:t xml:space="preserve"> </w:t>
            </w:r>
            <w:r>
              <w:rPr>
                <w:b/>
                <w:bCs/>
                <w:color w:val="auto"/>
                <w:sz w:val="24"/>
              </w:rPr>
              <w:t xml:space="preserve"> 大气污染物综合排放标准</w:t>
            </w:r>
          </w:p>
          <w:tbl>
            <w:tblPr>
              <w:tblStyle w:val="45"/>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630"/>
              <w:gridCol w:w="5400"/>
            </w:tblGrid>
            <w:tr w14:paraId="0F968C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630" w:type="dxa"/>
                  <w:tcBorders>
                    <w:top w:val="single" w:color="auto" w:sz="2" w:space="0"/>
                    <w:left w:val="single" w:color="auto" w:sz="2" w:space="0"/>
                    <w:bottom w:val="single" w:color="auto" w:sz="2" w:space="0"/>
                    <w:right w:val="single" w:color="auto" w:sz="4" w:space="0"/>
                  </w:tcBorders>
                  <w:vAlign w:val="center"/>
                </w:tcPr>
                <w:p w14:paraId="6A256362">
                  <w:pPr>
                    <w:pStyle w:val="10"/>
                    <w:rPr>
                      <w:rFonts w:eastAsia="宋体"/>
                      <w:color w:val="auto"/>
                      <w:kern w:val="2"/>
                      <w:sz w:val="21"/>
                      <w:szCs w:val="21"/>
                      <w:lang w:eastAsia="zh-CN"/>
                    </w:rPr>
                  </w:pPr>
                  <w:r>
                    <w:rPr>
                      <w:rFonts w:eastAsia="宋体"/>
                      <w:color w:val="auto"/>
                      <w:kern w:val="2"/>
                      <w:sz w:val="21"/>
                      <w:szCs w:val="21"/>
                      <w:lang w:eastAsia="zh-CN"/>
                    </w:rPr>
                    <w:t>污染物</w:t>
                  </w:r>
                </w:p>
              </w:tc>
              <w:tc>
                <w:tcPr>
                  <w:tcW w:w="5400" w:type="dxa"/>
                  <w:tcBorders>
                    <w:top w:val="single" w:color="auto" w:sz="2" w:space="0"/>
                    <w:left w:val="single" w:color="auto" w:sz="4" w:space="0"/>
                    <w:bottom w:val="single" w:color="auto" w:sz="2" w:space="0"/>
                    <w:right w:val="single" w:color="auto" w:sz="2" w:space="0"/>
                  </w:tcBorders>
                  <w:vAlign w:val="center"/>
                </w:tcPr>
                <w:p w14:paraId="62EE5A3B">
                  <w:pPr>
                    <w:pStyle w:val="10"/>
                    <w:rPr>
                      <w:rFonts w:eastAsia="宋体"/>
                      <w:color w:val="auto"/>
                      <w:kern w:val="2"/>
                      <w:sz w:val="21"/>
                      <w:szCs w:val="21"/>
                      <w:lang w:eastAsia="zh-CN"/>
                    </w:rPr>
                  </w:pPr>
                  <w:r>
                    <w:rPr>
                      <w:rFonts w:eastAsia="宋体"/>
                      <w:color w:val="auto"/>
                      <w:kern w:val="2"/>
                      <w:sz w:val="21"/>
                      <w:szCs w:val="21"/>
                      <w:lang w:eastAsia="zh-CN"/>
                    </w:rPr>
                    <w:t>无组织排放监控浓度限值</w:t>
                  </w:r>
                </w:p>
              </w:tc>
            </w:tr>
            <w:tr w14:paraId="2FE7A4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2630" w:type="dxa"/>
                  <w:tcBorders>
                    <w:top w:val="single" w:color="auto" w:sz="2" w:space="0"/>
                    <w:left w:val="single" w:color="auto" w:sz="2" w:space="0"/>
                    <w:bottom w:val="single" w:color="auto" w:sz="2" w:space="0"/>
                    <w:right w:val="single" w:color="auto" w:sz="4" w:space="0"/>
                  </w:tcBorders>
                  <w:vAlign w:val="center"/>
                </w:tcPr>
                <w:p w14:paraId="64A2F800">
                  <w:pPr>
                    <w:jc w:val="center"/>
                    <w:rPr>
                      <w:color w:val="auto"/>
                      <w:sz w:val="21"/>
                      <w:szCs w:val="21"/>
                    </w:rPr>
                  </w:pPr>
                  <w:r>
                    <w:rPr>
                      <w:color w:val="auto"/>
                      <w:sz w:val="21"/>
                      <w:szCs w:val="21"/>
                    </w:rPr>
                    <w:t>颗粒物</w:t>
                  </w:r>
                </w:p>
              </w:tc>
              <w:tc>
                <w:tcPr>
                  <w:tcW w:w="5400" w:type="dxa"/>
                  <w:tcBorders>
                    <w:top w:val="single" w:color="auto" w:sz="2" w:space="0"/>
                    <w:left w:val="single" w:color="auto" w:sz="4" w:space="0"/>
                    <w:bottom w:val="single" w:color="auto" w:sz="2" w:space="0"/>
                    <w:right w:val="single" w:color="auto" w:sz="2" w:space="0"/>
                  </w:tcBorders>
                  <w:vAlign w:val="center"/>
                </w:tcPr>
                <w:p w14:paraId="54B57CF1">
                  <w:pPr>
                    <w:jc w:val="center"/>
                    <w:rPr>
                      <w:color w:val="auto"/>
                      <w:sz w:val="21"/>
                      <w:szCs w:val="21"/>
                    </w:rPr>
                  </w:pPr>
                  <w:r>
                    <w:rPr>
                      <w:color w:val="auto"/>
                      <w:sz w:val="21"/>
                      <w:szCs w:val="21"/>
                    </w:rPr>
                    <w:t>1.0mg/m</w:t>
                  </w:r>
                  <w:r>
                    <w:rPr>
                      <w:color w:val="auto"/>
                      <w:sz w:val="21"/>
                      <w:szCs w:val="21"/>
                      <w:vertAlign w:val="superscript"/>
                    </w:rPr>
                    <w:t>3</w:t>
                  </w:r>
                </w:p>
              </w:tc>
            </w:tr>
          </w:tbl>
          <w:p w14:paraId="419EBC65">
            <w:pPr>
              <w:spacing w:line="360" w:lineRule="auto"/>
              <w:ind w:firstLine="480" w:firstLineChars="200"/>
              <w:rPr>
                <w:bCs/>
                <w:color w:val="auto"/>
                <w:sz w:val="24"/>
              </w:rPr>
            </w:pPr>
            <w:r>
              <w:rPr>
                <w:rFonts w:hint="eastAsia"/>
                <w:bCs/>
                <w:color w:val="auto"/>
                <w:sz w:val="24"/>
              </w:rPr>
              <w:t>（二）运营期</w:t>
            </w:r>
          </w:p>
          <w:p w14:paraId="44C5D17E">
            <w:pPr>
              <w:spacing w:line="360" w:lineRule="auto"/>
              <w:ind w:firstLine="480" w:firstLineChars="200"/>
              <w:rPr>
                <w:rFonts w:hAnsi="宋体"/>
                <w:bCs/>
                <w:color w:val="auto"/>
                <w:sz w:val="24"/>
              </w:rPr>
            </w:pPr>
            <w:r>
              <w:rPr>
                <w:rFonts w:hint="eastAsia" w:hAnsi="宋体"/>
                <w:bCs/>
                <w:color w:val="auto"/>
                <w:sz w:val="24"/>
              </w:rPr>
              <w:t>（1）无组织废气</w:t>
            </w:r>
          </w:p>
          <w:p w14:paraId="7FBE4FB5">
            <w:pPr>
              <w:spacing w:line="360" w:lineRule="auto"/>
              <w:ind w:firstLine="480" w:firstLineChars="200"/>
              <w:rPr>
                <w:rFonts w:hAnsi="宋体"/>
                <w:bCs/>
                <w:color w:val="auto"/>
                <w:sz w:val="24"/>
              </w:rPr>
            </w:pPr>
            <w:r>
              <w:rPr>
                <w:rFonts w:hAnsi="宋体"/>
                <w:bCs/>
                <w:color w:val="auto"/>
                <w:sz w:val="24"/>
              </w:rPr>
              <w:t>运营期产生的</w:t>
            </w:r>
            <w:r>
              <w:rPr>
                <w:rFonts w:hint="eastAsia" w:hAnsi="宋体"/>
                <w:bCs/>
                <w:color w:val="auto"/>
                <w:sz w:val="24"/>
              </w:rPr>
              <w:t>无组织</w:t>
            </w:r>
            <w:r>
              <w:rPr>
                <w:rFonts w:hAnsi="宋体"/>
                <w:bCs/>
                <w:color w:val="auto"/>
                <w:sz w:val="24"/>
              </w:rPr>
              <w:t>颗粒物</w:t>
            </w:r>
            <w:r>
              <w:rPr>
                <w:rFonts w:hint="eastAsia" w:hAnsi="宋体"/>
                <w:bCs/>
                <w:color w:val="auto"/>
                <w:sz w:val="24"/>
              </w:rPr>
              <w:t>排放执行</w:t>
            </w:r>
            <w:r>
              <w:rPr>
                <w:rFonts w:hAnsi="宋体"/>
                <w:bCs/>
                <w:color w:val="auto"/>
                <w:sz w:val="24"/>
              </w:rPr>
              <w:t>《大气污染物综合排放标准》（</w:t>
            </w:r>
            <w:r>
              <w:rPr>
                <w:bCs/>
                <w:color w:val="auto"/>
                <w:sz w:val="24"/>
              </w:rPr>
              <w:t>GB16297-1996</w:t>
            </w:r>
            <w:r>
              <w:rPr>
                <w:rFonts w:hAnsi="宋体"/>
                <w:bCs/>
                <w:color w:val="auto"/>
                <w:sz w:val="24"/>
              </w:rPr>
              <w:t>）表</w:t>
            </w:r>
            <w:r>
              <w:rPr>
                <w:bCs/>
                <w:color w:val="auto"/>
                <w:sz w:val="24"/>
              </w:rPr>
              <w:t>2</w:t>
            </w:r>
            <w:r>
              <w:rPr>
                <w:rFonts w:hAnsi="宋体"/>
                <w:bCs/>
                <w:color w:val="auto"/>
                <w:sz w:val="24"/>
              </w:rPr>
              <w:t>中无组织排放监控浓度限制的要求具体见表</w:t>
            </w:r>
            <w:r>
              <w:rPr>
                <w:rFonts w:hint="eastAsia"/>
                <w:bCs/>
                <w:color w:val="auto"/>
                <w:sz w:val="24"/>
              </w:rPr>
              <w:t>3-</w:t>
            </w:r>
            <w:r>
              <w:rPr>
                <w:rFonts w:hint="eastAsia"/>
                <w:bCs/>
                <w:color w:val="auto"/>
                <w:sz w:val="24"/>
                <w:lang w:val="en-US" w:eastAsia="zh-CN"/>
              </w:rPr>
              <w:t>7</w:t>
            </w:r>
            <w:r>
              <w:rPr>
                <w:rFonts w:hAnsi="宋体"/>
                <w:bCs/>
                <w:color w:val="auto"/>
                <w:sz w:val="24"/>
              </w:rPr>
              <w:t>。</w:t>
            </w:r>
          </w:p>
          <w:p w14:paraId="607B8921">
            <w:pPr>
              <w:pStyle w:val="43"/>
              <w:spacing w:after="0"/>
              <w:ind w:firstLine="0" w:firstLineChars="0"/>
              <w:jc w:val="center"/>
              <w:rPr>
                <w:rFonts w:hAnsi="宋体"/>
                <w:b/>
                <w:color w:val="auto"/>
                <w:sz w:val="24"/>
              </w:rPr>
            </w:pPr>
            <w:r>
              <w:rPr>
                <w:rFonts w:hAnsi="宋体"/>
                <w:b/>
                <w:color w:val="auto"/>
                <w:sz w:val="24"/>
              </w:rPr>
              <w:t>表</w:t>
            </w:r>
            <w:r>
              <w:rPr>
                <w:rFonts w:hint="eastAsia"/>
                <w:b/>
                <w:color w:val="auto"/>
                <w:sz w:val="24"/>
              </w:rPr>
              <w:t>3-</w:t>
            </w:r>
            <w:r>
              <w:rPr>
                <w:rFonts w:hint="eastAsia"/>
                <w:b/>
                <w:color w:val="auto"/>
                <w:sz w:val="24"/>
                <w:lang w:val="en-US" w:eastAsia="zh-CN"/>
              </w:rPr>
              <w:t>7</w:t>
            </w:r>
            <w:r>
              <w:rPr>
                <w:b/>
                <w:color w:val="auto"/>
                <w:sz w:val="24"/>
              </w:rPr>
              <w:t xml:space="preserve">  </w:t>
            </w:r>
            <w:r>
              <w:rPr>
                <w:rFonts w:hint="eastAsia" w:hAnsi="宋体"/>
                <w:b/>
                <w:color w:val="auto"/>
                <w:sz w:val="24"/>
              </w:rPr>
              <w:t>无组织</w:t>
            </w:r>
            <w:r>
              <w:rPr>
                <w:rFonts w:hAnsi="宋体"/>
                <w:b/>
                <w:color w:val="auto"/>
                <w:sz w:val="24"/>
              </w:rPr>
              <w:t>污染物排放限值</w:t>
            </w:r>
          </w:p>
          <w:tbl>
            <w:tblPr>
              <w:tblStyle w:val="4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47"/>
              <w:gridCol w:w="2522"/>
              <w:gridCol w:w="1682"/>
              <w:gridCol w:w="2714"/>
            </w:tblGrid>
            <w:tr w14:paraId="64902A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14" w:type="pct"/>
                  <w:vAlign w:val="center"/>
                </w:tcPr>
                <w:p w14:paraId="50BE25A1">
                  <w:pPr>
                    <w:adjustRightInd w:val="0"/>
                    <w:snapToGrid w:val="0"/>
                    <w:jc w:val="center"/>
                    <w:rPr>
                      <w:color w:val="auto"/>
                      <w:sz w:val="21"/>
                      <w:szCs w:val="21"/>
                    </w:rPr>
                  </w:pPr>
                  <w:r>
                    <w:rPr>
                      <w:rFonts w:hint="eastAsia"/>
                      <w:color w:val="auto"/>
                      <w:sz w:val="21"/>
                      <w:szCs w:val="21"/>
                    </w:rPr>
                    <w:t>污染物</w:t>
                  </w:r>
                </w:p>
              </w:tc>
              <w:tc>
                <w:tcPr>
                  <w:tcW w:w="1525" w:type="pct"/>
                  <w:vAlign w:val="center"/>
                </w:tcPr>
                <w:p w14:paraId="3EBD6C61">
                  <w:pPr>
                    <w:adjustRightInd w:val="0"/>
                    <w:snapToGrid w:val="0"/>
                    <w:jc w:val="center"/>
                    <w:rPr>
                      <w:color w:val="auto"/>
                      <w:sz w:val="21"/>
                      <w:szCs w:val="21"/>
                    </w:rPr>
                  </w:pPr>
                  <w:r>
                    <w:rPr>
                      <w:color w:val="auto"/>
                      <w:sz w:val="21"/>
                      <w:szCs w:val="21"/>
                    </w:rPr>
                    <w:t>无组织排放监控浓度限值</w:t>
                  </w:r>
                </w:p>
              </w:tc>
              <w:tc>
                <w:tcPr>
                  <w:tcW w:w="1017" w:type="pct"/>
                  <w:vAlign w:val="center"/>
                </w:tcPr>
                <w:p w14:paraId="72D34202">
                  <w:pPr>
                    <w:adjustRightInd w:val="0"/>
                    <w:snapToGrid w:val="0"/>
                    <w:jc w:val="center"/>
                    <w:rPr>
                      <w:color w:val="auto"/>
                      <w:sz w:val="21"/>
                      <w:szCs w:val="21"/>
                    </w:rPr>
                  </w:pPr>
                  <w:r>
                    <w:rPr>
                      <w:rFonts w:hint="eastAsia"/>
                      <w:color w:val="auto"/>
                      <w:sz w:val="21"/>
                      <w:szCs w:val="21"/>
                    </w:rPr>
                    <w:t>无组织排放监控点</w:t>
                  </w:r>
                </w:p>
              </w:tc>
              <w:tc>
                <w:tcPr>
                  <w:tcW w:w="1641" w:type="pct"/>
                </w:tcPr>
                <w:p w14:paraId="3FD7A285">
                  <w:pPr>
                    <w:adjustRightInd w:val="0"/>
                    <w:snapToGrid w:val="0"/>
                    <w:jc w:val="center"/>
                    <w:rPr>
                      <w:color w:val="auto"/>
                      <w:sz w:val="21"/>
                      <w:szCs w:val="21"/>
                    </w:rPr>
                  </w:pPr>
                  <w:r>
                    <w:rPr>
                      <w:rFonts w:hint="eastAsia"/>
                      <w:color w:val="auto"/>
                      <w:sz w:val="21"/>
                      <w:szCs w:val="21"/>
                    </w:rPr>
                    <w:t>执行标准</w:t>
                  </w:r>
                </w:p>
              </w:tc>
            </w:tr>
            <w:tr w14:paraId="739D1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14" w:type="pct"/>
                  <w:vAlign w:val="center"/>
                </w:tcPr>
                <w:p w14:paraId="1AAF21CB">
                  <w:pPr>
                    <w:adjustRightInd w:val="0"/>
                    <w:snapToGrid w:val="0"/>
                    <w:jc w:val="center"/>
                    <w:rPr>
                      <w:color w:val="auto"/>
                      <w:sz w:val="21"/>
                      <w:szCs w:val="21"/>
                    </w:rPr>
                  </w:pPr>
                  <w:r>
                    <w:rPr>
                      <w:rFonts w:hint="eastAsia"/>
                      <w:color w:val="auto"/>
                      <w:sz w:val="21"/>
                      <w:szCs w:val="21"/>
                    </w:rPr>
                    <w:t>颗粒物</w:t>
                  </w:r>
                </w:p>
              </w:tc>
              <w:tc>
                <w:tcPr>
                  <w:tcW w:w="1525" w:type="pct"/>
                  <w:vAlign w:val="center"/>
                </w:tcPr>
                <w:p w14:paraId="2506B3CC">
                  <w:pPr>
                    <w:adjustRightInd w:val="0"/>
                    <w:snapToGrid w:val="0"/>
                    <w:jc w:val="center"/>
                    <w:rPr>
                      <w:color w:val="auto"/>
                      <w:sz w:val="21"/>
                      <w:szCs w:val="21"/>
                    </w:rPr>
                  </w:pPr>
                  <w:r>
                    <w:rPr>
                      <w:color w:val="auto"/>
                      <w:sz w:val="21"/>
                      <w:szCs w:val="21"/>
                    </w:rPr>
                    <w:t>1.0mg/m</w:t>
                  </w:r>
                  <w:r>
                    <w:rPr>
                      <w:color w:val="auto"/>
                      <w:sz w:val="21"/>
                      <w:szCs w:val="21"/>
                      <w:vertAlign w:val="superscript"/>
                    </w:rPr>
                    <w:t>3</w:t>
                  </w:r>
                </w:p>
              </w:tc>
              <w:tc>
                <w:tcPr>
                  <w:tcW w:w="1017" w:type="pct"/>
                  <w:vAlign w:val="center"/>
                </w:tcPr>
                <w:p w14:paraId="22116430">
                  <w:pPr>
                    <w:adjustRightInd w:val="0"/>
                    <w:snapToGrid w:val="0"/>
                    <w:jc w:val="center"/>
                    <w:rPr>
                      <w:color w:val="auto"/>
                      <w:sz w:val="21"/>
                      <w:szCs w:val="21"/>
                    </w:rPr>
                  </w:pPr>
                  <w:r>
                    <w:rPr>
                      <w:rFonts w:hint="eastAsia" w:hAnsi="宋体"/>
                      <w:color w:val="auto"/>
                      <w:sz w:val="21"/>
                      <w:szCs w:val="21"/>
                    </w:rPr>
                    <w:t>周界外浓度最高点</w:t>
                  </w:r>
                </w:p>
              </w:tc>
              <w:tc>
                <w:tcPr>
                  <w:tcW w:w="1641" w:type="pct"/>
                  <w:vAlign w:val="center"/>
                </w:tcPr>
                <w:p w14:paraId="14AF3E66">
                  <w:pPr>
                    <w:autoSpaceDE w:val="0"/>
                    <w:autoSpaceDN w:val="0"/>
                    <w:jc w:val="center"/>
                    <w:rPr>
                      <w:color w:val="auto"/>
                      <w:sz w:val="21"/>
                      <w:szCs w:val="21"/>
                    </w:rPr>
                  </w:pPr>
                  <w:r>
                    <w:rPr>
                      <w:rFonts w:hint="eastAsia"/>
                      <w:bCs/>
                      <w:color w:val="auto"/>
                      <w:sz w:val="21"/>
                      <w:szCs w:val="21"/>
                    </w:rPr>
                    <w:t>《大气污染物综合排放标准》（GB16297-1996）</w:t>
                  </w:r>
                </w:p>
              </w:tc>
            </w:tr>
          </w:tbl>
          <w:p w14:paraId="21B0BA76">
            <w:pPr>
              <w:spacing w:line="360" w:lineRule="auto"/>
              <w:ind w:firstLine="480" w:firstLineChars="200"/>
              <w:rPr>
                <w:rFonts w:hAnsi="宋体"/>
                <w:bCs/>
                <w:color w:val="auto"/>
                <w:sz w:val="24"/>
              </w:rPr>
            </w:pPr>
            <w:r>
              <w:rPr>
                <w:rFonts w:hint="eastAsia" w:hAnsi="宋体"/>
                <w:bCs/>
                <w:color w:val="auto"/>
                <w:sz w:val="24"/>
              </w:rPr>
              <w:t>（2）有组织废气</w:t>
            </w:r>
          </w:p>
          <w:p w14:paraId="3BA87D5C">
            <w:pPr>
              <w:spacing w:line="360" w:lineRule="auto"/>
              <w:ind w:firstLine="480" w:firstLineChars="200"/>
              <w:rPr>
                <w:rFonts w:ascii="宋体" w:hAnsi="宋体"/>
                <w:bCs/>
                <w:color w:val="auto"/>
                <w:sz w:val="24"/>
              </w:rPr>
            </w:pPr>
            <w:r>
              <w:rPr>
                <w:bCs/>
                <w:color w:val="auto"/>
                <w:sz w:val="24"/>
              </w:rPr>
              <w:t>项目</w:t>
            </w:r>
            <w:r>
              <w:rPr>
                <w:rFonts w:hint="eastAsia"/>
                <w:bCs/>
                <w:color w:val="auto"/>
                <w:sz w:val="24"/>
                <w:lang w:val="en-US" w:eastAsia="zh-CN"/>
              </w:rPr>
              <w:t>筛分和石灰筒仓</w:t>
            </w:r>
            <w:r>
              <w:rPr>
                <w:rFonts w:hint="eastAsia"/>
                <w:bCs/>
                <w:color w:val="auto"/>
                <w:sz w:val="24"/>
              </w:rPr>
              <w:t>新增</w:t>
            </w:r>
            <w:r>
              <w:rPr>
                <w:bCs/>
                <w:color w:val="auto"/>
                <w:sz w:val="24"/>
              </w:rPr>
              <w:t>排气筒</w:t>
            </w:r>
            <w:r>
              <w:rPr>
                <w:rFonts w:hint="eastAsia"/>
                <w:bCs/>
                <w:color w:val="auto"/>
                <w:sz w:val="24"/>
                <w:highlight w:val="none"/>
              </w:rPr>
              <w:t>DA0</w:t>
            </w:r>
            <w:r>
              <w:rPr>
                <w:rFonts w:hint="eastAsia"/>
                <w:bCs/>
                <w:color w:val="auto"/>
                <w:sz w:val="24"/>
                <w:highlight w:val="none"/>
                <w:lang w:val="en-US" w:eastAsia="zh-CN"/>
              </w:rPr>
              <w:t>08</w:t>
            </w:r>
            <w:r>
              <w:rPr>
                <w:rFonts w:hint="eastAsia"/>
                <w:bCs/>
                <w:color w:val="auto"/>
                <w:sz w:val="24"/>
                <w:highlight w:val="none"/>
              </w:rPr>
              <w:t>（15m）</w:t>
            </w:r>
            <w:r>
              <w:rPr>
                <w:bCs/>
                <w:color w:val="auto"/>
                <w:sz w:val="24"/>
              </w:rPr>
              <w:t>外排的有组织颗粒物执行</w:t>
            </w:r>
            <w:r>
              <w:rPr>
                <w:color w:val="auto"/>
                <w:sz w:val="24"/>
              </w:rPr>
              <w:t>《大气污染物综合排放标准》（GB16297-1996）表2中有组织最高允许排放浓度限值，</w:t>
            </w:r>
            <w:r>
              <w:rPr>
                <w:bCs/>
                <w:color w:val="auto"/>
                <w:sz w:val="24"/>
              </w:rPr>
              <w:t>具体</w:t>
            </w:r>
            <w:r>
              <w:rPr>
                <w:rFonts w:hAnsi="宋体"/>
                <w:bCs/>
                <w:color w:val="auto"/>
                <w:sz w:val="24"/>
              </w:rPr>
              <w:t>见表</w:t>
            </w:r>
            <w:r>
              <w:rPr>
                <w:rFonts w:hint="eastAsia"/>
                <w:bCs/>
                <w:color w:val="auto"/>
                <w:sz w:val="24"/>
              </w:rPr>
              <w:t>3-</w:t>
            </w:r>
            <w:r>
              <w:rPr>
                <w:rFonts w:hint="eastAsia"/>
                <w:bCs/>
                <w:color w:val="auto"/>
                <w:sz w:val="24"/>
                <w:lang w:val="en-US" w:eastAsia="zh-CN"/>
              </w:rPr>
              <w:t>8</w:t>
            </w:r>
            <w:r>
              <w:rPr>
                <w:rFonts w:hAnsi="宋体"/>
                <w:bCs/>
                <w:color w:val="auto"/>
                <w:sz w:val="24"/>
              </w:rPr>
              <w:t>。</w:t>
            </w:r>
          </w:p>
          <w:p w14:paraId="5E60888F">
            <w:pPr>
              <w:jc w:val="center"/>
              <w:rPr>
                <w:color w:val="auto"/>
                <w:sz w:val="24"/>
              </w:rPr>
            </w:pPr>
            <w:r>
              <w:rPr>
                <w:rFonts w:hint="eastAsia"/>
                <w:b/>
                <w:bCs/>
                <w:color w:val="auto"/>
                <w:sz w:val="24"/>
              </w:rPr>
              <w:t>表3-</w:t>
            </w:r>
            <w:r>
              <w:rPr>
                <w:rFonts w:hint="eastAsia"/>
                <w:b/>
                <w:bCs/>
                <w:color w:val="auto"/>
                <w:sz w:val="24"/>
                <w:lang w:val="en-US" w:eastAsia="zh-CN"/>
              </w:rPr>
              <w:t>8</w:t>
            </w:r>
            <w:r>
              <w:rPr>
                <w:rFonts w:hint="eastAsia"/>
                <w:b/>
                <w:bCs/>
                <w:color w:val="auto"/>
                <w:sz w:val="24"/>
              </w:rPr>
              <w:t xml:space="preserve">  大气污染物排放标准</w:t>
            </w:r>
          </w:p>
          <w:tbl>
            <w:tblPr>
              <w:tblStyle w:val="45"/>
              <w:tblW w:w="78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1663"/>
              <w:gridCol w:w="1600"/>
              <w:gridCol w:w="1100"/>
              <w:gridCol w:w="2380"/>
            </w:tblGrid>
            <w:tr w14:paraId="37DAE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3" w:type="dxa"/>
                  <w:vMerge w:val="restart"/>
                  <w:tcBorders>
                    <w:top w:val="single" w:color="auto" w:sz="4" w:space="0"/>
                    <w:left w:val="single" w:color="auto" w:sz="4" w:space="0"/>
                    <w:right w:val="single" w:color="auto" w:sz="4" w:space="0"/>
                  </w:tcBorders>
                  <w:vAlign w:val="center"/>
                </w:tcPr>
                <w:p w14:paraId="184BA9DA">
                  <w:pPr>
                    <w:autoSpaceDE w:val="0"/>
                    <w:autoSpaceDN w:val="0"/>
                    <w:jc w:val="center"/>
                    <w:rPr>
                      <w:color w:val="auto"/>
                      <w:sz w:val="21"/>
                      <w:szCs w:val="21"/>
                    </w:rPr>
                  </w:pPr>
                  <w:r>
                    <w:rPr>
                      <w:color w:val="auto"/>
                      <w:sz w:val="21"/>
                      <w:szCs w:val="21"/>
                    </w:rPr>
                    <w:t>污染物</w:t>
                  </w:r>
                </w:p>
              </w:tc>
              <w:tc>
                <w:tcPr>
                  <w:tcW w:w="1663" w:type="dxa"/>
                  <w:vMerge w:val="restart"/>
                  <w:tcBorders>
                    <w:top w:val="single" w:color="auto" w:sz="4" w:space="0"/>
                    <w:left w:val="single" w:color="auto" w:sz="4" w:space="0"/>
                    <w:right w:val="single" w:color="auto" w:sz="4" w:space="0"/>
                  </w:tcBorders>
                  <w:vAlign w:val="center"/>
                </w:tcPr>
                <w:p w14:paraId="7F17BFCB">
                  <w:pPr>
                    <w:autoSpaceDE w:val="0"/>
                    <w:autoSpaceDN w:val="0"/>
                    <w:jc w:val="center"/>
                    <w:rPr>
                      <w:color w:val="auto"/>
                      <w:sz w:val="21"/>
                      <w:szCs w:val="21"/>
                    </w:rPr>
                  </w:pPr>
                  <w:r>
                    <w:rPr>
                      <w:color w:val="auto"/>
                      <w:sz w:val="21"/>
                      <w:szCs w:val="21"/>
                    </w:rPr>
                    <w:t>最高允许排放浓度（mg/m</w:t>
                  </w:r>
                  <w:r>
                    <w:rPr>
                      <w:color w:val="auto"/>
                      <w:sz w:val="21"/>
                      <w:szCs w:val="21"/>
                      <w:vertAlign w:val="superscript"/>
                    </w:rPr>
                    <w:t>3</w:t>
                  </w:r>
                  <w:r>
                    <w:rPr>
                      <w:color w:val="auto"/>
                      <w:sz w:val="21"/>
                      <w:szCs w:val="21"/>
                    </w:rPr>
                    <w:t>）</w:t>
                  </w:r>
                </w:p>
              </w:tc>
              <w:tc>
                <w:tcPr>
                  <w:tcW w:w="2700" w:type="dxa"/>
                  <w:gridSpan w:val="2"/>
                  <w:tcBorders>
                    <w:top w:val="single" w:color="auto" w:sz="4" w:space="0"/>
                    <w:left w:val="single" w:color="auto" w:sz="4" w:space="0"/>
                    <w:right w:val="single" w:color="auto" w:sz="4" w:space="0"/>
                  </w:tcBorders>
                  <w:vAlign w:val="center"/>
                </w:tcPr>
                <w:p w14:paraId="7DD1639B">
                  <w:pPr>
                    <w:autoSpaceDE w:val="0"/>
                    <w:autoSpaceDN w:val="0"/>
                    <w:jc w:val="center"/>
                    <w:rPr>
                      <w:color w:val="auto"/>
                      <w:sz w:val="21"/>
                      <w:szCs w:val="21"/>
                    </w:rPr>
                  </w:pPr>
                  <w:r>
                    <w:rPr>
                      <w:color w:val="auto"/>
                      <w:sz w:val="21"/>
                      <w:szCs w:val="21"/>
                    </w:rPr>
                    <w:t>最高允许排放速率（kg/h）</w:t>
                  </w:r>
                </w:p>
              </w:tc>
              <w:tc>
                <w:tcPr>
                  <w:tcW w:w="2380" w:type="dxa"/>
                  <w:vMerge w:val="restart"/>
                  <w:tcBorders>
                    <w:top w:val="single" w:color="auto" w:sz="4" w:space="0"/>
                    <w:left w:val="single" w:color="auto" w:sz="4" w:space="0"/>
                    <w:right w:val="single" w:color="auto" w:sz="4" w:space="0"/>
                  </w:tcBorders>
                  <w:vAlign w:val="center"/>
                </w:tcPr>
                <w:p w14:paraId="3BC0A3C4">
                  <w:pPr>
                    <w:autoSpaceDE w:val="0"/>
                    <w:autoSpaceDN w:val="0"/>
                    <w:jc w:val="center"/>
                    <w:rPr>
                      <w:color w:val="auto"/>
                      <w:sz w:val="21"/>
                      <w:szCs w:val="21"/>
                    </w:rPr>
                  </w:pPr>
                  <w:r>
                    <w:rPr>
                      <w:color w:val="auto"/>
                      <w:sz w:val="21"/>
                      <w:szCs w:val="21"/>
                    </w:rPr>
                    <w:t>执行标准</w:t>
                  </w:r>
                </w:p>
              </w:tc>
            </w:tr>
            <w:tr w14:paraId="304F5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3" w:type="dxa"/>
                  <w:vMerge w:val="continue"/>
                  <w:tcBorders>
                    <w:left w:val="single" w:color="auto" w:sz="4" w:space="0"/>
                    <w:bottom w:val="single" w:color="auto" w:sz="4" w:space="0"/>
                    <w:right w:val="single" w:color="auto" w:sz="4" w:space="0"/>
                  </w:tcBorders>
                  <w:vAlign w:val="center"/>
                </w:tcPr>
                <w:p w14:paraId="274C7143">
                  <w:pPr>
                    <w:autoSpaceDE w:val="0"/>
                    <w:autoSpaceDN w:val="0"/>
                    <w:jc w:val="center"/>
                    <w:rPr>
                      <w:color w:val="auto"/>
                      <w:sz w:val="21"/>
                      <w:szCs w:val="21"/>
                    </w:rPr>
                  </w:pPr>
                </w:p>
              </w:tc>
              <w:tc>
                <w:tcPr>
                  <w:tcW w:w="1663" w:type="dxa"/>
                  <w:vMerge w:val="continue"/>
                  <w:tcBorders>
                    <w:left w:val="single" w:color="auto" w:sz="4" w:space="0"/>
                    <w:bottom w:val="single" w:color="auto" w:sz="4" w:space="0"/>
                    <w:right w:val="single" w:color="auto" w:sz="4" w:space="0"/>
                  </w:tcBorders>
                  <w:vAlign w:val="center"/>
                </w:tcPr>
                <w:p w14:paraId="74A8981B">
                  <w:pPr>
                    <w:autoSpaceDE w:val="0"/>
                    <w:autoSpaceDN w:val="0"/>
                    <w:jc w:val="center"/>
                    <w:rPr>
                      <w:color w:val="auto"/>
                      <w:sz w:val="21"/>
                      <w:szCs w:val="21"/>
                    </w:rPr>
                  </w:pPr>
                </w:p>
              </w:tc>
              <w:tc>
                <w:tcPr>
                  <w:tcW w:w="1600" w:type="dxa"/>
                  <w:tcBorders>
                    <w:left w:val="single" w:color="auto" w:sz="4" w:space="0"/>
                    <w:bottom w:val="single" w:color="auto" w:sz="4" w:space="0"/>
                    <w:right w:val="single" w:color="auto" w:sz="4" w:space="0"/>
                  </w:tcBorders>
                  <w:vAlign w:val="center"/>
                </w:tcPr>
                <w:p w14:paraId="264AFEAD">
                  <w:pPr>
                    <w:autoSpaceDE w:val="0"/>
                    <w:autoSpaceDN w:val="0"/>
                    <w:jc w:val="center"/>
                    <w:rPr>
                      <w:color w:val="auto"/>
                      <w:sz w:val="21"/>
                      <w:szCs w:val="21"/>
                    </w:rPr>
                  </w:pPr>
                  <w:r>
                    <w:rPr>
                      <w:color w:val="auto"/>
                      <w:sz w:val="21"/>
                      <w:szCs w:val="21"/>
                    </w:rPr>
                    <w:t>排气筒高度（m）</w:t>
                  </w:r>
                </w:p>
              </w:tc>
              <w:tc>
                <w:tcPr>
                  <w:tcW w:w="1100" w:type="dxa"/>
                  <w:tcBorders>
                    <w:left w:val="single" w:color="auto" w:sz="4" w:space="0"/>
                    <w:bottom w:val="single" w:color="auto" w:sz="4" w:space="0"/>
                    <w:right w:val="single" w:color="auto" w:sz="4" w:space="0"/>
                  </w:tcBorders>
                  <w:vAlign w:val="center"/>
                </w:tcPr>
                <w:p w14:paraId="1D2C0A55">
                  <w:pPr>
                    <w:autoSpaceDE w:val="0"/>
                    <w:autoSpaceDN w:val="0"/>
                    <w:jc w:val="center"/>
                    <w:rPr>
                      <w:color w:val="auto"/>
                      <w:sz w:val="21"/>
                      <w:szCs w:val="21"/>
                    </w:rPr>
                  </w:pPr>
                  <w:r>
                    <w:rPr>
                      <w:color w:val="auto"/>
                      <w:sz w:val="21"/>
                      <w:szCs w:val="21"/>
                    </w:rPr>
                    <w:t>二级</w:t>
                  </w:r>
                </w:p>
              </w:tc>
              <w:tc>
                <w:tcPr>
                  <w:tcW w:w="2380" w:type="dxa"/>
                  <w:vMerge w:val="continue"/>
                  <w:tcBorders>
                    <w:left w:val="single" w:color="auto" w:sz="4" w:space="0"/>
                    <w:bottom w:val="single" w:color="auto" w:sz="4" w:space="0"/>
                    <w:right w:val="single" w:color="auto" w:sz="4" w:space="0"/>
                  </w:tcBorders>
                  <w:vAlign w:val="center"/>
                </w:tcPr>
                <w:p w14:paraId="5AAEAEF0">
                  <w:pPr>
                    <w:autoSpaceDE w:val="0"/>
                    <w:autoSpaceDN w:val="0"/>
                    <w:jc w:val="center"/>
                    <w:rPr>
                      <w:color w:val="auto"/>
                      <w:sz w:val="21"/>
                      <w:szCs w:val="21"/>
                    </w:rPr>
                  </w:pPr>
                </w:p>
              </w:tc>
            </w:tr>
            <w:tr w14:paraId="3F3E4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3" w:type="dxa"/>
                  <w:tcBorders>
                    <w:top w:val="single" w:color="auto" w:sz="4" w:space="0"/>
                    <w:left w:val="single" w:color="auto" w:sz="4" w:space="0"/>
                    <w:right w:val="single" w:color="auto" w:sz="4" w:space="0"/>
                  </w:tcBorders>
                  <w:vAlign w:val="center"/>
                </w:tcPr>
                <w:p w14:paraId="094CF232">
                  <w:pPr>
                    <w:jc w:val="center"/>
                    <w:rPr>
                      <w:color w:val="auto"/>
                      <w:sz w:val="21"/>
                      <w:szCs w:val="21"/>
                    </w:rPr>
                  </w:pPr>
                  <w:r>
                    <w:rPr>
                      <w:color w:val="auto"/>
                      <w:sz w:val="21"/>
                      <w:szCs w:val="21"/>
                    </w:rPr>
                    <w:t>颗粒物</w:t>
                  </w:r>
                </w:p>
              </w:tc>
              <w:tc>
                <w:tcPr>
                  <w:tcW w:w="1663" w:type="dxa"/>
                  <w:tcBorders>
                    <w:top w:val="single" w:color="auto" w:sz="4" w:space="0"/>
                    <w:left w:val="single" w:color="auto" w:sz="4" w:space="0"/>
                    <w:right w:val="single" w:color="auto" w:sz="4" w:space="0"/>
                  </w:tcBorders>
                  <w:vAlign w:val="center"/>
                </w:tcPr>
                <w:p w14:paraId="05E51E9C">
                  <w:pPr>
                    <w:jc w:val="center"/>
                    <w:rPr>
                      <w:color w:val="auto"/>
                      <w:sz w:val="21"/>
                      <w:szCs w:val="21"/>
                    </w:rPr>
                  </w:pPr>
                  <w:r>
                    <w:rPr>
                      <w:color w:val="auto"/>
                      <w:sz w:val="21"/>
                      <w:szCs w:val="21"/>
                    </w:rPr>
                    <w:t>120</w:t>
                  </w:r>
                </w:p>
              </w:tc>
              <w:tc>
                <w:tcPr>
                  <w:tcW w:w="1600" w:type="dxa"/>
                  <w:tcBorders>
                    <w:top w:val="single" w:color="auto" w:sz="4" w:space="0"/>
                    <w:left w:val="single" w:color="auto" w:sz="4" w:space="0"/>
                    <w:bottom w:val="single" w:color="auto" w:sz="4" w:space="0"/>
                    <w:right w:val="single" w:color="auto" w:sz="4" w:space="0"/>
                  </w:tcBorders>
                  <w:vAlign w:val="center"/>
                </w:tcPr>
                <w:p w14:paraId="28C90F0E">
                  <w:pPr>
                    <w:autoSpaceDE w:val="0"/>
                    <w:autoSpaceDN w:val="0"/>
                    <w:jc w:val="center"/>
                    <w:rPr>
                      <w:color w:val="auto"/>
                      <w:sz w:val="21"/>
                      <w:szCs w:val="21"/>
                    </w:rPr>
                  </w:pPr>
                  <w:r>
                    <w:rPr>
                      <w:color w:val="auto"/>
                      <w:sz w:val="21"/>
                      <w:szCs w:val="21"/>
                    </w:rPr>
                    <w:t>15</w:t>
                  </w:r>
                </w:p>
              </w:tc>
              <w:tc>
                <w:tcPr>
                  <w:tcW w:w="1100" w:type="dxa"/>
                  <w:tcBorders>
                    <w:top w:val="single" w:color="auto" w:sz="4" w:space="0"/>
                    <w:left w:val="single" w:color="auto" w:sz="4" w:space="0"/>
                    <w:bottom w:val="single" w:color="auto" w:sz="4" w:space="0"/>
                    <w:right w:val="single" w:color="auto" w:sz="4" w:space="0"/>
                  </w:tcBorders>
                  <w:vAlign w:val="center"/>
                </w:tcPr>
                <w:p w14:paraId="142D6BAB">
                  <w:pPr>
                    <w:autoSpaceDE w:val="0"/>
                    <w:autoSpaceDN w:val="0"/>
                    <w:jc w:val="center"/>
                    <w:rPr>
                      <w:color w:val="auto"/>
                      <w:sz w:val="21"/>
                      <w:szCs w:val="21"/>
                    </w:rPr>
                  </w:pPr>
                  <w:r>
                    <w:rPr>
                      <w:color w:val="auto"/>
                      <w:sz w:val="21"/>
                      <w:szCs w:val="21"/>
                    </w:rPr>
                    <w:t>3.5</w:t>
                  </w:r>
                </w:p>
              </w:tc>
              <w:tc>
                <w:tcPr>
                  <w:tcW w:w="2380" w:type="dxa"/>
                  <w:tcBorders>
                    <w:top w:val="single" w:color="auto" w:sz="4" w:space="0"/>
                    <w:left w:val="single" w:color="auto" w:sz="4" w:space="0"/>
                    <w:right w:val="single" w:color="auto" w:sz="4" w:space="0"/>
                  </w:tcBorders>
                  <w:vAlign w:val="center"/>
                </w:tcPr>
                <w:p w14:paraId="6FCBAF90">
                  <w:pPr>
                    <w:autoSpaceDE w:val="0"/>
                    <w:autoSpaceDN w:val="0"/>
                    <w:jc w:val="center"/>
                    <w:rPr>
                      <w:color w:val="auto"/>
                      <w:sz w:val="21"/>
                      <w:szCs w:val="21"/>
                    </w:rPr>
                  </w:pPr>
                  <w:r>
                    <w:rPr>
                      <w:bCs/>
                      <w:color w:val="auto"/>
                      <w:sz w:val="21"/>
                      <w:szCs w:val="21"/>
                    </w:rPr>
                    <w:t>《大气污染物综合排放标准》（GB16297-1996）</w:t>
                  </w:r>
                </w:p>
              </w:tc>
            </w:tr>
          </w:tbl>
          <w:p w14:paraId="06B2F8BB">
            <w:pPr>
              <w:spacing w:before="120" w:beforeLines="50" w:line="360" w:lineRule="auto"/>
              <w:ind w:firstLine="562" w:firstLineChars="200"/>
              <w:rPr>
                <w:b/>
                <w:color w:val="auto"/>
                <w:sz w:val="28"/>
                <w:szCs w:val="28"/>
              </w:rPr>
            </w:pPr>
            <w:r>
              <w:rPr>
                <w:b/>
                <w:color w:val="auto"/>
                <w:sz w:val="28"/>
                <w:szCs w:val="28"/>
              </w:rPr>
              <w:t>2</w:t>
            </w:r>
            <w:r>
              <w:rPr>
                <w:rFonts w:hAnsi="宋体"/>
                <w:b/>
                <w:color w:val="auto"/>
                <w:sz w:val="28"/>
                <w:szCs w:val="28"/>
              </w:rPr>
              <w:t>、水污染物</w:t>
            </w:r>
          </w:p>
          <w:p w14:paraId="00B9BC6A">
            <w:pPr>
              <w:adjustRightInd w:val="0"/>
              <w:snapToGrid w:val="0"/>
              <w:spacing w:line="360" w:lineRule="auto"/>
              <w:ind w:firstLine="480" w:firstLineChars="200"/>
              <w:rPr>
                <w:color w:val="auto"/>
                <w:sz w:val="24"/>
              </w:rPr>
            </w:pPr>
            <w:r>
              <w:rPr>
                <w:color w:val="auto"/>
                <w:sz w:val="24"/>
              </w:rPr>
              <w:t>（</w:t>
            </w:r>
            <w:r>
              <w:rPr>
                <w:rFonts w:hint="eastAsia"/>
                <w:color w:val="auto"/>
                <w:sz w:val="24"/>
              </w:rPr>
              <w:t>一</w:t>
            </w:r>
            <w:r>
              <w:rPr>
                <w:color w:val="auto"/>
                <w:sz w:val="24"/>
              </w:rPr>
              <w:t>）施工期</w:t>
            </w:r>
          </w:p>
          <w:p w14:paraId="79B226CD">
            <w:pPr>
              <w:adjustRightInd w:val="0"/>
              <w:snapToGrid w:val="0"/>
              <w:spacing w:line="360" w:lineRule="auto"/>
              <w:ind w:firstLine="480" w:firstLineChars="200"/>
              <w:rPr>
                <w:color w:val="auto"/>
                <w:sz w:val="24"/>
              </w:rPr>
            </w:pPr>
            <w:r>
              <w:rPr>
                <w:color w:val="auto"/>
                <w:sz w:val="24"/>
              </w:rPr>
              <w:t>本项目施工废水经收集沉淀处理后全部回用于施工过程和场地洒水抑尘，不外排；施工人员不在施工场地食宿，生活污水主要是施工人员洗手废水，</w:t>
            </w:r>
            <w:r>
              <w:rPr>
                <w:rFonts w:hint="eastAsia"/>
                <w:color w:val="auto"/>
                <w:sz w:val="24"/>
              </w:rPr>
              <w:t>依托</w:t>
            </w:r>
            <w:r>
              <w:rPr>
                <w:rFonts w:hint="eastAsia"/>
                <w:color w:val="auto"/>
                <w:sz w:val="24"/>
                <w:lang w:eastAsia="zh-CN"/>
              </w:rPr>
              <w:t>云南常青树化工有限公司</w:t>
            </w:r>
            <w:r>
              <w:rPr>
                <w:color w:val="auto"/>
                <w:sz w:val="24"/>
              </w:rPr>
              <w:t>现有</w:t>
            </w:r>
            <w:r>
              <w:rPr>
                <w:rFonts w:hint="eastAsia"/>
                <w:color w:val="auto"/>
                <w:sz w:val="24"/>
                <w:lang w:val="en-US" w:eastAsia="zh-CN"/>
              </w:rPr>
              <w:t>处理设施处理后回用</w:t>
            </w:r>
            <w:r>
              <w:rPr>
                <w:color w:val="auto"/>
                <w:sz w:val="24"/>
              </w:rPr>
              <w:t>，不外排。</w:t>
            </w:r>
          </w:p>
          <w:p w14:paraId="3B435230">
            <w:pPr>
              <w:adjustRightInd w:val="0"/>
              <w:snapToGrid w:val="0"/>
              <w:spacing w:line="360" w:lineRule="auto"/>
              <w:ind w:firstLine="480" w:firstLineChars="200"/>
              <w:rPr>
                <w:color w:val="auto"/>
                <w:sz w:val="24"/>
              </w:rPr>
            </w:pPr>
            <w:r>
              <w:rPr>
                <w:color w:val="auto"/>
                <w:sz w:val="24"/>
              </w:rPr>
              <w:t>（</w:t>
            </w:r>
            <w:r>
              <w:rPr>
                <w:rFonts w:hint="eastAsia"/>
                <w:color w:val="auto"/>
                <w:sz w:val="24"/>
              </w:rPr>
              <w:t>二</w:t>
            </w:r>
            <w:r>
              <w:rPr>
                <w:color w:val="auto"/>
                <w:sz w:val="24"/>
              </w:rPr>
              <w:t>）运营期</w:t>
            </w:r>
          </w:p>
          <w:p w14:paraId="17B73D32">
            <w:pPr>
              <w:spacing w:line="360" w:lineRule="auto"/>
              <w:ind w:firstLine="482"/>
              <w:rPr>
                <w:color w:val="auto"/>
                <w:sz w:val="24"/>
                <w:szCs w:val="24"/>
              </w:rPr>
            </w:pPr>
            <w:r>
              <w:rPr>
                <w:rFonts w:hint="eastAsia"/>
                <w:color w:val="auto"/>
                <w:sz w:val="24"/>
                <w:szCs w:val="24"/>
                <w:lang w:val="en-US" w:eastAsia="zh-CN"/>
              </w:rPr>
              <w:t>本次改扩建工程不新增劳动人员，从公司内部进行调配，没有新增生活废水，也无生产废水产生和外排。</w:t>
            </w:r>
          </w:p>
          <w:p w14:paraId="7DD0255E">
            <w:pPr>
              <w:spacing w:line="360" w:lineRule="auto"/>
              <w:ind w:firstLine="482"/>
              <w:rPr>
                <w:b/>
                <w:color w:val="auto"/>
                <w:sz w:val="28"/>
                <w:szCs w:val="28"/>
              </w:rPr>
            </w:pPr>
          </w:p>
          <w:p w14:paraId="3177BCD4">
            <w:pPr>
              <w:spacing w:line="360" w:lineRule="auto"/>
              <w:ind w:firstLine="482"/>
              <w:rPr>
                <w:b/>
                <w:color w:val="auto"/>
                <w:sz w:val="28"/>
                <w:szCs w:val="28"/>
              </w:rPr>
            </w:pPr>
            <w:r>
              <w:rPr>
                <w:b/>
                <w:color w:val="auto"/>
                <w:sz w:val="28"/>
                <w:szCs w:val="28"/>
              </w:rPr>
              <w:t>3</w:t>
            </w:r>
            <w:r>
              <w:rPr>
                <w:rFonts w:hAnsi="宋体"/>
                <w:b/>
                <w:color w:val="auto"/>
                <w:sz w:val="28"/>
                <w:szCs w:val="28"/>
              </w:rPr>
              <w:t>、噪声</w:t>
            </w:r>
          </w:p>
          <w:p w14:paraId="337A0207">
            <w:pPr>
              <w:spacing w:line="360" w:lineRule="auto"/>
              <w:ind w:firstLine="480" w:firstLineChars="200"/>
              <w:rPr>
                <w:bCs/>
                <w:color w:val="auto"/>
                <w:sz w:val="24"/>
              </w:rPr>
            </w:pPr>
            <w:r>
              <w:rPr>
                <w:bCs/>
                <w:color w:val="auto"/>
                <w:sz w:val="24"/>
              </w:rPr>
              <w:t>（</w:t>
            </w:r>
            <w:r>
              <w:rPr>
                <w:rFonts w:hint="eastAsia"/>
                <w:bCs/>
                <w:color w:val="auto"/>
                <w:sz w:val="24"/>
              </w:rPr>
              <w:t>一</w:t>
            </w:r>
            <w:r>
              <w:rPr>
                <w:bCs/>
                <w:color w:val="auto"/>
                <w:sz w:val="24"/>
              </w:rPr>
              <w:t>）施工期</w:t>
            </w:r>
          </w:p>
          <w:p w14:paraId="4CE05B9A">
            <w:pPr>
              <w:spacing w:line="360" w:lineRule="auto"/>
              <w:ind w:firstLine="480" w:firstLineChars="200"/>
              <w:rPr>
                <w:bCs/>
                <w:color w:val="auto"/>
                <w:sz w:val="24"/>
              </w:rPr>
            </w:pPr>
            <w:r>
              <w:rPr>
                <w:rFonts w:hint="eastAsia"/>
                <w:bCs/>
                <w:color w:val="auto"/>
                <w:sz w:val="24"/>
              </w:rPr>
              <w:t>项目</w:t>
            </w:r>
            <w:r>
              <w:rPr>
                <w:bCs/>
                <w:color w:val="auto"/>
                <w:sz w:val="24"/>
              </w:rPr>
              <w:t>施工期噪声执行《建筑施工场界</w:t>
            </w:r>
            <w:r>
              <w:rPr>
                <w:rFonts w:hint="eastAsia"/>
                <w:bCs/>
                <w:color w:val="auto"/>
                <w:sz w:val="24"/>
              </w:rPr>
              <w:t>环境</w:t>
            </w:r>
            <w:r>
              <w:rPr>
                <w:bCs/>
                <w:color w:val="auto"/>
                <w:sz w:val="24"/>
              </w:rPr>
              <w:t>噪声</w:t>
            </w:r>
            <w:r>
              <w:rPr>
                <w:rFonts w:hint="eastAsia"/>
                <w:bCs/>
                <w:color w:val="auto"/>
                <w:sz w:val="24"/>
              </w:rPr>
              <w:t>排放标准</w:t>
            </w:r>
            <w:r>
              <w:rPr>
                <w:bCs/>
                <w:color w:val="auto"/>
                <w:sz w:val="24"/>
              </w:rPr>
              <w:t>》（GB12523-</w:t>
            </w:r>
            <w:r>
              <w:rPr>
                <w:rFonts w:hint="eastAsia"/>
                <w:bCs/>
                <w:color w:val="auto"/>
                <w:sz w:val="24"/>
              </w:rPr>
              <w:t>2011</w:t>
            </w:r>
            <w:r>
              <w:rPr>
                <w:bCs/>
                <w:color w:val="auto"/>
                <w:sz w:val="24"/>
              </w:rPr>
              <w:t>），</w:t>
            </w:r>
            <w:r>
              <w:rPr>
                <w:rFonts w:hint="eastAsia"/>
                <w:bCs/>
                <w:color w:val="auto"/>
                <w:sz w:val="24"/>
              </w:rPr>
              <w:t>具体</w:t>
            </w:r>
            <w:r>
              <w:rPr>
                <w:bCs/>
                <w:color w:val="auto"/>
                <w:sz w:val="24"/>
              </w:rPr>
              <w:t>指标见表</w:t>
            </w:r>
            <w:r>
              <w:rPr>
                <w:rFonts w:hint="eastAsia"/>
                <w:bCs/>
                <w:color w:val="auto"/>
                <w:sz w:val="24"/>
              </w:rPr>
              <w:t>3-</w:t>
            </w:r>
            <w:r>
              <w:rPr>
                <w:rFonts w:hint="eastAsia"/>
                <w:bCs/>
                <w:color w:val="auto"/>
                <w:sz w:val="24"/>
                <w:lang w:val="en-US" w:eastAsia="zh-CN"/>
              </w:rPr>
              <w:t>9</w:t>
            </w:r>
            <w:r>
              <w:rPr>
                <w:bCs/>
                <w:color w:val="auto"/>
                <w:sz w:val="24"/>
              </w:rPr>
              <w:t>。</w:t>
            </w:r>
          </w:p>
          <w:p w14:paraId="4AE6B961">
            <w:pPr>
              <w:spacing w:line="400" w:lineRule="atLeast"/>
              <w:jc w:val="center"/>
              <w:rPr>
                <w:b/>
                <w:bCs/>
                <w:color w:val="auto"/>
                <w:sz w:val="24"/>
              </w:rPr>
            </w:pPr>
            <w:r>
              <w:rPr>
                <w:b/>
                <w:bCs/>
                <w:color w:val="auto"/>
                <w:sz w:val="24"/>
              </w:rPr>
              <w:t>表</w:t>
            </w:r>
            <w:r>
              <w:rPr>
                <w:rFonts w:hint="eastAsia"/>
                <w:b/>
                <w:bCs/>
                <w:color w:val="auto"/>
                <w:sz w:val="24"/>
              </w:rPr>
              <w:t>3-</w:t>
            </w:r>
            <w:r>
              <w:rPr>
                <w:rFonts w:hint="eastAsia"/>
                <w:b/>
                <w:bCs/>
                <w:color w:val="auto"/>
                <w:sz w:val="24"/>
                <w:lang w:val="en-US" w:eastAsia="zh-CN"/>
              </w:rPr>
              <w:t>9</w:t>
            </w:r>
            <w:r>
              <w:rPr>
                <w:rFonts w:hint="eastAsia"/>
                <w:b/>
                <w:bCs/>
                <w:color w:val="auto"/>
                <w:sz w:val="24"/>
              </w:rPr>
              <w:t xml:space="preserve">  </w:t>
            </w:r>
            <w:r>
              <w:rPr>
                <w:b/>
                <w:bCs/>
                <w:color w:val="auto"/>
                <w:sz w:val="24"/>
              </w:rPr>
              <w:t>建筑施工场界</w:t>
            </w:r>
            <w:r>
              <w:rPr>
                <w:rFonts w:hint="eastAsia"/>
                <w:b/>
                <w:bCs/>
                <w:color w:val="auto"/>
                <w:sz w:val="24"/>
              </w:rPr>
              <w:t>环境</w:t>
            </w:r>
            <w:r>
              <w:rPr>
                <w:b/>
                <w:bCs/>
                <w:color w:val="auto"/>
                <w:sz w:val="24"/>
              </w:rPr>
              <w:t>噪声</w:t>
            </w:r>
            <w:r>
              <w:rPr>
                <w:rFonts w:hint="eastAsia"/>
                <w:b/>
                <w:bCs/>
                <w:color w:val="auto"/>
                <w:sz w:val="24"/>
              </w:rPr>
              <w:t>排放</w:t>
            </w:r>
            <w:r>
              <w:rPr>
                <w:b/>
                <w:bCs/>
                <w:color w:val="auto"/>
                <w:sz w:val="24"/>
              </w:rPr>
              <w:t>限值</w:t>
            </w:r>
          </w:p>
          <w:tbl>
            <w:tblPr>
              <w:tblStyle w:val="45"/>
              <w:tblW w:w="79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9"/>
              <w:gridCol w:w="3718"/>
            </w:tblGrid>
            <w:tr w14:paraId="01FD6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987" w:type="dxa"/>
                  <w:gridSpan w:val="2"/>
                  <w:vAlign w:val="center"/>
                </w:tcPr>
                <w:p w14:paraId="6EF8497D">
                  <w:pPr>
                    <w:ind w:left="134" w:leftChars="67" w:right="310" w:rightChars="155"/>
                    <w:jc w:val="center"/>
                    <w:rPr>
                      <w:bCs/>
                      <w:color w:val="auto"/>
                      <w:sz w:val="21"/>
                      <w:szCs w:val="21"/>
                    </w:rPr>
                  </w:pPr>
                  <w:r>
                    <w:rPr>
                      <w:bCs/>
                      <w:color w:val="auto"/>
                      <w:sz w:val="21"/>
                      <w:szCs w:val="21"/>
                    </w:rPr>
                    <w:t>噪声限值</w:t>
                  </w:r>
                </w:p>
              </w:tc>
            </w:tr>
            <w:tr w14:paraId="5FCD5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269" w:type="dxa"/>
                  <w:vAlign w:val="center"/>
                </w:tcPr>
                <w:p w14:paraId="795E7C1F">
                  <w:pPr>
                    <w:ind w:left="134" w:leftChars="67" w:right="310" w:rightChars="155"/>
                    <w:jc w:val="center"/>
                    <w:rPr>
                      <w:bCs/>
                      <w:color w:val="auto"/>
                      <w:sz w:val="21"/>
                      <w:szCs w:val="21"/>
                    </w:rPr>
                  </w:pPr>
                  <w:r>
                    <w:rPr>
                      <w:bCs/>
                      <w:color w:val="auto"/>
                      <w:sz w:val="21"/>
                      <w:szCs w:val="21"/>
                    </w:rPr>
                    <w:t>昼间</w:t>
                  </w:r>
                  <w:r>
                    <w:rPr>
                      <w:color w:val="auto"/>
                      <w:sz w:val="21"/>
                      <w:szCs w:val="21"/>
                    </w:rPr>
                    <w:t>[dB(A)]</w:t>
                  </w:r>
                </w:p>
              </w:tc>
              <w:tc>
                <w:tcPr>
                  <w:tcW w:w="3718" w:type="dxa"/>
                  <w:vAlign w:val="center"/>
                </w:tcPr>
                <w:p w14:paraId="7DF4FB13">
                  <w:pPr>
                    <w:ind w:left="134" w:leftChars="67" w:right="310" w:rightChars="155"/>
                    <w:jc w:val="center"/>
                    <w:rPr>
                      <w:bCs/>
                      <w:color w:val="auto"/>
                      <w:sz w:val="21"/>
                      <w:szCs w:val="21"/>
                    </w:rPr>
                  </w:pPr>
                  <w:r>
                    <w:rPr>
                      <w:bCs/>
                      <w:color w:val="auto"/>
                      <w:sz w:val="21"/>
                      <w:szCs w:val="21"/>
                    </w:rPr>
                    <w:t>夜间</w:t>
                  </w:r>
                  <w:r>
                    <w:rPr>
                      <w:color w:val="auto"/>
                      <w:sz w:val="21"/>
                      <w:szCs w:val="21"/>
                    </w:rPr>
                    <w:t>[dB(A)]</w:t>
                  </w:r>
                </w:p>
              </w:tc>
            </w:tr>
            <w:tr w14:paraId="0115E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269" w:type="dxa"/>
                  <w:vAlign w:val="center"/>
                </w:tcPr>
                <w:p w14:paraId="79515B5A">
                  <w:pPr>
                    <w:tabs>
                      <w:tab w:val="left" w:pos="360"/>
                      <w:tab w:val="left" w:pos="540"/>
                    </w:tabs>
                    <w:ind w:left="134" w:leftChars="67" w:right="310" w:rightChars="155"/>
                    <w:jc w:val="center"/>
                    <w:rPr>
                      <w:color w:val="auto"/>
                      <w:sz w:val="21"/>
                      <w:szCs w:val="21"/>
                    </w:rPr>
                  </w:pPr>
                  <w:r>
                    <w:rPr>
                      <w:color w:val="auto"/>
                      <w:sz w:val="21"/>
                      <w:szCs w:val="21"/>
                    </w:rPr>
                    <w:t>7</w:t>
                  </w:r>
                  <w:r>
                    <w:rPr>
                      <w:rFonts w:hint="eastAsia"/>
                      <w:color w:val="auto"/>
                      <w:sz w:val="21"/>
                      <w:szCs w:val="21"/>
                    </w:rPr>
                    <w:t>0</w:t>
                  </w:r>
                </w:p>
              </w:tc>
              <w:tc>
                <w:tcPr>
                  <w:tcW w:w="3718" w:type="dxa"/>
                  <w:vAlign w:val="center"/>
                </w:tcPr>
                <w:p w14:paraId="64D409EC">
                  <w:pPr>
                    <w:tabs>
                      <w:tab w:val="left" w:pos="360"/>
                      <w:tab w:val="left" w:pos="540"/>
                    </w:tabs>
                    <w:ind w:left="134" w:leftChars="67" w:right="310" w:rightChars="155"/>
                    <w:jc w:val="center"/>
                    <w:rPr>
                      <w:color w:val="auto"/>
                      <w:sz w:val="21"/>
                      <w:szCs w:val="21"/>
                    </w:rPr>
                  </w:pPr>
                  <w:r>
                    <w:rPr>
                      <w:color w:val="auto"/>
                      <w:sz w:val="21"/>
                      <w:szCs w:val="21"/>
                    </w:rPr>
                    <w:t>55</w:t>
                  </w:r>
                </w:p>
              </w:tc>
            </w:tr>
          </w:tbl>
          <w:p w14:paraId="2E9F583F">
            <w:pPr>
              <w:spacing w:line="360" w:lineRule="auto"/>
              <w:ind w:firstLine="480" w:firstLineChars="200"/>
              <w:rPr>
                <w:color w:val="auto"/>
                <w:sz w:val="24"/>
              </w:rPr>
            </w:pPr>
            <w:r>
              <w:rPr>
                <w:color w:val="auto"/>
                <w:sz w:val="24"/>
              </w:rPr>
              <w:t>（</w:t>
            </w:r>
            <w:r>
              <w:rPr>
                <w:rFonts w:hint="eastAsia"/>
                <w:color w:val="auto"/>
                <w:sz w:val="24"/>
              </w:rPr>
              <w:t>二</w:t>
            </w:r>
            <w:r>
              <w:rPr>
                <w:color w:val="auto"/>
                <w:sz w:val="24"/>
              </w:rPr>
              <w:t>）运营期</w:t>
            </w:r>
          </w:p>
          <w:p w14:paraId="23FAFDDC">
            <w:pPr>
              <w:tabs>
                <w:tab w:val="left" w:pos="6300"/>
              </w:tabs>
              <w:spacing w:line="360" w:lineRule="auto"/>
              <w:ind w:firstLine="480" w:firstLineChars="200"/>
              <w:rPr>
                <w:bCs/>
                <w:color w:val="auto"/>
                <w:sz w:val="24"/>
              </w:rPr>
            </w:pPr>
            <w:r>
              <w:rPr>
                <w:color w:val="auto"/>
                <w:sz w:val="24"/>
              </w:rPr>
              <w:t>项目运营期噪声</w:t>
            </w:r>
            <w:r>
              <w:rPr>
                <w:rFonts w:hint="eastAsia"/>
                <w:color w:val="auto"/>
                <w:sz w:val="24"/>
              </w:rPr>
              <w:t>执行《工业企业厂界环境噪声排放标准》（</w:t>
            </w:r>
            <w:r>
              <w:rPr>
                <w:color w:val="auto"/>
                <w:sz w:val="24"/>
              </w:rPr>
              <w:t>GB</w:t>
            </w:r>
            <w:r>
              <w:rPr>
                <w:rFonts w:hint="eastAsia"/>
                <w:color w:val="auto"/>
                <w:sz w:val="24"/>
              </w:rPr>
              <w:t>12348-2008）</w:t>
            </w:r>
            <w:r>
              <w:rPr>
                <w:rFonts w:hint="eastAsia"/>
                <w:color w:val="auto"/>
                <w:sz w:val="24"/>
                <w:lang w:val="en-US" w:eastAsia="zh-CN"/>
              </w:rPr>
              <w:t>2</w:t>
            </w:r>
            <w:r>
              <w:rPr>
                <w:color w:val="auto"/>
                <w:sz w:val="24"/>
              </w:rPr>
              <w:t>类标准。</w:t>
            </w:r>
            <w:r>
              <w:rPr>
                <w:bCs/>
                <w:color w:val="auto"/>
                <w:sz w:val="24"/>
              </w:rPr>
              <w:t>具体指标见表</w:t>
            </w:r>
            <w:r>
              <w:rPr>
                <w:rFonts w:hint="eastAsia"/>
                <w:bCs/>
                <w:color w:val="auto"/>
                <w:sz w:val="24"/>
              </w:rPr>
              <w:t>3-1</w:t>
            </w:r>
            <w:r>
              <w:rPr>
                <w:rFonts w:hint="eastAsia"/>
                <w:bCs/>
                <w:color w:val="auto"/>
                <w:sz w:val="24"/>
                <w:lang w:val="en-US" w:eastAsia="zh-CN"/>
              </w:rPr>
              <w:t>0</w:t>
            </w:r>
            <w:r>
              <w:rPr>
                <w:bCs/>
                <w:color w:val="auto"/>
                <w:sz w:val="24"/>
              </w:rPr>
              <w:t>。</w:t>
            </w:r>
          </w:p>
          <w:p w14:paraId="295584CE">
            <w:pPr>
              <w:jc w:val="center"/>
              <w:rPr>
                <w:b/>
                <w:color w:val="auto"/>
                <w:sz w:val="24"/>
              </w:rPr>
            </w:pPr>
            <w:r>
              <w:rPr>
                <w:b/>
                <w:color w:val="auto"/>
                <w:sz w:val="24"/>
              </w:rPr>
              <w:t>表</w:t>
            </w:r>
            <w:r>
              <w:rPr>
                <w:rFonts w:hint="eastAsia"/>
                <w:b/>
                <w:color w:val="auto"/>
                <w:sz w:val="24"/>
              </w:rPr>
              <w:t>3-</w:t>
            </w:r>
            <w:r>
              <w:rPr>
                <w:rFonts w:hint="eastAsia"/>
                <w:b/>
                <w:color w:val="auto"/>
                <w:sz w:val="24"/>
                <w:lang w:val="en-US" w:eastAsia="zh-CN"/>
              </w:rPr>
              <w:t>10</w:t>
            </w:r>
            <w:r>
              <w:rPr>
                <w:rFonts w:hint="eastAsia"/>
                <w:b/>
                <w:color w:val="auto"/>
                <w:sz w:val="24"/>
              </w:rPr>
              <w:t xml:space="preserve">  工业企业厂界环境噪声</w:t>
            </w:r>
            <w:r>
              <w:rPr>
                <w:b/>
                <w:color w:val="auto"/>
                <w:sz w:val="24"/>
              </w:rPr>
              <w:t>排放限值</w:t>
            </w:r>
          </w:p>
          <w:tbl>
            <w:tblPr>
              <w:tblStyle w:val="45"/>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27"/>
              <w:gridCol w:w="2804"/>
              <w:gridCol w:w="2428"/>
            </w:tblGrid>
            <w:tr w14:paraId="384F7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27" w:type="dxa"/>
                  <w:vAlign w:val="center"/>
                </w:tcPr>
                <w:p w14:paraId="32F0CB3A">
                  <w:pPr>
                    <w:jc w:val="center"/>
                    <w:rPr>
                      <w:color w:val="auto"/>
                      <w:sz w:val="21"/>
                      <w:szCs w:val="21"/>
                    </w:rPr>
                  </w:pPr>
                  <w:r>
                    <w:rPr>
                      <w:color w:val="auto"/>
                      <w:sz w:val="21"/>
                      <w:szCs w:val="21"/>
                    </w:rPr>
                    <w:t>类别</w:t>
                  </w:r>
                </w:p>
              </w:tc>
              <w:tc>
                <w:tcPr>
                  <w:tcW w:w="2804" w:type="dxa"/>
                  <w:vAlign w:val="center"/>
                </w:tcPr>
                <w:p w14:paraId="32F0F5BA">
                  <w:pPr>
                    <w:jc w:val="center"/>
                    <w:rPr>
                      <w:color w:val="auto"/>
                      <w:sz w:val="21"/>
                      <w:szCs w:val="21"/>
                    </w:rPr>
                  </w:pPr>
                  <w:r>
                    <w:rPr>
                      <w:color w:val="auto"/>
                      <w:sz w:val="21"/>
                      <w:szCs w:val="21"/>
                    </w:rPr>
                    <w:t>昼间[dB(A)]</w:t>
                  </w:r>
                </w:p>
              </w:tc>
              <w:tc>
                <w:tcPr>
                  <w:tcW w:w="2428" w:type="dxa"/>
                  <w:vAlign w:val="center"/>
                </w:tcPr>
                <w:p w14:paraId="259246A4">
                  <w:pPr>
                    <w:jc w:val="center"/>
                    <w:rPr>
                      <w:color w:val="auto"/>
                      <w:sz w:val="21"/>
                      <w:szCs w:val="21"/>
                    </w:rPr>
                  </w:pPr>
                  <w:r>
                    <w:rPr>
                      <w:color w:val="auto"/>
                      <w:sz w:val="21"/>
                      <w:szCs w:val="21"/>
                    </w:rPr>
                    <w:t>夜间[dB(A)]</w:t>
                  </w:r>
                </w:p>
              </w:tc>
            </w:tr>
            <w:tr w14:paraId="1D6D2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27" w:type="dxa"/>
                  <w:vAlign w:val="center"/>
                </w:tcPr>
                <w:p w14:paraId="2B20D7B0">
                  <w:pPr>
                    <w:jc w:val="center"/>
                    <w:rPr>
                      <w:color w:val="auto"/>
                      <w:sz w:val="21"/>
                      <w:szCs w:val="21"/>
                    </w:rPr>
                  </w:pPr>
                  <w:r>
                    <w:rPr>
                      <w:rFonts w:hint="eastAsia"/>
                      <w:color w:val="auto"/>
                      <w:sz w:val="21"/>
                      <w:szCs w:val="21"/>
                      <w:lang w:val="en-US" w:eastAsia="zh-CN"/>
                    </w:rPr>
                    <w:t>2</w:t>
                  </w:r>
                  <w:r>
                    <w:rPr>
                      <w:color w:val="auto"/>
                      <w:sz w:val="21"/>
                      <w:szCs w:val="21"/>
                    </w:rPr>
                    <w:t>类</w:t>
                  </w:r>
                </w:p>
              </w:tc>
              <w:tc>
                <w:tcPr>
                  <w:tcW w:w="2804" w:type="dxa"/>
                  <w:vAlign w:val="center"/>
                </w:tcPr>
                <w:p w14:paraId="421782CC">
                  <w:pPr>
                    <w:jc w:val="center"/>
                    <w:rPr>
                      <w:rFonts w:hint="default" w:eastAsia="宋体"/>
                      <w:color w:val="auto"/>
                      <w:sz w:val="21"/>
                      <w:szCs w:val="21"/>
                      <w:lang w:val="en-US" w:eastAsia="zh-CN"/>
                    </w:rPr>
                  </w:pPr>
                  <w:r>
                    <w:rPr>
                      <w:rFonts w:hint="eastAsia"/>
                      <w:color w:val="auto"/>
                      <w:sz w:val="21"/>
                      <w:szCs w:val="21"/>
                      <w:lang w:val="en-US" w:eastAsia="zh-CN"/>
                    </w:rPr>
                    <w:t>60</w:t>
                  </w:r>
                </w:p>
              </w:tc>
              <w:tc>
                <w:tcPr>
                  <w:tcW w:w="2428" w:type="dxa"/>
                  <w:vAlign w:val="center"/>
                </w:tcPr>
                <w:p w14:paraId="7FACDC35">
                  <w:pPr>
                    <w:jc w:val="center"/>
                    <w:rPr>
                      <w:rFonts w:hint="default" w:eastAsia="宋体"/>
                      <w:color w:val="auto"/>
                      <w:sz w:val="21"/>
                      <w:szCs w:val="21"/>
                      <w:lang w:val="en-US" w:eastAsia="zh-CN"/>
                    </w:rPr>
                  </w:pPr>
                  <w:r>
                    <w:rPr>
                      <w:rFonts w:hint="eastAsia"/>
                      <w:color w:val="auto"/>
                      <w:sz w:val="21"/>
                      <w:szCs w:val="21"/>
                      <w:lang w:val="en-US" w:eastAsia="zh-CN"/>
                    </w:rPr>
                    <w:t>50</w:t>
                  </w:r>
                </w:p>
              </w:tc>
            </w:tr>
          </w:tbl>
          <w:p w14:paraId="4A4F0447">
            <w:pPr>
              <w:spacing w:before="120" w:beforeLines="50" w:line="360" w:lineRule="auto"/>
              <w:ind w:firstLine="562" w:firstLineChars="200"/>
              <w:rPr>
                <w:b/>
                <w:bCs/>
                <w:color w:val="auto"/>
                <w:sz w:val="28"/>
                <w:szCs w:val="28"/>
              </w:rPr>
            </w:pPr>
            <w:r>
              <w:rPr>
                <w:b/>
                <w:bCs/>
                <w:color w:val="auto"/>
                <w:sz w:val="28"/>
                <w:szCs w:val="28"/>
              </w:rPr>
              <w:t>4</w:t>
            </w:r>
            <w:r>
              <w:rPr>
                <w:rFonts w:hAnsi="宋体"/>
                <w:b/>
                <w:bCs/>
                <w:color w:val="auto"/>
                <w:sz w:val="28"/>
                <w:szCs w:val="28"/>
              </w:rPr>
              <w:t>、固体废弃物</w:t>
            </w:r>
          </w:p>
          <w:p w14:paraId="3B05425E">
            <w:pPr>
              <w:spacing w:line="360" w:lineRule="auto"/>
              <w:ind w:firstLine="480" w:firstLineChars="200"/>
              <w:rPr>
                <w:color w:val="auto"/>
                <w:sz w:val="24"/>
              </w:rPr>
            </w:pPr>
            <w:r>
              <w:rPr>
                <w:rFonts w:hAnsi="宋体"/>
                <w:color w:val="auto"/>
                <w:sz w:val="24"/>
              </w:rPr>
              <w:t>（</w:t>
            </w:r>
            <w:r>
              <w:rPr>
                <w:color w:val="auto"/>
                <w:sz w:val="24"/>
              </w:rPr>
              <w:t>1</w:t>
            </w:r>
            <w:r>
              <w:rPr>
                <w:rFonts w:hAnsi="宋体"/>
                <w:color w:val="auto"/>
                <w:sz w:val="24"/>
              </w:rPr>
              <w:t>）危险固体废物</w:t>
            </w:r>
          </w:p>
          <w:p w14:paraId="2E15DEFB">
            <w:pPr>
              <w:spacing w:line="360" w:lineRule="auto"/>
              <w:ind w:firstLine="480" w:firstLineChars="200"/>
              <w:rPr>
                <w:rFonts w:hAnsi="宋体"/>
                <w:color w:val="auto"/>
                <w:sz w:val="24"/>
                <w:szCs w:val="22"/>
              </w:rPr>
            </w:pPr>
            <w:r>
              <w:rPr>
                <w:rFonts w:hAnsi="宋体"/>
                <w:color w:val="auto"/>
                <w:sz w:val="24"/>
              </w:rPr>
              <w:t>危险固废在场内暂存执行《危险废物贮存污染控制标准》（</w:t>
            </w:r>
            <w:r>
              <w:rPr>
                <w:color w:val="auto"/>
                <w:sz w:val="24"/>
              </w:rPr>
              <w:t>GB</w:t>
            </w:r>
            <w:r>
              <w:rPr>
                <w:rFonts w:hint="eastAsia"/>
                <w:color w:val="auto"/>
                <w:sz w:val="24"/>
              </w:rPr>
              <w:t xml:space="preserve"> </w:t>
            </w:r>
            <w:r>
              <w:rPr>
                <w:color w:val="auto"/>
                <w:sz w:val="24"/>
              </w:rPr>
              <w:t>18597-20</w:t>
            </w:r>
            <w:r>
              <w:rPr>
                <w:rFonts w:hint="eastAsia"/>
                <w:color w:val="auto"/>
                <w:sz w:val="24"/>
              </w:rPr>
              <w:t>23</w:t>
            </w:r>
            <w:r>
              <w:rPr>
                <w:rFonts w:hAnsi="宋体"/>
                <w:color w:val="auto"/>
                <w:sz w:val="24"/>
              </w:rPr>
              <w:t>）。</w:t>
            </w:r>
          </w:p>
          <w:p w14:paraId="09487C15">
            <w:pPr>
              <w:spacing w:line="360" w:lineRule="auto"/>
              <w:ind w:firstLine="480" w:firstLineChars="200"/>
              <w:rPr>
                <w:color w:val="auto"/>
                <w:sz w:val="24"/>
              </w:rPr>
            </w:pPr>
            <w:r>
              <w:rPr>
                <w:rFonts w:hAnsi="宋体"/>
                <w:color w:val="auto"/>
                <w:sz w:val="24"/>
              </w:rPr>
              <w:t>（</w:t>
            </w:r>
            <w:r>
              <w:rPr>
                <w:color w:val="auto"/>
                <w:sz w:val="24"/>
              </w:rPr>
              <w:t>2</w:t>
            </w:r>
            <w:r>
              <w:rPr>
                <w:rFonts w:hAnsi="宋体"/>
                <w:color w:val="auto"/>
                <w:sz w:val="24"/>
              </w:rPr>
              <w:t>）一般固体废物</w:t>
            </w:r>
          </w:p>
          <w:p w14:paraId="5D259F5C">
            <w:pPr>
              <w:spacing w:line="360" w:lineRule="auto"/>
              <w:ind w:firstLine="480" w:firstLineChars="200"/>
              <w:rPr>
                <w:rFonts w:hAnsi="宋体"/>
                <w:color w:val="auto"/>
                <w:sz w:val="24"/>
              </w:rPr>
            </w:pPr>
            <w:r>
              <w:rPr>
                <w:rFonts w:hAnsi="宋体"/>
                <w:color w:val="auto"/>
                <w:sz w:val="24"/>
              </w:rPr>
              <w:t>一般固体废物执行《一般工业固体废物贮存</w:t>
            </w:r>
            <w:r>
              <w:rPr>
                <w:rFonts w:hint="eastAsia" w:hAnsi="宋体"/>
                <w:color w:val="auto"/>
                <w:sz w:val="24"/>
              </w:rPr>
              <w:t>和</w:t>
            </w:r>
            <w:r>
              <w:rPr>
                <w:rFonts w:hAnsi="宋体"/>
                <w:color w:val="auto"/>
                <w:sz w:val="24"/>
              </w:rPr>
              <w:t>填埋污染控制标准》</w:t>
            </w:r>
            <w:r>
              <w:rPr>
                <w:rFonts w:hint="eastAsia" w:hAnsi="宋体"/>
                <w:color w:val="auto"/>
                <w:sz w:val="24"/>
              </w:rPr>
              <w:t>（GB18599-2020）</w:t>
            </w:r>
            <w:r>
              <w:rPr>
                <w:rFonts w:hAnsi="宋体"/>
                <w:color w:val="auto"/>
                <w:sz w:val="24"/>
                <w:szCs w:val="22"/>
              </w:rPr>
              <w:t>。</w:t>
            </w:r>
          </w:p>
        </w:tc>
      </w:tr>
      <w:tr w14:paraId="7E8526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99" w:type="dxa"/>
            <w:vAlign w:val="center"/>
          </w:tcPr>
          <w:p w14:paraId="545DCC9A">
            <w:pPr>
              <w:adjustRightInd w:val="0"/>
              <w:snapToGrid w:val="0"/>
              <w:spacing w:line="360" w:lineRule="auto"/>
              <w:jc w:val="center"/>
              <w:rPr>
                <w:rFonts w:ascii="宋体" w:hAnsi="宋体" w:cs="宋体"/>
                <w:color w:val="auto"/>
                <w:sz w:val="24"/>
              </w:rPr>
            </w:pPr>
            <w:r>
              <w:rPr>
                <w:rFonts w:hint="eastAsia" w:ascii="宋体" w:hAnsi="宋体" w:cs="宋体"/>
                <w:color w:val="auto"/>
                <w:sz w:val="24"/>
              </w:rPr>
              <w:t>总量</w:t>
            </w:r>
          </w:p>
          <w:p w14:paraId="65176035">
            <w:pPr>
              <w:adjustRightInd w:val="0"/>
              <w:snapToGrid w:val="0"/>
              <w:spacing w:line="360" w:lineRule="auto"/>
              <w:jc w:val="center"/>
              <w:rPr>
                <w:rFonts w:ascii="宋体" w:hAnsi="宋体" w:cs="宋体"/>
                <w:color w:val="auto"/>
                <w:sz w:val="24"/>
              </w:rPr>
            </w:pPr>
            <w:r>
              <w:rPr>
                <w:rFonts w:hint="eastAsia" w:ascii="宋体" w:hAnsi="宋体" w:cs="宋体"/>
                <w:color w:val="auto"/>
                <w:sz w:val="24"/>
              </w:rPr>
              <w:t>控制</w:t>
            </w:r>
          </w:p>
          <w:p w14:paraId="311CB4F0">
            <w:pPr>
              <w:adjustRightInd w:val="0"/>
              <w:snapToGrid w:val="0"/>
              <w:spacing w:line="360" w:lineRule="auto"/>
              <w:jc w:val="center"/>
              <w:rPr>
                <w:rFonts w:ascii="宋体" w:hAnsi="宋体" w:cs="宋体"/>
                <w:color w:val="auto"/>
                <w:sz w:val="24"/>
              </w:rPr>
            </w:pPr>
            <w:r>
              <w:rPr>
                <w:rFonts w:hint="eastAsia" w:ascii="宋体" w:hAnsi="宋体" w:cs="宋体"/>
                <w:color w:val="auto"/>
                <w:sz w:val="24"/>
              </w:rPr>
              <w:t>指标</w:t>
            </w:r>
          </w:p>
        </w:tc>
        <w:tc>
          <w:tcPr>
            <w:tcW w:w="8491" w:type="dxa"/>
            <w:vAlign w:val="center"/>
          </w:tcPr>
          <w:p w14:paraId="133696C5">
            <w:pPr>
              <w:spacing w:line="360" w:lineRule="auto"/>
              <w:rPr>
                <w:b/>
                <w:color w:val="auto"/>
                <w:sz w:val="28"/>
                <w:szCs w:val="28"/>
              </w:rPr>
            </w:pPr>
            <w:r>
              <w:rPr>
                <w:rFonts w:hAnsi="宋体"/>
                <w:b/>
                <w:color w:val="auto"/>
                <w:sz w:val="28"/>
                <w:szCs w:val="28"/>
              </w:rPr>
              <w:t>总量建议控制指标：</w:t>
            </w:r>
          </w:p>
          <w:p w14:paraId="675B97E7">
            <w:pPr>
              <w:spacing w:line="360" w:lineRule="auto"/>
              <w:ind w:firstLine="480" w:firstLineChars="200"/>
              <w:rPr>
                <w:color w:val="auto"/>
                <w:sz w:val="24"/>
              </w:rPr>
            </w:pPr>
            <w:r>
              <w:rPr>
                <w:rFonts w:hAnsi="宋体"/>
                <w:color w:val="auto"/>
                <w:sz w:val="24"/>
              </w:rPr>
              <w:t>根据本工程的具体情况、当地生态环境主管部门要求，同时结合国家污染物排放总量控制原则，本项目总量控制建议指标如下：</w:t>
            </w:r>
          </w:p>
          <w:p w14:paraId="486F9AA7">
            <w:pPr>
              <w:spacing w:line="360" w:lineRule="auto"/>
              <w:ind w:firstLine="480" w:firstLineChars="200"/>
              <w:rPr>
                <w:rFonts w:hAnsi="宋体"/>
                <w:color w:val="auto"/>
                <w:sz w:val="24"/>
              </w:rPr>
            </w:pPr>
            <w:r>
              <w:rPr>
                <w:color w:val="auto"/>
                <w:sz w:val="24"/>
              </w:rPr>
              <w:t>1</w:t>
            </w:r>
            <w:r>
              <w:rPr>
                <w:rFonts w:hAnsi="宋体"/>
                <w:color w:val="auto"/>
                <w:sz w:val="24"/>
              </w:rPr>
              <w:t>、废水：</w:t>
            </w:r>
            <w:r>
              <w:rPr>
                <w:rFonts w:hint="eastAsia"/>
                <w:color w:val="auto"/>
                <w:sz w:val="24"/>
                <w:szCs w:val="24"/>
                <w:lang w:val="en-US" w:eastAsia="zh-CN"/>
              </w:rPr>
              <w:t>本次改扩建工程不新增劳动人员，从公司内部进行调配，没有新增生活废水，也无生产废水产生和外排。</w:t>
            </w:r>
            <w:r>
              <w:rPr>
                <w:color w:val="auto"/>
                <w:sz w:val="24"/>
              </w:rPr>
              <w:t>因此</w:t>
            </w:r>
            <w:r>
              <w:rPr>
                <w:rFonts w:hint="eastAsia"/>
                <w:color w:val="auto"/>
                <w:sz w:val="24"/>
                <w:szCs w:val="24"/>
                <w:lang w:val="en-US" w:eastAsia="zh-CN"/>
              </w:rPr>
              <w:t>本次改扩建不设废水总量控制</w:t>
            </w:r>
            <w:r>
              <w:rPr>
                <w:color w:val="auto"/>
                <w:sz w:val="24"/>
              </w:rPr>
              <w:t>。</w:t>
            </w:r>
          </w:p>
          <w:p w14:paraId="49AB69AE">
            <w:pPr>
              <w:spacing w:line="360" w:lineRule="auto"/>
              <w:ind w:firstLine="480" w:firstLineChars="200"/>
              <w:rPr>
                <w:rFonts w:hAnsi="宋体"/>
                <w:color w:val="auto"/>
                <w:sz w:val="24"/>
              </w:rPr>
            </w:pPr>
            <w:r>
              <w:rPr>
                <w:color w:val="auto"/>
                <w:sz w:val="24"/>
              </w:rPr>
              <w:t>2</w:t>
            </w:r>
            <w:r>
              <w:rPr>
                <w:rFonts w:hAnsi="宋体"/>
                <w:color w:val="auto"/>
                <w:sz w:val="24"/>
              </w:rPr>
              <w:t>、废气</w:t>
            </w:r>
          </w:p>
          <w:p w14:paraId="2CB5FCAC">
            <w:pPr>
              <w:spacing w:line="360" w:lineRule="auto"/>
              <w:ind w:firstLine="480" w:firstLineChars="200"/>
              <w:rPr>
                <w:color w:val="auto"/>
                <w:sz w:val="24"/>
                <w:highlight w:val="none"/>
              </w:rPr>
            </w:pPr>
            <w:r>
              <w:rPr>
                <w:bCs/>
                <w:color w:val="auto"/>
                <w:sz w:val="24"/>
                <w:highlight w:val="none"/>
              </w:rPr>
              <w:t>有组织废气：</w:t>
            </w:r>
            <w:r>
              <w:rPr>
                <w:rFonts w:hint="eastAsia"/>
                <w:bCs/>
                <w:color w:val="auto"/>
                <w:sz w:val="24"/>
                <w:highlight w:val="none"/>
              </w:rPr>
              <w:t>废气量</w:t>
            </w:r>
            <w:r>
              <w:rPr>
                <w:rFonts w:hint="eastAsia"/>
                <w:bCs/>
                <w:color w:val="auto"/>
                <w:sz w:val="24"/>
                <w:highlight w:val="none"/>
                <w:lang w:val="en-US" w:eastAsia="zh-CN"/>
              </w:rPr>
              <w:t>3600</w:t>
            </w:r>
            <w:r>
              <w:rPr>
                <w:rFonts w:hint="eastAsia"/>
                <w:bCs/>
                <w:color w:val="auto"/>
                <w:sz w:val="24"/>
                <w:highlight w:val="none"/>
              </w:rPr>
              <w:t>万m</w:t>
            </w:r>
            <w:r>
              <w:rPr>
                <w:rFonts w:hint="eastAsia"/>
                <w:bCs/>
                <w:color w:val="auto"/>
                <w:sz w:val="24"/>
                <w:highlight w:val="none"/>
                <w:vertAlign w:val="superscript"/>
              </w:rPr>
              <w:t>3</w:t>
            </w:r>
            <w:r>
              <w:rPr>
                <w:rFonts w:hint="eastAsia"/>
                <w:bCs/>
                <w:color w:val="auto"/>
                <w:sz w:val="24"/>
                <w:highlight w:val="none"/>
              </w:rPr>
              <w:t>/a，有组织颗粒物排放量为</w:t>
            </w:r>
            <w:r>
              <w:rPr>
                <w:rFonts w:hint="eastAsia"/>
                <w:bCs/>
                <w:color w:val="auto"/>
                <w:sz w:val="24"/>
                <w:highlight w:val="none"/>
                <w:lang w:val="en-US" w:eastAsia="zh-CN"/>
              </w:rPr>
              <w:t>0.083</w:t>
            </w:r>
            <w:r>
              <w:rPr>
                <w:rFonts w:hint="eastAsia"/>
                <w:bCs/>
                <w:color w:val="auto"/>
                <w:sz w:val="24"/>
                <w:highlight w:val="none"/>
              </w:rPr>
              <w:t>t/a。</w:t>
            </w:r>
          </w:p>
          <w:p w14:paraId="4FDE62B2">
            <w:pPr>
              <w:spacing w:line="360" w:lineRule="auto"/>
              <w:ind w:firstLine="480" w:firstLineChars="200"/>
              <w:rPr>
                <w:color w:val="auto"/>
                <w:sz w:val="24"/>
                <w:highlight w:val="none"/>
              </w:rPr>
            </w:pPr>
            <w:r>
              <w:rPr>
                <w:rFonts w:hint="eastAsia"/>
                <w:color w:val="auto"/>
                <w:sz w:val="24"/>
                <w:highlight w:val="none"/>
              </w:rPr>
              <w:t>无组织废气：项目无组织颗粒物排放量为</w:t>
            </w:r>
            <w:r>
              <w:rPr>
                <w:rFonts w:hint="eastAsia"/>
                <w:color w:val="auto"/>
                <w:sz w:val="24"/>
                <w:highlight w:val="none"/>
                <w:lang w:val="en-US" w:eastAsia="zh-CN"/>
              </w:rPr>
              <w:t>2.1808</w:t>
            </w:r>
            <w:r>
              <w:rPr>
                <w:rFonts w:hint="eastAsia"/>
                <w:color w:val="auto"/>
                <w:sz w:val="24"/>
                <w:highlight w:val="none"/>
              </w:rPr>
              <w:t>t/a。</w:t>
            </w:r>
          </w:p>
          <w:p w14:paraId="7E8D8F22">
            <w:pPr>
              <w:spacing w:line="360" w:lineRule="auto"/>
              <w:ind w:firstLine="480" w:firstLineChars="200"/>
              <w:rPr>
                <w:color w:val="auto"/>
                <w:sz w:val="24"/>
                <w:highlight w:val="yellow"/>
              </w:rPr>
            </w:pPr>
            <w:r>
              <w:rPr>
                <w:rFonts w:hint="eastAsia"/>
                <w:color w:val="auto"/>
                <w:sz w:val="24"/>
                <w:highlight w:val="none"/>
              </w:rPr>
              <w:t>综上，</w:t>
            </w:r>
            <w:r>
              <w:rPr>
                <w:rFonts w:hint="eastAsia"/>
                <w:color w:val="auto"/>
                <w:sz w:val="24"/>
                <w:highlight w:val="none"/>
                <w:lang w:val="en-US" w:eastAsia="zh-CN"/>
              </w:rPr>
              <w:t>本次改扩建</w:t>
            </w:r>
            <w:r>
              <w:rPr>
                <w:color w:val="auto"/>
                <w:sz w:val="24"/>
                <w:highlight w:val="none"/>
              </w:rPr>
              <w:t>运营期废气主要为颗粒物，其中无组织排放量为</w:t>
            </w:r>
            <w:r>
              <w:rPr>
                <w:rFonts w:hint="eastAsia"/>
                <w:color w:val="auto"/>
                <w:sz w:val="24"/>
                <w:highlight w:val="none"/>
                <w:lang w:val="en-US" w:eastAsia="zh-CN"/>
              </w:rPr>
              <w:t>2.1808</w:t>
            </w:r>
            <w:r>
              <w:rPr>
                <w:rFonts w:hint="eastAsia"/>
                <w:color w:val="auto"/>
                <w:sz w:val="24"/>
                <w:highlight w:val="none"/>
              </w:rPr>
              <w:t>t/a</w:t>
            </w:r>
            <w:r>
              <w:rPr>
                <w:color w:val="auto"/>
                <w:sz w:val="24"/>
                <w:highlight w:val="none"/>
              </w:rPr>
              <w:t>，有组织排放量为</w:t>
            </w:r>
            <w:r>
              <w:rPr>
                <w:rFonts w:hint="eastAsia"/>
                <w:bCs/>
                <w:color w:val="auto"/>
                <w:sz w:val="24"/>
                <w:highlight w:val="none"/>
                <w:lang w:val="en-US" w:eastAsia="zh-CN"/>
              </w:rPr>
              <w:t>0.083</w:t>
            </w:r>
            <w:r>
              <w:rPr>
                <w:color w:val="auto"/>
                <w:sz w:val="24"/>
                <w:highlight w:val="none"/>
              </w:rPr>
              <w:t>t/a。项目</w:t>
            </w:r>
            <w:r>
              <w:rPr>
                <w:rFonts w:hint="eastAsia"/>
                <w:color w:val="auto"/>
                <w:sz w:val="24"/>
                <w:highlight w:val="none"/>
                <w:lang w:val="en-US" w:eastAsia="zh-CN"/>
              </w:rPr>
              <w:t>颗粒物总</w:t>
            </w:r>
            <w:r>
              <w:rPr>
                <w:rFonts w:hint="eastAsia"/>
                <w:color w:val="auto"/>
                <w:sz w:val="24"/>
                <w:highlight w:val="none"/>
              </w:rPr>
              <w:t>排放量为</w:t>
            </w:r>
            <w:r>
              <w:rPr>
                <w:rFonts w:hint="eastAsia"/>
                <w:color w:val="auto"/>
                <w:sz w:val="24"/>
                <w:highlight w:val="none"/>
                <w:lang w:val="en-US" w:eastAsia="zh-CN"/>
              </w:rPr>
              <w:t>2.2638</w:t>
            </w:r>
            <w:r>
              <w:rPr>
                <w:rFonts w:hint="eastAsia"/>
                <w:color w:val="auto"/>
                <w:sz w:val="24"/>
                <w:highlight w:val="none"/>
              </w:rPr>
              <w:t>t/a</w:t>
            </w:r>
            <w:r>
              <w:rPr>
                <w:color w:val="auto"/>
                <w:sz w:val="24"/>
                <w:highlight w:val="none"/>
              </w:rPr>
              <w:t>。</w:t>
            </w:r>
          </w:p>
          <w:p w14:paraId="21E31978">
            <w:pPr>
              <w:spacing w:line="360" w:lineRule="auto"/>
              <w:ind w:firstLine="480" w:firstLineChars="200"/>
              <w:rPr>
                <w:rFonts w:hAnsi="宋体"/>
                <w:color w:val="auto"/>
                <w:sz w:val="24"/>
              </w:rPr>
            </w:pPr>
            <w:r>
              <w:rPr>
                <w:color w:val="auto"/>
                <w:sz w:val="24"/>
              </w:rPr>
              <w:t>3</w:t>
            </w:r>
            <w:r>
              <w:rPr>
                <w:rFonts w:hAnsi="宋体"/>
                <w:color w:val="auto"/>
                <w:sz w:val="24"/>
              </w:rPr>
              <w:t>、固体废物</w:t>
            </w:r>
          </w:p>
          <w:p w14:paraId="28115002">
            <w:pPr>
              <w:spacing w:line="360" w:lineRule="auto"/>
              <w:ind w:firstLine="480" w:firstLineChars="200"/>
              <w:rPr>
                <w:color w:val="auto"/>
                <w:sz w:val="24"/>
              </w:rPr>
            </w:pPr>
            <w:r>
              <w:rPr>
                <w:color w:val="auto"/>
                <w:sz w:val="24"/>
              </w:rPr>
              <w:t>本项目固体废物处置率100%，不设总量控制指标。</w:t>
            </w:r>
          </w:p>
          <w:p w14:paraId="209DEA94">
            <w:pPr>
              <w:spacing w:line="360" w:lineRule="auto"/>
              <w:ind w:firstLine="480" w:firstLineChars="200"/>
              <w:rPr>
                <w:color w:val="auto"/>
                <w:sz w:val="24"/>
              </w:rPr>
            </w:pPr>
          </w:p>
          <w:p w14:paraId="78274EEB">
            <w:pPr>
              <w:spacing w:line="360" w:lineRule="auto"/>
              <w:ind w:firstLine="480" w:firstLineChars="200"/>
              <w:rPr>
                <w:color w:val="auto"/>
                <w:sz w:val="24"/>
              </w:rPr>
            </w:pPr>
          </w:p>
          <w:p w14:paraId="5E7AC21E">
            <w:pPr>
              <w:spacing w:line="360" w:lineRule="auto"/>
              <w:ind w:firstLine="480" w:firstLineChars="200"/>
              <w:rPr>
                <w:color w:val="auto"/>
                <w:sz w:val="24"/>
              </w:rPr>
            </w:pPr>
          </w:p>
          <w:p w14:paraId="6D6B0D53">
            <w:pPr>
              <w:spacing w:line="360" w:lineRule="auto"/>
              <w:ind w:firstLine="480" w:firstLineChars="200"/>
              <w:rPr>
                <w:color w:val="auto"/>
                <w:sz w:val="24"/>
              </w:rPr>
            </w:pPr>
          </w:p>
          <w:p w14:paraId="682A6B51">
            <w:pPr>
              <w:spacing w:line="360" w:lineRule="auto"/>
              <w:ind w:firstLine="480" w:firstLineChars="200"/>
              <w:rPr>
                <w:color w:val="auto"/>
                <w:sz w:val="24"/>
              </w:rPr>
            </w:pPr>
          </w:p>
          <w:p w14:paraId="64888333">
            <w:pPr>
              <w:spacing w:line="360" w:lineRule="auto"/>
              <w:ind w:firstLine="480" w:firstLineChars="200"/>
              <w:rPr>
                <w:color w:val="auto"/>
                <w:sz w:val="24"/>
              </w:rPr>
            </w:pPr>
          </w:p>
          <w:p w14:paraId="6498BC5E">
            <w:pPr>
              <w:spacing w:line="360" w:lineRule="auto"/>
              <w:ind w:firstLine="480" w:firstLineChars="200"/>
              <w:rPr>
                <w:color w:val="auto"/>
                <w:sz w:val="24"/>
              </w:rPr>
            </w:pPr>
          </w:p>
          <w:p w14:paraId="30F2E281">
            <w:pPr>
              <w:spacing w:line="360" w:lineRule="auto"/>
              <w:ind w:firstLine="480" w:firstLineChars="200"/>
              <w:rPr>
                <w:color w:val="auto"/>
                <w:sz w:val="24"/>
              </w:rPr>
            </w:pPr>
          </w:p>
          <w:p w14:paraId="3A8EFD26">
            <w:pPr>
              <w:spacing w:line="360" w:lineRule="auto"/>
              <w:ind w:firstLine="480" w:firstLineChars="200"/>
              <w:rPr>
                <w:color w:val="auto"/>
                <w:sz w:val="24"/>
              </w:rPr>
            </w:pPr>
          </w:p>
          <w:p w14:paraId="7BE7C61C">
            <w:pPr>
              <w:spacing w:line="360" w:lineRule="auto"/>
              <w:ind w:firstLine="480" w:firstLineChars="200"/>
              <w:rPr>
                <w:color w:val="auto"/>
                <w:sz w:val="24"/>
              </w:rPr>
            </w:pPr>
          </w:p>
          <w:p w14:paraId="28C0728E">
            <w:pPr>
              <w:spacing w:line="360" w:lineRule="auto"/>
              <w:ind w:firstLine="480" w:firstLineChars="200"/>
              <w:rPr>
                <w:color w:val="auto"/>
                <w:sz w:val="24"/>
              </w:rPr>
            </w:pPr>
          </w:p>
          <w:p w14:paraId="06C42433">
            <w:pPr>
              <w:spacing w:line="360" w:lineRule="auto"/>
              <w:ind w:firstLine="480" w:firstLineChars="200"/>
              <w:rPr>
                <w:color w:val="auto"/>
                <w:sz w:val="24"/>
              </w:rPr>
            </w:pPr>
          </w:p>
          <w:p w14:paraId="2AB7945F">
            <w:pPr>
              <w:spacing w:line="360" w:lineRule="auto"/>
              <w:ind w:firstLine="480" w:firstLineChars="200"/>
              <w:rPr>
                <w:color w:val="auto"/>
                <w:sz w:val="24"/>
              </w:rPr>
            </w:pPr>
          </w:p>
          <w:p w14:paraId="474136A1">
            <w:pPr>
              <w:spacing w:line="360" w:lineRule="auto"/>
              <w:ind w:firstLine="480" w:firstLineChars="200"/>
              <w:rPr>
                <w:color w:val="auto"/>
                <w:sz w:val="24"/>
              </w:rPr>
            </w:pPr>
          </w:p>
          <w:p w14:paraId="79B88730">
            <w:pPr>
              <w:spacing w:line="360" w:lineRule="auto"/>
              <w:ind w:firstLine="480" w:firstLineChars="200"/>
              <w:rPr>
                <w:color w:val="auto"/>
                <w:sz w:val="24"/>
              </w:rPr>
            </w:pPr>
          </w:p>
          <w:p w14:paraId="4B571DB8">
            <w:pPr>
              <w:spacing w:line="360" w:lineRule="auto"/>
              <w:ind w:firstLine="480" w:firstLineChars="200"/>
              <w:rPr>
                <w:color w:val="auto"/>
                <w:sz w:val="24"/>
              </w:rPr>
            </w:pPr>
          </w:p>
          <w:p w14:paraId="75353433">
            <w:pPr>
              <w:spacing w:line="360" w:lineRule="auto"/>
              <w:ind w:firstLine="480" w:firstLineChars="200"/>
              <w:rPr>
                <w:color w:val="auto"/>
                <w:sz w:val="24"/>
              </w:rPr>
            </w:pPr>
          </w:p>
          <w:p w14:paraId="7A7F792A">
            <w:pPr>
              <w:spacing w:line="360" w:lineRule="auto"/>
              <w:ind w:firstLine="480" w:firstLineChars="200"/>
              <w:rPr>
                <w:color w:val="auto"/>
                <w:sz w:val="24"/>
              </w:rPr>
            </w:pPr>
          </w:p>
          <w:p w14:paraId="1695A26B">
            <w:pPr>
              <w:spacing w:line="360" w:lineRule="auto"/>
              <w:ind w:firstLine="480" w:firstLineChars="200"/>
              <w:rPr>
                <w:color w:val="auto"/>
                <w:sz w:val="24"/>
              </w:rPr>
            </w:pPr>
          </w:p>
          <w:p w14:paraId="573D2B4C">
            <w:pPr>
              <w:spacing w:line="360" w:lineRule="auto"/>
              <w:ind w:firstLine="480" w:firstLineChars="200"/>
              <w:rPr>
                <w:color w:val="auto"/>
                <w:sz w:val="24"/>
              </w:rPr>
            </w:pPr>
          </w:p>
          <w:p w14:paraId="09C988C3">
            <w:pPr>
              <w:spacing w:line="360" w:lineRule="auto"/>
              <w:ind w:firstLine="480" w:firstLineChars="200"/>
              <w:rPr>
                <w:color w:val="auto"/>
                <w:sz w:val="24"/>
              </w:rPr>
            </w:pPr>
          </w:p>
          <w:p w14:paraId="56ADC625">
            <w:pPr>
              <w:spacing w:line="360" w:lineRule="auto"/>
              <w:ind w:firstLine="480" w:firstLineChars="200"/>
              <w:rPr>
                <w:color w:val="auto"/>
                <w:sz w:val="24"/>
              </w:rPr>
            </w:pPr>
          </w:p>
          <w:p w14:paraId="48E3D5E0">
            <w:pPr>
              <w:pStyle w:val="2"/>
              <w:rPr>
                <w:color w:val="auto"/>
                <w:sz w:val="24"/>
              </w:rPr>
            </w:pPr>
          </w:p>
          <w:p w14:paraId="6F4E55A5">
            <w:pPr>
              <w:pStyle w:val="2"/>
              <w:ind w:left="0" w:firstLine="0"/>
              <w:rPr>
                <w:rFonts w:hint="eastAsia"/>
                <w:color w:val="auto"/>
              </w:rPr>
            </w:pPr>
          </w:p>
          <w:p w14:paraId="1CBD89CA">
            <w:pPr>
              <w:rPr>
                <w:rFonts w:hint="eastAsia"/>
                <w:color w:val="auto"/>
              </w:rPr>
            </w:pPr>
          </w:p>
          <w:p w14:paraId="72BAB388">
            <w:pPr>
              <w:pStyle w:val="2"/>
              <w:ind w:left="0" w:firstLine="0"/>
              <w:rPr>
                <w:color w:val="auto"/>
              </w:rPr>
            </w:pPr>
          </w:p>
        </w:tc>
      </w:tr>
    </w:tbl>
    <w:p w14:paraId="11ADEFDC">
      <w:pPr>
        <w:pStyle w:val="41"/>
        <w:spacing w:before="0" w:beforeAutospacing="0" w:after="0" w:afterAutospacing="0"/>
        <w:jc w:val="center"/>
        <w:outlineLvl w:val="0"/>
        <w:rPr>
          <w:rFonts w:ascii="黑体" w:hAnsi="黑体" w:eastAsia="黑体"/>
          <w:snapToGrid w:val="0"/>
          <w:color w:val="auto"/>
          <w:sz w:val="30"/>
          <w:szCs w:val="30"/>
        </w:rPr>
      </w:pPr>
      <w:r>
        <w:rPr>
          <w:rFonts w:ascii="黑体" w:hAnsi="黑体" w:eastAsia="黑体"/>
          <w:snapToGrid w:val="0"/>
          <w:color w:val="auto"/>
          <w:sz w:val="36"/>
          <w:szCs w:val="36"/>
        </w:rPr>
        <w:br w:type="page"/>
      </w:r>
      <w:bookmarkStart w:id="7" w:name="_Toc69399390"/>
      <w:r>
        <w:rPr>
          <w:rFonts w:hint="eastAsia"/>
          <w:b/>
          <w:snapToGrid w:val="0"/>
          <w:color w:val="auto"/>
          <w:sz w:val="30"/>
          <w:szCs w:val="30"/>
        </w:rPr>
        <w:t>四、主要环境影响和保护措施</w:t>
      </w:r>
      <w:bookmarkEnd w:id="7"/>
    </w:p>
    <w:tbl>
      <w:tblPr>
        <w:tblStyle w:val="4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8"/>
        <w:gridCol w:w="8450"/>
      </w:tblGrid>
      <w:tr w14:paraId="6E98BF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8" w:type="dxa"/>
            <w:tcMar>
              <w:left w:w="28" w:type="dxa"/>
              <w:right w:w="28" w:type="dxa"/>
            </w:tcMar>
            <w:vAlign w:val="center"/>
          </w:tcPr>
          <w:p w14:paraId="2E161AC9">
            <w:pPr>
              <w:pStyle w:val="41"/>
              <w:adjustRightInd w:val="0"/>
              <w:snapToGrid w:val="0"/>
              <w:spacing w:before="0" w:beforeAutospacing="0" w:after="0" w:afterAutospacing="0" w:line="360" w:lineRule="auto"/>
              <w:jc w:val="center"/>
              <w:rPr>
                <w:rFonts w:cs="宋体"/>
                <w:color w:val="auto"/>
                <w:kern w:val="2"/>
                <w:szCs w:val="24"/>
              </w:rPr>
            </w:pPr>
            <w:r>
              <w:rPr>
                <w:rFonts w:hint="eastAsia" w:cs="宋体"/>
                <w:color w:val="auto"/>
                <w:kern w:val="2"/>
                <w:szCs w:val="24"/>
              </w:rPr>
              <w:t>施工</w:t>
            </w:r>
          </w:p>
          <w:p w14:paraId="422AFA24">
            <w:pPr>
              <w:pStyle w:val="41"/>
              <w:adjustRightInd w:val="0"/>
              <w:snapToGrid w:val="0"/>
              <w:spacing w:before="0" w:beforeAutospacing="0" w:after="0" w:afterAutospacing="0" w:line="360" w:lineRule="auto"/>
              <w:jc w:val="center"/>
              <w:rPr>
                <w:rFonts w:cs="宋体"/>
                <w:color w:val="auto"/>
                <w:kern w:val="2"/>
                <w:szCs w:val="24"/>
              </w:rPr>
            </w:pPr>
            <w:r>
              <w:rPr>
                <w:rFonts w:hint="eastAsia" w:cs="宋体"/>
                <w:color w:val="auto"/>
                <w:kern w:val="2"/>
                <w:szCs w:val="24"/>
              </w:rPr>
              <w:t>期环</w:t>
            </w:r>
          </w:p>
          <w:p w14:paraId="11E6B959">
            <w:pPr>
              <w:pStyle w:val="41"/>
              <w:adjustRightInd w:val="0"/>
              <w:snapToGrid w:val="0"/>
              <w:spacing w:before="0" w:beforeAutospacing="0" w:after="0" w:afterAutospacing="0" w:line="360" w:lineRule="auto"/>
              <w:jc w:val="center"/>
              <w:rPr>
                <w:rFonts w:cs="宋体"/>
                <w:color w:val="auto"/>
                <w:kern w:val="2"/>
                <w:szCs w:val="24"/>
              </w:rPr>
            </w:pPr>
            <w:r>
              <w:rPr>
                <w:rFonts w:hint="eastAsia" w:cs="宋体"/>
                <w:color w:val="auto"/>
                <w:kern w:val="2"/>
                <w:szCs w:val="24"/>
              </w:rPr>
              <w:t>境保</w:t>
            </w:r>
          </w:p>
          <w:p w14:paraId="585292D0">
            <w:pPr>
              <w:pStyle w:val="41"/>
              <w:adjustRightInd w:val="0"/>
              <w:snapToGrid w:val="0"/>
              <w:spacing w:before="0" w:beforeAutospacing="0" w:after="0" w:afterAutospacing="0" w:line="360" w:lineRule="auto"/>
              <w:jc w:val="center"/>
              <w:rPr>
                <w:rFonts w:cs="宋体"/>
                <w:color w:val="auto"/>
                <w:kern w:val="2"/>
                <w:szCs w:val="24"/>
              </w:rPr>
            </w:pPr>
            <w:r>
              <w:rPr>
                <w:rFonts w:hint="eastAsia" w:cs="宋体"/>
                <w:color w:val="auto"/>
                <w:kern w:val="2"/>
                <w:szCs w:val="24"/>
              </w:rPr>
              <w:t>护措</w:t>
            </w:r>
          </w:p>
          <w:p w14:paraId="7F721CBA">
            <w:pPr>
              <w:pStyle w:val="41"/>
              <w:adjustRightInd w:val="0"/>
              <w:snapToGrid w:val="0"/>
              <w:spacing w:before="0" w:beforeAutospacing="0" w:after="0" w:afterAutospacing="0" w:line="360" w:lineRule="auto"/>
              <w:jc w:val="center"/>
              <w:rPr>
                <w:rFonts w:cs="宋体"/>
                <w:bCs/>
                <w:color w:val="auto"/>
                <w:kern w:val="2"/>
                <w:szCs w:val="24"/>
              </w:rPr>
            </w:pPr>
            <w:r>
              <w:rPr>
                <w:rFonts w:hint="eastAsia" w:cs="宋体"/>
                <w:color w:val="auto"/>
                <w:kern w:val="2"/>
                <w:szCs w:val="24"/>
              </w:rPr>
              <w:t>施</w:t>
            </w:r>
          </w:p>
        </w:tc>
        <w:tc>
          <w:tcPr>
            <w:tcW w:w="8450" w:type="dxa"/>
            <w:vAlign w:val="center"/>
          </w:tcPr>
          <w:p w14:paraId="0F995CB6">
            <w:pPr>
              <w:spacing w:line="360" w:lineRule="auto"/>
              <w:ind w:firstLine="480" w:firstLineChars="200"/>
              <w:rPr>
                <w:color w:val="auto"/>
                <w:sz w:val="24"/>
              </w:rPr>
            </w:pPr>
            <w:r>
              <w:rPr>
                <w:color w:val="auto"/>
                <w:sz w:val="24"/>
              </w:rPr>
              <w:t>本项目施工期主要工程</w:t>
            </w:r>
            <w:r>
              <w:rPr>
                <w:color w:val="auto"/>
                <w:sz w:val="24"/>
                <w:szCs w:val="24"/>
              </w:rPr>
              <w:t>为</w:t>
            </w:r>
            <w:r>
              <w:rPr>
                <w:rFonts w:hint="eastAsia"/>
                <w:color w:val="auto"/>
                <w:sz w:val="24"/>
                <w:szCs w:val="24"/>
                <w:lang w:val="en-US" w:eastAsia="zh-CN"/>
              </w:rPr>
              <w:t>筛分和</w:t>
            </w:r>
            <w:r>
              <w:rPr>
                <w:rFonts w:hint="eastAsia"/>
                <w:color w:val="auto"/>
                <w:sz w:val="24"/>
                <w:lang w:val="en-US" w:eastAsia="zh-CN"/>
              </w:rPr>
              <w:t>出料设备</w:t>
            </w:r>
            <w:r>
              <w:rPr>
                <w:rFonts w:hint="eastAsia"/>
                <w:color w:val="auto"/>
                <w:sz w:val="24"/>
              </w:rPr>
              <w:t>的安装等。</w:t>
            </w:r>
            <w:r>
              <w:rPr>
                <w:rFonts w:hint="eastAsia" w:hAnsi="宋体"/>
                <w:color w:val="auto"/>
                <w:sz w:val="24"/>
                <w:szCs w:val="22"/>
              </w:rPr>
              <w:t>产生的污染物主要为粉尘、汽车尾气、噪声、生活废水以及固体废弃物等。</w:t>
            </w:r>
          </w:p>
          <w:p w14:paraId="0D0DE080">
            <w:pPr>
              <w:spacing w:line="360" w:lineRule="auto"/>
              <w:ind w:firstLine="551" w:firstLineChars="196"/>
              <w:rPr>
                <w:b/>
                <w:bCs/>
                <w:color w:val="auto"/>
                <w:sz w:val="28"/>
                <w:szCs w:val="28"/>
              </w:rPr>
            </w:pPr>
            <w:r>
              <w:rPr>
                <w:rFonts w:hint="eastAsia"/>
                <w:b/>
                <w:bCs/>
                <w:color w:val="auto"/>
                <w:sz w:val="28"/>
                <w:szCs w:val="28"/>
              </w:rPr>
              <w:t>1</w:t>
            </w:r>
            <w:r>
              <w:rPr>
                <w:rFonts w:hAnsi="宋体"/>
                <w:b/>
                <w:bCs/>
                <w:color w:val="auto"/>
                <w:sz w:val="28"/>
                <w:szCs w:val="28"/>
              </w:rPr>
              <w:t>、废气影响</w:t>
            </w:r>
            <w:r>
              <w:rPr>
                <w:rFonts w:hint="eastAsia" w:hAnsi="宋体"/>
                <w:b/>
                <w:bCs/>
                <w:color w:val="auto"/>
                <w:sz w:val="28"/>
                <w:szCs w:val="28"/>
              </w:rPr>
              <w:t>和</w:t>
            </w:r>
            <w:r>
              <w:rPr>
                <w:rFonts w:hAnsi="宋体"/>
                <w:b/>
                <w:bCs/>
                <w:color w:val="auto"/>
                <w:sz w:val="28"/>
                <w:szCs w:val="28"/>
              </w:rPr>
              <w:t>保护措施</w:t>
            </w:r>
          </w:p>
          <w:p w14:paraId="1B749B1D">
            <w:pPr>
              <w:spacing w:line="360" w:lineRule="auto"/>
              <w:ind w:firstLine="480" w:firstLineChars="200"/>
              <w:rPr>
                <w:color w:val="auto"/>
                <w:sz w:val="24"/>
              </w:rPr>
            </w:pPr>
            <w:r>
              <w:rPr>
                <w:rFonts w:hAnsi="宋体"/>
                <w:color w:val="auto"/>
                <w:sz w:val="24"/>
                <w:szCs w:val="22"/>
              </w:rPr>
              <w:t>施工期废气主要包括</w:t>
            </w:r>
            <w:r>
              <w:rPr>
                <w:rFonts w:hint="eastAsia" w:hAnsi="宋体"/>
                <w:color w:val="auto"/>
                <w:sz w:val="24"/>
                <w:szCs w:val="22"/>
              </w:rPr>
              <w:t>设备运输、安装过程</w:t>
            </w:r>
            <w:r>
              <w:rPr>
                <w:rFonts w:hAnsi="宋体"/>
                <w:color w:val="auto"/>
                <w:sz w:val="24"/>
              </w:rPr>
              <w:t>产生的扬尘</w:t>
            </w:r>
            <w:r>
              <w:rPr>
                <w:rFonts w:hAnsi="宋体"/>
                <w:color w:val="auto"/>
                <w:sz w:val="24"/>
                <w:szCs w:val="22"/>
              </w:rPr>
              <w:t>；运输车辆、施工机械产生的废气</w:t>
            </w:r>
            <w:r>
              <w:rPr>
                <w:rFonts w:hAnsi="宋体"/>
                <w:color w:val="auto"/>
                <w:sz w:val="24"/>
              </w:rPr>
              <w:t>。</w:t>
            </w:r>
          </w:p>
          <w:p w14:paraId="5C3DB614">
            <w:pPr>
              <w:spacing w:line="360" w:lineRule="auto"/>
              <w:ind w:right="-53" w:firstLine="570"/>
              <w:rPr>
                <w:rFonts w:hAnsi="宋体"/>
                <w:color w:val="auto"/>
                <w:sz w:val="24"/>
              </w:rPr>
            </w:pPr>
            <w:r>
              <w:rPr>
                <w:rFonts w:hAnsi="宋体"/>
                <w:color w:val="auto"/>
                <w:sz w:val="24"/>
              </w:rPr>
              <w:t>（</w:t>
            </w:r>
            <w:r>
              <w:rPr>
                <w:color w:val="auto"/>
                <w:sz w:val="24"/>
              </w:rPr>
              <w:t>1</w:t>
            </w:r>
            <w:r>
              <w:rPr>
                <w:rFonts w:hAnsi="宋体"/>
                <w:color w:val="auto"/>
                <w:sz w:val="24"/>
              </w:rPr>
              <w:t>）扬尘影响分析</w:t>
            </w:r>
          </w:p>
          <w:p w14:paraId="5C688D91">
            <w:pPr>
              <w:pStyle w:val="44"/>
              <w:adjustRightInd w:val="0"/>
              <w:snapToGrid w:val="0"/>
              <w:spacing w:after="0" w:line="360" w:lineRule="auto"/>
              <w:ind w:left="0" w:leftChars="0" w:firstLine="480"/>
              <w:rPr>
                <w:color w:val="auto"/>
                <w:sz w:val="24"/>
              </w:rPr>
            </w:pPr>
            <w:r>
              <w:rPr>
                <w:rFonts w:ascii="Times New Roman" w:hAnsi="Times New Roman"/>
                <w:color w:val="auto"/>
                <w:sz w:val="24"/>
                <w:szCs w:val="24"/>
              </w:rPr>
              <w:t>本项目建设时须进行</w:t>
            </w:r>
            <w:r>
              <w:rPr>
                <w:rFonts w:hint="eastAsia" w:hAnsi="宋体"/>
                <w:color w:val="auto"/>
                <w:sz w:val="24"/>
              </w:rPr>
              <w:t>设备运输和安装</w:t>
            </w:r>
            <w:r>
              <w:rPr>
                <w:rFonts w:ascii="Times New Roman" w:hAnsi="Times New Roman"/>
                <w:color w:val="auto"/>
                <w:sz w:val="24"/>
                <w:szCs w:val="24"/>
              </w:rPr>
              <w:t>。施工扬尘主要产生于</w:t>
            </w:r>
            <w:r>
              <w:rPr>
                <w:rFonts w:hAnsi="宋体"/>
                <w:color w:val="auto"/>
                <w:sz w:val="24"/>
              </w:rPr>
              <w:t>地面防渗措施施工、</w:t>
            </w:r>
            <w:r>
              <w:rPr>
                <w:rFonts w:hint="eastAsia" w:hAnsi="宋体"/>
                <w:color w:val="auto"/>
                <w:sz w:val="24"/>
              </w:rPr>
              <w:t>设备运输和安装</w:t>
            </w:r>
            <w:r>
              <w:rPr>
                <w:rFonts w:ascii="Times New Roman" w:hAnsi="Times New Roman"/>
                <w:color w:val="auto"/>
                <w:sz w:val="24"/>
                <w:szCs w:val="24"/>
              </w:rPr>
              <w:t>，以及</w:t>
            </w:r>
            <w:r>
              <w:rPr>
                <w:rFonts w:hint="eastAsia" w:ascii="Times New Roman" w:hAnsi="Times New Roman"/>
                <w:color w:val="auto"/>
                <w:sz w:val="24"/>
                <w:szCs w:val="24"/>
              </w:rPr>
              <w:t>施工材料</w:t>
            </w:r>
            <w:r>
              <w:rPr>
                <w:rFonts w:ascii="Times New Roman" w:hAnsi="Times New Roman"/>
                <w:color w:val="auto"/>
                <w:sz w:val="24"/>
                <w:szCs w:val="24"/>
              </w:rPr>
              <w:t>的运输和堆放等过程。施工产生的扬尘的主要污染因子为TSP。</w:t>
            </w:r>
          </w:p>
          <w:p w14:paraId="1CFB0898">
            <w:pPr>
              <w:spacing w:line="360" w:lineRule="auto"/>
              <w:ind w:firstLine="480" w:firstLineChars="200"/>
              <w:rPr>
                <w:color w:val="auto"/>
                <w:sz w:val="24"/>
              </w:rPr>
            </w:pPr>
            <w:r>
              <w:rPr>
                <w:rFonts w:hint="eastAsia"/>
                <w:color w:val="auto"/>
                <w:sz w:val="24"/>
              </w:rPr>
              <w:t>在静风、小雨湿润条件下，其对空气环境的影响范围将减小、程度减轻。由于施工期扬尘量的大小与诸多因素有关，因此施工期扬尘的排放量很难确定。施工扬尘主要影响项目5</w:t>
            </w:r>
            <w:r>
              <w:rPr>
                <w:color w:val="auto"/>
                <w:sz w:val="24"/>
              </w:rPr>
              <w:t>00m</w:t>
            </w:r>
            <w:r>
              <w:rPr>
                <w:rFonts w:hint="eastAsia"/>
                <w:color w:val="auto"/>
                <w:sz w:val="24"/>
              </w:rPr>
              <w:t>范围内的环境敏感目标，根据现场踏勘，本项目</w:t>
            </w:r>
            <w:r>
              <w:rPr>
                <w:rFonts w:hint="eastAsia"/>
                <w:color w:val="auto"/>
                <w:sz w:val="24"/>
                <w:lang w:val="en-US" w:eastAsia="zh-CN"/>
              </w:rPr>
              <w:t>500m范围内</w:t>
            </w:r>
            <w:r>
              <w:rPr>
                <w:rFonts w:hint="eastAsia"/>
                <w:color w:val="auto"/>
                <w:sz w:val="24"/>
              </w:rPr>
              <w:t>的保护目标为项目</w:t>
            </w:r>
            <w:r>
              <w:rPr>
                <w:rFonts w:hint="eastAsia"/>
                <w:color w:val="auto"/>
                <w:sz w:val="24"/>
                <w:lang w:val="en-US" w:eastAsia="zh-CN"/>
              </w:rPr>
              <w:t>东</w:t>
            </w:r>
            <w:r>
              <w:rPr>
                <w:rFonts w:hint="eastAsia"/>
                <w:color w:val="auto"/>
                <w:sz w:val="24"/>
              </w:rPr>
              <w:t>侧</w:t>
            </w:r>
            <w:r>
              <w:rPr>
                <w:color w:val="auto"/>
                <w:sz w:val="24"/>
              </w:rPr>
              <w:t>的</w:t>
            </w:r>
            <w:r>
              <w:rPr>
                <w:rFonts w:hint="eastAsia"/>
                <w:color w:val="auto"/>
                <w:sz w:val="24"/>
                <w:lang w:val="en-US" w:eastAsia="zh-CN"/>
              </w:rPr>
              <w:t>王岗屯村</w:t>
            </w:r>
            <w:r>
              <w:rPr>
                <w:color w:val="auto"/>
                <w:sz w:val="24"/>
              </w:rPr>
              <w:t>，距项目</w:t>
            </w:r>
            <w:r>
              <w:rPr>
                <w:rFonts w:hint="eastAsia"/>
                <w:color w:val="auto"/>
                <w:sz w:val="24"/>
                <w:lang w:val="en-US" w:eastAsia="zh-CN"/>
              </w:rPr>
              <w:t>436</w:t>
            </w:r>
            <w:r>
              <w:rPr>
                <w:rFonts w:hint="eastAsia"/>
                <w:color w:val="auto"/>
                <w:sz w:val="24"/>
              </w:rPr>
              <w:t>m</w:t>
            </w:r>
            <w:r>
              <w:rPr>
                <w:color w:val="auto"/>
                <w:sz w:val="24"/>
              </w:rPr>
              <w:t>，距</w:t>
            </w:r>
            <w:r>
              <w:rPr>
                <w:rFonts w:hint="eastAsia"/>
                <w:color w:val="auto"/>
                <w:sz w:val="24"/>
                <w:lang w:eastAsia="zh-CN"/>
              </w:rPr>
              <w:t>云南常青树化工有限公司</w:t>
            </w:r>
            <w:r>
              <w:rPr>
                <w:color w:val="auto"/>
                <w:sz w:val="24"/>
              </w:rPr>
              <w:t>厂界</w:t>
            </w:r>
            <w:r>
              <w:rPr>
                <w:rFonts w:hint="eastAsia"/>
                <w:color w:val="auto"/>
                <w:sz w:val="24"/>
                <w:lang w:val="en-US" w:eastAsia="zh-CN"/>
              </w:rPr>
              <w:t>290</w:t>
            </w:r>
            <w:r>
              <w:rPr>
                <w:rFonts w:hint="eastAsia"/>
                <w:color w:val="auto"/>
                <w:sz w:val="24"/>
              </w:rPr>
              <w:t>m，</w:t>
            </w:r>
            <w:r>
              <w:rPr>
                <w:color w:val="auto"/>
                <w:sz w:val="24"/>
              </w:rPr>
              <w:t>约有</w:t>
            </w:r>
            <w:r>
              <w:rPr>
                <w:rFonts w:hint="eastAsia"/>
                <w:color w:val="auto"/>
                <w:sz w:val="24"/>
                <w:lang w:val="en-US" w:eastAsia="zh-CN"/>
              </w:rPr>
              <w:t>417</w:t>
            </w:r>
            <w:r>
              <w:rPr>
                <w:rFonts w:hint="eastAsia"/>
                <w:color w:val="auto"/>
                <w:sz w:val="24"/>
              </w:rPr>
              <w:t>人</w:t>
            </w:r>
            <w:r>
              <w:rPr>
                <w:rFonts w:hint="eastAsia"/>
                <w:color w:val="auto"/>
                <w:sz w:val="24"/>
                <w:lang w:eastAsia="zh-CN"/>
              </w:rPr>
              <w:t>；</w:t>
            </w:r>
            <w:r>
              <w:rPr>
                <w:rFonts w:hint="eastAsia"/>
                <w:color w:val="auto"/>
                <w:sz w:val="24"/>
                <w:lang w:val="en-US" w:eastAsia="zh-CN"/>
              </w:rPr>
              <w:t>项目西北侧的云集村，距项目413m，</w:t>
            </w:r>
            <w:r>
              <w:rPr>
                <w:color w:val="auto"/>
                <w:sz w:val="24"/>
              </w:rPr>
              <w:t>距</w:t>
            </w:r>
            <w:r>
              <w:rPr>
                <w:rFonts w:hint="eastAsia"/>
                <w:color w:val="auto"/>
                <w:sz w:val="24"/>
                <w:lang w:eastAsia="zh-CN"/>
              </w:rPr>
              <w:t>云南常青树化工有限公司</w:t>
            </w:r>
            <w:r>
              <w:rPr>
                <w:color w:val="auto"/>
                <w:sz w:val="24"/>
              </w:rPr>
              <w:t>厂界</w:t>
            </w:r>
            <w:r>
              <w:rPr>
                <w:rFonts w:hint="eastAsia"/>
                <w:color w:val="auto"/>
                <w:sz w:val="24"/>
                <w:lang w:val="en-US" w:eastAsia="zh-CN"/>
              </w:rPr>
              <w:t>130</w:t>
            </w:r>
            <w:r>
              <w:rPr>
                <w:rFonts w:hint="eastAsia"/>
                <w:color w:val="auto"/>
                <w:sz w:val="24"/>
              </w:rPr>
              <w:t>m，</w:t>
            </w:r>
            <w:r>
              <w:rPr>
                <w:color w:val="auto"/>
                <w:sz w:val="24"/>
              </w:rPr>
              <w:t>约有</w:t>
            </w:r>
            <w:r>
              <w:rPr>
                <w:rFonts w:hint="eastAsia"/>
                <w:color w:val="auto"/>
                <w:sz w:val="24"/>
                <w:lang w:val="en-US" w:eastAsia="zh-CN"/>
              </w:rPr>
              <w:t>350</w:t>
            </w:r>
            <w:r>
              <w:rPr>
                <w:rFonts w:hint="eastAsia"/>
                <w:color w:val="auto"/>
                <w:sz w:val="24"/>
              </w:rPr>
              <w:t>人。施工期间，运输车辆在进出项目时，将会引起一定的扬尘污染，其中大部分扬尘颗粒较大，主要影响近距离范围。对于施工期所产生的扬尘废气，项目将严格按照《防治城市扬尘污染技术规范》（</w:t>
            </w:r>
            <w:r>
              <w:rPr>
                <w:color w:val="auto"/>
                <w:sz w:val="24"/>
              </w:rPr>
              <w:t>HJ/T393-2007</w:t>
            </w:r>
            <w:r>
              <w:rPr>
                <w:rFonts w:hint="eastAsia"/>
                <w:color w:val="auto"/>
                <w:sz w:val="24"/>
              </w:rPr>
              <w:t>）及《环境空气细颗粒物污染防治技术政策》（环保部公告</w:t>
            </w:r>
            <w:r>
              <w:rPr>
                <w:color w:val="auto"/>
                <w:sz w:val="24"/>
              </w:rPr>
              <w:t>2013</w:t>
            </w:r>
            <w:r>
              <w:rPr>
                <w:rFonts w:hint="eastAsia"/>
                <w:color w:val="auto"/>
                <w:sz w:val="24"/>
              </w:rPr>
              <w:t>年</w:t>
            </w:r>
            <w:r>
              <w:rPr>
                <w:color w:val="auto"/>
                <w:sz w:val="24"/>
              </w:rPr>
              <w:t>59</w:t>
            </w:r>
            <w:r>
              <w:rPr>
                <w:rFonts w:hint="eastAsia"/>
                <w:color w:val="auto"/>
                <w:sz w:val="24"/>
              </w:rPr>
              <w:t>号）等国家及地方要求采取相应的处理措施：</w:t>
            </w:r>
          </w:p>
          <w:p w14:paraId="2388E57F">
            <w:pPr>
              <w:spacing w:line="360" w:lineRule="auto"/>
              <w:ind w:firstLine="480" w:firstLineChars="200"/>
              <w:jc w:val="left"/>
              <w:rPr>
                <w:color w:val="auto"/>
                <w:sz w:val="24"/>
              </w:rPr>
            </w:pPr>
            <w:r>
              <w:rPr>
                <w:rFonts w:hint="eastAsia"/>
                <w:color w:val="auto"/>
                <w:sz w:val="24"/>
              </w:rPr>
              <w:t>①防尘污染重在加强管理，施工队伍现场作业必须明确环保责任，主管部门要加强管理和监理。安排员工定期对施工场地洒水以减少扬尘的飞扬；</w:t>
            </w:r>
          </w:p>
          <w:p w14:paraId="4D6AF4D0">
            <w:pPr>
              <w:spacing w:line="360" w:lineRule="auto"/>
              <w:ind w:firstLine="480" w:firstLineChars="200"/>
              <w:rPr>
                <w:color w:val="auto"/>
                <w:sz w:val="24"/>
              </w:rPr>
            </w:pPr>
            <w:r>
              <w:rPr>
                <w:rFonts w:hint="eastAsia"/>
                <w:color w:val="auto"/>
                <w:sz w:val="24"/>
              </w:rPr>
              <w:t>②</w:t>
            </w:r>
            <w:r>
              <w:rPr>
                <w:rFonts w:hint="eastAsia"/>
                <w:color w:val="auto"/>
                <w:sz w:val="24"/>
                <w:lang w:val="zh-CN"/>
              </w:rPr>
              <w:t>产生</w:t>
            </w:r>
            <w:r>
              <w:rPr>
                <w:color w:val="auto"/>
                <w:sz w:val="24"/>
                <w:lang w:val="zh-CN"/>
              </w:rPr>
              <w:t>的施工废弃物应及时清运，</w:t>
            </w:r>
            <w:r>
              <w:rPr>
                <w:rFonts w:hint="eastAsia"/>
                <w:color w:val="auto"/>
                <w:sz w:val="24"/>
              </w:rPr>
              <w:t>合理布设施工作业场地，作业场地按施工规划应设置在施工场地内，并尽量远离敏感保护目标；</w:t>
            </w:r>
          </w:p>
          <w:p w14:paraId="3E00E191">
            <w:pPr>
              <w:spacing w:line="360" w:lineRule="auto"/>
              <w:ind w:firstLine="480" w:firstLineChars="200"/>
              <w:rPr>
                <w:color w:val="auto"/>
                <w:sz w:val="24"/>
              </w:rPr>
            </w:pPr>
            <w:r>
              <w:rPr>
                <w:color w:val="auto"/>
                <w:sz w:val="24"/>
              </w:rPr>
              <w:fldChar w:fldCharType="begin"/>
            </w:r>
            <w:r>
              <w:rPr>
                <w:color w:val="auto"/>
                <w:sz w:val="24"/>
              </w:rPr>
              <w:instrText xml:space="preserve">= 3 \* GB3</w:instrText>
            </w:r>
            <w:r>
              <w:rPr>
                <w:color w:val="auto"/>
                <w:sz w:val="24"/>
              </w:rPr>
              <w:fldChar w:fldCharType="separate"/>
            </w:r>
            <w:r>
              <w:rPr>
                <w:rFonts w:hint="eastAsia"/>
                <w:color w:val="auto"/>
                <w:sz w:val="24"/>
              </w:rPr>
              <w:t>③</w:t>
            </w:r>
            <w:r>
              <w:rPr>
                <w:color w:val="auto"/>
                <w:sz w:val="24"/>
              </w:rPr>
              <w:fldChar w:fldCharType="end"/>
            </w:r>
            <w:r>
              <w:rPr>
                <w:rFonts w:hint="eastAsia"/>
                <w:color w:val="auto"/>
                <w:sz w:val="24"/>
              </w:rPr>
              <w:t>严格管理运输车辆，对运输车辆实行限速、限制超载，并采取篷布覆盖等措施；</w:t>
            </w:r>
          </w:p>
          <w:p w14:paraId="611F35BC">
            <w:pPr>
              <w:spacing w:line="360" w:lineRule="auto"/>
              <w:ind w:firstLine="480" w:firstLineChars="200"/>
              <w:rPr>
                <w:color w:val="auto"/>
                <w:sz w:val="24"/>
              </w:rPr>
            </w:pPr>
            <w:r>
              <w:rPr>
                <w:rFonts w:hint="eastAsia"/>
                <w:color w:val="auto"/>
                <w:sz w:val="24"/>
              </w:rPr>
              <w:t>④优化项目区运输道路，并定时对运输线路进行清扫、冲洗及洒水作业，以减少道路扬尘；</w:t>
            </w:r>
          </w:p>
          <w:p w14:paraId="03EBBEEE">
            <w:pPr>
              <w:spacing w:line="360" w:lineRule="auto"/>
              <w:ind w:firstLine="480" w:firstLineChars="200"/>
              <w:rPr>
                <w:color w:val="auto"/>
                <w:sz w:val="24"/>
              </w:rPr>
            </w:pPr>
            <w:r>
              <w:rPr>
                <w:rFonts w:hint="eastAsia"/>
                <w:color w:val="auto"/>
                <w:sz w:val="24"/>
              </w:rPr>
              <w:t>⑤施工期环保对策措施的执行与落实纳入施工监理专项工作，设专人负责施工期环保管理和对策措施执行情况及效果巡查，发现环境污染、投拆和纠纷等问题，要及时上报并妥善和合理解决。</w:t>
            </w:r>
          </w:p>
          <w:p w14:paraId="1EF60360">
            <w:pPr>
              <w:pStyle w:val="44"/>
              <w:adjustRightInd w:val="0"/>
              <w:snapToGrid w:val="0"/>
              <w:spacing w:after="0" w:line="360" w:lineRule="auto"/>
              <w:ind w:left="0" w:leftChars="0" w:firstLine="480"/>
              <w:rPr>
                <w:color w:val="auto"/>
                <w:sz w:val="24"/>
                <w:szCs w:val="24"/>
                <w:lang w:val="zh-CN"/>
              </w:rPr>
            </w:pPr>
            <w:r>
              <w:rPr>
                <w:color w:val="auto"/>
                <w:sz w:val="24"/>
              </w:rPr>
              <w:t>综上</w:t>
            </w:r>
            <w:r>
              <w:rPr>
                <w:rFonts w:hint="eastAsia"/>
                <w:color w:val="auto"/>
                <w:sz w:val="24"/>
              </w:rPr>
              <w:t>，</w:t>
            </w:r>
            <w:r>
              <w:rPr>
                <w:color w:val="auto"/>
                <w:sz w:val="24"/>
              </w:rPr>
              <w:t>建设单位</w:t>
            </w:r>
            <w:r>
              <w:rPr>
                <w:rFonts w:hint="eastAsia"/>
                <w:color w:val="auto"/>
                <w:sz w:val="24"/>
              </w:rPr>
              <w:t>通过采取合理有效的环保措施，可最大限度地减缓扬尘等大气污染物对周围环境敏感点及周围环境空气质量的污染影响，达到环境可接受要求。且</w:t>
            </w:r>
            <w:r>
              <w:rPr>
                <w:color w:val="auto"/>
                <w:sz w:val="24"/>
              </w:rPr>
              <w:t>项目工程量较小，施工期扬尘影响不大</w:t>
            </w:r>
            <w:r>
              <w:rPr>
                <w:rFonts w:ascii="Times New Roman" w:hAnsi="Times New Roman"/>
                <w:color w:val="auto"/>
                <w:sz w:val="24"/>
                <w:lang w:val="zh-CN"/>
              </w:rPr>
              <w:t>，且随施工期结束而结束。</w:t>
            </w:r>
            <w:r>
              <w:rPr>
                <w:rFonts w:hint="eastAsia" w:ascii="仿宋_GB2312"/>
                <w:color w:val="auto"/>
                <w:sz w:val="24"/>
                <w:szCs w:val="24"/>
              </w:rPr>
              <w:t>施工扬尘可达《大气污染物综</w:t>
            </w:r>
            <w:r>
              <w:rPr>
                <w:rFonts w:ascii="Times New Roman" w:hAnsi="Times New Roman"/>
                <w:color w:val="auto"/>
                <w:sz w:val="24"/>
                <w:szCs w:val="24"/>
              </w:rPr>
              <w:t>合排放标准》（GB16297-1996）中的无</w:t>
            </w:r>
            <w:r>
              <w:rPr>
                <w:rFonts w:hint="eastAsia" w:ascii="仿宋_GB2312"/>
                <w:color w:val="auto"/>
                <w:sz w:val="24"/>
                <w:szCs w:val="24"/>
              </w:rPr>
              <w:t>组织排放监控浓度限值要求。</w:t>
            </w:r>
          </w:p>
          <w:p w14:paraId="7BB634F8">
            <w:pPr>
              <w:spacing w:line="360" w:lineRule="auto"/>
              <w:ind w:firstLine="480" w:firstLineChars="200"/>
              <w:rPr>
                <w:color w:val="auto"/>
                <w:sz w:val="24"/>
              </w:rPr>
            </w:pPr>
            <w:r>
              <w:rPr>
                <w:rFonts w:hAnsi="宋体"/>
                <w:color w:val="auto"/>
                <w:sz w:val="24"/>
              </w:rPr>
              <w:t>（</w:t>
            </w:r>
            <w:r>
              <w:rPr>
                <w:color w:val="auto"/>
                <w:sz w:val="24"/>
              </w:rPr>
              <w:t>2</w:t>
            </w:r>
            <w:r>
              <w:rPr>
                <w:rFonts w:hAnsi="宋体"/>
                <w:color w:val="auto"/>
                <w:sz w:val="24"/>
              </w:rPr>
              <w:t>）施工机械、运输车辆产生的废气对环境的影响分析</w:t>
            </w:r>
          </w:p>
          <w:p w14:paraId="4196838A">
            <w:pPr>
              <w:tabs>
                <w:tab w:val="left" w:pos="720"/>
              </w:tabs>
              <w:spacing w:line="360" w:lineRule="auto"/>
              <w:ind w:firstLine="480" w:firstLineChars="200"/>
              <w:rPr>
                <w:color w:val="auto"/>
                <w:sz w:val="24"/>
              </w:rPr>
            </w:pPr>
            <w:r>
              <w:rPr>
                <w:color w:val="auto"/>
                <w:sz w:val="24"/>
                <w:lang w:val="zh-CN"/>
              </w:rPr>
              <w:t>施工机械废气集中产生于项目施工的初期阶段，</w:t>
            </w:r>
            <w:r>
              <w:rPr>
                <w:rFonts w:hAnsi="宋体"/>
                <w:color w:val="auto"/>
                <w:sz w:val="24"/>
              </w:rPr>
              <w:t>施工机械和运输车辆，使用燃油作为能源，在运行时排放的废气会对环境产生一定的影响。废气包括的污染物主要是</w:t>
            </w:r>
            <w:r>
              <w:rPr>
                <w:color w:val="auto"/>
                <w:sz w:val="24"/>
                <w:lang w:val="en-GB"/>
              </w:rPr>
              <w:t>NO</w:t>
            </w:r>
            <w:r>
              <w:rPr>
                <w:color w:val="auto"/>
                <w:sz w:val="24"/>
                <w:vertAlign w:val="subscript"/>
                <w:lang w:val="en-GB"/>
              </w:rPr>
              <w:t>X</w:t>
            </w:r>
            <w:r>
              <w:rPr>
                <w:rFonts w:hAnsi="宋体"/>
                <w:color w:val="auto"/>
                <w:sz w:val="24"/>
                <w:lang w:val="en-GB"/>
              </w:rPr>
              <w:t>、</w:t>
            </w:r>
            <w:r>
              <w:rPr>
                <w:color w:val="auto"/>
                <w:sz w:val="24"/>
                <w:lang w:val="en-GB"/>
              </w:rPr>
              <w:t>CO</w:t>
            </w:r>
            <w:r>
              <w:rPr>
                <w:rFonts w:hAnsi="宋体"/>
                <w:color w:val="auto"/>
                <w:sz w:val="24"/>
                <w:lang w:val="en-GB"/>
              </w:rPr>
              <w:t>、</w:t>
            </w:r>
            <w:r>
              <w:rPr>
                <w:bCs/>
                <w:color w:val="auto"/>
                <w:sz w:val="24"/>
              </w:rPr>
              <w:t>CH</w:t>
            </w:r>
            <w:r>
              <w:rPr>
                <w:bCs/>
                <w:color w:val="auto"/>
                <w:sz w:val="24"/>
                <w:vertAlign w:val="subscript"/>
              </w:rPr>
              <w:t>x</w:t>
            </w:r>
            <w:r>
              <w:rPr>
                <w:rFonts w:hAnsi="宋体"/>
                <w:color w:val="auto"/>
                <w:sz w:val="24"/>
              </w:rPr>
              <w:t>等，其产生量及废气中污染物浓度视其使用频率及发动机对燃料的燃烧情况而异。</w:t>
            </w:r>
          </w:p>
          <w:p w14:paraId="111B395A">
            <w:pPr>
              <w:adjustRightInd w:val="0"/>
              <w:snapToGrid w:val="0"/>
              <w:spacing w:line="360" w:lineRule="auto"/>
              <w:ind w:firstLine="480" w:firstLineChars="200"/>
              <w:rPr>
                <w:rFonts w:hAnsi="宋体"/>
                <w:color w:val="auto"/>
                <w:sz w:val="24"/>
              </w:rPr>
            </w:pPr>
            <w:r>
              <w:rPr>
                <w:rFonts w:hAnsi="宋体"/>
                <w:color w:val="auto"/>
                <w:sz w:val="24"/>
              </w:rPr>
              <w:t>由于施工机械废气属低架点源无组织排放性质，具有间断性产生、产生量较小、产生点相对分散、易被稀释扩散等特点，加之项目区施工范围相对较大，施工场地周围较空旷，大气扩散条件相对较好，故一般情况下，施工机械和运输车辆所产生污染在空气中经自然扩散和稀释后，对评价区域的空气环境质量影响不大。</w:t>
            </w:r>
          </w:p>
          <w:p w14:paraId="164112D0">
            <w:pPr>
              <w:adjustRightInd w:val="0"/>
              <w:snapToGrid w:val="0"/>
              <w:spacing w:line="360" w:lineRule="auto"/>
              <w:ind w:firstLine="480" w:firstLineChars="200"/>
              <w:rPr>
                <w:color w:val="auto"/>
                <w:sz w:val="24"/>
              </w:rPr>
            </w:pPr>
            <w:r>
              <w:rPr>
                <w:color w:val="auto"/>
                <w:sz w:val="24"/>
              </w:rPr>
              <w:t>为尽量降低施工机械尾气产生的影响，评价要求采取以下措施：</w:t>
            </w:r>
          </w:p>
          <w:p w14:paraId="429192C1">
            <w:pPr>
              <w:adjustRightInd w:val="0"/>
              <w:snapToGrid w:val="0"/>
              <w:spacing w:line="360" w:lineRule="auto"/>
              <w:ind w:firstLine="480" w:firstLineChars="200"/>
              <w:rPr>
                <w:color w:val="auto"/>
                <w:sz w:val="24"/>
              </w:rPr>
            </w:pPr>
            <w:r>
              <w:rPr>
                <w:rFonts w:hint="eastAsia"/>
                <w:color w:val="auto"/>
                <w:sz w:val="24"/>
              </w:rPr>
              <w:t>①</w:t>
            </w:r>
            <w:r>
              <w:rPr>
                <w:color w:val="auto"/>
                <w:sz w:val="24"/>
              </w:rPr>
              <w:t>通过加强对施工车辆的检修和维护，严禁使用超期服役和尾气超标的车辆。</w:t>
            </w:r>
          </w:p>
          <w:p w14:paraId="133BFFBF">
            <w:pPr>
              <w:adjustRightInd w:val="0"/>
              <w:snapToGrid w:val="0"/>
              <w:spacing w:line="360" w:lineRule="auto"/>
              <w:ind w:firstLine="480" w:firstLineChars="200"/>
              <w:rPr>
                <w:color w:val="auto"/>
                <w:sz w:val="24"/>
              </w:rPr>
            </w:pPr>
            <w:r>
              <w:rPr>
                <w:rFonts w:hint="eastAsia"/>
                <w:color w:val="auto"/>
                <w:sz w:val="24"/>
              </w:rPr>
              <w:t>②</w:t>
            </w:r>
            <w:r>
              <w:rPr>
                <w:color w:val="auto"/>
                <w:sz w:val="24"/>
              </w:rPr>
              <w:t>对施工期间进出施工现场车流量进行合理安排，防止施工现场车流量过大。</w:t>
            </w:r>
          </w:p>
          <w:p w14:paraId="4815C463">
            <w:pPr>
              <w:tabs>
                <w:tab w:val="left" w:pos="720"/>
              </w:tabs>
              <w:spacing w:line="360" w:lineRule="auto"/>
              <w:ind w:firstLine="511" w:firstLineChars="213"/>
              <w:rPr>
                <w:color w:val="auto"/>
                <w:sz w:val="24"/>
              </w:rPr>
            </w:pPr>
            <w:r>
              <w:rPr>
                <w:rFonts w:hint="eastAsia"/>
                <w:color w:val="auto"/>
                <w:sz w:val="24"/>
              </w:rPr>
              <w:t>③</w:t>
            </w:r>
            <w:r>
              <w:rPr>
                <w:color w:val="auto"/>
                <w:sz w:val="24"/>
              </w:rPr>
              <w:t>尽可</w:t>
            </w:r>
            <w:r>
              <w:rPr>
                <w:color w:val="auto"/>
                <w:sz w:val="24"/>
                <w:lang w:val="zh-CN"/>
              </w:rPr>
              <w:t>能使用耗油低，排气小的施工车辆，选用优质燃油，减少机械和车辆的有害废气排放。</w:t>
            </w:r>
          </w:p>
          <w:p w14:paraId="4C6B01AD">
            <w:pPr>
              <w:adjustRightInd w:val="0"/>
              <w:snapToGrid w:val="0"/>
              <w:spacing w:line="360" w:lineRule="auto"/>
              <w:ind w:firstLine="480" w:firstLineChars="200"/>
              <w:rPr>
                <w:rFonts w:hAnsi="宋体"/>
                <w:color w:val="auto"/>
                <w:sz w:val="24"/>
                <w:szCs w:val="22"/>
              </w:rPr>
            </w:pPr>
            <w:r>
              <w:rPr>
                <w:rFonts w:hAnsi="宋体"/>
                <w:color w:val="auto"/>
                <w:sz w:val="24"/>
              </w:rPr>
              <w:t>综上所述，</w:t>
            </w:r>
            <w:r>
              <w:rPr>
                <w:rFonts w:hAnsi="宋体"/>
                <w:color w:val="auto"/>
                <w:sz w:val="24"/>
                <w:szCs w:val="22"/>
              </w:rPr>
              <w:t>施工期扬尘、施工机械及汽车尾气对环境空气的影响都属短期的、非连续性的影响。通过合理安排施工进度，缩短基础建设持续时间，采取一定防治措施后，可有效减轻施工期对周围环境空气的不利影响。</w:t>
            </w:r>
          </w:p>
          <w:p w14:paraId="493C5620">
            <w:pPr>
              <w:spacing w:line="360" w:lineRule="auto"/>
              <w:ind w:firstLine="562" w:firstLineChars="200"/>
              <w:rPr>
                <w:b/>
                <w:color w:val="auto"/>
                <w:sz w:val="28"/>
                <w:szCs w:val="28"/>
              </w:rPr>
            </w:pPr>
            <w:r>
              <w:rPr>
                <w:b/>
                <w:color w:val="auto"/>
                <w:sz w:val="28"/>
                <w:szCs w:val="28"/>
              </w:rPr>
              <w:t>2</w:t>
            </w:r>
            <w:r>
              <w:rPr>
                <w:rFonts w:hAnsi="宋体"/>
                <w:b/>
                <w:color w:val="auto"/>
                <w:sz w:val="28"/>
                <w:szCs w:val="28"/>
              </w:rPr>
              <w:t>、噪声影响</w:t>
            </w:r>
            <w:r>
              <w:rPr>
                <w:rFonts w:hint="eastAsia" w:hAnsi="宋体"/>
                <w:b/>
                <w:color w:val="auto"/>
                <w:sz w:val="28"/>
                <w:szCs w:val="28"/>
              </w:rPr>
              <w:t>和</w:t>
            </w:r>
            <w:r>
              <w:rPr>
                <w:rFonts w:hAnsi="宋体"/>
                <w:b/>
                <w:color w:val="auto"/>
                <w:sz w:val="28"/>
                <w:szCs w:val="28"/>
              </w:rPr>
              <w:t>保护措施</w:t>
            </w:r>
          </w:p>
          <w:p w14:paraId="50894ADC">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施工期噪声主要来源于施工机械作业噪声和施工车辆噪声，</w:t>
            </w:r>
            <w:r>
              <w:rPr>
                <w:rFonts w:hint="eastAsia"/>
                <w:color w:val="auto"/>
                <w:sz w:val="24"/>
              </w:rPr>
              <w:t>根据现场踏勘，本项目周边</w:t>
            </w:r>
            <w:r>
              <w:rPr>
                <w:rFonts w:hint="eastAsia" w:ascii="Times New Roman" w:hAnsi="Times New Roman" w:eastAsia="宋体" w:cs="Times New Roman"/>
                <w:color w:val="auto"/>
                <w:sz w:val="24"/>
              </w:rPr>
              <w:t>周边50m范围内无声环境敏感目标</w:t>
            </w:r>
            <w:r>
              <w:rPr>
                <w:rFonts w:hint="eastAsia" w:ascii="Times New Roman" w:hAnsi="Times New Roman" w:eastAsia="宋体" w:cs="Times New Roman"/>
                <w:color w:val="auto"/>
                <w:sz w:val="24"/>
                <w:lang w:val="en-US" w:eastAsia="zh-CN"/>
              </w:rPr>
              <w:t>。为减缓施工噪声的影响，本环评提出如下措施：</w:t>
            </w:r>
          </w:p>
          <w:p w14:paraId="0FADF4C5">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①</w:t>
            </w:r>
            <w:r>
              <w:rPr>
                <w:rFonts w:ascii="Times New Roman" w:hAnsi="Times New Roman" w:eastAsia="宋体" w:cs="Times New Roman"/>
                <w:color w:val="auto"/>
                <w:sz w:val="24"/>
              </w:rPr>
              <w:t>合理安排施工机械布置和高噪声机械设备使用时间，错峰使用；</w:t>
            </w:r>
          </w:p>
          <w:p w14:paraId="20DD6B2C">
            <w:pPr>
              <w:spacing w:line="360" w:lineRule="auto"/>
              <w:ind w:firstLine="480" w:firstLineChars="200"/>
              <w:rPr>
                <w:color w:val="auto"/>
              </w:rPr>
            </w:pPr>
            <w:r>
              <w:rPr>
                <w:rFonts w:hint="eastAsia" w:ascii="Times New Roman" w:hAnsi="Times New Roman" w:eastAsia="宋体" w:cs="Times New Roman"/>
                <w:color w:val="auto"/>
                <w:sz w:val="24"/>
              </w:rPr>
              <w:t>②</w:t>
            </w:r>
            <w:r>
              <w:rPr>
                <w:rFonts w:hint="eastAsia" w:ascii="Times New Roman" w:hAnsi="Times New Roman" w:eastAsia="宋体" w:cs="Times New Roman"/>
                <w:color w:val="auto"/>
                <w:sz w:val="24"/>
                <w:lang w:val="en-US" w:eastAsia="zh-CN"/>
              </w:rPr>
              <w:t>严禁</w:t>
            </w:r>
            <w:r>
              <w:rPr>
                <w:rFonts w:hint="eastAsia" w:ascii="宋体" w:hAnsi="宋体" w:eastAsia="宋体" w:cs="宋体"/>
                <w:color w:val="auto"/>
                <w:kern w:val="0"/>
                <w:sz w:val="24"/>
                <w:szCs w:val="24"/>
                <w:lang w:val="en-US" w:eastAsia="zh-CN" w:bidi="ar"/>
              </w:rPr>
              <w:t>夜间施工，若必须进行夜间作业，需按要求提前向主管部门申请，并在将施工信息告知周边住户及单位；</w:t>
            </w:r>
          </w:p>
          <w:p w14:paraId="3726DBA5">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③</w:t>
            </w:r>
            <w:r>
              <w:rPr>
                <w:rFonts w:ascii="Times New Roman" w:hAnsi="Times New Roman" w:eastAsia="宋体" w:cs="Times New Roman"/>
                <w:color w:val="auto"/>
                <w:sz w:val="24"/>
              </w:rPr>
              <w:t>对于电焊</w:t>
            </w:r>
            <w:r>
              <w:rPr>
                <w:rFonts w:hint="eastAsia" w:ascii="Times New Roman" w:hAnsi="Times New Roman" w:eastAsia="宋体" w:cs="Times New Roman"/>
                <w:color w:val="auto"/>
                <w:sz w:val="24"/>
                <w:lang w:val="en-US" w:eastAsia="zh-CN"/>
              </w:rPr>
              <w:t>机</w:t>
            </w:r>
            <w:r>
              <w:rPr>
                <w:rFonts w:ascii="Times New Roman" w:hAnsi="Times New Roman" w:eastAsia="宋体" w:cs="Times New Roman"/>
                <w:color w:val="auto"/>
                <w:sz w:val="24"/>
              </w:rPr>
              <w:t>、电锯等高噪声设备在使用时安装减震垫；</w:t>
            </w:r>
          </w:p>
          <w:p w14:paraId="7BF1D4D0">
            <w:pPr>
              <w:spacing w:line="360" w:lineRule="auto"/>
              <w:ind w:firstLine="480" w:firstLineChars="200"/>
              <w:rPr>
                <w:rFonts w:ascii="Times New Roman" w:hAnsi="Times New Roman" w:eastAsia="宋体" w:cs="Times New Roman"/>
                <w:color w:val="auto"/>
                <w:sz w:val="24"/>
              </w:rPr>
            </w:pPr>
            <w:r>
              <w:rPr>
                <w:rFonts w:hint="eastAsia" w:ascii="宋体" w:hAnsi="宋体" w:eastAsia="宋体" w:cs="宋体"/>
                <w:color w:val="auto"/>
                <w:sz w:val="24"/>
              </w:rPr>
              <w:t>④</w:t>
            </w:r>
            <w:r>
              <w:rPr>
                <w:color w:val="auto"/>
                <w:sz w:val="24"/>
              </w:rPr>
              <w:t>建设管理部门应加强对施工场地的噪声管理，施工企业也应对施工噪声进行自律，文明施工，施工期间组织好区内交通，施工场地的施工车辆出入现场时应低速、禁鸣，设立专职人员负责该工作。</w:t>
            </w:r>
          </w:p>
          <w:p w14:paraId="38DD3DB8">
            <w:pPr>
              <w:spacing w:line="360" w:lineRule="auto"/>
              <w:ind w:firstLine="480" w:firstLineChars="200"/>
              <w:rPr>
                <w:color w:val="auto"/>
                <w:sz w:val="24"/>
              </w:rPr>
            </w:pPr>
            <w:r>
              <w:rPr>
                <w:rFonts w:hAnsi="宋体"/>
                <w:color w:val="auto"/>
                <w:kern w:val="0"/>
                <w:sz w:val="24"/>
                <w:szCs w:val="22"/>
              </w:rPr>
              <w:t>项目施工期结束后相应的噪声污染即随之消失，不会对周围声环境产生长期不良的影响。</w:t>
            </w:r>
          </w:p>
          <w:p w14:paraId="5E41C154">
            <w:pPr>
              <w:spacing w:line="360" w:lineRule="auto"/>
              <w:ind w:firstLine="480"/>
              <w:rPr>
                <w:b/>
                <w:color w:val="auto"/>
                <w:sz w:val="28"/>
                <w:szCs w:val="28"/>
              </w:rPr>
            </w:pPr>
            <w:r>
              <w:rPr>
                <w:b/>
                <w:color w:val="auto"/>
                <w:sz w:val="28"/>
                <w:szCs w:val="28"/>
              </w:rPr>
              <w:t>3</w:t>
            </w:r>
            <w:r>
              <w:rPr>
                <w:rFonts w:hAnsi="宋体"/>
                <w:b/>
                <w:color w:val="auto"/>
                <w:sz w:val="28"/>
                <w:szCs w:val="28"/>
              </w:rPr>
              <w:t>、废水影响</w:t>
            </w:r>
            <w:r>
              <w:rPr>
                <w:rFonts w:hint="eastAsia" w:hAnsi="宋体"/>
                <w:b/>
                <w:color w:val="auto"/>
                <w:sz w:val="28"/>
                <w:szCs w:val="28"/>
              </w:rPr>
              <w:t>和</w:t>
            </w:r>
            <w:r>
              <w:rPr>
                <w:rFonts w:hAnsi="宋体"/>
                <w:b/>
                <w:color w:val="auto"/>
                <w:sz w:val="28"/>
                <w:szCs w:val="28"/>
              </w:rPr>
              <w:t>保护措施</w:t>
            </w:r>
          </w:p>
          <w:p w14:paraId="31B759AF">
            <w:pPr>
              <w:adjustRightInd w:val="0"/>
              <w:snapToGrid w:val="0"/>
              <w:spacing w:line="360" w:lineRule="auto"/>
              <w:ind w:firstLine="480" w:firstLineChars="200"/>
              <w:rPr>
                <w:color w:val="auto"/>
                <w:sz w:val="24"/>
              </w:rPr>
            </w:pPr>
            <w:r>
              <w:rPr>
                <w:rFonts w:hint="eastAsia"/>
                <w:color w:val="auto"/>
                <w:kern w:val="18"/>
                <w:sz w:val="24"/>
                <w:lang w:val="zh-CN"/>
              </w:rPr>
              <w:t>项目施工废水主要来源于施工人员产生的生活污水。</w:t>
            </w:r>
          </w:p>
          <w:p w14:paraId="7B73E557">
            <w:pPr>
              <w:spacing w:line="360" w:lineRule="auto"/>
              <w:ind w:firstLine="480" w:firstLineChars="200"/>
              <w:rPr>
                <w:color w:val="auto"/>
                <w:kern w:val="18"/>
                <w:sz w:val="24"/>
              </w:rPr>
            </w:pPr>
            <w:r>
              <w:rPr>
                <w:rFonts w:hint="eastAsia"/>
                <w:color w:val="auto"/>
                <w:sz w:val="24"/>
                <w:lang w:val="en-US" w:eastAsia="zh-CN"/>
              </w:rPr>
              <w:t>项目</w:t>
            </w:r>
            <w:r>
              <w:rPr>
                <w:color w:val="auto"/>
                <w:sz w:val="24"/>
              </w:rPr>
              <w:t>施工人员</w:t>
            </w:r>
            <w:r>
              <w:rPr>
                <w:rFonts w:hint="eastAsia"/>
                <w:color w:val="auto"/>
                <w:sz w:val="24"/>
                <w:lang w:val="en-US" w:eastAsia="zh-CN"/>
              </w:rPr>
              <w:t>约3人，均</w:t>
            </w:r>
            <w:r>
              <w:rPr>
                <w:color w:val="auto"/>
                <w:sz w:val="24"/>
              </w:rPr>
              <w:t>不在项目区食宿，生活废水主要为施工人员</w:t>
            </w:r>
            <w:r>
              <w:rPr>
                <w:rFonts w:hint="eastAsia" w:hAnsi="宋体"/>
                <w:color w:val="auto"/>
                <w:sz w:val="24"/>
              </w:rPr>
              <w:t>清洁废水和</w:t>
            </w:r>
            <w:r>
              <w:rPr>
                <w:color w:val="auto"/>
                <w:sz w:val="24"/>
              </w:rPr>
              <w:t>入厕废水，主要污染物为SS。</w:t>
            </w:r>
            <w:r>
              <w:rPr>
                <w:rFonts w:hint="eastAsia"/>
                <w:color w:val="auto"/>
                <w:kern w:val="18"/>
                <w:sz w:val="24"/>
              </w:rPr>
              <w:t>产生的生活废水依托</w:t>
            </w:r>
            <w:r>
              <w:rPr>
                <w:rFonts w:hint="eastAsia"/>
                <w:color w:val="auto"/>
                <w:kern w:val="18"/>
                <w:sz w:val="24"/>
                <w:lang w:eastAsia="zh-CN"/>
              </w:rPr>
              <w:t>云南常青树化工有限公司</w:t>
            </w:r>
            <w:r>
              <w:rPr>
                <w:color w:val="auto"/>
                <w:sz w:val="24"/>
              </w:rPr>
              <w:t>现有</w:t>
            </w:r>
            <w:r>
              <w:rPr>
                <w:rFonts w:hint="eastAsia"/>
                <w:color w:val="auto"/>
                <w:sz w:val="24"/>
                <w:lang w:val="en-US" w:eastAsia="zh-CN"/>
              </w:rPr>
              <w:t>处理设施处理后回用</w:t>
            </w:r>
            <w:r>
              <w:rPr>
                <w:rFonts w:hint="eastAsia"/>
                <w:color w:val="auto"/>
                <w:sz w:val="24"/>
                <w:szCs w:val="24"/>
                <w:highlight w:val="none"/>
                <w:lang w:val="en-US" w:eastAsia="zh-CN" w:bidi="ar"/>
              </w:rPr>
              <w:t>，不外排</w:t>
            </w:r>
            <w:r>
              <w:rPr>
                <w:rFonts w:hint="eastAsia"/>
                <w:color w:val="auto"/>
                <w:kern w:val="18"/>
                <w:sz w:val="24"/>
                <w:szCs w:val="24"/>
              </w:rPr>
              <w:t>。</w:t>
            </w:r>
          </w:p>
          <w:p w14:paraId="5985ED16">
            <w:pPr>
              <w:adjustRightInd w:val="0"/>
              <w:snapToGrid w:val="0"/>
              <w:spacing w:line="360" w:lineRule="auto"/>
              <w:ind w:firstLine="480" w:firstLineChars="200"/>
              <w:rPr>
                <w:color w:val="auto"/>
                <w:sz w:val="24"/>
              </w:rPr>
            </w:pPr>
            <w:r>
              <w:rPr>
                <w:rFonts w:ascii="Times New Roman" w:hAnsi="Times New Roman" w:eastAsia="宋体" w:cs="Times New Roman"/>
                <w:color w:val="auto"/>
                <w:sz w:val="24"/>
                <w:szCs w:val="22"/>
              </w:rPr>
              <w:t>总之，本项目施工期的生活污水能得到妥善处理，对地表水环影响轻微</w:t>
            </w:r>
            <w:r>
              <w:rPr>
                <w:rFonts w:hint="eastAsia" w:ascii="Times New Roman" w:hAnsi="Times New Roman" w:eastAsia="宋体" w:cs="Times New Roman"/>
                <w:color w:val="auto"/>
                <w:sz w:val="24"/>
                <w:szCs w:val="22"/>
                <w:lang w:eastAsia="zh-CN"/>
              </w:rPr>
              <w:t>；</w:t>
            </w:r>
            <w:r>
              <w:rPr>
                <w:rFonts w:ascii="Times New Roman" w:hAnsi="Times New Roman" w:eastAsia="宋体" w:cs="Times New Roman"/>
                <w:color w:val="auto"/>
                <w:sz w:val="24"/>
                <w:szCs w:val="22"/>
              </w:rPr>
              <w:t>在采取以上措施后，项目施工期废水对周围环境影响不大。</w:t>
            </w:r>
          </w:p>
          <w:p w14:paraId="483E15D5">
            <w:pPr>
              <w:spacing w:line="360" w:lineRule="auto"/>
              <w:ind w:firstLine="562" w:firstLineChars="200"/>
              <w:rPr>
                <w:b/>
                <w:color w:val="auto"/>
                <w:sz w:val="28"/>
                <w:szCs w:val="28"/>
              </w:rPr>
            </w:pPr>
            <w:r>
              <w:rPr>
                <w:b/>
                <w:color w:val="auto"/>
                <w:sz w:val="28"/>
                <w:szCs w:val="28"/>
              </w:rPr>
              <w:t>4</w:t>
            </w:r>
            <w:r>
              <w:rPr>
                <w:rFonts w:hAnsi="宋体"/>
                <w:b/>
                <w:color w:val="auto"/>
                <w:sz w:val="28"/>
                <w:szCs w:val="28"/>
              </w:rPr>
              <w:t>、固体废弃物影响</w:t>
            </w:r>
            <w:r>
              <w:rPr>
                <w:rFonts w:hint="eastAsia" w:hAnsi="宋体"/>
                <w:b/>
                <w:color w:val="auto"/>
                <w:sz w:val="28"/>
                <w:szCs w:val="28"/>
              </w:rPr>
              <w:t>和</w:t>
            </w:r>
            <w:r>
              <w:rPr>
                <w:rFonts w:hAnsi="宋体"/>
                <w:b/>
                <w:color w:val="auto"/>
                <w:sz w:val="28"/>
                <w:szCs w:val="28"/>
              </w:rPr>
              <w:t>保护措施</w:t>
            </w:r>
          </w:p>
          <w:p w14:paraId="07BEE696">
            <w:pPr>
              <w:adjustRightInd w:val="0"/>
              <w:snapToGrid w:val="0"/>
              <w:spacing w:line="360" w:lineRule="auto"/>
              <w:ind w:firstLine="480" w:firstLineChars="200"/>
              <w:rPr>
                <w:color w:val="auto"/>
                <w:sz w:val="24"/>
              </w:rPr>
            </w:pPr>
            <w:r>
              <w:rPr>
                <w:color w:val="auto"/>
                <w:sz w:val="24"/>
              </w:rPr>
              <w:t>施工期的固体废物主要有</w:t>
            </w:r>
            <w:r>
              <w:rPr>
                <w:rFonts w:hint="eastAsia"/>
                <w:color w:val="auto"/>
                <w:sz w:val="24"/>
              </w:rPr>
              <w:t>包装废料</w:t>
            </w:r>
            <w:r>
              <w:rPr>
                <w:color w:val="auto"/>
                <w:sz w:val="24"/>
              </w:rPr>
              <w:t>、及生活垃圾。</w:t>
            </w:r>
          </w:p>
          <w:p w14:paraId="57C5BF63">
            <w:pPr>
              <w:adjustRightInd w:val="0"/>
              <w:snapToGrid w:val="0"/>
              <w:spacing w:line="360" w:lineRule="auto"/>
              <w:ind w:firstLine="480" w:firstLineChars="200"/>
              <w:rPr>
                <w:color w:val="auto"/>
                <w:sz w:val="24"/>
              </w:rPr>
            </w:pPr>
            <w:r>
              <w:rPr>
                <w:color w:val="auto"/>
                <w:sz w:val="24"/>
              </w:rPr>
              <w:t>（</w:t>
            </w:r>
            <w:r>
              <w:rPr>
                <w:rFonts w:hint="eastAsia"/>
                <w:color w:val="auto"/>
                <w:sz w:val="24"/>
                <w:lang w:val="en-US" w:eastAsia="zh-CN"/>
              </w:rPr>
              <w:t>1</w:t>
            </w:r>
            <w:r>
              <w:rPr>
                <w:color w:val="auto"/>
                <w:sz w:val="24"/>
              </w:rPr>
              <w:t>）施工期的</w:t>
            </w:r>
            <w:r>
              <w:rPr>
                <w:rFonts w:hint="eastAsia"/>
                <w:color w:val="auto"/>
                <w:sz w:val="24"/>
              </w:rPr>
              <w:t>包装废料</w:t>
            </w:r>
          </w:p>
          <w:p w14:paraId="764A34FA">
            <w:pPr>
              <w:pStyle w:val="44"/>
              <w:adjustRightInd w:val="0"/>
              <w:snapToGrid w:val="0"/>
              <w:spacing w:after="0" w:line="360" w:lineRule="auto"/>
              <w:ind w:left="0" w:leftChars="0" w:firstLine="480"/>
              <w:rPr>
                <w:color w:val="auto"/>
                <w:sz w:val="24"/>
              </w:rPr>
            </w:pPr>
            <w:r>
              <w:rPr>
                <w:color w:val="auto"/>
                <w:sz w:val="24"/>
              </w:rPr>
              <w:t>设备安装过程产生的包装废料，主要有各种设备的包装箱、包装袋、各种废钢配件和金属管线废料等，产生的</w:t>
            </w:r>
            <w:r>
              <w:rPr>
                <w:rFonts w:hint="eastAsia"/>
                <w:color w:val="auto"/>
                <w:sz w:val="24"/>
              </w:rPr>
              <w:t>包装废料</w:t>
            </w:r>
            <w:r>
              <w:rPr>
                <w:color w:val="auto"/>
                <w:sz w:val="24"/>
              </w:rPr>
              <w:t>应进行充分回收利用，不能利用的部分应给予收集，由建设单位运往当地管理部门指定地点进行妥善处置，不能随意丢弃。</w:t>
            </w:r>
          </w:p>
          <w:p w14:paraId="755CE89B">
            <w:pPr>
              <w:adjustRightInd w:val="0"/>
              <w:snapToGrid w:val="0"/>
              <w:spacing w:line="360" w:lineRule="auto"/>
              <w:ind w:firstLine="480" w:firstLineChars="200"/>
              <w:rPr>
                <w:color w:val="auto"/>
                <w:sz w:val="24"/>
              </w:rPr>
            </w:pPr>
            <w:r>
              <w:rPr>
                <w:color w:val="auto"/>
                <w:sz w:val="24"/>
              </w:rPr>
              <w:t>（</w:t>
            </w:r>
            <w:r>
              <w:rPr>
                <w:rFonts w:hint="eastAsia"/>
                <w:color w:val="auto"/>
                <w:sz w:val="24"/>
                <w:lang w:val="en-US" w:eastAsia="zh-CN"/>
              </w:rPr>
              <w:t>2</w:t>
            </w:r>
            <w:r>
              <w:rPr>
                <w:color w:val="auto"/>
                <w:sz w:val="24"/>
              </w:rPr>
              <w:t>）施工人员的</w:t>
            </w:r>
            <w:r>
              <w:rPr>
                <w:rFonts w:hint="eastAsia"/>
                <w:color w:val="auto"/>
                <w:sz w:val="24"/>
              </w:rPr>
              <w:t>生活垃圾</w:t>
            </w:r>
          </w:p>
          <w:p w14:paraId="7CEAD70D">
            <w:pPr>
              <w:adjustRightInd w:val="0"/>
              <w:snapToGrid w:val="0"/>
              <w:spacing w:line="360" w:lineRule="auto"/>
              <w:ind w:firstLine="480" w:firstLineChars="200"/>
              <w:rPr>
                <w:color w:val="auto"/>
                <w:sz w:val="24"/>
              </w:rPr>
            </w:pPr>
            <w:r>
              <w:rPr>
                <w:color w:val="auto"/>
                <w:sz w:val="24"/>
              </w:rPr>
              <w:t>项目施工期施工人员</w:t>
            </w:r>
            <w:r>
              <w:rPr>
                <w:rFonts w:hint="eastAsia"/>
                <w:color w:val="auto"/>
                <w:sz w:val="24"/>
                <w:lang w:val="en-US" w:eastAsia="zh-CN"/>
              </w:rPr>
              <w:t>3</w:t>
            </w:r>
            <w:r>
              <w:rPr>
                <w:color w:val="auto"/>
                <w:sz w:val="24"/>
              </w:rPr>
              <w:t>人，施工人员不在项目区食宿，每人每天生活垃圾产生量按</w:t>
            </w:r>
            <w:r>
              <w:rPr>
                <w:rFonts w:hAnsi="宋体"/>
                <w:color w:val="auto"/>
                <w:sz w:val="24"/>
              </w:rPr>
              <w:t>0.5kg/d·人计</w:t>
            </w:r>
            <w:r>
              <w:rPr>
                <w:color w:val="auto"/>
                <w:sz w:val="24"/>
              </w:rPr>
              <w:t>，则施工期生活垃圾产生量为</w:t>
            </w:r>
            <w:r>
              <w:rPr>
                <w:rFonts w:hint="eastAsia"/>
                <w:color w:val="auto"/>
                <w:sz w:val="24"/>
                <w:lang w:val="en-US" w:eastAsia="zh-CN"/>
              </w:rPr>
              <w:t>1.5</w:t>
            </w:r>
            <w:r>
              <w:rPr>
                <w:color w:val="auto"/>
                <w:sz w:val="24"/>
              </w:rPr>
              <w:t>kg/d。施工人员生活垃圾统一集中收集后，委托当地环卫部门定期清运处置。</w:t>
            </w:r>
          </w:p>
          <w:p w14:paraId="39CAE3B8">
            <w:pPr>
              <w:spacing w:line="360" w:lineRule="auto"/>
              <w:ind w:firstLine="480" w:firstLineChars="200"/>
              <w:rPr>
                <w:color w:val="auto"/>
              </w:rPr>
            </w:pPr>
            <w:r>
              <w:rPr>
                <w:rFonts w:hAnsi="宋体"/>
                <w:color w:val="auto"/>
                <w:sz w:val="24"/>
              </w:rPr>
              <w:t>综上所述，</w:t>
            </w:r>
            <w:r>
              <w:rPr>
                <w:rFonts w:hAnsi="宋体"/>
                <w:color w:val="auto"/>
                <w:kern w:val="18"/>
                <w:sz w:val="24"/>
              </w:rPr>
              <w:t>本项目施工期产生的固体废弃物在采取相应防治措施后，</w:t>
            </w:r>
            <w:r>
              <w:rPr>
                <w:color w:val="auto"/>
                <w:sz w:val="24"/>
              </w:rPr>
              <w:t>项目施工期固废处置率为100%，对周围环境的影响很小</w:t>
            </w:r>
            <w:r>
              <w:rPr>
                <w:rFonts w:hAnsi="宋体"/>
                <w:color w:val="auto"/>
                <w:kern w:val="18"/>
                <w:sz w:val="24"/>
              </w:rPr>
              <w:t>，且</w:t>
            </w:r>
            <w:r>
              <w:rPr>
                <w:rFonts w:hAnsi="宋体"/>
                <w:color w:val="auto"/>
                <w:sz w:val="24"/>
              </w:rPr>
              <w:t>施工结束后，施工固体废物影响即终止。</w:t>
            </w:r>
          </w:p>
        </w:tc>
      </w:tr>
      <w:tr w14:paraId="700770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8" w:type="dxa"/>
            <w:tcMar>
              <w:left w:w="28" w:type="dxa"/>
              <w:right w:w="28" w:type="dxa"/>
            </w:tcMar>
            <w:vAlign w:val="center"/>
          </w:tcPr>
          <w:p w14:paraId="28B20636">
            <w:pPr>
              <w:adjustRightInd w:val="0"/>
              <w:snapToGrid w:val="0"/>
              <w:spacing w:line="360" w:lineRule="auto"/>
              <w:jc w:val="center"/>
              <w:rPr>
                <w:rFonts w:ascii="宋体" w:hAnsi="宋体" w:cs="宋体"/>
                <w:bCs/>
                <w:color w:val="auto"/>
                <w:sz w:val="24"/>
              </w:rPr>
            </w:pPr>
            <w:r>
              <w:rPr>
                <w:rFonts w:hint="eastAsia" w:ascii="宋体" w:hAnsi="宋体" w:cs="宋体"/>
                <w:bCs/>
                <w:color w:val="auto"/>
                <w:sz w:val="24"/>
              </w:rPr>
              <w:t>运营</w:t>
            </w:r>
          </w:p>
          <w:p w14:paraId="31283AEE">
            <w:pPr>
              <w:adjustRightInd w:val="0"/>
              <w:snapToGrid w:val="0"/>
              <w:spacing w:line="360" w:lineRule="auto"/>
              <w:jc w:val="center"/>
              <w:rPr>
                <w:rFonts w:ascii="宋体" w:hAnsi="宋体" w:cs="宋体"/>
                <w:bCs/>
                <w:color w:val="auto"/>
                <w:sz w:val="24"/>
              </w:rPr>
            </w:pPr>
            <w:r>
              <w:rPr>
                <w:rFonts w:hint="eastAsia" w:ascii="宋体" w:hAnsi="宋体" w:cs="宋体"/>
                <w:bCs/>
                <w:color w:val="auto"/>
                <w:sz w:val="24"/>
              </w:rPr>
              <w:t>期环</w:t>
            </w:r>
          </w:p>
          <w:p w14:paraId="25FAD4F0">
            <w:pPr>
              <w:adjustRightInd w:val="0"/>
              <w:snapToGrid w:val="0"/>
              <w:spacing w:line="360" w:lineRule="auto"/>
              <w:jc w:val="center"/>
              <w:rPr>
                <w:rFonts w:ascii="宋体" w:hAnsi="宋体" w:cs="宋体"/>
                <w:bCs/>
                <w:color w:val="auto"/>
                <w:sz w:val="24"/>
              </w:rPr>
            </w:pPr>
            <w:r>
              <w:rPr>
                <w:rFonts w:hint="eastAsia" w:ascii="宋体" w:hAnsi="宋体" w:cs="宋体"/>
                <w:bCs/>
                <w:color w:val="auto"/>
                <w:sz w:val="24"/>
              </w:rPr>
              <w:t>境影</w:t>
            </w:r>
          </w:p>
          <w:p w14:paraId="2EDE3B2D">
            <w:pPr>
              <w:adjustRightInd w:val="0"/>
              <w:snapToGrid w:val="0"/>
              <w:spacing w:line="360" w:lineRule="auto"/>
              <w:jc w:val="center"/>
              <w:rPr>
                <w:rFonts w:ascii="宋体" w:hAnsi="宋体" w:cs="宋体"/>
                <w:bCs/>
                <w:color w:val="auto"/>
                <w:sz w:val="24"/>
              </w:rPr>
            </w:pPr>
            <w:r>
              <w:rPr>
                <w:rFonts w:hint="eastAsia" w:ascii="宋体" w:hAnsi="宋体" w:cs="宋体"/>
                <w:bCs/>
                <w:color w:val="auto"/>
                <w:sz w:val="24"/>
              </w:rPr>
              <w:t>响和</w:t>
            </w:r>
          </w:p>
          <w:p w14:paraId="0B27D2E6">
            <w:pPr>
              <w:adjustRightInd w:val="0"/>
              <w:snapToGrid w:val="0"/>
              <w:spacing w:line="360" w:lineRule="auto"/>
              <w:jc w:val="center"/>
              <w:rPr>
                <w:rFonts w:ascii="宋体" w:hAnsi="宋体" w:cs="宋体"/>
                <w:bCs/>
                <w:color w:val="auto"/>
                <w:sz w:val="24"/>
              </w:rPr>
            </w:pPr>
            <w:r>
              <w:rPr>
                <w:rFonts w:hint="eastAsia" w:ascii="宋体" w:hAnsi="宋体" w:cs="宋体"/>
                <w:bCs/>
                <w:color w:val="auto"/>
                <w:sz w:val="24"/>
              </w:rPr>
              <w:t>保护</w:t>
            </w:r>
          </w:p>
          <w:p w14:paraId="4E6E71DE">
            <w:pPr>
              <w:pStyle w:val="41"/>
              <w:adjustRightInd w:val="0"/>
              <w:snapToGrid w:val="0"/>
              <w:spacing w:before="0" w:beforeAutospacing="0" w:after="0" w:afterAutospacing="0" w:line="360" w:lineRule="auto"/>
              <w:jc w:val="center"/>
              <w:rPr>
                <w:rFonts w:hint="eastAsia" w:cs="宋体"/>
                <w:color w:val="auto"/>
                <w:kern w:val="2"/>
                <w:szCs w:val="24"/>
              </w:rPr>
            </w:pPr>
            <w:r>
              <w:rPr>
                <w:rFonts w:hint="eastAsia" w:ascii="宋体" w:hAnsi="宋体" w:cs="宋体"/>
                <w:bCs/>
                <w:color w:val="auto"/>
                <w:sz w:val="24"/>
              </w:rPr>
              <w:t>措施</w:t>
            </w:r>
          </w:p>
        </w:tc>
        <w:tc>
          <w:tcPr>
            <w:tcW w:w="8450" w:type="dxa"/>
            <w:vAlign w:val="top"/>
          </w:tcPr>
          <w:p w14:paraId="67D65113">
            <w:pPr>
              <w:spacing w:line="360" w:lineRule="auto"/>
              <w:ind w:firstLine="562" w:firstLineChars="200"/>
              <w:jc w:val="left"/>
              <w:rPr>
                <w:rFonts w:hAnsi="宋体"/>
                <w:b/>
                <w:bCs/>
                <w:color w:val="auto"/>
                <w:sz w:val="24"/>
              </w:rPr>
            </w:pPr>
            <w:r>
              <w:rPr>
                <w:rFonts w:hint="eastAsia"/>
                <w:b/>
                <w:bCs/>
                <w:color w:val="auto"/>
                <w:sz w:val="28"/>
                <w:szCs w:val="28"/>
              </w:rPr>
              <w:t>1、废气影响和保护措施</w:t>
            </w:r>
          </w:p>
          <w:p w14:paraId="38F82BA7">
            <w:pPr>
              <w:spacing w:line="360" w:lineRule="auto"/>
              <w:ind w:firstLine="482" w:firstLineChars="200"/>
              <w:rPr>
                <w:rFonts w:hAnsi="宋体"/>
                <w:b/>
                <w:bCs/>
                <w:color w:val="auto"/>
                <w:sz w:val="24"/>
              </w:rPr>
            </w:pPr>
            <w:r>
              <w:rPr>
                <w:rFonts w:hint="eastAsia" w:hAnsi="宋体"/>
                <w:b/>
                <w:bCs/>
                <w:color w:val="auto"/>
                <w:sz w:val="24"/>
              </w:rPr>
              <w:t>（一）</w:t>
            </w:r>
            <w:r>
              <w:rPr>
                <w:rFonts w:hint="eastAsia" w:hAnsi="宋体"/>
                <w:b/>
                <w:bCs/>
                <w:color w:val="auto"/>
                <w:sz w:val="24"/>
                <w:lang w:val="en-US" w:eastAsia="zh-CN"/>
              </w:rPr>
              <w:t>改扩建工程</w:t>
            </w:r>
            <w:r>
              <w:rPr>
                <w:rFonts w:hint="eastAsia" w:hAnsi="宋体"/>
                <w:b/>
                <w:bCs/>
                <w:color w:val="auto"/>
                <w:sz w:val="24"/>
              </w:rPr>
              <w:t>废气产排情况</w:t>
            </w:r>
          </w:p>
          <w:p w14:paraId="58AE957F">
            <w:pPr>
              <w:spacing w:line="360" w:lineRule="auto"/>
              <w:ind w:firstLine="480" w:firstLineChars="200"/>
              <w:rPr>
                <w:rFonts w:hAnsi="宋体"/>
                <w:color w:val="auto"/>
                <w:sz w:val="24"/>
              </w:rPr>
            </w:pPr>
            <w:r>
              <w:rPr>
                <w:rFonts w:hint="eastAsia" w:hAnsi="宋体"/>
                <w:color w:val="auto"/>
                <w:sz w:val="24"/>
              </w:rPr>
              <w:t>本项目的原料为磷石膏，辅料为改性剂电石渣或生石灰。废气主要为原辅料和熟化及成品堆场扬尘、物料装卸扬尘、生产过程中产生的颗粒物、厂区运输车辆行驶的扬尘。</w:t>
            </w:r>
          </w:p>
          <w:p w14:paraId="74ACE090">
            <w:pPr>
              <w:spacing w:line="360" w:lineRule="auto"/>
              <w:ind w:firstLine="482" w:firstLineChars="200"/>
              <w:rPr>
                <w:b/>
                <w:bCs/>
                <w:color w:val="auto"/>
                <w:sz w:val="24"/>
              </w:rPr>
            </w:pPr>
            <w:r>
              <w:rPr>
                <w:rFonts w:hint="eastAsia"/>
                <w:b/>
                <w:bCs/>
                <w:color w:val="auto"/>
                <w:sz w:val="24"/>
              </w:rPr>
              <w:t>（1）生产粉尘</w:t>
            </w:r>
          </w:p>
          <w:p w14:paraId="5F46CB47">
            <w:pPr>
              <w:spacing w:line="360" w:lineRule="auto"/>
              <w:ind w:firstLine="480" w:firstLineChars="200"/>
              <w:rPr>
                <w:rFonts w:hint="default" w:ascii="宋体" w:hAnsi="宋体" w:eastAsia="宋体" w:cs="宋体"/>
                <w:b w:val="0"/>
                <w:bCs w:val="0"/>
                <w:color w:val="auto"/>
                <w:sz w:val="24"/>
                <w:lang w:val="en-US" w:eastAsia="zh-CN"/>
              </w:rPr>
            </w:pPr>
            <w:r>
              <w:rPr>
                <w:rFonts w:hint="eastAsia" w:ascii="宋体" w:hAnsi="宋体" w:cs="宋体"/>
                <w:b w:val="0"/>
                <w:bCs w:val="0"/>
                <w:color w:val="auto"/>
                <w:sz w:val="24"/>
                <w:lang w:val="en-US" w:eastAsia="zh-CN"/>
              </w:rPr>
              <w:t>项目产生的有组织粉尘包括电石渣筛分和生石灰筒仓进料产生的粉尘，无组织粉尘包括装载机压碎电石渣、皮带输送及计量、混合工序和物料堆场产生的扬尘。</w:t>
            </w:r>
          </w:p>
          <w:p w14:paraId="0A4CFA66">
            <w:pPr>
              <w:spacing w:line="360" w:lineRule="auto"/>
              <w:ind w:firstLine="480" w:firstLineChars="200"/>
              <w:rPr>
                <w:rFonts w:hint="default" w:ascii="宋体" w:hAnsi="宋体" w:eastAsia="宋体" w:cs="宋体"/>
                <w:b w:val="0"/>
                <w:bCs w:val="0"/>
                <w:color w:val="auto"/>
                <w:sz w:val="24"/>
                <w:lang w:val="en-US" w:eastAsia="zh-CN"/>
              </w:rPr>
            </w:pPr>
            <w:r>
              <w:rPr>
                <w:rFonts w:hint="eastAsia" w:ascii="宋体" w:hAnsi="宋体" w:cs="宋体"/>
                <w:b w:val="0"/>
                <w:bCs w:val="0"/>
                <w:color w:val="auto"/>
                <w:sz w:val="24"/>
              </w:rPr>
              <w:t>①</w:t>
            </w:r>
            <w:r>
              <w:rPr>
                <w:rFonts w:hint="eastAsia" w:ascii="宋体" w:hAnsi="宋体" w:cs="宋体"/>
                <w:b w:val="0"/>
                <w:bCs w:val="0"/>
                <w:color w:val="auto"/>
                <w:sz w:val="24"/>
                <w:lang w:val="en-US" w:eastAsia="zh-CN"/>
              </w:rPr>
              <w:t>有组织粉尘</w:t>
            </w:r>
          </w:p>
          <w:p w14:paraId="1A4F9726">
            <w:pPr>
              <w:spacing w:line="360" w:lineRule="auto"/>
              <w:ind w:firstLine="480" w:firstLineChars="200"/>
              <w:rPr>
                <w:rFonts w:hint="default" w:eastAsia="宋体"/>
                <w:color w:val="auto"/>
                <w:sz w:val="24"/>
                <w:lang w:val="en-US" w:eastAsia="zh-CN"/>
              </w:rPr>
            </w:pPr>
            <w:r>
              <w:rPr>
                <w:rFonts w:hint="eastAsia"/>
                <w:color w:val="auto"/>
                <w:sz w:val="24"/>
                <w:lang w:val="en-US" w:eastAsia="zh-CN"/>
              </w:rPr>
              <w:t>A、电石渣筛分粉尘</w:t>
            </w:r>
          </w:p>
          <w:p w14:paraId="33D84C2A">
            <w:pPr>
              <w:spacing w:line="360" w:lineRule="auto"/>
              <w:ind w:firstLine="480" w:firstLineChars="200"/>
              <w:rPr>
                <w:rFonts w:hint="default" w:eastAsia="宋体"/>
                <w:color w:val="auto"/>
                <w:sz w:val="24"/>
                <w:lang w:val="en-US" w:eastAsia="zh-CN"/>
              </w:rPr>
            </w:pPr>
            <w:r>
              <w:rPr>
                <w:rFonts w:hint="eastAsia"/>
                <w:color w:val="auto"/>
                <w:sz w:val="24"/>
                <w:lang w:val="en-US" w:eastAsia="zh-CN"/>
              </w:rPr>
              <w:t>本次改扩建新增筛分工段，对购买进厂内使用的电石渣进行筛分，此过程会产生粉尘。年电石渣筛分量为35000吨。</w:t>
            </w:r>
            <w:r>
              <w:rPr>
                <w:rFonts w:hint="eastAsia"/>
                <w:color w:val="auto"/>
                <w:sz w:val="24"/>
              </w:rPr>
              <w:t>根据《逸散性工业粉尘控制技术》，参照</w:t>
            </w:r>
            <w:r>
              <w:rPr>
                <w:color w:val="auto"/>
                <w:sz w:val="24"/>
              </w:rPr>
              <w:t>“石膏磨碎机出口卸料排放因子0.25kg/t”</w:t>
            </w:r>
            <w:r>
              <w:rPr>
                <w:rFonts w:hint="eastAsia"/>
                <w:color w:val="auto"/>
                <w:sz w:val="24"/>
              </w:rPr>
              <w:t>，</w:t>
            </w:r>
            <w:r>
              <w:rPr>
                <w:rFonts w:hint="eastAsia"/>
                <w:color w:val="auto"/>
                <w:sz w:val="24"/>
                <w:lang w:val="en-US" w:eastAsia="zh-CN"/>
              </w:rPr>
              <w:t>则筛分工序颗粒物产生量为8.75t/a、1.22kg/h。</w:t>
            </w:r>
          </w:p>
          <w:p w14:paraId="6931F117">
            <w:pPr>
              <w:spacing w:line="360" w:lineRule="auto"/>
              <w:ind w:firstLine="480" w:firstLineChars="200"/>
              <w:rPr>
                <w:rFonts w:hint="default" w:eastAsia="宋体"/>
                <w:color w:val="auto"/>
                <w:sz w:val="24"/>
                <w:lang w:val="en-US" w:eastAsia="zh-CN"/>
              </w:rPr>
            </w:pPr>
            <w:r>
              <w:rPr>
                <w:rFonts w:hint="eastAsia"/>
                <w:color w:val="auto"/>
                <w:sz w:val="24"/>
                <w:lang w:val="en-US" w:eastAsia="zh-CN"/>
              </w:rPr>
              <w:t>B、生石灰筒仓粉尘</w:t>
            </w:r>
          </w:p>
          <w:p w14:paraId="08053FCC">
            <w:pPr>
              <w:spacing w:line="360" w:lineRule="auto"/>
              <w:ind w:firstLine="480" w:firstLineChars="200"/>
              <w:rPr>
                <w:color w:val="auto"/>
                <w:sz w:val="24"/>
              </w:rPr>
            </w:pPr>
            <w:r>
              <w:rPr>
                <w:color w:val="auto"/>
                <w:sz w:val="24"/>
              </w:rPr>
              <w:t>生石灰粉料通过槽罐车运输进厂，由槽罐车自带的空压机打入生石灰</w:t>
            </w:r>
            <w:r>
              <w:rPr>
                <w:rFonts w:hint="eastAsia"/>
                <w:color w:val="auto"/>
                <w:sz w:val="24"/>
              </w:rPr>
              <w:t>筒仓</w:t>
            </w:r>
            <w:r>
              <w:rPr>
                <w:color w:val="auto"/>
                <w:sz w:val="24"/>
              </w:rPr>
              <w:t>，此时会产生的含尘废气。根据环境保护部关于发布计算污染物排放量的排污系数和物料衡算方法的公告（2017年第81号）：《未纳入排污许可管理行业适用的排污系数、物料衡算方法（试行）》中水泥制品制造业产排污系数表，参照筒仓储存工序产污系数，本次成品仓进料和卸料装车颗粒物产污系数取2.09kg/吨-成品。生石灰</w:t>
            </w:r>
            <w:r>
              <w:rPr>
                <w:rFonts w:hint="eastAsia"/>
                <w:color w:val="auto"/>
                <w:sz w:val="24"/>
              </w:rPr>
              <w:t>筒仓</w:t>
            </w:r>
            <w:r>
              <w:rPr>
                <w:color w:val="auto"/>
                <w:sz w:val="24"/>
              </w:rPr>
              <w:t>每年进料</w:t>
            </w:r>
            <w:r>
              <w:rPr>
                <w:rFonts w:hint="eastAsia"/>
                <w:color w:val="auto"/>
                <w:sz w:val="24"/>
                <w:lang w:val="en-US" w:eastAsia="zh-CN"/>
              </w:rPr>
              <w:t>20150</w:t>
            </w:r>
            <w:r>
              <w:rPr>
                <w:rFonts w:hint="eastAsia"/>
                <w:color w:val="auto"/>
                <w:sz w:val="24"/>
              </w:rPr>
              <w:t>t</w:t>
            </w:r>
            <w:r>
              <w:rPr>
                <w:rFonts w:hint="eastAsia"/>
                <w:color w:val="auto"/>
                <w:sz w:val="24"/>
                <w:lang w:val="en-US" w:eastAsia="zh-CN"/>
              </w:rPr>
              <w:t>。</w:t>
            </w:r>
            <w:r>
              <w:rPr>
                <w:color w:val="auto"/>
                <w:sz w:val="24"/>
              </w:rPr>
              <w:t>据此计算，则粉尘产生量为</w:t>
            </w:r>
            <w:r>
              <w:rPr>
                <w:rFonts w:hint="eastAsia"/>
                <w:color w:val="auto"/>
                <w:sz w:val="24"/>
                <w:lang w:val="en-US" w:eastAsia="zh-CN"/>
              </w:rPr>
              <w:t>42.11</w:t>
            </w:r>
            <w:r>
              <w:rPr>
                <w:rFonts w:hint="eastAsia"/>
                <w:color w:val="auto"/>
                <w:sz w:val="24"/>
              </w:rPr>
              <w:t>t/a</w:t>
            </w:r>
            <w:r>
              <w:rPr>
                <w:rFonts w:hint="eastAsia"/>
                <w:color w:val="auto"/>
                <w:sz w:val="24"/>
                <w:lang w:eastAsia="zh-CN"/>
              </w:rPr>
              <w:t>、</w:t>
            </w:r>
            <w:r>
              <w:rPr>
                <w:rFonts w:hint="eastAsia"/>
                <w:color w:val="auto"/>
                <w:sz w:val="24"/>
                <w:lang w:val="en-US" w:eastAsia="zh-CN"/>
              </w:rPr>
              <w:t>5.85</w:t>
            </w:r>
            <w:r>
              <w:rPr>
                <w:rFonts w:hint="eastAsia"/>
                <w:color w:val="auto"/>
                <w:sz w:val="24"/>
              </w:rPr>
              <w:t>kg/h</w:t>
            </w:r>
            <w:r>
              <w:rPr>
                <w:color w:val="auto"/>
                <w:sz w:val="24"/>
              </w:rPr>
              <w:t>。</w:t>
            </w:r>
          </w:p>
          <w:p w14:paraId="3914517D">
            <w:pPr>
              <w:spacing w:line="360" w:lineRule="auto"/>
              <w:ind w:firstLine="480" w:firstLineChars="200"/>
              <w:rPr>
                <w:rFonts w:hint="eastAsia" w:eastAsia="宋体"/>
                <w:color w:val="auto"/>
                <w:sz w:val="24"/>
                <w:lang w:eastAsia="zh-CN"/>
              </w:rPr>
            </w:pPr>
            <w:r>
              <w:rPr>
                <w:rFonts w:hint="eastAsia"/>
                <w:color w:val="auto"/>
                <w:sz w:val="24"/>
                <w:lang w:val="en-US" w:eastAsia="zh-CN"/>
              </w:rPr>
              <w:t>本次改扩建在电石渣筛分机上方设置集气罩，</w:t>
            </w:r>
            <w:r>
              <w:rPr>
                <w:rFonts w:hint="eastAsia"/>
                <w:color w:val="auto"/>
                <w:sz w:val="24"/>
              </w:rPr>
              <w:t>生石灰筒仓产生的</w:t>
            </w:r>
            <w:r>
              <w:rPr>
                <w:rFonts w:hint="eastAsia"/>
                <w:color w:val="auto"/>
                <w:sz w:val="24"/>
                <w:lang w:val="en-US" w:eastAsia="zh-CN"/>
              </w:rPr>
              <w:t>粉尘经仓顶除尘器（处理效率为99%）处理后</w:t>
            </w:r>
            <w:r>
              <w:rPr>
                <w:rFonts w:hint="eastAsia"/>
                <w:bCs/>
                <w:color w:val="auto"/>
                <w:sz w:val="24"/>
              </w:rPr>
              <w:t>与</w:t>
            </w:r>
            <w:r>
              <w:rPr>
                <w:rFonts w:hint="eastAsia"/>
                <w:bCs/>
                <w:color w:val="auto"/>
                <w:sz w:val="24"/>
                <w:lang w:val="en-US" w:eastAsia="zh-CN"/>
              </w:rPr>
              <w:t>收集的电石渣筛分</w:t>
            </w:r>
            <w:r>
              <w:rPr>
                <w:rFonts w:hint="eastAsia"/>
                <w:bCs/>
                <w:color w:val="auto"/>
                <w:sz w:val="24"/>
              </w:rPr>
              <w:t>产生的粉尘一起进入一套布袋除尘器处理后，经15m高排气筒（DA0</w:t>
            </w:r>
            <w:r>
              <w:rPr>
                <w:rFonts w:hint="eastAsia"/>
                <w:bCs/>
                <w:color w:val="auto"/>
                <w:sz w:val="24"/>
                <w:lang w:val="en-US" w:eastAsia="zh-CN"/>
              </w:rPr>
              <w:t>08</w:t>
            </w:r>
            <w:r>
              <w:rPr>
                <w:rFonts w:hint="eastAsia"/>
                <w:bCs/>
                <w:color w:val="auto"/>
                <w:sz w:val="24"/>
              </w:rPr>
              <w:t>）排放。</w:t>
            </w:r>
            <w:r>
              <w:rPr>
                <w:rFonts w:hint="eastAsia"/>
                <w:color w:val="auto"/>
                <w:sz w:val="24"/>
              </w:rPr>
              <w:t>集气罩收集效率为90%，布袋除尘器去除效率99%，风机风量为</w:t>
            </w:r>
            <w:r>
              <w:rPr>
                <w:rFonts w:hint="eastAsia"/>
                <w:color w:val="auto"/>
                <w:sz w:val="24"/>
                <w:lang w:val="en-US" w:eastAsia="zh-CN"/>
              </w:rPr>
              <w:t>5</w:t>
            </w:r>
            <w:r>
              <w:rPr>
                <w:rFonts w:hint="eastAsia"/>
                <w:color w:val="auto"/>
                <w:sz w:val="24"/>
              </w:rPr>
              <w:t>000m</w:t>
            </w:r>
            <w:r>
              <w:rPr>
                <w:rFonts w:hint="eastAsia"/>
                <w:color w:val="auto"/>
                <w:sz w:val="24"/>
                <w:vertAlign w:val="superscript"/>
              </w:rPr>
              <w:t>3</w:t>
            </w:r>
            <w:r>
              <w:rPr>
                <w:rFonts w:hint="eastAsia"/>
                <w:color w:val="auto"/>
                <w:sz w:val="24"/>
              </w:rPr>
              <w:t>/h</w:t>
            </w:r>
            <w:r>
              <w:rPr>
                <w:rFonts w:hint="eastAsia"/>
                <w:color w:val="auto"/>
                <w:sz w:val="24"/>
                <w:lang w:eastAsia="zh-CN"/>
              </w:rPr>
              <w:t>。</w:t>
            </w:r>
          </w:p>
          <w:p w14:paraId="6949982A">
            <w:pPr>
              <w:pStyle w:val="17"/>
              <w:spacing w:before="0" w:after="0" w:line="360" w:lineRule="auto"/>
              <w:ind w:firstLine="480" w:firstLineChars="200"/>
              <w:rPr>
                <w:rFonts w:hint="default" w:eastAsia="宋体"/>
                <w:color w:val="auto"/>
                <w:sz w:val="24"/>
                <w:lang w:val="en-US" w:eastAsia="zh-CN"/>
              </w:rPr>
            </w:pPr>
            <w:r>
              <w:rPr>
                <w:rFonts w:hint="eastAsia" w:ascii="宋体" w:hAnsi="宋体" w:eastAsia="宋体" w:cs="宋体"/>
                <w:color w:val="auto"/>
                <w:sz w:val="24"/>
              </w:rPr>
              <w:t>②</w:t>
            </w:r>
            <w:r>
              <w:rPr>
                <w:rFonts w:hint="eastAsia" w:eastAsia="宋体"/>
                <w:color w:val="auto"/>
                <w:sz w:val="24"/>
                <w:lang w:val="en-US" w:eastAsia="zh-CN"/>
              </w:rPr>
              <w:t>无组织粉尘</w:t>
            </w:r>
          </w:p>
          <w:p w14:paraId="1C9404E1">
            <w:pPr>
              <w:pStyle w:val="17"/>
              <w:spacing w:before="0" w:after="0" w:line="360" w:lineRule="auto"/>
              <w:ind w:firstLine="480" w:firstLineChars="200"/>
              <w:rPr>
                <w:rFonts w:hint="default" w:eastAsia="宋体"/>
                <w:color w:val="auto"/>
                <w:sz w:val="24"/>
                <w:lang w:val="en-US" w:eastAsia="zh-CN"/>
              </w:rPr>
            </w:pPr>
            <w:r>
              <w:rPr>
                <w:rFonts w:hint="eastAsia"/>
                <w:color w:val="auto"/>
                <w:sz w:val="24"/>
                <w:lang w:val="en-US" w:eastAsia="zh-CN"/>
              </w:rPr>
              <w:t>A、电石渣压碎粉尘</w:t>
            </w:r>
          </w:p>
          <w:p w14:paraId="7BC297DE">
            <w:pPr>
              <w:pStyle w:val="17"/>
              <w:spacing w:before="0" w:after="0" w:line="360" w:lineRule="auto"/>
              <w:ind w:firstLine="480" w:firstLineChars="200"/>
              <w:rPr>
                <w:rFonts w:hint="default" w:eastAsia="宋体"/>
                <w:color w:val="auto"/>
                <w:sz w:val="24"/>
                <w:lang w:val="en-US" w:eastAsia="zh-CN"/>
              </w:rPr>
            </w:pPr>
            <w:r>
              <w:rPr>
                <w:rFonts w:hint="eastAsia"/>
                <w:color w:val="auto"/>
                <w:sz w:val="24"/>
                <w:lang w:val="en-US" w:eastAsia="zh-CN"/>
              </w:rPr>
              <w:t>项目对购买进厂内使用的电石渣进行筛分，对不合格的少量电石渣采用装载机进行压碎，根据建设单位提供数据，不合格电石渣约为0.5%，扩建的路基材料、土壤改良剂、生态修复材料年用电石渣量为3000吨。则需压碎电石渣15t/a，</w:t>
            </w:r>
            <w:r>
              <w:rPr>
                <w:rFonts w:hint="eastAsia"/>
                <w:color w:val="auto"/>
                <w:sz w:val="24"/>
              </w:rPr>
              <w:t>根据《逸散性工业粉尘控制技术》，参照</w:t>
            </w:r>
            <w:r>
              <w:rPr>
                <w:color w:val="auto"/>
                <w:sz w:val="24"/>
              </w:rPr>
              <w:t>“石膏磨碎机出口卸料排放因子0.25kg/t”</w:t>
            </w:r>
            <w:r>
              <w:rPr>
                <w:rFonts w:hint="eastAsia"/>
                <w:color w:val="auto"/>
                <w:sz w:val="24"/>
              </w:rPr>
              <w:t>，</w:t>
            </w:r>
            <w:r>
              <w:rPr>
                <w:rFonts w:hint="eastAsia"/>
                <w:color w:val="auto"/>
                <w:sz w:val="24"/>
                <w:lang w:val="en-US" w:eastAsia="zh-CN"/>
              </w:rPr>
              <w:t>则压碎不合格电石渣产生的粉尘为0.0038t/a、0.0016kg/h。</w:t>
            </w:r>
          </w:p>
          <w:p w14:paraId="24591548">
            <w:pPr>
              <w:pStyle w:val="17"/>
              <w:spacing w:before="0" w:after="0" w:line="360" w:lineRule="auto"/>
              <w:ind w:firstLine="480" w:firstLineChars="200"/>
              <w:rPr>
                <w:rFonts w:hint="default" w:eastAsia="宋体"/>
                <w:color w:val="auto"/>
                <w:sz w:val="24"/>
                <w:lang w:val="en-US" w:eastAsia="zh-CN"/>
              </w:rPr>
            </w:pPr>
            <w:r>
              <w:rPr>
                <w:rFonts w:hint="eastAsia"/>
                <w:color w:val="auto"/>
                <w:sz w:val="24"/>
                <w:lang w:val="en-US" w:eastAsia="zh-CN"/>
              </w:rPr>
              <w:t>B、搅拌粉尘</w:t>
            </w:r>
          </w:p>
          <w:p w14:paraId="5B3975FA">
            <w:pPr>
              <w:pStyle w:val="17"/>
              <w:spacing w:before="0" w:after="0" w:line="360" w:lineRule="auto"/>
              <w:ind w:firstLine="480" w:firstLineChars="200"/>
              <w:rPr>
                <w:rFonts w:hint="eastAsia" w:eastAsia="宋体"/>
                <w:color w:val="auto"/>
                <w:sz w:val="24"/>
                <w:lang w:val="en-US" w:eastAsia="zh-CN"/>
              </w:rPr>
            </w:pPr>
            <w:r>
              <w:rPr>
                <w:rFonts w:hint="eastAsia"/>
                <w:color w:val="auto"/>
                <w:sz w:val="24"/>
                <w:lang w:val="en-US" w:eastAsia="zh-CN"/>
              </w:rPr>
              <w:t>项目搅拌工序主要为磷石膏和改性剂（电石渣、生石灰）进行充分混合产生的少量粉尘，</w:t>
            </w:r>
            <w:r>
              <w:rPr>
                <w:rFonts w:hint="eastAsia"/>
                <w:color w:val="auto"/>
                <w:sz w:val="24"/>
              </w:rPr>
              <w:t>参考</w:t>
            </w:r>
            <w:r>
              <w:rPr>
                <w:color w:val="auto"/>
                <w:sz w:val="24"/>
              </w:rPr>
              <w:t>《逸散性工业粉尘控制技术》（中国环境科学出版社，1989.12，J.A.奥里蒙等编著，张良璧等编译）</w:t>
            </w:r>
            <w:r>
              <w:rPr>
                <w:rFonts w:hint="eastAsia"/>
                <w:color w:val="auto"/>
                <w:sz w:val="24"/>
              </w:rPr>
              <w:t>，逸散性排放因子取0.025kg/t（掺和料）</w:t>
            </w:r>
            <w:r>
              <w:rPr>
                <w:color w:val="auto"/>
                <w:sz w:val="24"/>
              </w:rPr>
              <w:t>。</w:t>
            </w:r>
            <w:r>
              <w:rPr>
                <w:rFonts w:hint="eastAsia"/>
                <w:color w:val="auto"/>
                <w:sz w:val="24"/>
                <w:lang w:val="en-US" w:eastAsia="zh-CN"/>
              </w:rPr>
              <w:t>项目扩建的路基材料、土壤改良剂、生态修复材料磷石膏用量</w:t>
            </w:r>
            <w:r>
              <w:rPr>
                <w:rFonts w:hint="eastAsia"/>
                <w:color w:val="auto"/>
                <w:sz w:val="24"/>
                <w:highlight w:val="none"/>
                <w:lang w:val="en-US" w:eastAsia="zh-CN"/>
              </w:rPr>
              <w:t>为523958.82t/a、电石渣用量为3000t/a、生石灰用量为2150t/a，合计529108.82t/a。</w:t>
            </w:r>
            <w:r>
              <w:rPr>
                <w:rFonts w:hint="eastAsia"/>
                <w:color w:val="auto"/>
                <w:sz w:val="24"/>
                <w:lang w:val="en-US" w:eastAsia="zh-CN"/>
              </w:rPr>
              <w:t>则搅拌工序颗粒物产生量为13.23t/a、1.84kg/h。项目搅拌机设置为封闭式，在物料混合过程中产生的粉尘均在设备空间内部，</w:t>
            </w:r>
            <w:r>
              <w:rPr>
                <w:rFonts w:hint="eastAsia"/>
                <w:color w:val="auto"/>
                <w:sz w:val="24"/>
              </w:rPr>
              <w:t>故该物料混合过程产尘量较小</w:t>
            </w:r>
            <w:r>
              <w:rPr>
                <w:rFonts w:hint="eastAsia"/>
                <w:color w:val="auto"/>
                <w:sz w:val="24"/>
                <w:lang w:eastAsia="zh-CN"/>
              </w:rPr>
              <w:t>。</w:t>
            </w:r>
          </w:p>
          <w:p w14:paraId="6004E31D">
            <w:pPr>
              <w:pStyle w:val="17"/>
              <w:spacing w:before="0" w:after="0" w:line="360" w:lineRule="auto"/>
              <w:ind w:firstLine="480" w:firstLineChars="200"/>
              <w:rPr>
                <w:rFonts w:hint="default" w:eastAsia="宋体"/>
                <w:color w:val="auto"/>
                <w:sz w:val="24"/>
                <w:lang w:val="en-US" w:eastAsia="zh-CN"/>
              </w:rPr>
            </w:pPr>
            <w:r>
              <w:rPr>
                <w:rFonts w:hint="eastAsia"/>
                <w:color w:val="auto"/>
                <w:sz w:val="24"/>
                <w:lang w:val="en-US" w:eastAsia="zh-CN"/>
              </w:rPr>
              <w:t>C、物料皮带输送粉尘</w:t>
            </w:r>
          </w:p>
          <w:p w14:paraId="348E210D">
            <w:pPr>
              <w:pStyle w:val="17"/>
              <w:spacing w:before="0" w:after="0" w:line="360" w:lineRule="auto"/>
              <w:ind w:firstLine="480" w:firstLineChars="200"/>
              <w:rPr>
                <w:rFonts w:hint="default" w:eastAsia="宋体"/>
                <w:color w:val="auto"/>
                <w:sz w:val="24"/>
                <w:lang w:val="en-US" w:eastAsia="zh-CN"/>
              </w:rPr>
            </w:pPr>
            <w:r>
              <w:rPr>
                <w:color w:val="auto"/>
                <w:sz w:val="24"/>
              </w:rPr>
              <w:t>送料皮带机及</w:t>
            </w:r>
            <w:r>
              <w:rPr>
                <w:rFonts w:hint="eastAsia"/>
                <w:color w:val="auto"/>
                <w:sz w:val="24"/>
              </w:rPr>
              <w:t>计量</w:t>
            </w:r>
            <w:r>
              <w:rPr>
                <w:color w:val="auto"/>
                <w:sz w:val="24"/>
              </w:rPr>
              <w:t>系统均为封闭设备，物料皮带输送及</w:t>
            </w:r>
            <w:r>
              <w:rPr>
                <w:rFonts w:hint="eastAsia"/>
                <w:color w:val="auto"/>
                <w:sz w:val="24"/>
              </w:rPr>
              <w:t>计量</w:t>
            </w:r>
            <w:r>
              <w:rPr>
                <w:color w:val="auto"/>
                <w:sz w:val="24"/>
              </w:rPr>
              <w:t>过程中产生少量的颗粒物。</w:t>
            </w:r>
            <w:r>
              <w:rPr>
                <w:rFonts w:hint="eastAsia"/>
                <w:color w:val="auto"/>
                <w:sz w:val="24"/>
              </w:rPr>
              <w:t>根据《逸散性工业粉尘控制技术》，参照建筑石膏粉给料机排放系数为0.005kg/t</w:t>
            </w:r>
            <w:r>
              <w:rPr>
                <w:rFonts w:hint="eastAsia"/>
                <w:bCs/>
                <w:color w:val="auto"/>
                <w:sz w:val="24"/>
              </w:rPr>
              <w:t>-物料</w:t>
            </w:r>
            <w:r>
              <w:rPr>
                <w:color w:val="auto"/>
                <w:sz w:val="24"/>
              </w:rPr>
              <w:t>，</w:t>
            </w:r>
            <w:r>
              <w:rPr>
                <w:rFonts w:hint="eastAsia"/>
                <w:color w:val="auto"/>
                <w:sz w:val="24"/>
                <w:lang w:val="en-US" w:eastAsia="zh-CN"/>
              </w:rPr>
              <w:t>项目扩建的路基材料、土壤改良剂、生态修复材料磷石膏用量</w:t>
            </w:r>
            <w:r>
              <w:rPr>
                <w:rFonts w:hint="eastAsia"/>
                <w:color w:val="auto"/>
                <w:sz w:val="24"/>
                <w:highlight w:val="none"/>
                <w:lang w:val="en-US" w:eastAsia="zh-CN"/>
              </w:rPr>
              <w:t>为523958.82t/a、电石渣用量为3000t/a、生石灰用量为2150t/a，合计529108.82t/a。</w:t>
            </w:r>
            <w:r>
              <w:rPr>
                <w:rFonts w:hint="eastAsia"/>
                <w:color w:val="auto"/>
                <w:sz w:val="24"/>
                <w:lang w:val="en-US" w:eastAsia="zh-CN"/>
              </w:rPr>
              <w:t>则皮带输送及计量产生的颗粒物为2.65t/a、0.37kg/h。</w:t>
            </w:r>
            <w:r>
              <w:rPr>
                <w:color w:val="auto"/>
                <w:sz w:val="24"/>
              </w:rPr>
              <w:t>皮带输送机及</w:t>
            </w:r>
            <w:r>
              <w:rPr>
                <w:rFonts w:hint="eastAsia"/>
                <w:color w:val="auto"/>
                <w:sz w:val="24"/>
              </w:rPr>
              <w:t>计量</w:t>
            </w:r>
            <w:r>
              <w:rPr>
                <w:color w:val="auto"/>
                <w:sz w:val="24"/>
              </w:rPr>
              <w:t>系统均</w:t>
            </w:r>
            <w:r>
              <w:rPr>
                <w:rFonts w:hint="eastAsia"/>
                <w:color w:val="auto"/>
                <w:sz w:val="24"/>
              </w:rPr>
              <w:t>属于彩钢瓦全封闭状态，在运输过程中产生的</w:t>
            </w:r>
            <w:r>
              <w:rPr>
                <w:rFonts w:hint="eastAsia"/>
                <w:color w:val="auto"/>
                <w:sz w:val="24"/>
                <w:lang w:val="en-US" w:eastAsia="zh-CN"/>
              </w:rPr>
              <w:t>90%</w:t>
            </w:r>
            <w:r>
              <w:rPr>
                <w:rFonts w:hint="eastAsia"/>
                <w:color w:val="auto"/>
                <w:sz w:val="24"/>
              </w:rPr>
              <w:t>粉尘在皮带运输空间内部，</w:t>
            </w:r>
            <w:r>
              <w:rPr>
                <w:rFonts w:hint="eastAsia"/>
                <w:color w:val="auto"/>
                <w:sz w:val="24"/>
                <w:lang w:val="en-US" w:eastAsia="zh-CN"/>
              </w:rPr>
              <w:t>其余10%呈无组织排放</w:t>
            </w:r>
            <w:r>
              <w:rPr>
                <w:rFonts w:hint="eastAsia"/>
                <w:color w:val="auto"/>
                <w:sz w:val="24"/>
              </w:rPr>
              <w:t>。</w:t>
            </w:r>
            <w:r>
              <w:rPr>
                <w:rFonts w:hint="eastAsia"/>
                <w:color w:val="auto"/>
                <w:sz w:val="24"/>
                <w:lang w:val="en-US" w:eastAsia="zh-CN"/>
              </w:rPr>
              <w:t>因此，颗粒物排放量为0.265t/a、0.037kg/h。</w:t>
            </w:r>
          </w:p>
          <w:p w14:paraId="4FB5F678">
            <w:pPr>
              <w:pStyle w:val="17"/>
              <w:spacing w:before="0" w:after="0" w:line="360" w:lineRule="auto"/>
              <w:ind w:firstLine="480" w:firstLineChars="200"/>
              <w:rPr>
                <w:rFonts w:hint="default"/>
                <w:color w:val="auto"/>
                <w:sz w:val="24"/>
                <w:lang w:val="en-US" w:eastAsia="zh-CN"/>
              </w:rPr>
            </w:pPr>
            <w:r>
              <w:rPr>
                <w:rFonts w:hint="eastAsia"/>
                <w:color w:val="auto"/>
                <w:sz w:val="24"/>
                <w:lang w:val="en-US" w:eastAsia="zh-CN"/>
              </w:rPr>
              <w:t>D、原料和成品堆场装卸扬尘</w:t>
            </w:r>
          </w:p>
          <w:p w14:paraId="528EB9EA">
            <w:pPr>
              <w:spacing w:line="360" w:lineRule="auto"/>
              <w:ind w:firstLine="480" w:firstLineChars="200"/>
              <w:rPr>
                <w:color w:val="auto"/>
                <w:sz w:val="24"/>
              </w:rPr>
            </w:pPr>
            <w:r>
              <w:rPr>
                <w:rFonts w:hint="eastAsia"/>
                <w:color w:val="auto"/>
                <w:sz w:val="24"/>
                <w:lang w:val="en-US" w:eastAsia="zh-CN"/>
              </w:rPr>
              <w:t>项目原料库和成品堆场均为封闭式，只留有进出料口。项目改扩建工程物料卸料、堆存等产生的扬尘参照</w:t>
            </w:r>
            <w:r>
              <w:rPr>
                <w:bCs/>
                <w:color w:val="auto"/>
                <w:sz w:val="24"/>
              </w:rPr>
              <w:t>《排放源统计调查产排污核算方法和系数手册》</w:t>
            </w:r>
            <w:r>
              <w:rPr>
                <w:color w:val="auto"/>
                <w:sz w:val="24"/>
              </w:rPr>
              <w:t xml:space="preserve">附表2《工业源固体物料堆场颗粒物核算系数手册》，颗粒物产生量核算公式如下： </w:t>
            </w:r>
          </w:p>
          <w:p w14:paraId="0ED03DE3">
            <w:pPr>
              <w:spacing w:line="360" w:lineRule="auto"/>
              <w:ind w:firstLine="480" w:firstLineChars="200"/>
              <w:jc w:val="center"/>
              <w:rPr>
                <w:color w:val="auto"/>
                <w:sz w:val="24"/>
              </w:rPr>
            </w:pPr>
            <w:r>
              <w:rPr>
                <w:rFonts w:ascii="Cambria Math" w:hAnsi="Cambria Math" w:cs="Cambria Math"/>
                <w:color w:val="auto"/>
                <w:sz w:val="24"/>
              </w:rPr>
              <w:t>𝑃</w:t>
            </w:r>
            <w:r>
              <w:rPr>
                <w:color w:val="auto"/>
                <w:sz w:val="24"/>
              </w:rPr>
              <w:t>=</w:t>
            </w:r>
            <w:r>
              <w:rPr>
                <w:rFonts w:ascii="Cambria Math" w:hAnsi="Cambria Math" w:cs="Cambria Math"/>
                <w:color w:val="auto"/>
                <w:sz w:val="24"/>
              </w:rPr>
              <w:t>𝑍𝐶</w:t>
            </w:r>
            <w:r>
              <w:rPr>
                <w:rFonts w:ascii="Cambria Math" w:hAnsi="Cambria Math" w:cs="Cambria Math"/>
                <w:color w:val="auto"/>
                <w:sz w:val="24"/>
                <w:vertAlign w:val="subscript"/>
              </w:rPr>
              <w:t>𝑦</w:t>
            </w:r>
            <w:r>
              <w:rPr>
                <w:color w:val="auto"/>
                <w:sz w:val="24"/>
              </w:rPr>
              <w:t>+</w:t>
            </w:r>
            <w:r>
              <w:rPr>
                <w:rFonts w:ascii="Cambria Math" w:hAnsi="Cambria Math" w:cs="Cambria Math"/>
                <w:color w:val="auto"/>
                <w:sz w:val="24"/>
              </w:rPr>
              <w:t>𝐹𝐶</w:t>
            </w:r>
            <w:r>
              <w:rPr>
                <w:rFonts w:ascii="Cambria Math" w:hAnsi="Cambria Math" w:cs="Cambria Math"/>
                <w:color w:val="auto"/>
                <w:sz w:val="24"/>
                <w:vertAlign w:val="subscript"/>
              </w:rPr>
              <w:t>𝑦</w:t>
            </w:r>
            <w:r>
              <w:rPr>
                <w:color w:val="auto"/>
                <w:sz w:val="24"/>
              </w:rPr>
              <w:t>={</w:t>
            </w:r>
            <w:r>
              <w:rPr>
                <w:rFonts w:ascii="Cambria Math" w:hAnsi="Cambria Math" w:cs="Cambria Math"/>
                <w:color w:val="auto"/>
                <w:sz w:val="24"/>
              </w:rPr>
              <w:t>𝑁</w:t>
            </w:r>
            <w:r>
              <w:rPr>
                <w:rFonts w:ascii="Cambria Math" w:hAnsi="Cambria Math" w:cs="Cambria Math"/>
                <w:color w:val="auto"/>
                <w:sz w:val="24"/>
                <w:vertAlign w:val="subscript"/>
              </w:rPr>
              <w:t>𝐶</w:t>
            </w:r>
            <w:r>
              <w:rPr>
                <w:color w:val="auto"/>
                <w:sz w:val="24"/>
              </w:rPr>
              <w:t>×</w:t>
            </w:r>
            <w:r>
              <w:rPr>
                <w:rFonts w:ascii="Cambria Math" w:hAnsi="Cambria Math" w:cs="Cambria Math"/>
                <w:color w:val="auto"/>
                <w:sz w:val="24"/>
              </w:rPr>
              <w:t>𝐷</w:t>
            </w:r>
            <w:r>
              <w:rPr>
                <w:color w:val="auto"/>
                <w:sz w:val="24"/>
              </w:rPr>
              <w:t>×(</w:t>
            </w:r>
            <w:r>
              <w:rPr>
                <w:rFonts w:ascii="Cambria Math" w:hAnsi="Cambria Math" w:cs="Cambria Math"/>
                <w:color w:val="auto"/>
                <w:sz w:val="24"/>
              </w:rPr>
              <w:t>𝑎</w:t>
            </w:r>
            <w:r>
              <w:rPr>
                <w:rFonts w:eastAsia="MS Gothic"/>
                <w:color w:val="auto"/>
                <w:sz w:val="24"/>
              </w:rPr>
              <w:t>⁄</w:t>
            </w:r>
            <w:r>
              <w:rPr>
                <w:rFonts w:ascii="Cambria Math" w:hAnsi="Cambria Math" w:cs="Cambria Math"/>
                <w:color w:val="auto"/>
                <w:sz w:val="24"/>
              </w:rPr>
              <w:t>𝑏</w:t>
            </w:r>
            <w:r>
              <w:rPr>
                <w:color w:val="auto"/>
                <w:sz w:val="24"/>
              </w:rPr>
              <w:t>)+2×E</w:t>
            </w:r>
            <w:r>
              <w:rPr>
                <w:rFonts w:ascii="Cambria Math" w:hAnsi="Cambria Math" w:cs="Cambria Math"/>
                <w:color w:val="auto"/>
                <w:sz w:val="24"/>
                <w:vertAlign w:val="subscript"/>
              </w:rPr>
              <w:t>𝑓</w:t>
            </w:r>
            <w:r>
              <w:rPr>
                <w:color w:val="auto"/>
                <w:sz w:val="24"/>
              </w:rPr>
              <w:t>×</w:t>
            </w:r>
            <w:r>
              <w:rPr>
                <w:rFonts w:ascii="Cambria Math" w:hAnsi="Cambria Math" w:cs="Cambria Math"/>
                <w:color w:val="auto"/>
                <w:sz w:val="24"/>
              </w:rPr>
              <w:t>𝑆</w:t>
            </w:r>
            <w:r>
              <w:rPr>
                <w:color w:val="auto"/>
                <w:sz w:val="24"/>
              </w:rPr>
              <w:t>}×10</w:t>
            </w:r>
            <w:r>
              <w:rPr>
                <w:rFonts w:eastAsia="MS Gothic"/>
                <w:color w:val="auto"/>
                <w:sz w:val="24"/>
                <w:vertAlign w:val="superscript"/>
              </w:rPr>
              <w:t>−</w:t>
            </w:r>
            <w:r>
              <w:rPr>
                <w:color w:val="auto"/>
                <w:sz w:val="24"/>
                <w:vertAlign w:val="superscript"/>
              </w:rPr>
              <w:t>3</w:t>
            </w:r>
          </w:p>
          <w:p w14:paraId="2D7DEA97">
            <w:pPr>
              <w:spacing w:line="360" w:lineRule="auto"/>
              <w:ind w:firstLine="480" w:firstLineChars="200"/>
              <w:jc w:val="left"/>
              <w:rPr>
                <w:color w:val="auto"/>
                <w:sz w:val="24"/>
              </w:rPr>
            </w:pPr>
            <w:r>
              <w:rPr>
                <w:color w:val="auto"/>
                <w:sz w:val="24"/>
              </w:rPr>
              <w:t>式中：P指颗粒物产生量（单位：吨）；</w:t>
            </w:r>
          </w:p>
          <w:p w14:paraId="6C66DF60">
            <w:pPr>
              <w:spacing w:line="360" w:lineRule="auto"/>
              <w:ind w:firstLine="1200" w:firstLineChars="500"/>
              <w:jc w:val="left"/>
              <w:rPr>
                <w:color w:val="auto"/>
                <w:sz w:val="24"/>
              </w:rPr>
            </w:pPr>
            <w:r>
              <w:rPr>
                <w:color w:val="auto"/>
                <w:sz w:val="24"/>
              </w:rPr>
              <w:t>ZC</w:t>
            </w:r>
            <w:r>
              <w:rPr>
                <w:color w:val="auto"/>
                <w:sz w:val="24"/>
                <w:vertAlign w:val="subscript"/>
              </w:rPr>
              <w:t>y</w:t>
            </w:r>
            <w:r>
              <w:rPr>
                <w:color w:val="auto"/>
                <w:sz w:val="24"/>
              </w:rPr>
              <w:t>指装卸扬尘产生量（单位：吨）；</w:t>
            </w:r>
          </w:p>
          <w:p w14:paraId="1C841811">
            <w:pPr>
              <w:spacing w:line="360" w:lineRule="auto"/>
              <w:ind w:firstLine="1200" w:firstLineChars="500"/>
              <w:jc w:val="left"/>
              <w:rPr>
                <w:color w:val="auto"/>
                <w:sz w:val="24"/>
              </w:rPr>
            </w:pPr>
            <w:r>
              <w:rPr>
                <w:color w:val="auto"/>
                <w:sz w:val="24"/>
              </w:rPr>
              <w:t>FC</w:t>
            </w:r>
            <w:r>
              <w:rPr>
                <w:color w:val="auto"/>
                <w:sz w:val="24"/>
                <w:vertAlign w:val="subscript"/>
              </w:rPr>
              <w:t>y</w:t>
            </w:r>
            <w:r>
              <w:rPr>
                <w:color w:val="auto"/>
                <w:sz w:val="24"/>
              </w:rPr>
              <w:t>指风蚀扬尘产生量（单位：吨）；</w:t>
            </w:r>
          </w:p>
          <w:p w14:paraId="4D8717C3">
            <w:pPr>
              <w:spacing w:line="360" w:lineRule="auto"/>
              <w:ind w:firstLine="1200" w:firstLineChars="500"/>
              <w:jc w:val="left"/>
              <w:rPr>
                <w:color w:val="auto"/>
                <w:sz w:val="24"/>
              </w:rPr>
            </w:pPr>
            <w:r>
              <w:rPr>
                <w:rFonts w:ascii="Cambria Math" w:hAnsi="Cambria Math" w:cs="Cambria Math"/>
                <w:color w:val="auto"/>
                <w:sz w:val="24"/>
              </w:rPr>
              <w:t>𝑁</w:t>
            </w:r>
            <w:r>
              <w:rPr>
                <w:rFonts w:ascii="Cambria Math" w:hAnsi="Cambria Math" w:cs="Cambria Math"/>
                <w:color w:val="auto"/>
                <w:sz w:val="24"/>
                <w:vertAlign w:val="subscript"/>
              </w:rPr>
              <w:t>𝐶</w:t>
            </w:r>
            <w:r>
              <w:rPr>
                <w:color w:val="auto"/>
                <w:sz w:val="24"/>
              </w:rPr>
              <w:t>指年物料运载车次（单位：车）；</w:t>
            </w:r>
          </w:p>
          <w:p w14:paraId="6B7FF783">
            <w:pPr>
              <w:spacing w:line="360" w:lineRule="auto"/>
              <w:ind w:firstLine="1200" w:firstLineChars="500"/>
              <w:jc w:val="left"/>
              <w:rPr>
                <w:color w:val="auto"/>
                <w:sz w:val="24"/>
              </w:rPr>
            </w:pPr>
            <w:r>
              <w:rPr>
                <w:color w:val="auto"/>
                <w:sz w:val="24"/>
              </w:rPr>
              <w:t>D指单车平均运载量（单位：吨/车）；</w:t>
            </w:r>
          </w:p>
          <w:p w14:paraId="0829F7A9">
            <w:pPr>
              <w:spacing w:line="360" w:lineRule="auto"/>
              <w:ind w:firstLine="1200" w:firstLineChars="500"/>
              <w:jc w:val="left"/>
              <w:rPr>
                <w:color w:val="auto"/>
                <w:sz w:val="24"/>
              </w:rPr>
            </w:pPr>
            <w:r>
              <w:rPr>
                <w:color w:val="auto"/>
                <w:sz w:val="24"/>
              </w:rPr>
              <w:t>(</w:t>
            </w:r>
            <w:r>
              <w:rPr>
                <w:rFonts w:ascii="Cambria Math" w:hAnsi="Cambria Math" w:cs="Cambria Math"/>
                <w:color w:val="auto"/>
                <w:sz w:val="24"/>
              </w:rPr>
              <w:t>𝑎</w:t>
            </w:r>
            <w:r>
              <w:rPr>
                <w:rFonts w:eastAsia="MS Gothic"/>
                <w:color w:val="auto"/>
                <w:sz w:val="24"/>
              </w:rPr>
              <w:t>⁄</w:t>
            </w:r>
            <w:r>
              <w:rPr>
                <w:rFonts w:ascii="Cambria Math" w:hAnsi="Cambria Math" w:cs="Cambria Math"/>
                <w:color w:val="auto"/>
                <w:sz w:val="24"/>
              </w:rPr>
              <w:t>𝑏</w:t>
            </w:r>
            <w:r>
              <w:rPr>
                <w:color w:val="auto"/>
                <w:sz w:val="24"/>
              </w:rPr>
              <w:t>)指装卸扬尘概化系数（单位：千克/吨），a指各省风速概化系数，见附录1，本项目取0.0009，b指物料含水率概化系数，见附录2，取0.0</w:t>
            </w:r>
            <w:r>
              <w:rPr>
                <w:rFonts w:hint="eastAsia"/>
                <w:color w:val="auto"/>
                <w:sz w:val="24"/>
                <w:lang w:val="en-US" w:eastAsia="zh-CN"/>
              </w:rPr>
              <w:t>017</w:t>
            </w:r>
            <w:r>
              <w:rPr>
                <w:color w:val="auto"/>
                <w:sz w:val="24"/>
              </w:rPr>
              <w:t>；</w:t>
            </w:r>
          </w:p>
          <w:p w14:paraId="609BE419">
            <w:pPr>
              <w:spacing w:line="360" w:lineRule="auto"/>
              <w:ind w:firstLine="1200" w:firstLineChars="500"/>
              <w:jc w:val="left"/>
              <w:rPr>
                <w:color w:val="auto"/>
                <w:sz w:val="24"/>
              </w:rPr>
            </w:pPr>
            <w:r>
              <w:rPr>
                <w:color w:val="auto"/>
                <w:sz w:val="24"/>
              </w:rPr>
              <w:t>E</w:t>
            </w:r>
            <w:r>
              <w:rPr>
                <w:rFonts w:ascii="Cambria Math" w:hAnsi="Cambria Math" w:cs="Cambria Math"/>
                <w:color w:val="auto"/>
                <w:sz w:val="24"/>
                <w:vertAlign w:val="subscript"/>
              </w:rPr>
              <w:t>𝑓</w:t>
            </w:r>
            <w:r>
              <w:rPr>
                <w:color w:val="auto"/>
                <w:sz w:val="24"/>
              </w:rPr>
              <w:t>指堆场风蚀扬尘概化系数，见附录3（单位：千克/平方米），取</w:t>
            </w:r>
            <w:r>
              <w:rPr>
                <w:rFonts w:hint="eastAsia"/>
                <w:color w:val="auto"/>
                <w:sz w:val="24"/>
                <w:lang w:val="en-US" w:eastAsia="zh-CN"/>
              </w:rPr>
              <w:t>3.6062</w:t>
            </w:r>
            <w:r>
              <w:rPr>
                <w:color w:val="auto"/>
                <w:sz w:val="24"/>
              </w:rPr>
              <w:t>；</w:t>
            </w:r>
          </w:p>
          <w:p w14:paraId="417D5C17">
            <w:pPr>
              <w:spacing w:line="360" w:lineRule="auto"/>
              <w:ind w:firstLine="1200" w:firstLineChars="500"/>
              <w:jc w:val="left"/>
              <w:rPr>
                <w:color w:val="auto"/>
                <w:sz w:val="24"/>
              </w:rPr>
            </w:pPr>
            <w:r>
              <w:rPr>
                <w:color w:val="auto"/>
                <w:sz w:val="24"/>
              </w:rPr>
              <w:t>S指堆场占地面积（单位：平方米）</w:t>
            </w:r>
            <w:r>
              <w:rPr>
                <w:rFonts w:hint="eastAsia"/>
                <w:color w:val="auto"/>
                <w:sz w:val="24"/>
                <w:lang w:eastAsia="zh-CN"/>
              </w:rPr>
              <w:t>，</w:t>
            </w:r>
            <w:r>
              <w:rPr>
                <w:rFonts w:hint="eastAsia"/>
                <w:color w:val="auto"/>
                <w:sz w:val="24"/>
                <w:lang w:val="en-US" w:eastAsia="zh-CN"/>
              </w:rPr>
              <w:t>原料和成品堆场占地面积为4790</w:t>
            </w:r>
            <w:r>
              <w:rPr>
                <w:color w:val="auto"/>
                <w:sz w:val="24"/>
              </w:rPr>
              <w:t>m</w:t>
            </w:r>
            <w:r>
              <w:rPr>
                <w:color w:val="auto"/>
                <w:sz w:val="24"/>
                <w:vertAlign w:val="superscript"/>
              </w:rPr>
              <w:t>2</w:t>
            </w:r>
            <w:r>
              <w:rPr>
                <w:color w:val="auto"/>
                <w:sz w:val="24"/>
              </w:rPr>
              <w:t>。</w:t>
            </w:r>
          </w:p>
          <w:p w14:paraId="7B295CCB">
            <w:pPr>
              <w:spacing w:line="360" w:lineRule="auto"/>
              <w:ind w:firstLine="480" w:firstLineChars="200"/>
              <w:rPr>
                <w:color w:val="auto"/>
                <w:sz w:val="24"/>
              </w:rPr>
            </w:pPr>
            <w:r>
              <w:rPr>
                <w:color w:val="auto"/>
                <w:sz w:val="24"/>
              </w:rPr>
              <w:t>项目物料堆场颗粒物排放量核算公式如下：</w:t>
            </w:r>
          </w:p>
          <w:p w14:paraId="5522A65D">
            <w:pPr>
              <w:spacing w:line="360" w:lineRule="auto"/>
              <w:ind w:firstLine="480" w:firstLineChars="200"/>
              <w:jc w:val="center"/>
              <w:rPr>
                <w:color w:val="auto"/>
                <w:sz w:val="24"/>
              </w:rPr>
            </w:pPr>
            <w:r>
              <w:rPr>
                <w:rFonts w:ascii="Cambria Math" w:hAnsi="Cambria Math" w:cs="Cambria Math"/>
                <w:color w:val="auto"/>
                <w:sz w:val="24"/>
              </w:rPr>
              <w:t>𝑈𝑐</w:t>
            </w:r>
            <w:r>
              <w:rPr>
                <w:color w:val="auto"/>
                <w:sz w:val="24"/>
              </w:rPr>
              <w:t>=</w:t>
            </w:r>
            <w:r>
              <w:rPr>
                <w:rFonts w:ascii="Cambria Math" w:hAnsi="Cambria Math" w:cs="Cambria Math"/>
                <w:color w:val="auto"/>
                <w:sz w:val="24"/>
              </w:rPr>
              <w:t>𝑃</w:t>
            </w:r>
            <w:r>
              <w:rPr>
                <w:color w:val="auto"/>
                <w:sz w:val="24"/>
              </w:rPr>
              <w:t>×(1</w:t>
            </w:r>
            <w:r>
              <w:rPr>
                <w:rFonts w:eastAsia="MS Gothic"/>
                <w:color w:val="auto"/>
                <w:sz w:val="24"/>
              </w:rPr>
              <w:t>−</w:t>
            </w:r>
            <w:r>
              <w:rPr>
                <w:rFonts w:ascii="Cambria Math" w:hAnsi="Cambria Math" w:cs="Cambria Math"/>
                <w:color w:val="auto"/>
                <w:sz w:val="24"/>
              </w:rPr>
              <w:t>𝐶</w:t>
            </w:r>
            <w:r>
              <w:rPr>
                <w:rFonts w:ascii="Cambria Math" w:hAnsi="Cambria Math" w:cs="Cambria Math"/>
                <w:color w:val="auto"/>
                <w:sz w:val="24"/>
                <w:vertAlign w:val="subscript"/>
              </w:rPr>
              <w:t>𝑚</w:t>
            </w:r>
            <w:r>
              <w:rPr>
                <w:color w:val="auto"/>
                <w:sz w:val="24"/>
              </w:rPr>
              <w:t>)×(1</w:t>
            </w:r>
            <w:r>
              <w:rPr>
                <w:rFonts w:eastAsia="MS Gothic"/>
                <w:color w:val="auto"/>
                <w:sz w:val="24"/>
              </w:rPr>
              <w:t>−</w:t>
            </w:r>
            <w:r>
              <w:rPr>
                <w:rFonts w:ascii="Cambria Math" w:hAnsi="Cambria Math" w:cs="Cambria Math"/>
                <w:color w:val="auto"/>
                <w:sz w:val="24"/>
              </w:rPr>
              <w:t>𝑇</w:t>
            </w:r>
            <w:r>
              <w:rPr>
                <w:rFonts w:ascii="Cambria Math" w:hAnsi="Cambria Math" w:cs="Cambria Math"/>
                <w:color w:val="auto"/>
                <w:sz w:val="24"/>
                <w:vertAlign w:val="subscript"/>
              </w:rPr>
              <w:t>𝑚</w:t>
            </w:r>
            <w:r>
              <w:rPr>
                <w:color w:val="auto"/>
                <w:sz w:val="24"/>
              </w:rPr>
              <w:t>)</w:t>
            </w:r>
          </w:p>
          <w:p w14:paraId="64F9823F">
            <w:pPr>
              <w:spacing w:line="360" w:lineRule="auto"/>
              <w:ind w:firstLine="480" w:firstLineChars="200"/>
              <w:rPr>
                <w:color w:val="auto"/>
                <w:sz w:val="24"/>
              </w:rPr>
            </w:pPr>
            <w:r>
              <w:rPr>
                <w:color w:val="auto"/>
                <w:sz w:val="24"/>
              </w:rPr>
              <w:t>式中：P指颗粒物产生量（单位：吨）；</w:t>
            </w:r>
          </w:p>
          <w:p w14:paraId="259D0202">
            <w:pPr>
              <w:spacing w:line="360" w:lineRule="auto"/>
              <w:ind w:firstLine="1200" w:firstLineChars="500"/>
              <w:rPr>
                <w:color w:val="auto"/>
                <w:sz w:val="24"/>
              </w:rPr>
            </w:pPr>
            <w:r>
              <w:rPr>
                <w:color w:val="auto"/>
                <w:sz w:val="24"/>
              </w:rPr>
              <w:t>Uc指颗粒物排放量（单位：吨）；</w:t>
            </w:r>
          </w:p>
          <w:p w14:paraId="0D4D2201">
            <w:pPr>
              <w:spacing w:line="360" w:lineRule="auto"/>
              <w:ind w:firstLine="1200" w:firstLineChars="500"/>
              <w:rPr>
                <w:color w:val="auto"/>
                <w:sz w:val="24"/>
              </w:rPr>
            </w:pPr>
            <w:r>
              <w:rPr>
                <w:rFonts w:ascii="Cambria Math" w:hAnsi="Cambria Math" w:cs="Cambria Math"/>
                <w:color w:val="auto"/>
                <w:sz w:val="24"/>
              </w:rPr>
              <w:t>𝐶</w:t>
            </w:r>
            <w:r>
              <w:rPr>
                <w:rFonts w:ascii="Cambria Math" w:hAnsi="Cambria Math" w:cs="Cambria Math"/>
                <w:color w:val="auto"/>
                <w:sz w:val="24"/>
                <w:vertAlign w:val="subscript"/>
              </w:rPr>
              <w:t>𝑚</w:t>
            </w:r>
            <w:r>
              <w:rPr>
                <w:color w:val="auto"/>
                <w:sz w:val="24"/>
              </w:rPr>
              <w:t>指颗粒物控制措施控制效率（单位：%），见附录4，堆场采取</w:t>
            </w:r>
            <w:r>
              <w:rPr>
                <w:rFonts w:hint="eastAsia"/>
                <w:color w:val="auto"/>
                <w:sz w:val="24"/>
                <w:lang w:val="en-US" w:eastAsia="zh-CN"/>
              </w:rPr>
              <w:t>编织覆盖措施</w:t>
            </w:r>
            <w:r>
              <w:rPr>
                <w:color w:val="auto"/>
                <w:sz w:val="24"/>
              </w:rPr>
              <w:t>，则</w:t>
            </w:r>
            <w:r>
              <w:rPr>
                <w:rFonts w:ascii="Cambria Math" w:hAnsi="Cambria Math" w:cs="Cambria Math"/>
                <w:color w:val="auto"/>
                <w:sz w:val="24"/>
              </w:rPr>
              <w:t>𝐶</w:t>
            </w:r>
            <w:r>
              <w:rPr>
                <w:rFonts w:ascii="Cambria Math" w:hAnsi="Cambria Math" w:cs="Cambria Math"/>
                <w:color w:val="auto"/>
                <w:sz w:val="24"/>
                <w:vertAlign w:val="subscript"/>
              </w:rPr>
              <w:t>𝑚</w:t>
            </w:r>
            <w:r>
              <w:rPr>
                <w:color w:val="auto"/>
                <w:sz w:val="24"/>
              </w:rPr>
              <w:t>=</w:t>
            </w:r>
            <w:r>
              <w:rPr>
                <w:rFonts w:hint="eastAsia"/>
                <w:color w:val="auto"/>
                <w:sz w:val="24"/>
                <w:lang w:val="en-US" w:eastAsia="zh-CN"/>
              </w:rPr>
              <w:t>86</w:t>
            </w:r>
            <w:r>
              <w:rPr>
                <w:color w:val="auto"/>
                <w:sz w:val="24"/>
              </w:rPr>
              <w:t>%；</w:t>
            </w:r>
          </w:p>
          <w:p w14:paraId="7152FF7B">
            <w:pPr>
              <w:spacing w:line="360" w:lineRule="auto"/>
              <w:ind w:firstLine="1200" w:firstLineChars="500"/>
              <w:rPr>
                <w:rFonts w:hint="default" w:ascii="Times New Roman" w:hAnsi="Times New Roman" w:eastAsia="宋体" w:cs="Times New Roman"/>
                <w:b w:val="0"/>
                <w:bCs w:val="0"/>
                <w:color w:val="auto"/>
                <w:sz w:val="24"/>
                <w:szCs w:val="24"/>
                <w:lang w:val="en-US" w:eastAsia="zh-CN"/>
              </w:rPr>
            </w:pPr>
            <w:r>
              <w:rPr>
                <w:rFonts w:ascii="Cambria Math" w:hAnsi="Cambria Math" w:cs="Cambria Math"/>
                <w:color w:val="auto"/>
                <w:sz w:val="24"/>
              </w:rPr>
              <w:t>𝑇</w:t>
            </w:r>
            <w:r>
              <w:rPr>
                <w:rFonts w:ascii="Cambria Math" w:hAnsi="Cambria Math" w:cs="Cambria Math"/>
                <w:color w:val="auto"/>
                <w:sz w:val="24"/>
                <w:vertAlign w:val="subscript"/>
              </w:rPr>
              <w:t>𝑚</w:t>
            </w:r>
            <w:r>
              <w:rPr>
                <w:color w:val="auto"/>
                <w:sz w:val="24"/>
              </w:rPr>
              <w:t>指堆场类型控制效率（单位：%），</w:t>
            </w:r>
            <w:r>
              <w:rPr>
                <w:rFonts w:hint="eastAsia"/>
                <w:color w:val="auto"/>
                <w:sz w:val="24"/>
                <w:lang w:val="en-US" w:eastAsia="zh-CN"/>
              </w:rPr>
              <w:t>堆场</w:t>
            </w:r>
            <w:r>
              <w:rPr>
                <w:rFonts w:hint="eastAsia"/>
                <w:color w:val="auto"/>
                <w:sz w:val="24"/>
              </w:rPr>
              <w:t>为</w:t>
            </w:r>
            <w:r>
              <w:rPr>
                <w:rFonts w:hint="eastAsia"/>
                <w:color w:val="auto"/>
                <w:sz w:val="24"/>
                <w:lang w:val="en-US" w:eastAsia="zh-CN"/>
              </w:rPr>
              <w:t>顶棚遮挡+三面围挡</w:t>
            </w:r>
            <w:r>
              <w:rPr>
                <w:rFonts w:hint="eastAsia"/>
                <w:color w:val="auto"/>
                <w:sz w:val="24"/>
              </w:rPr>
              <w:t>，</w:t>
            </w:r>
            <w:r>
              <w:rPr>
                <w:rFonts w:ascii="Cambria Math" w:hAnsi="Cambria Math" w:cs="Cambria Math"/>
                <w:color w:val="auto"/>
                <w:sz w:val="24"/>
              </w:rPr>
              <w:t>𝑇</w:t>
            </w:r>
            <w:r>
              <w:rPr>
                <w:rFonts w:ascii="Cambria Math" w:hAnsi="Cambria Math" w:cs="Cambria Math"/>
                <w:color w:val="auto"/>
                <w:sz w:val="24"/>
                <w:vertAlign w:val="subscript"/>
              </w:rPr>
              <w:t>𝑚</w:t>
            </w:r>
            <w:r>
              <w:rPr>
                <w:color w:val="auto"/>
                <w:sz w:val="24"/>
              </w:rPr>
              <w:t>=</w:t>
            </w:r>
            <w:r>
              <w:rPr>
                <w:rFonts w:hint="eastAsia"/>
                <w:color w:val="auto"/>
                <w:sz w:val="24"/>
                <w:lang w:val="en-US" w:eastAsia="zh-CN"/>
              </w:rPr>
              <w:t>99</w:t>
            </w:r>
            <w:r>
              <w:rPr>
                <w:color w:val="auto"/>
                <w:sz w:val="24"/>
              </w:rPr>
              <w:t>%。</w:t>
            </w:r>
          </w:p>
          <w:p w14:paraId="38F97E8B">
            <w:pPr>
              <w:pStyle w:val="17"/>
              <w:spacing w:before="0" w:after="0" w:line="360" w:lineRule="auto"/>
              <w:ind w:firstLine="480" w:firstLineChars="200"/>
              <w:rPr>
                <w:rFonts w:hint="default"/>
                <w:color w:val="auto"/>
                <w:sz w:val="24"/>
                <w:lang w:val="en-US" w:eastAsia="zh-CN"/>
              </w:rPr>
            </w:pPr>
            <w:r>
              <w:rPr>
                <w:rFonts w:hint="eastAsia" w:cs="Times New Roman"/>
                <w:b w:val="0"/>
                <w:bCs w:val="0"/>
                <w:color w:val="auto"/>
                <w:sz w:val="24"/>
                <w:szCs w:val="24"/>
                <w:lang w:val="en-US" w:eastAsia="zh-CN"/>
              </w:rPr>
              <w:t>采用30t的载重车将原料运至堆场内，经计算，原料和成品装卸和堆存粉尘产生量为314.66t/a、43.70kg/h。本工程将原料和成品堆场进行</w:t>
            </w:r>
            <w:r>
              <w:rPr>
                <w:rFonts w:hint="eastAsia"/>
                <w:color w:val="auto"/>
                <w:sz w:val="24"/>
                <w:lang w:val="en-US" w:eastAsia="zh-CN"/>
              </w:rPr>
              <w:t>顶棚遮挡+三面围挡</w:t>
            </w:r>
            <w:r>
              <w:rPr>
                <w:rFonts w:hint="eastAsia" w:cs="Times New Roman"/>
                <w:b w:val="0"/>
                <w:bCs w:val="0"/>
                <w:color w:val="auto"/>
                <w:sz w:val="24"/>
                <w:szCs w:val="24"/>
                <w:lang w:val="en-US" w:eastAsia="zh-CN"/>
              </w:rPr>
              <w:t>，并采取</w:t>
            </w:r>
            <w:r>
              <w:rPr>
                <w:rFonts w:hint="eastAsia"/>
                <w:color w:val="auto"/>
                <w:sz w:val="24"/>
                <w:lang w:val="en-US" w:eastAsia="zh-CN"/>
              </w:rPr>
              <w:t>编织覆盖措施</w:t>
            </w:r>
            <w:r>
              <w:rPr>
                <w:rFonts w:hint="eastAsia" w:cs="Times New Roman"/>
                <w:b w:val="0"/>
                <w:bCs w:val="0"/>
                <w:color w:val="auto"/>
                <w:sz w:val="24"/>
                <w:szCs w:val="24"/>
                <w:lang w:val="en-US" w:eastAsia="zh-CN"/>
              </w:rPr>
              <w:t>，则原料和成品装卸和堆存粉尘排放量为0.44t/a、0.06kg/h，</w:t>
            </w:r>
            <w:r>
              <w:rPr>
                <w:rFonts w:hint="eastAsia" w:ascii="Times New Roman" w:hAnsi="Times New Roman" w:eastAsia="宋体" w:cs="Times New Roman"/>
                <w:color w:val="auto"/>
                <w:sz w:val="24"/>
                <w:szCs w:val="24"/>
                <w:lang w:val="en-US" w:eastAsia="zh-CN"/>
              </w:rPr>
              <w:t>呈</w:t>
            </w:r>
            <w:r>
              <w:rPr>
                <w:rFonts w:hint="default" w:ascii="Times New Roman" w:hAnsi="Times New Roman" w:eastAsia="宋体" w:cs="Times New Roman"/>
                <w:color w:val="auto"/>
                <w:sz w:val="24"/>
                <w:szCs w:val="24"/>
                <w:lang w:val="en-US" w:eastAsia="zh-CN"/>
              </w:rPr>
              <w:t>无组织形式排放。</w:t>
            </w:r>
          </w:p>
          <w:p w14:paraId="7C278559">
            <w:pPr>
              <w:pStyle w:val="17"/>
              <w:spacing w:before="0" w:after="0" w:line="240" w:lineRule="auto"/>
              <w:ind w:right="0" w:firstLine="482"/>
              <w:jc w:val="center"/>
              <w:rPr>
                <w:b/>
                <w:color w:val="auto"/>
                <w:sz w:val="24"/>
                <w:szCs w:val="24"/>
              </w:rPr>
            </w:pPr>
            <w:r>
              <w:rPr>
                <w:b/>
                <w:color w:val="auto"/>
                <w:kern w:val="2"/>
                <w:sz w:val="24"/>
                <w:szCs w:val="24"/>
              </w:rPr>
              <w:t>表4-</w:t>
            </w:r>
            <w:r>
              <w:rPr>
                <w:rFonts w:hint="eastAsia"/>
                <w:b/>
                <w:color w:val="auto"/>
                <w:kern w:val="2"/>
                <w:sz w:val="24"/>
                <w:szCs w:val="24"/>
                <w:lang w:val="en-US" w:eastAsia="zh-CN"/>
              </w:rPr>
              <w:t>1</w:t>
            </w:r>
            <w:r>
              <w:rPr>
                <w:rFonts w:hint="eastAsia"/>
                <w:b/>
                <w:color w:val="auto"/>
                <w:kern w:val="2"/>
                <w:sz w:val="24"/>
                <w:szCs w:val="24"/>
              </w:rPr>
              <w:t xml:space="preserve">  项目</w:t>
            </w:r>
            <w:r>
              <w:rPr>
                <w:rFonts w:hint="eastAsia"/>
                <w:b/>
                <w:color w:val="auto"/>
                <w:kern w:val="2"/>
                <w:sz w:val="24"/>
                <w:szCs w:val="24"/>
                <w:lang w:val="en-US" w:eastAsia="zh-CN"/>
              </w:rPr>
              <w:t>扩建</w:t>
            </w:r>
            <w:r>
              <w:rPr>
                <w:rFonts w:hint="eastAsia"/>
                <w:b/>
                <w:color w:val="auto"/>
                <w:kern w:val="2"/>
                <w:sz w:val="24"/>
                <w:szCs w:val="24"/>
              </w:rPr>
              <w:t>粉尘</w:t>
            </w:r>
            <w:r>
              <w:rPr>
                <w:b/>
                <w:color w:val="auto"/>
                <w:kern w:val="2"/>
                <w:sz w:val="24"/>
                <w:szCs w:val="24"/>
              </w:rPr>
              <w:t>排放情况表</w:t>
            </w:r>
          </w:p>
          <w:tbl>
            <w:tblPr>
              <w:tblStyle w:val="4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2"/>
              <w:gridCol w:w="1163"/>
              <w:gridCol w:w="1358"/>
              <w:gridCol w:w="948"/>
              <w:gridCol w:w="1053"/>
              <w:gridCol w:w="817"/>
              <w:gridCol w:w="908"/>
              <w:gridCol w:w="787"/>
              <w:gridCol w:w="773"/>
            </w:tblGrid>
            <w:tr w14:paraId="473A1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8" w:type="pct"/>
                  <w:gridSpan w:val="2"/>
                  <w:vAlign w:val="center"/>
                </w:tcPr>
                <w:p w14:paraId="5795B11D">
                  <w:pPr>
                    <w:jc w:val="center"/>
                    <w:rPr>
                      <w:color w:val="auto"/>
                      <w:sz w:val="21"/>
                      <w:szCs w:val="21"/>
                    </w:rPr>
                  </w:pPr>
                  <w:r>
                    <w:rPr>
                      <w:color w:val="auto"/>
                      <w:sz w:val="21"/>
                      <w:szCs w:val="21"/>
                    </w:rPr>
                    <w:t>产污排污环节</w:t>
                  </w:r>
                </w:p>
              </w:tc>
              <w:tc>
                <w:tcPr>
                  <w:tcW w:w="826" w:type="pct"/>
                  <w:vAlign w:val="center"/>
                </w:tcPr>
                <w:p w14:paraId="51A89CD9">
                  <w:pPr>
                    <w:jc w:val="center"/>
                    <w:rPr>
                      <w:rFonts w:hint="default" w:eastAsia="宋体"/>
                      <w:color w:val="auto"/>
                      <w:sz w:val="21"/>
                      <w:szCs w:val="21"/>
                      <w:lang w:val="en-US" w:eastAsia="zh-CN"/>
                    </w:rPr>
                  </w:pPr>
                  <w:r>
                    <w:rPr>
                      <w:rFonts w:hint="eastAsia"/>
                      <w:color w:val="auto"/>
                      <w:sz w:val="21"/>
                      <w:szCs w:val="21"/>
                      <w:lang w:val="en-US" w:eastAsia="zh-CN"/>
                    </w:rPr>
                    <w:t>石灰筒仓进料、卸料</w:t>
                  </w:r>
                </w:p>
              </w:tc>
              <w:tc>
                <w:tcPr>
                  <w:tcW w:w="576" w:type="pct"/>
                  <w:vAlign w:val="center"/>
                </w:tcPr>
                <w:p w14:paraId="402BCB66">
                  <w:pPr>
                    <w:jc w:val="center"/>
                    <w:rPr>
                      <w:rFonts w:hint="default" w:eastAsia="宋体"/>
                      <w:color w:val="auto"/>
                      <w:sz w:val="21"/>
                      <w:szCs w:val="21"/>
                      <w:lang w:val="en-US" w:eastAsia="zh-CN"/>
                    </w:rPr>
                  </w:pPr>
                  <w:r>
                    <w:rPr>
                      <w:rFonts w:hint="eastAsia"/>
                      <w:color w:val="auto"/>
                      <w:sz w:val="21"/>
                      <w:szCs w:val="21"/>
                      <w:lang w:val="en-US" w:eastAsia="zh-CN"/>
                    </w:rPr>
                    <w:t>电石渣筛分</w:t>
                  </w:r>
                </w:p>
              </w:tc>
              <w:tc>
                <w:tcPr>
                  <w:tcW w:w="640" w:type="pct"/>
                  <w:vAlign w:val="center"/>
                </w:tcPr>
                <w:p w14:paraId="70F604DF">
                  <w:pPr>
                    <w:jc w:val="center"/>
                    <w:rPr>
                      <w:color w:val="auto"/>
                      <w:sz w:val="21"/>
                      <w:szCs w:val="21"/>
                    </w:rPr>
                  </w:pPr>
                  <w:r>
                    <w:rPr>
                      <w:rFonts w:hint="eastAsia"/>
                      <w:color w:val="auto"/>
                      <w:sz w:val="21"/>
                      <w:szCs w:val="21"/>
                    </w:rPr>
                    <w:t>未被集气罩收集的颗粒物</w:t>
                  </w:r>
                </w:p>
              </w:tc>
              <w:tc>
                <w:tcPr>
                  <w:tcW w:w="496" w:type="pct"/>
                  <w:vAlign w:val="center"/>
                </w:tcPr>
                <w:p w14:paraId="34491336">
                  <w:pPr>
                    <w:jc w:val="center"/>
                    <w:rPr>
                      <w:rFonts w:hint="default" w:eastAsia="宋体"/>
                      <w:color w:val="auto"/>
                      <w:sz w:val="21"/>
                      <w:szCs w:val="21"/>
                      <w:lang w:val="en-US" w:eastAsia="zh-CN"/>
                    </w:rPr>
                  </w:pPr>
                  <w:r>
                    <w:rPr>
                      <w:rFonts w:hint="eastAsia"/>
                      <w:color w:val="auto"/>
                      <w:sz w:val="21"/>
                      <w:szCs w:val="21"/>
                      <w:lang w:val="en-US" w:eastAsia="zh-CN"/>
                    </w:rPr>
                    <w:t>装载机压碎</w:t>
                  </w:r>
                </w:p>
              </w:tc>
              <w:tc>
                <w:tcPr>
                  <w:tcW w:w="552" w:type="pct"/>
                  <w:vAlign w:val="center"/>
                </w:tcPr>
                <w:p w14:paraId="731DBCB1">
                  <w:pPr>
                    <w:jc w:val="center"/>
                    <w:rPr>
                      <w:rFonts w:hint="eastAsia" w:eastAsia="宋体"/>
                      <w:color w:val="auto"/>
                      <w:sz w:val="21"/>
                      <w:szCs w:val="21"/>
                      <w:lang w:val="en-US" w:eastAsia="zh-CN"/>
                    </w:rPr>
                  </w:pPr>
                  <w:r>
                    <w:rPr>
                      <w:rFonts w:hint="eastAsia"/>
                      <w:color w:val="auto"/>
                      <w:sz w:val="21"/>
                      <w:szCs w:val="21"/>
                      <w:lang w:val="en-US" w:eastAsia="zh-CN"/>
                    </w:rPr>
                    <w:t>搅拌</w:t>
                  </w:r>
                </w:p>
              </w:tc>
              <w:tc>
                <w:tcPr>
                  <w:tcW w:w="478" w:type="pct"/>
                  <w:vAlign w:val="center"/>
                </w:tcPr>
                <w:p w14:paraId="07FBD5A3">
                  <w:pPr>
                    <w:jc w:val="center"/>
                    <w:rPr>
                      <w:color w:val="auto"/>
                      <w:sz w:val="21"/>
                      <w:szCs w:val="21"/>
                    </w:rPr>
                  </w:pPr>
                  <w:r>
                    <w:rPr>
                      <w:rFonts w:hint="eastAsia"/>
                      <w:color w:val="auto"/>
                      <w:sz w:val="21"/>
                      <w:szCs w:val="21"/>
                    </w:rPr>
                    <w:t>皮带输送、计量</w:t>
                  </w:r>
                </w:p>
              </w:tc>
              <w:tc>
                <w:tcPr>
                  <w:tcW w:w="470" w:type="pct"/>
                  <w:vAlign w:val="center"/>
                </w:tcPr>
                <w:p w14:paraId="3993E098">
                  <w:pPr>
                    <w:jc w:val="center"/>
                    <w:rPr>
                      <w:color w:val="auto"/>
                      <w:sz w:val="21"/>
                      <w:szCs w:val="21"/>
                    </w:rPr>
                  </w:pPr>
                  <w:r>
                    <w:rPr>
                      <w:rFonts w:hint="eastAsia"/>
                      <w:color w:val="auto"/>
                      <w:sz w:val="21"/>
                      <w:szCs w:val="21"/>
                      <w:lang w:val="en-US" w:eastAsia="zh-CN"/>
                    </w:rPr>
                    <w:t>原料及成品堆场</w:t>
                  </w:r>
                </w:p>
              </w:tc>
            </w:tr>
            <w:tr w14:paraId="13E56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8" w:type="pct"/>
                  <w:gridSpan w:val="2"/>
                  <w:vAlign w:val="center"/>
                </w:tcPr>
                <w:p w14:paraId="77452E2F">
                  <w:pPr>
                    <w:jc w:val="center"/>
                    <w:rPr>
                      <w:color w:val="auto"/>
                      <w:sz w:val="21"/>
                      <w:szCs w:val="21"/>
                    </w:rPr>
                  </w:pPr>
                  <w:r>
                    <w:rPr>
                      <w:color w:val="auto"/>
                      <w:sz w:val="21"/>
                      <w:szCs w:val="21"/>
                    </w:rPr>
                    <w:t>污染物种类</w:t>
                  </w:r>
                </w:p>
              </w:tc>
              <w:tc>
                <w:tcPr>
                  <w:tcW w:w="4041" w:type="pct"/>
                  <w:gridSpan w:val="7"/>
                  <w:vAlign w:val="center"/>
                </w:tcPr>
                <w:p w14:paraId="1DA5AC11">
                  <w:pPr>
                    <w:jc w:val="center"/>
                    <w:rPr>
                      <w:color w:val="auto"/>
                      <w:sz w:val="21"/>
                      <w:szCs w:val="21"/>
                    </w:rPr>
                  </w:pPr>
                  <w:r>
                    <w:rPr>
                      <w:rFonts w:hint="eastAsia"/>
                      <w:color w:val="auto"/>
                      <w:sz w:val="21"/>
                      <w:szCs w:val="21"/>
                    </w:rPr>
                    <w:t>颗粒物</w:t>
                  </w:r>
                </w:p>
              </w:tc>
            </w:tr>
            <w:tr w14:paraId="4FAF7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8" w:type="pct"/>
                  <w:gridSpan w:val="2"/>
                  <w:vAlign w:val="center"/>
                </w:tcPr>
                <w:p w14:paraId="6FDB5E12">
                  <w:pPr>
                    <w:jc w:val="center"/>
                    <w:rPr>
                      <w:color w:val="auto"/>
                      <w:sz w:val="21"/>
                      <w:szCs w:val="21"/>
                    </w:rPr>
                  </w:pPr>
                  <w:r>
                    <w:rPr>
                      <w:color w:val="auto"/>
                      <w:sz w:val="21"/>
                      <w:szCs w:val="21"/>
                    </w:rPr>
                    <w:t>污染物产生量（t/a）</w:t>
                  </w:r>
                </w:p>
              </w:tc>
              <w:tc>
                <w:tcPr>
                  <w:tcW w:w="826" w:type="pct"/>
                  <w:vAlign w:val="center"/>
                </w:tcPr>
                <w:p w14:paraId="0B11C6E1">
                  <w:pPr>
                    <w:jc w:val="center"/>
                    <w:rPr>
                      <w:rFonts w:hint="default" w:eastAsia="宋体"/>
                      <w:color w:val="auto"/>
                      <w:sz w:val="21"/>
                      <w:szCs w:val="21"/>
                      <w:lang w:val="en-US" w:eastAsia="zh-CN"/>
                    </w:rPr>
                  </w:pPr>
                  <w:r>
                    <w:rPr>
                      <w:rFonts w:hint="eastAsia"/>
                      <w:color w:val="auto"/>
                      <w:sz w:val="21"/>
                      <w:szCs w:val="21"/>
                      <w:lang w:val="en-US" w:eastAsia="zh-CN"/>
                    </w:rPr>
                    <w:t>42.11</w:t>
                  </w:r>
                </w:p>
              </w:tc>
              <w:tc>
                <w:tcPr>
                  <w:tcW w:w="576" w:type="pct"/>
                  <w:vAlign w:val="center"/>
                </w:tcPr>
                <w:p w14:paraId="31622A43">
                  <w:pPr>
                    <w:jc w:val="center"/>
                    <w:rPr>
                      <w:rFonts w:hint="default" w:eastAsia="宋体"/>
                      <w:color w:val="auto"/>
                      <w:sz w:val="21"/>
                      <w:szCs w:val="21"/>
                      <w:lang w:val="en-US" w:eastAsia="zh-CN"/>
                    </w:rPr>
                  </w:pPr>
                  <w:r>
                    <w:rPr>
                      <w:rFonts w:hint="eastAsia"/>
                      <w:color w:val="auto"/>
                      <w:sz w:val="21"/>
                      <w:szCs w:val="21"/>
                      <w:lang w:val="en-US" w:eastAsia="zh-CN"/>
                    </w:rPr>
                    <w:t>7.875</w:t>
                  </w:r>
                </w:p>
              </w:tc>
              <w:tc>
                <w:tcPr>
                  <w:tcW w:w="640" w:type="pct"/>
                  <w:vAlign w:val="center"/>
                </w:tcPr>
                <w:p w14:paraId="73F39FEA">
                  <w:pPr>
                    <w:jc w:val="center"/>
                    <w:rPr>
                      <w:rFonts w:hint="default" w:eastAsia="宋体"/>
                      <w:color w:val="auto"/>
                      <w:sz w:val="21"/>
                      <w:szCs w:val="21"/>
                      <w:lang w:val="en-US" w:eastAsia="zh-CN"/>
                    </w:rPr>
                  </w:pPr>
                  <w:r>
                    <w:rPr>
                      <w:rFonts w:hint="eastAsia"/>
                      <w:color w:val="auto"/>
                      <w:sz w:val="21"/>
                      <w:szCs w:val="21"/>
                      <w:lang w:val="en-US" w:eastAsia="zh-CN"/>
                    </w:rPr>
                    <w:t>0.875</w:t>
                  </w:r>
                </w:p>
              </w:tc>
              <w:tc>
                <w:tcPr>
                  <w:tcW w:w="496" w:type="pct"/>
                  <w:vAlign w:val="center"/>
                </w:tcPr>
                <w:p w14:paraId="16A364B8">
                  <w:pPr>
                    <w:jc w:val="center"/>
                    <w:rPr>
                      <w:rFonts w:hint="default" w:eastAsia="宋体"/>
                      <w:color w:val="auto"/>
                      <w:sz w:val="21"/>
                      <w:szCs w:val="21"/>
                      <w:lang w:val="en-US" w:eastAsia="zh-CN"/>
                    </w:rPr>
                  </w:pPr>
                  <w:r>
                    <w:rPr>
                      <w:rFonts w:hint="eastAsia"/>
                      <w:color w:val="auto"/>
                      <w:sz w:val="21"/>
                      <w:szCs w:val="21"/>
                      <w:lang w:val="en-US" w:eastAsia="zh-CN"/>
                    </w:rPr>
                    <w:t>0.0038</w:t>
                  </w:r>
                </w:p>
              </w:tc>
              <w:tc>
                <w:tcPr>
                  <w:tcW w:w="552" w:type="pct"/>
                  <w:vAlign w:val="center"/>
                </w:tcPr>
                <w:p w14:paraId="2FE5C05B">
                  <w:pPr>
                    <w:jc w:val="center"/>
                    <w:rPr>
                      <w:rFonts w:hint="default" w:eastAsia="宋体"/>
                      <w:color w:val="auto"/>
                      <w:sz w:val="21"/>
                      <w:szCs w:val="21"/>
                      <w:lang w:val="en-US" w:eastAsia="zh-CN"/>
                    </w:rPr>
                  </w:pPr>
                  <w:r>
                    <w:rPr>
                      <w:rFonts w:hint="eastAsia"/>
                      <w:color w:val="auto"/>
                      <w:sz w:val="21"/>
                      <w:szCs w:val="21"/>
                      <w:lang w:val="en-US" w:eastAsia="zh-CN"/>
                    </w:rPr>
                    <w:t>13.23</w:t>
                  </w:r>
                </w:p>
              </w:tc>
              <w:tc>
                <w:tcPr>
                  <w:tcW w:w="478" w:type="pct"/>
                  <w:vAlign w:val="center"/>
                </w:tcPr>
                <w:p w14:paraId="1346C534">
                  <w:pPr>
                    <w:jc w:val="center"/>
                    <w:rPr>
                      <w:rFonts w:hint="default" w:eastAsia="宋体"/>
                      <w:color w:val="auto"/>
                      <w:sz w:val="21"/>
                      <w:szCs w:val="21"/>
                      <w:lang w:val="en-US" w:eastAsia="zh-CN"/>
                    </w:rPr>
                  </w:pPr>
                  <w:r>
                    <w:rPr>
                      <w:rFonts w:hint="eastAsia"/>
                      <w:color w:val="auto"/>
                      <w:sz w:val="21"/>
                      <w:szCs w:val="21"/>
                      <w:lang w:val="en-US" w:eastAsia="zh-CN"/>
                    </w:rPr>
                    <w:t>2.65</w:t>
                  </w:r>
                </w:p>
              </w:tc>
              <w:tc>
                <w:tcPr>
                  <w:tcW w:w="470" w:type="pct"/>
                  <w:vAlign w:val="center"/>
                </w:tcPr>
                <w:p w14:paraId="6DA3A3FE">
                  <w:pPr>
                    <w:jc w:val="center"/>
                    <w:rPr>
                      <w:rFonts w:hint="default" w:eastAsia="宋体"/>
                      <w:color w:val="auto"/>
                      <w:sz w:val="21"/>
                      <w:szCs w:val="21"/>
                      <w:lang w:val="en-US" w:eastAsia="zh-CN"/>
                    </w:rPr>
                  </w:pPr>
                  <w:r>
                    <w:rPr>
                      <w:rFonts w:hint="eastAsia"/>
                      <w:color w:val="auto"/>
                      <w:sz w:val="21"/>
                      <w:szCs w:val="21"/>
                      <w:lang w:val="en-US" w:eastAsia="zh-CN"/>
                    </w:rPr>
                    <w:t>314.66</w:t>
                  </w:r>
                </w:p>
              </w:tc>
            </w:tr>
            <w:tr w14:paraId="62B3D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8" w:type="pct"/>
                  <w:gridSpan w:val="2"/>
                  <w:vAlign w:val="center"/>
                </w:tcPr>
                <w:p w14:paraId="21770C34">
                  <w:pPr>
                    <w:jc w:val="center"/>
                    <w:rPr>
                      <w:color w:val="auto"/>
                      <w:sz w:val="21"/>
                      <w:szCs w:val="21"/>
                    </w:rPr>
                  </w:pPr>
                  <w:r>
                    <w:rPr>
                      <w:color w:val="auto"/>
                      <w:sz w:val="21"/>
                      <w:szCs w:val="21"/>
                    </w:rPr>
                    <w:t>污染物产生速率（</w:t>
                  </w:r>
                  <w:r>
                    <w:rPr>
                      <w:rFonts w:hint="eastAsia"/>
                      <w:color w:val="auto"/>
                      <w:sz w:val="21"/>
                      <w:szCs w:val="21"/>
                    </w:rPr>
                    <w:t>kg/h</w:t>
                  </w:r>
                  <w:r>
                    <w:rPr>
                      <w:color w:val="auto"/>
                      <w:sz w:val="21"/>
                      <w:szCs w:val="21"/>
                    </w:rPr>
                    <w:t>）</w:t>
                  </w:r>
                </w:p>
              </w:tc>
              <w:tc>
                <w:tcPr>
                  <w:tcW w:w="826" w:type="pct"/>
                  <w:vAlign w:val="center"/>
                </w:tcPr>
                <w:p w14:paraId="0741C001">
                  <w:pPr>
                    <w:jc w:val="center"/>
                    <w:rPr>
                      <w:rFonts w:hint="default" w:eastAsia="宋体"/>
                      <w:color w:val="auto"/>
                      <w:sz w:val="21"/>
                      <w:szCs w:val="21"/>
                      <w:lang w:val="en-US" w:eastAsia="zh-CN"/>
                    </w:rPr>
                  </w:pPr>
                  <w:r>
                    <w:rPr>
                      <w:rFonts w:hint="eastAsia"/>
                      <w:color w:val="auto"/>
                      <w:sz w:val="21"/>
                      <w:szCs w:val="21"/>
                      <w:lang w:val="en-US" w:eastAsia="zh-CN"/>
                    </w:rPr>
                    <w:t>5.85</w:t>
                  </w:r>
                </w:p>
              </w:tc>
              <w:tc>
                <w:tcPr>
                  <w:tcW w:w="576" w:type="pct"/>
                  <w:vAlign w:val="center"/>
                </w:tcPr>
                <w:p w14:paraId="188382A1">
                  <w:pPr>
                    <w:jc w:val="center"/>
                    <w:rPr>
                      <w:rFonts w:hint="default" w:eastAsia="宋体"/>
                      <w:color w:val="auto"/>
                      <w:sz w:val="21"/>
                      <w:szCs w:val="21"/>
                      <w:lang w:val="en-US" w:eastAsia="zh-CN"/>
                    </w:rPr>
                  </w:pPr>
                  <w:r>
                    <w:rPr>
                      <w:rFonts w:hint="eastAsia"/>
                      <w:color w:val="auto"/>
                      <w:sz w:val="21"/>
                      <w:szCs w:val="21"/>
                      <w:lang w:val="en-US" w:eastAsia="zh-CN"/>
                    </w:rPr>
                    <w:t>1.09</w:t>
                  </w:r>
                </w:p>
              </w:tc>
              <w:tc>
                <w:tcPr>
                  <w:tcW w:w="640" w:type="pct"/>
                  <w:vAlign w:val="center"/>
                </w:tcPr>
                <w:p w14:paraId="12901E4A">
                  <w:pPr>
                    <w:jc w:val="center"/>
                    <w:rPr>
                      <w:rFonts w:hint="default" w:eastAsia="宋体"/>
                      <w:color w:val="auto"/>
                      <w:sz w:val="21"/>
                      <w:szCs w:val="21"/>
                      <w:lang w:val="en-US" w:eastAsia="zh-CN"/>
                    </w:rPr>
                  </w:pPr>
                  <w:r>
                    <w:rPr>
                      <w:rFonts w:hint="eastAsia"/>
                      <w:color w:val="auto"/>
                      <w:sz w:val="21"/>
                      <w:szCs w:val="21"/>
                      <w:lang w:val="en-US" w:eastAsia="zh-CN"/>
                    </w:rPr>
                    <w:t>0.12</w:t>
                  </w:r>
                </w:p>
              </w:tc>
              <w:tc>
                <w:tcPr>
                  <w:tcW w:w="496" w:type="pct"/>
                  <w:vAlign w:val="center"/>
                </w:tcPr>
                <w:p w14:paraId="4A955BC0">
                  <w:pPr>
                    <w:jc w:val="center"/>
                    <w:rPr>
                      <w:rFonts w:hint="default" w:eastAsia="宋体"/>
                      <w:color w:val="auto"/>
                      <w:sz w:val="21"/>
                      <w:szCs w:val="21"/>
                      <w:lang w:val="en-US" w:eastAsia="zh-CN"/>
                    </w:rPr>
                  </w:pPr>
                  <w:r>
                    <w:rPr>
                      <w:rFonts w:hint="eastAsia"/>
                      <w:color w:val="auto"/>
                      <w:sz w:val="21"/>
                      <w:szCs w:val="21"/>
                      <w:lang w:val="en-US" w:eastAsia="zh-CN"/>
                    </w:rPr>
                    <w:t>0.0016</w:t>
                  </w:r>
                </w:p>
              </w:tc>
              <w:tc>
                <w:tcPr>
                  <w:tcW w:w="552" w:type="pct"/>
                  <w:vAlign w:val="center"/>
                </w:tcPr>
                <w:p w14:paraId="7EF40E7A">
                  <w:pPr>
                    <w:jc w:val="center"/>
                    <w:rPr>
                      <w:rFonts w:hint="default" w:eastAsia="宋体"/>
                      <w:color w:val="auto"/>
                      <w:sz w:val="21"/>
                      <w:szCs w:val="21"/>
                      <w:lang w:val="en-US" w:eastAsia="zh-CN"/>
                    </w:rPr>
                  </w:pPr>
                  <w:r>
                    <w:rPr>
                      <w:rFonts w:hint="eastAsia"/>
                      <w:color w:val="auto"/>
                      <w:sz w:val="21"/>
                      <w:szCs w:val="21"/>
                      <w:lang w:val="en-US" w:eastAsia="zh-CN"/>
                    </w:rPr>
                    <w:t>1.84</w:t>
                  </w:r>
                </w:p>
              </w:tc>
              <w:tc>
                <w:tcPr>
                  <w:tcW w:w="478" w:type="pct"/>
                  <w:vAlign w:val="center"/>
                </w:tcPr>
                <w:p w14:paraId="0B61CB72">
                  <w:pPr>
                    <w:jc w:val="center"/>
                    <w:rPr>
                      <w:rFonts w:hint="default" w:eastAsia="宋体"/>
                      <w:color w:val="auto"/>
                      <w:sz w:val="21"/>
                      <w:szCs w:val="21"/>
                      <w:lang w:val="en-US" w:eastAsia="zh-CN"/>
                    </w:rPr>
                  </w:pPr>
                  <w:r>
                    <w:rPr>
                      <w:rFonts w:hint="eastAsia"/>
                      <w:color w:val="auto"/>
                      <w:sz w:val="21"/>
                      <w:szCs w:val="21"/>
                      <w:lang w:val="en-US" w:eastAsia="zh-CN"/>
                    </w:rPr>
                    <w:t>0.37</w:t>
                  </w:r>
                </w:p>
              </w:tc>
              <w:tc>
                <w:tcPr>
                  <w:tcW w:w="470" w:type="pct"/>
                  <w:vAlign w:val="center"/>
                </w:tcPr>
                <w:p w14:paraId="6DD1E3EA">
                  <w:pPr>
                    <w:jc w:val="center"/>
                    <w:rPr>
                      <w:rFonts w:hint="default" w:eastAsia="宋体"/>
                      <w:color w:val="auto"/>
                      <w:sz w:val="21"/>
                      <w:szCs w:val="21"/>
                      <w:lang w:val="en-US" w:eastAsia="zh-CN"/>
                    </w:rPr>
                  </w:pPr>
                  <w:r>
                    <w:rPr>
                      <w:rFonts w:hint="eastAsia"/>
                      <w:color w:val="auto"/>
                      <w:sz w:val="21"/>
                      <w:szCs w:val="21"/>
                      <w:lang w:val="en-US" w:eastAsia="zh-CN"/>
                    </w:rPr>
                    <w:t>43.70</w:t>
                  </w:r>
                </w:p>
              </w:tc>
            </w:tr>
            <w:tr w14:paraId="493F1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8" w:type="pct"/>
                  <w:gridSpan w:val="2"/>
                  <w:vAlign w:val="center"/>
                </w:tcPr>
                <w:p w14:paraId="4535EDAF">
                  <w:pPr>
                    <w:jc w:val="center"/>
                    <w:rPr>
                      <w:color w:val="auto"/>
                      <w:sz w:val="21"/>
                      <w:szCs w:val="21"/>
                    </w:rPr>
                  </w:pPr>
                  <w:r>
                    <w:rPr>
                      <w:color w:val="auto"/>
                      <w:sz w:val="21"/>
                      <w:szCs w:val="21"/>
                    </w:rPr>
                    <w:t>污染物产生浓度（mg/m</w:t>
                  </w:r>
                  <w:r>
                    <w:rPr>
                      <w:color w:val="auto"/>
                      <w:sz w:val="21"/>
                      <w:szCs w:val="21"/>
                      <w:vertAlign w:val="superscript"/>
                    </w:rPr>
                    <w:t>3</w:t>
                  </w:r>
                  <w:r>
                    <w:rPr>
                      <w:color w:val="auto"/>
                      <w:sz w:val="21"/>
                      <w:szCs w:val="21"/>
                    </w:rPr>
                    <w:t>）</w:t>
                  </w:r>
                </w:p>
              </w:tc>
              <w:tc>
                <w:tcPr>
                  <w:tcW w:w="826" w:type="pct"/>
                  <w:vAlign w:val="center"/>
                </w:tcPr>
                <w:p w14:paraId="73167645">
                  <w:pPr>
                    <w:jc w:val="center"/>
                    <w:rPr>
                      <w:rFonts w:hint="default" w:eastAsia="宋体"/>
                      <w:color w:val="auto"/>
                      <w:sz w:val="21"/>
                      <w:szCs w:val="21"/>
                      <w:lang w:val="en-US" w:eastAsia="zh-CN"/>
                    </w:rPr>
                  </w:pPr>
                  <w:r>
                    <w:rPr>
                      <w:rFonts w:hint="eastAsia"/>
                      <w:color w:val="auto"/>
                      <w:sz w:val="21"/>
                      <w:szCs w:val="21"/>
                      <w:lang w:val="en-US" w:eastAsia="zh-CN"/>
                    </w:rPr>
                    <w:t>1169.72</w:t>
                  </w:r>
                </w:p>
              </w:tc>
              <w:tc>
                <w:tcPr>
                  <w:tcW w:w="576" w:type="pct"/>
                  <w:vAlign w:val="center"/>
                </w:tcPr>
                <w:p w14:paraId="21C84904">
                  <w:pPr>
                    <w:jc w:val="center"/>
                    <w:rPr>
                      <w:rFonts w:hint="default" w:eastAsia="宋体"/>
                      <w:color w:val="auto"/>
                      <w:sz w:val="21"/>
                      <w:szCs w:val="21"/>
                      <w:lang w:val="en-US" w:eastAsia="zh-CN"/>
                    </w:rPr>
                  </w:pPr>
                  <w:r>
                    <w:rPr>
                      <w:rFonts w:hint="eastAsia"/>
                      <w:color w:val="auto"/>
                      <w:sz w:val="21"/>
                      <w:szCs w:val="21"/>
                      <w:lang w:val="en-US" w:eastAsia="zh-CN"/>
                    </w:rPr>
                    <w:t>218.75</w:t>
                  </w:r>
                </w:p>
              </w:tc>
              <w:tc>
                <w:tcPr>
                  <w:tcW w:w="640" w:type="pct"/>
                  <w:vAlign w:val="center"/>
                </w:tcPr>
                <w:p w14:paraId="554B3972">
                  <w:pPr>
                    <w:jc w:val="center"/>
                    <w:rPr>
                      <w:color w:val="auto"/>
                      <w:sz w:val="21"/>
                      <w:szCs w:val="21"/>
                    </w:rPr>
                  </w:pPr>
                  <w:r>
                    <w:rPr>
                      <w:rFonts w:hint="eastAsia"/>
                      <w:color w:val="auto"/>
                      <w:sz w:val="21"/>
                      <w:szCs w:val="21"/>
                    </w:rPr>
                    <w:t>/</w:t>
                  </w:r>
                </w:p>
              </w:tc>
              <w:tc>
                <w:tcPr>
                  <w:tcW w:w="496" w:type="pct"/>
                  <w:vAlign w:val="center"/>
                </w:tcPr>
                <w:p w14:paraId="38247E30">
                  <w:pPr>
                    <w:jc w:val="center"/>
                    <w:rPr>
                      <w:rFonts w:hint="eastAsia"/>
                      <w:color w:val="auto"/>
                      <w:sz w:val="21"/>
                      <w:szCs w:val="21"/>
                    </w:rPr>
                  </w:pPr>
                  <w:r>
                    <w:rPr>
                      <w:rFonts w:hint="eastAsia"/>
                      <w:color w:val="auto"/>
                      <w:sz w:val="21"/>
                      <w:szCs w:val="21"/>
                    </w:rPr>
                    <w:t>/</w:t>
                  </w:r>
                </w:p>
              </w:tc>
              <w:tc>
                <w:tcPr>
                  <w:tcW w:w="552" w:type="pct"/>
                  <w:vAlign w:val="center"/>
                </w:tcPr>
                <w:p w14:paraId="6E1BFA16">
                  <w:pPr>
                    <w:jc w:val="center"/>
                    <w:rPr>
                      <w:color w:val="auto"/>
                      <w:sz w:val="21"/>
                      <w:szCs w:val="21"/>
                    </w:rPr>
                  </w:pPr>
                  <w:r>
                    <w:rPr>
                      <w:rFonts w:hint="eastAsia"/>
                      <w:color w:val="auto"/>
                      <w:sz w:val="21"/>
                      <w:szCs w:val="21"/>
                    </w:rPr>
                    <w:t>/</w:t>
                  </w:r>
                </w:p>
              </w:tc>
              <w:tc>
                <w:tcPr>
                  <w:tcW w:w="478" w:type="pct"/>
                  <w:vAlign w:val="center"/>
                </w:tcPr>
                <w:p w14:paraId="560F238A">
                  <w:pPr>
                    <w:jc w:val="center"/>
                    <w:rPr>
                      <w:color w:val="auto"/>
                      <w:sz w:val="21"/>
                      <w:szCs w:val="21"/>
                    </w:rPr>
                  </w:pPr>
                  <w:r>
                    <w:rPr>
                      <w:rFonts w:hint="eastAsia"/>
                      <w:color w:val="auto"/>
                      <w:sz w:val="21"/>
                      <w:szCs w:val="21"/>
                    </w:rPr>
                    <w:t>/</w:t>
                  </w:r>
                </w:p>
              </w:tc>
              <w:tc>
                <w:tcPr>
                  <w:tcW w:w="470" w:type="pct"/>
                  <w:vAlign w:val="center"/>
                </w:tcPr>
                <w:p w14:paraId="4C1CA67F">
                  <w:pPr>
                    <w:jc w:val="center"/>
                    <w:rPr>
                      <w:color w:val="auto"/>
                      <w:sz w:val="21"/>
                      <w:szCs w:val="21"/>
                    </w:rPr>
                  </w:pPr>
                  <w:r>
                    <w:rPr>
                      <w:rFonts w:hint="eastAsia"/>
                      <w:color w:val="auto"/>
                      <w:sz w:val="21"/>
                      <w:szCs w:val="21"/>
                    </w:rPr>
                    <w:t>/</w:t>
                  </w:r>
                </w:p>
              </w:tc>
            </w:tr>
            <w:tr w14:paraId="1DFBD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8" w:type="pct"/>
                  <w:gridSpan w:val="2"/>
                  <w:vAlign w:val="center"/>
                </w:tcPr>
                <w:p w14:paraId="7003C9FF">
                  <w:pPr>
                    <w:jc w:val="center"/>
                    <w:rPr>
                      <w:color w:val="auto"/>
                      <w:sz w:val="21"/>
                      <w:szCs w:val="21"/>
                    </w:rPr>
                  </w:pPr>
                  <w:r>
                    <w:rPr>
                      <w:color w:val="auto"/>
                      <w:sz w:val="21"/>
                      <w:szCs w:val="21"/>
                    </w:rPr>
                    <w:t>排放形式</w:t>
                  </w:r>
                </w:p>
              </w:tc>
              <w:tc>
                <w:tcPr>
                  <w:tcW w:w="1402" w:type="pct"/>
                  <w:gridSpan w:val="2"/>
                  <w:vAlign w:val="center"/>
                </w:tcPr>
                <w:p w14:paraId="6ADB6EC3">
                  <w:pPr>
                    <w:jc w:val="center"/>
                    <w:rPr>
                      <w:rFonts w:hint="eastAsia"/>
                      <w:color w:val="auto"/>
                      <w:sz w:val="21"/>
                      <w:szCs w:val="21"/>
                    </w:rPr>
                  </w:pPr>
                  <w:r>
                    <w:rPr>
                      <w:rFonts w:hint="eastAsia"/>
                      <w:color w:val="auto"/>
                      <w:sz w:val="21"/>
                      <w:szCs w:val="21"/>
                    </w:rPr>
                    <w:t>有组织（DA0</w:t>
                  </w:r>
                  <w:r>
                    <w:rPr>
                      <w:rFonts w:hint="eastAsia"/>
                      <w:color w:val="auto"/>
                      <w:sz w:val="21"/>
                      <w:szCs w:val="21"/>
                      <w:lang w:val="en-US" w:eastAsia="zh-CN"/>
                    </w:rPr>
                    <w:t>08</w:t>
                  </w:r>
                  <w:r>
                    <w:rPr>
                      <w:rFonts w:hint="eastAsia"/>
                      <w:color w:val="auto"/>
                      <w:sz w:val="21"/>
                      <w:szCs w:val="21"/>
                    </w:rPr>
                    <w:t>）</w:t>
                  </w:r>
                </w:p>
              </w:tc>
              <w:tc>
                <w:tcPr>
                  <w:tcW w:w="640" w:type="pct"/>
                  <w:vAlign w:val="center"/>
                </w:tcPr>
                <w:p w14:paraId="3A6F91AD">
                  <w:pPr>
                    <w:jc w:val="center"/>
                    <w:rPr>
                      <w:color w:val="auto"/>
                      <w:sz w:val="21"/>
                      <w:szCs w:val="21"/>
                    </w:rPr>
                  </w:pPr>
                  <w:r>
                    <w:rPr>
                      <w:rFonts w:hint="eastAsia"/>
                      <w:color w:val="auto"/>
                      <w:sz w:val="21"/>
                      <w:szCs w:val="21"/>
                    </w:rPr>
                    <w:t>无组织</w:t>
                  </w:r>
                </w:p>
              </w:tc>
              <w:tc>
                <w:tcPr>
                  <w:tcW w:w="496" w:type="pct"/>
                  <w:vAlign w:val="center"/>
                </w:tcPr>
                <w:p w14:paraId="27011C8B">
                  <w:pPr>
                    <w:jc w:val="center"/>
                    <w:rPr>
                      <w:rFonts w:hint="eastAsia"/>
                      <w:color w:val="auto"/>
                      <w:sz w:val="21"/>
                      <w:szCs w:val="21"/>
                    </w:rPr>
                  </w:pPr>
                  <w:r>
                    <w:rPr>
                      <w:rFonts w:hint="eastAsia"/>
                      <w:color w:val="auto"/>
                      <w:sz w:val="21"/>
                      <w:szCs w:val="21"/>
                    </w:rPr>
                    <w:t>无组织</w:t>
                  </w:r>
                </w:p>
              </w:tc>
              <w:tc>
                <w:tcPr>
                  <w:tcW w:w="552" w:type="pct"/>
                  <w:vAlign w:val="center"/>
                </w:tcPr>
                <w:p w14:paraId="6E8664CF">
                  <w:pPr>
                    <w:jc w:val="center"/>
                    <w:rPr>
                      <w:color w:val="auto"/>
                      <w:sz w:val="21"/>
                      <w:szCs w:val="21"/>
                    </w:rPr>
                  </w:pPr>
                  <w:r>
                    <w:rPr>
                      <w:rFonts w:hint="eastAsia"/>
                      <w:color w:val="auto"/>
                      <w:sz w:val="21"/>
                      <w:szCs w:val="21"/>
                    </w:rPr>
                    <w:t>无组织</w:t>
                  </w:r>
                </w:p>
              </w:tc>
              <w:tc>
                <w:tcPr>
                  <w:tcW w:w="478" w:type="pct"/>
                  <w:vAlign w:val="center"/>
                </w:tcPr>
                <w:p w14:paraId="7D9AD4DF">
                  <w:pPr>
                    <w:jc w:val="center"/>
                    <w:rPr>
                      <w:color w:val="auto"/>
                      <w:sz w:val="21"/>
                      <w:szCs w:val="21"/>
                    </w:rPr>
                  </w:pPr>
                  <w:r>
                    <w:rPr>
                      <w:color w:val="auto"/>
                      <w:sz w:val="21"/>
                      <w:szCs w:val="21"/>
                    </w:rPr>
                    <w:t>无组织</w:t>
                  </w:r>
                </w:p>
              </w:tc>
              <w:tc>
                <w:tcPr>
                  <w:tcW w:w="470" w:type="pct"/>
                  <w:vAlign w:val="center"/>
                </w:tcPr>
                <w:p w14:paraId="0BE8091B">
                  <w:pPr>
                    <w:jc w:val="center"/>
                    <w:rPr>
                      <w:color w:val="auto"/>
                      <w:sz w:val="21"/>
                      <w:szCs w:val="21"/>
                    </w:rPr>
                  </w:pPr>
                  <w:r>
                    <w:rPr>
                      <w:color w:val="auto"/>
                      <w:sz w:val="21"/>
                      <w:szCs w:val="21"/>
                    </w:rPr>
                    <w:t>无组织</w:t>
                  </w:r>
                </w:p>
              </w:tc>
            </w:tr>
            <w:tr w14:paraId="73B02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0" w:type="pct"/>
                  <w:vMerge w:val="restart"/>
                  <w:vAlign w:val="center"/>
                </w:tcPr>
                <w:p w14:paraId="2B942D55">
                  <w:pPr>
                    <w:jc w:val="center"/>
                    <w:rPr>
                      <w:color w:val="auto"/>
                      <w:sz w:val="21"/>
                      <w:szCs w:val="21"/>
                    </w:rPr>
                  </w:pPr>
                  <w:r>
                    <w:rPr>
                      <w:color w:val="auto"/>
                      <w:sz w:val="21"/>
                      <w:szCs w:val="21"/>
                    </w:rPr>
                    <w:t>治理设施</w:t>
                  </w:r>
                </w:p>
              </w:tc>
              <w:tc>
                <w:tcPr>
                  <w:tcW w:w="707" w:type="pct"/>
                  <w:vAlign w:val="center"/>
                </w:tcPr>
                <w:p w14:paraId="3E467E12">
                  <w:pPr>
                    <w:jc w:val="center"/>
                    <w:rPr>
                      <w:color w:val="auto"/>
                      <w:sz w:val="21"/>
                      <w:szCs w:val="21"/>
                    </w:rPr>
                  </w:pPr>
                  <w:r>
                    <w:rPr>
                      <w:color w:val="auto"/>
                      <w:sz w:val="21"/>
                      <w:szCs w:val="21"/>
                    </w:rPr>
                    <w:t>处理能力</w:t>
                  </w:r>
                </w:p>
              </w:tc>
              <w:tc>
                <w:tcPr>
                  <w:tcW w:w="1402" w:type="pct"/>
                  <w:gridSpan w:val="2"/>
                  <w:vAlign w:val="center"/>
                </w:tcPr>
                <w:p w14:paraId="7F54057E">
                  <w:pPr>
                    <w:jc w:val="center"/>
                    <w:rPr>
                      <w:rFonts w:hint="eastAsia"/>
                      <w:color w:val="auto"/>
                      <w:szCs w:val="21"/>
                    </w:rPr>
                  </w:pPr>
                  <w:r>
                    <w:rPr>
                      <w:rFonts w:hint="eastAsia"/>
                      <w:color w:val="auto"/>
                      <w:szCs w:val="21"/>
                      <w:lang w:val="en-US" w:eastAsia="zh-CN"/>
                    </w:rPr>
                    <w:t>5</w:t>
                  </w:r>
                  <w:r>
                    <w:rPr>
                      <w:rFonts w:hint="eastAsia"/>
                      <w:color w:val="auto"/>
                      <w:szCs w:val="21"/>
                    </w:rPr>
                    <w:t>000</w:t>
                  </w:r>
                  <w:r>
                    <w:rPr>
                      <w:color w:val="auto"/>
                      <w:szCs w:val="21"/>
                    </w:rPr>
                    <w:t>m</w:t>
                  </w:r>
                  <w:r>
                    <w:rPr>
                      <w:color w:val="auto"/>
                      <w:szCs w:val="21"/>
                      <w:vertAlign w:val="superscript"/>
                    </w:rPr>
                    <w:t>3</w:t>
                  </w:r>
                  <w:r>
                    <w:rPr>
                      <w:color w:val="auto"/>
                      <w:szCs w:val="21"/>
                    </w:rPr>
                    <w:t>/h</w:t>
                  </w:r>
                </w:p>
              </w:tc>
              <w:tc>
                <w:tcPr>
                  <w:tcW w:w="640" w:type="pct"/>
                  <w:vAlign w:val="center"/>
                </w:tcPr>
                <w:p w14:paraId="395C1570">
                  <w:pPr>
                    <w:jc w:val="center"/>
                    <w:rPr>
                      <w:color w:val="auto"/>
                      <w:sz w:val="21"/>
                      <w:szCs w:val="21"/>
                    </w:rPr>
                  </w:pPr>
                  <w:r>
                    <w:rPr>
                      <w:rFonts w:hint="eastAsia"/>
                      <w:color w:val="auto"/>
                      <w:sz w:val="21"/>
                      <w:szCs w:val="21"/>
                    </w:rPr>
                    <w:t>/</w:t>
                  </w:r>
                </w:p>
              </w:tc>
              <w:tc>
                <w:tcPr>
                  <w:tcW w:w="496" w:type="pct"/>
                  <w:vAlign w:val="center"/>
                </w:tcPr>
                <w:p w14:paraId="4A465D92">
                  <w:pPr>
                    <w:jc w:val="center"/>
                    <w:rPr>
                      <w:rFonts w:hint="eastAsia" w:eastAsia="宋体"/>
                      <w:color w:val="auto"/>
                      <w:sz w:val="21"/>
                      <w:szCs w:val="21"/>
                      <w:lang w:val="en-US" w:eastAsia="zh-CN"/>
                    </w:rPr>
                  </w:pPr>
                  <w:r>
                    <w:rPr>
                      <w:rFonts w:hint="eastAsia"/>
                      <w:color w:val="auto"/>
                      <w:sz w:val="21"/>
                      <w:szCs w:val="21"/>
                      <w:lang w:val="en-US" w:eastAsia="zh-CN"/>
                    </w:rPr>
                    <w:t>/</w:t>
                  </w:r>
                </w:p>
              </w:tc>
              <w:tc>
                <w:tcPr>
                  <w:tcW w:w="552" w:type="pct"/>
                  <w:vAlign w:val="center"/>
                </w:tcPr>
                <w:p w14:paraId="3D1387FD">
                  <w:pPr>
                    <w:jc w:val="center"/>
                    <w:rPr>
                      <w:color w:val="auto"/>
                      <w:sz w:val="21"/>
                      <w:szCs w:val="21"/>
                    </w:rPr>
                  </w:pPr>
                  <w:r>
                    <w:rPr>
                      <w:color w:val="auto"/>
                      <w:sz w:val="21"/>
                      <w:szCs w:val="21"/>
                    </w:rPr>
                    <w:t>/</w:t>
                  </w:r>
                </w:p>
              </w:tc>
              <w:tc>
                <w:tcPr>
                  <w:tcW w:w="478" w:type="pct"/>
                  <w:vAlign w:val="center"/>
                </w:tcPr>
                <w:p w14:paraId="3FEBC44E">
                  <w:pPr>
                    <w:jc w:val="center"/>
                    <w:rPr>
                      <w:color w:val="auto"/>
                      <w:sz w:val="21"/>
                      <w:szCs w:val="21"/>
                    </w:rPr>
                  </w:pPr>
                  <w:r>
                    <w:rPr>
                      <w:rFonts w:hint="eastAsia"/>
                      <w:color w:val="auto"/>
                      <w:sz w:val="21"/>
                      <w:szCs w:val="21"/>
                    </w:rPr>
                    <w:t>/</w:t>
                  </w:r>
                </w:p>
              </w:tc>
              <w:tc>
                <w:tcPr>
                  <w:tcW w:w="470" w:type="pct"/>
                  <w:vAlign w:val="center"/>
                </w:tcPr>
                <w:p w14:paraId="32CC3019">
                  <w:pPr>
                    <w:jc w:val="center"/>
                    <w:rPr>
                      <w:color w:val="auto"/>
                      <w:sz w:val="21"/>
                      <w:szCs w:val="21"/>
                    </w:rPr>
                  </w:pPr>
                  <w:r>
                    <w:rPr>
                      <w:rFonts w:hint="eastAsia"/>
                      <w:color w:val="auto"/>
                      <w:sz w:val="21"/>
                      <w:szCs w:val="21"/>
                    </w:rPr>
                    <w:t>/</w:t>
                  </w:r>
                </w:p>
              </w:tc>
            </w:tr>
            <w:tr w14:paraId="65D3C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0" w:type="pct"/>
                  <w:vMerge w:val="continue"/>
                  <w:vAlign w:val="center"/>
                </w:tcPr>
                <w:p w14:paraId="74A0FAD2">
                  <w:pPr>
                    <w:jc w:val="center"/>
                    <w:rPr>
                      <w:color w:val="auto"/>
                      <w:sz w:val="21"/>
                      <w:szCs w:val="21"/>
                    </w:rPr>
                  </w:pPr>
                </w:p>
              </w:tc>
              <w:tc>
                <w:tcPr>
                  <w:tcW w:w="707" w:type="pct"/>
                  <w:vAlign w:val="center"/>
                </w:tcPr>
                <w:p w14:paraId="0C4F7866">
                  <w:pPr>
                    <w:jc w:val="center"/>
                    <w:rPr>
                      <w:color w:val="auto"/>
                      <w:sz w:val="21"/>
                      <w:szCs w:val="21"/>
                    </w:rPr>
                  </w:pPr>
                  <w:r>
                    <w:rPr>
                      <w:color w:val="auto"/>
                      <w:sz w:val="21"/>
                      <w:szCs w:val="21"/>
                    </w:rPr>
                    <w:t>收集效率</w:t>
                  </w:r>
                </w:p>
              </w:tc>
              <w:tc>
                <w:tcPr>
                  <w:tcW w:w="826" w:type="pct"/>
                  <w:vAlign w:val="center"/>
                </w:tcPr>
                <w:p w14:paraId="797FA140">
                  <w:pPr>
                    <w:jc w:val="center"/>
                    <w:rPr>
                      <w:rFonts w:hint="default" w:eastAsia="宋体"/>
                      <w:color w:val="auto"/>
                      <w:szCs w:val="21"/>
                      <w:lang w:val="en-US" w:eastAsia="zh-CN"/>
                    </w:rPr>
                  </w:pPr>
                  <w:r>
                    <w:rPr>
                      <w:rFonts w:hint="eastAsia"/>
                      <w:color w:val="auto"/>
                      <w:szCs w:val="21"/>
                      <w:lang w:val="en-US" w:eastAsia="zh-CN"/>
                    </w:rPr>
                    <w:t>100%</w:t>
                  </w:r>
                </w:p>
              </w:tc>
              <w:tc>
                <w:tcPr>
                  <w:tcW w:w="576" w:type="pct"/>
                  <w:vAlign w:val="center"/>
                </w:tcPr>
                <w:p w14:paraId="0143C7E8">
                  <w:pPr>
                    <w:jc w:val="center"/>
                    <w:rPr>
                      <w:rFonts w:hint="eastAsia"/>
                      <w:color w:val="auto"/>
                      <w:szCs w:val="21"/>
                    </w:rPr>
                  </w:pPr>
                  <w:r>
                    <w:rPr>
                      <w:rFonts w:hint="eastAsia"/>
                      <w:color w:val="auto"/>
                      <w:szCs w:val="21"/>
                    </w:rPr>
                    <w:t>90</w:t>
                  </w:r>
                  <w:r>
                    <w:rPr>
                      <w:color w:val="auto"/>
                      <w:szCs w:val="21"/>
                    </w:rPr>
                    <w:t>%</w:t>
                  </w:r>
                </w:p>
              </w:tc>
              <w:tc>
                <w:tcPr>
                  <w:tcW w:w="640" w:type="pct"/>
                  <w:vAlign w:val="center"/>
                </w:tcPr>
                <w:p w14:paraId="467CD35C">
                  <w:pPr>
                    <w:jc w:val="center"/>
                    <w:rPr>
                      <w:color w:val="auto"/>
                      <w:sz w:val="21"/>
                      <w:szCs w:val="21"/>
                    </w:rPr>
                  </w:pPr>
                  <w:r>
                    <w:rPr>
                      <w:rFonts w:hint="eastAsia"/>
                      <w:color w:val="auto"/>
                      <w:sz w:val="21"/>
                      <w:szCs w:val="21"/>
                    </w:rPr>
                    <w:t>/</w:t>
                  </w:r>
                </w:p>
              </w:tc>
              <w:tc>
                <w:tcPr>
                  <w:tcW w:w="496" w:type="pct"/>
                  <w:vAlign w:val="center"/>
                </w:tcPr>
                <w:p w14:paraId="08CAD068">
                  <w:pPr>
                    <w:jc w:val="center"/>
                    <w:rPr>
                      <w:rFonts w:hint="eastAsia" w:eastAsia="宋体"/>
                      <w:color w:val="auto"/>
                      <w:sz w:val="21"/>
                      <w:szCs w:val="21"/>
                      <w:lang w:val="en-US" w:eastAsia="zh-CN"/>
                    </w:rPr>
                  </w:pPr>
                  <w:r>
                    <w:rPr>
                      <w:rFonts w:hint="eastAsia"/>
                      <w:color w:val="auto"/>
                      <w:sz w:val="21"/>
                      <w:szCs w:val="21"/>
                      <w:lang w:val="en-US" w:eastAsia="zh-CN"/>
                    </w:rPr>
                    <w:t>/</w:t>
                  </w:r>
                </w:p>
              </w:tc>
              <w:tc>
                <w:tcPr>
                  <w:tcW w:w="552" w:type="pct"/>
                  <w:vAlign w:val="center"/>
                </w:tcPr>
                <w:p w14:paraId="4459DB97">
                  <w:pPr>
                    <w:jc w:val="center"/>
                    <w:rPr>
                      <w:color w:val="auto"/>
                      <w:sz w:val="21"/>
                      <w:szCs w:val="21"/>
                    </w:rPr>
                  </w:pPr>
                  <w:r>
                    <w:rPr>
                      <w:color w:val="auto"/>
                      <w:sz w:val="21"/>
                      <w:szCs w:val="21"/>
                    </w:rPr>
                    <w:t>/</w:t>
                  </w:r>
                </w:p>
              </w:tc>
              <w:tc>
                <w:tcPr>
                  <w:tcW w:w="478" w:type="pct"/>
                  <w:vAlign w:val="center"/>
                </w:tcPr>
                <w:p w14:paraId="24DD3296">
                  <w:pPr>
                    <w:jc w:val="center"/>
                    <w:rPr>
                      <w:color w:val="auto"/>
                      <w:sz w:val="21"/>
                      <w:szCs w:val="21"/>
                    </w:rPr>
                  </w:pPr>
                  <w:r>
                    <w:rPr>
                      <w:rFonts w:hint="eastAsia"/>
                      <w:color w:val="auto"/>
                      <w:sz w:val="21"/>
                      <w:szCs w:val="21"/>
                    </w:rPr>
                    <w:t>/</w:t>
                  </w:r>
                </w:p>
              </w:tc>
              <w:tc>
                <w:tcPr>
                  <w:tcW w:w="470" w:type="pct"/>
                  <w:vAlign w:val="center"/>
                </w:tcPr>
                <w:p w14:paraId="3CA17911">
                  <w:pPr>
                    <w:jc w:val="center"/>
                    <w:rPr>
                      <w:color w:val="auto"/>
                      <w:sz w:val="21"/>
                      <w:szCs w:val="21"/>
                    </w:rPr>
                  </w:pPr>
                  <w:r>
                    <w:rPr>
                      <w:rFonts w:hint="eastAsia"/>
                      <w:color w:val="auto"/>
                      <w:sz w:val="21"/>
                      <w:szCs w:val="21"/>
                    </w:rPr>
                    <w:t>/</w:t>
                  </w:r>
                </w:p>
              </w:tc>
            </w:tr>
            <w:tr w14:paraId="78CA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0" w:type="pct"/>
                  <w:vMerge w:val="continue"/>
                  <w:vAlign w:val="center"/>
                </w:tcPr>
                <w:p w14:paraId="564BB2A8">
                  <w:pPr>
                    <w:jc w:val="center"/>
                    <w:rPr>
                      <w:color w:val="auto"/>
                      <w:sz w:val="21"/>
                      <w:szCs w:val="21"/>
                    </w:rPr>
                  </w:pPr>
                </w:p>
              </w:tc>
              <w:tc>
                <w:tcPr>
                  <w:tcW w:w="707" w:type="pct"/>
                  <w:vAlign w:val="center"/>
                </w:tcPr>
                <w:p w14:paraId="1D3E1EC6">
                  <w:pPr>
                    <w:jc w:val="center"/>
                    <w:rPr>
                      <w:color w:val="auto"/>
                      <w:sz w:val="21"/>
                      <w:szCs w:val="21"/>
                    </w:rPr>
                  </w:pPr>
                  <w:r>
                    <w:rPr>
                      <w:color w:val="auto"/>
                      <w:sz w:val="21"/>
                      <w:szCs w:val="21"/>
                    </w:rPr>
                    <w:t>治理工艺</w:t>
                  </w:r>
                </w:p>
              </w:tc>
              <w:tc>
                <w:tcPr>
                  <w:tcW w:w="826" w:type="pct"/>
                  <w:vAlign w:val="center"/>
                </w:tcPr>
                <w:p w14:paraId="6881DF52">
                  <w:pPr>
                    <w:jc w:val="center"/>
                    <w:rPr>
                      <w:rFonts w:hint="default" w:eastAsia="宋体"/>
                      <w:color w:val="auto"/>
                      <w:szCs w:val="21"/>
                      <w:lang w:val="en-US" w:eastAsia="zh-CN"/>
                    </w:rPr>
                  </w:pPr>
                  <w:r>
                    <w:rPr>
                      <w:rFonts w:hint="eastAsia"/>
                      <w:color w:val="auto"/>
                      <w:szCs w:val="21"/>
                      <w:lang w:val="en-US" w:eastAsia="zh-CN"/>
                    </w:rPr>
                    <w:t>仓顶除尘器+</w:t>
                  </w:r>
                  <w:r>
                    <w:rPr>
                      <w:rFonts w:hint="eastAsia"/>
                      <w:color w:val="auto"/>
                      <w:szCs w:val="21"/>
                    </w:rPr>
                    <w:t>布袋除尘器</w:t>
                  </w:r>
                </w:p>
              </w:tc>
              <w:tc>
                <w:tcPr>
                  <w:tcW w:w="576" w:type="pct"/>
                  <w:vAlign w:val="center"/>
                </w:tcPr>
                <w:p w14:paraId="66D4CF55">
                  <w:pPr>
                    <w:jc w:val="center"/>
                    <w:rPr>
                      <w:rFonts w:hint="eastAsia"/>
                      <w:color w:val="auto"/>
                      <w:szCs w:val="21"/>
                    </w:rPr>
                  </w:pPr>
                  <w:r>
                    <w:rPr>
                      <w:rFonts w:hint="eastAsia"/>
                      <w:color w:val="auto"/>
                      <w:szCs w:val="21"/>
                    </w:rPr>
                    <w:t>布袋除尘器</w:t>
                  </w:r>
                </w:p>
              </w:tc>
              <w:tc>
                <w:tcPr>
                  <w:tcW w:w="640" w:type="pct"/>
                  <w:vAlign w:val="center"/>
                </w:tcPr>
                <w:p w14:paraId="67E35AC9">
                  <w:pPr>
                    <w:jc w:val="center"/>
                    <w:rPr>
                      <w:rFonts w:hint="eastAsia" w:eastAsia="宋体"/>
                      <w:color w:val="auto"/>
                      <w:sz w:val="21"/>
                      <w:szCs w:val="21"/>
                      <w:lang w:eastAsia="zh-CN"/>
                    </w:rPr>
                  </w:pPr>
                  <w:r>
                    <w:rPr>
                      <w:rFonts w:hint="eastAsia"/>
                      <w:color w:val="auto"/>
                      <w:sz w:val="21"/>
                      <w:szCs w:val="21"/>
                      <w:lang w:val="en-US" w:eastAsia="zh-CN"/>
                    </w:rPr>
                    <w:t>/</w:t>
                  </w:r>
                </w:p>
              </w:tc>
              <w:tc>
                <w:tcPr>
                  <w:tcW w:w="496" w:type="pct"/>
                  <w:vAlign w:val="center"/>
                </w:tcPr>
                <w:p w14:paraId="7E46EFE5">
                  <w:pPr>
                    <w:jc w:val="center"/>
                    <w:rPr>
                      <w:rFonts w:hint="eastAsia" w:eastAsia="宋体"/>
                      <w:color w:val="auto"/>
                      <w:sz w:val="21"/>
                      <w:szCs w:val="21"/>
                      <w:lang w:val="en-US" w:eastAsia="zh-CN"/>
                    </w:rPr>
                  </w:pPr>
                  <w:r>
                    <w:rPr>
                      <w:rFonts w:hint="eastAsia"/>
                      <w:color w:val="auto"/>
                      <w:sz w:val="21"/>
                      <w:szCs w:val="21"/>
                      <w:lang w:val="en-US" w:eastAsia="zh-CN"/>
                    </w:rPr>
                    <w:t>/</w:t>
                  </w:r>
                </w:p>
              </w:tc>
              <w:tc>
                <w:tcPr>
                  <w:tcW w:w="552" w:type="pct"/>
                  <w:vAlign w:val="center"/>
                </w:tcPr>
                <w:p w14:paraId="0AE1A79C">
                  <w:pPr>
                    <w:jc w:val="center"/>
                    <w:rPr>
                      <w:color w:val="auto"/>
                      <w:sz w:val="21"/>
                      <w:szCs w:val="21"/>
                    </w:rPr>
                  </w:pPr>
                  <w:r>
                    <w:rPr>
                      <w:rFonts w:hint="eastAsia"/>
                      <w:color w:val="auto"/>
                      <w:sz w:val="21"/>
                      <w:szCs w:val="21"/>
                    </w:rPr>
                    <w:t>整套双轴搅拌机设备机身为封闭式，下料口连接皮带输送系统</w:t>
                  </w:r>
                </w:p>
              </w:tc>
              <w:tc>
                <w:tcPr>
                  <w:tcW w:w="478" w:type="pct"/>
                  <w:vAlign w:val="center"/>
                </w:tcPr>
                <w:p w14:paraId="4BF052BC">
                  <w:pPr>
                    <w:jc w:val="center"/>
                    <w:rPr>
                      <w:color w:val="auto"/>
                      <w:sz w:val="21"/>
                      <w:szCs w:val="21"/>
                    </w:rPr>
                  </w:pPr>
                  <w:r>
                    <w:rPr>
                      <w:rFonts w:hint="eastAsia"/>
                      <w:color w:val="auto"/>
                      <w:sz w:val="21"/>
                      <w:szCs w:val="21"/>
                    </w:rPr>
                    <w:t>整套皮带运输、计量系统设备采取彩钢瓦全封闭状态</w:t>
                  </w:r>
                </w:p>
              </w:tc>
              <w:tc>
                <w:tcPr>
                  <w:tcW w:w="470" w:type="pct"/>
                  <w:vAlign w:val="center"/>
                </w:tcPr>
                <w:p w14:paraId="13D97495">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物料入库，库房顶棚遮挡+三面围挡，物料编织覆盖</w:t>
                  </w:r>
                </w:p>
              </w:tc>
            </w:tr>
            <w:tr w14:paraId="1BA93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0" w:type="pct"/>
                  <w:vMerge w:val="continue"/>
                  <w:vAlign w:val="center"/>
                </w:tcPr>
                <w:p w14:paraId="58FCEA8F">
                  <w:pPr>
                    <w:jc w:val="center"/>
                    <w:rPr>
                      <w:color w:val="auto"/>
                      <w:sz w:val="21"/>
                      <w:szCs w:val="21"/>
                    </w:rPr>
                  </w:pPr>
                </w:p>
              </w:tc>
              <w:tc>
                <w:tcPr>
                  <w:tcW w:w="707" w:type="pct"/>
                  <w:vAlign w:val="center"/>
                </w:tcPr>
                <w:p w14:paraId="2B1BA4C7">
                  <w:pPr>
                    <w:jc w:val="center"/>
                    <w:rPr>
                      <w:color w:val="auto"/>
                      <w:sz w:val="21"/>
                      <w:szCs w:val="21"/>
                    </w:rPr>
                  </w:pPr>
                  <w:r>
                    <w:rPr>
                      <w:color w:val="auto"/>
                      <w:sz w:val="21"/>
                      <w:szCs w:val="21"/>
                    </w:rPr>
                    <w:t>治理工艺去除率</w:t>
                  </w:r>
                </w:p>
              </w:tc>
              <w:tc>
                <w:tcPr>
                  <w:tcW w:w="826" w:type="pct"/>
                  <w:vAlign w:val="center"/>
                </w:tcPr>
                <w:p w14:paraId="47182659">
                  <w:pPr>
                    <w:jc w:val="center"/>
                    <w:rPr>
                      <w:rFonts w:hint="default" w:eastAsia="宋体"/>
                      <w:color w:val="auto"/>
                      <w:sz w:val="21"/>
                      <w:szCs w:val="21"/>
                      <w:lang w:val="en-US" w:eastAsia="zh-CN"/>
                    </w:rPr>
                  </w:pPr>
                  <w:r>
                    <w:rPr>
                      <w:rFonts w:hint="eastAsia"/>
                      <w:color w:val="auto"/>
                      <w:szCs w:val="21"/>
                    </w:rPr>
                    <w:t>99</w:t>
                  </w:r>
                  <w:r>
                    <w:rPr>
                      <w:color w:val="auto"/>
                      <w:szCs w:val="21"/>
                    </w:rPr>
                    <w:t>%</w:t>
                  </w:r>
                  <w:r>
                    <w:rPr>
                      <w:rFonts w:hint="eastAsia"/>
                      <w:color w:val="auto"/>
                      <w:szCs w:val="21"/>
                      <w:lang w:val="en-US" w:eastAsia="zh-CN"/>
                    </w:rPr>
                    <w:t>+99%</w:t>
                  </w:r>
                </w:p>
              </w:tc>
              <w:tc>
                <w:tcPr>
                  <w:tcW w:w="576" w:type="pct"/>
                  <w:vAlign w:val="center"/>
                </w:tcPr>
                <w:p w14:paraId="10F61752">
                  <w:pPr>
                    <w:jc w:val="center"/>
                    <w:rPr>
                      <w:rFonts w:hint="default" w:eastAsia="宋体"/>
                      <w:color w:val="auto"/>
                      <w:szCs w:val="21"/>
                      <w:lang w:val="en-US" w:eastAsia="zh-CN"/>
                    </w:rPr>
                  </w:pPr>
                  <w:r>
                    <w:rPr>
                      <w:rFonts w:hint="eastAsia"/>
                      <w:color w:val="auto"/>
                      <w:szCs w:val="21"/>
                      <w:lang w:val="en-US" w:eastAsia="zh-CN"/>
                    </w:rPr>
                    <w:t>99%</w:t>
                  </w:r>
                </w:p>
              </w:tc>
              <w:tc>
                <w:tcPr>
                  <w:tcW w:w="640" w:type="pct"/>
                  <w:vAlign w:val="center"/>
                </w:tcPr>
                <w:p w14:paraId="310857DD">
                  <w:pPr>
                    <w:jc w:val="center"/>
                    <w:rPr>
                      <w:rFonts w:hint="eastAsia" w:eastAsia="宋体"/>
                      <w:color w:val="auto"/>
                      <w:sz w:val="21"/>
                      <w:szCs w:val="21"/>
                      <w:lang w:eastAsia="zh-CN"/>
                    </w:rPr>
                  </w:pPr>
                  <w:r>
                    <w:rPr>
                      <w:rFonts w:hint="eastAsia"/>
                      <w:color w:val="auto"/>
                      <w:sz w:val="21"/>
                      <w:szCs w:val="21"/>
                      <w:lang w:val="en-US" w:eastAsia="zh-CN"/>
                    </w:rPr>
                    <w:t>/</w:t>
                  </w:r>
                </w:p>
              </w:tc>
              <w:tc>
                <w:tcPr>
                  <w:tcW w:w="496" w:type="pct"/>
                  <w:vAlign w:val="center"/>
                </w:tcPr>
                <w:p w14:paraId="351FEBC6">
                  <w:pPr>
                    <w:jc w:val="center"/>
                    <w:rPr>
                      <w:rFonts w:hint="eastAsia" w:eastAsia="宋体"/>
                      <w:color w:val="auto"/>
                      <w:sz w:val="21"/>
                      <w:szCs w:val="21"/>
                      <w:lang w:val="en-US" w:eastAsia="zh-CN"/>
                    </w:rPr>
                  </w:pPr>
                  <w:r>
                    <w:rPr>
                      <w:rFonts w:hint="eastAsia"/>
                      <w:color w:val="auto"/>
                      <w:sz w:val="21"/>
                      <w:szCs w:val="21"/>
                      <w:lang w:val="en-US" w:eastAsia="zh-CN"/>
                    </w:rPr>
                    <w:t>/</w:t>
                  </w:r>
                </w:p>
              </w:tc>
              <w:tc>
                <w:tcPr>
                  <w:tcW w:w="552" w:type="pct"/>
                  <w:vAlign w:val="center"/>
                </w:tcPr>
                <w:p w14:paraId="79D38501">
                  <w:pPr>
                    <w:jc w:val="center"/>
                    <w:rPr>
                      <w:rFonts w:hint="default" w:eastAsia="宋体"/>
                      <w:color w:val="auto"/>
                      <w:sz w:val="21"/>
                      <w:szCs w:val="21"/>
                      <w:lang w:val="en-US" w:eastAsia="zh-CN"/>
                    </w:rPr>
                  </w:pPr>
                  <w:r>
                    <w:rPr>
                      <w:rFonts w:hint="eastAsia"/>
                      <w:color w:val="auto"/>
                      <w:sz w:val="21"/>
                      <w:szCs w:val="21"/>
                      <w:lang w:val="en-US" w:eastAsia="zh-CN"/>
                    </w:rPr>
                    <w:t>100%</w:t>
                  </w:r>
                </w:p>
              </w:tc>
              <w:tc>
                <w:tcPr>
                  <w:tcW w:w="478" w:type="pct"/>
                  <w:vAlign w:val="center"/>
                </w:tcPr>
                <w:p w14:paraId="2B812786">
                  <w:pPr>
                    <w:jc w:val="center"/>
                    <w:rPr>
                      <w:color w:val="auto"/>
                      <w:sz w:val="21"/>
                      <w:szCs w:val="21"/>
                    </w:rPr>
                  </w:pPr>
                  <w:r>
                    <w:rPr>
                      <w:rFonts w:hint="eastAsia"/>
                      <w:color w:val="auto"/>
                      <w:sz w:val="21"/>
                      <w:szCs w:val="21"/>
                      <w:lang w:val="en-US" w:eastAsia="zh-CN"/>
                    </w:rPr>
                    <w:t>9</w:t>
                  </w:r>
                  <w:r>
                    <w:rPr>
                      <w:rFonts w:hint="eastAsia"/>
                      <w:color w:val="auto"/>
                      <w:sz w:val="21"/>
                      <w:szCs w:val="21"/>
                    </w:rPr>
                    <w:t>0%</w:t>
                  </w:r>
                </w:p>
              </w:tc>
              <w:tc>
                <w:tcPr>
                  <w:tcW w:w="470" w:type="pct"/>
                  <w:vAlign w:val="center"/>
                </w:tcPr>
                <w:p w14:paraId="6E1F49E5">
                  <w:pPr>
                    <w:jc w:val="center"/>
                    <w:rPr>
                      <w:rFonts w:hint="default" w:eastAsia="宋体"/>
                      <w:color w:val="auto"/>
                      <w:sz w:val="21"/>
                      <w:szCs w:val="21"/>
                      <w:lang w:val="en-US" w:eastAsia="zh-CN"/>
                    </w:rPr>
                  </w:pPr>
                  <w:r>
                    <w:rPr>
                      <w:rFonts w:hint="eastAsia"/>
                      <w:color w:val="auto"/>
                      <w:sz w:val="21"/>
                      <w:szCs w:val="21"/>
                      <w:lang w:val="en-US" w:eastAsia="zh-CN"/>
                    </w:rPr>
                    <w:t>86%+99%</w:t>
                  </w:r>
                </w:p>
              </w:tc>
            </w:tr>
            <w:tr w14:paraId="21CC8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0" w:type="pct"/>
                  <w:vMerge w:val="continue"/>
                  <w:vAlign w:val="center"/>
                </w:tcPr>
                <w:p w14:paraId="0CED4864">
                  <w:pPr>
                    <w:jc w:val="center"/>
                    <w:rPr>
                      <w:color w:val="auto"/>
                      <w:sz w:val="21"/>
                      <w:szCs w:val="21"/>
                    </w:rPr>
                  </w:pPr>
                </w:p>
              </w:tc>
              <w:tc>
                <w:tcPr>
                  <w:tcW w:w="707" w:type="pct"/>
                  <w:vAlign w:val="center"/>
                </w:tcPr>
                <w:p w14:paraId="65A50A14">
                  <w:pPr>
                    <w:jc w:val="center"/>
                    <w:rPr>
                      <w:color w:val="auto"/>
                      <w:sz w:val="21"/>
                      <w:szCs w:val="21"/>
                    </w:rPr>
                  </w:pPr>
                  <w:r>
                    <w:rPr>
                      <w:color w:val="auto"/>
                      <w:sz w:val="21"/>
                      <w:szCs w:val="21"/>
                    </w:rPr>
                    <w:t>是否为可行技术</w:t>
                  </w:r>
                </w:p>
              </w:tc>
              <w:tc>
                <w:tcPr>
                  <w:tcW w:w="826" w:type="pct"/>
                  <w:vAlign w:val="center"/>
                </w:tcPr>
                <w:p w14:paraId="10B0EFF7">
                  <w:pPr>
                    <w:jc w:val="center"/>
                    <w:rPr>
                      <w:color w:val="auto"/>
                      <w:sz w:val="21"/>
                      <w:szCs w:val="21"/>
                    </w:rPr>
                  </w:pPr>
                  <w:r>
                    <w:rPr>
                      <w:rFonts w:hint="eastAsia"/>
                      <w:color w:val="auto"/>
                      <w:sz w:val="21"/>
                      <w:szCs w:val="21"/>
                    </w:rPr>
                    <w:t>是</w:t>
                  </w:r>
                </w:p>
              </w:tc>
              <w:tc>
                <w:tcPr>
                  <w:tcW w:w="576" w:type="pct"/>
                  <w:vAlign w:val="center"/>
                </w:tcPr>
                <w:p w14:paraId="4F094CF7">
                  <w:pPr>
                    <w:jc w:val="center"/>
                    <w:rPr>
                      <w:rFonts w:hint="eastAsia"/>
                      <w:color w:val="auto"/>
                      <w:sz w:val="21"/>
                      <w:szCs w:val="21"/>
                    </w:rPr>
                  </w:pPr>
                  <w:r>
                    <w:rPr>
                      <w:rFonts w:hint="eastAsia"/>
                      <w:color w:val="auto"/>
                      <w:sz w:val="21"/>
                      <w:szCs w:val="21"/>
                    </w:rPr>
                    <w:t>是</w:t>
                  </w:r>
                </w:p>
              </w:tc>
              <w:tc>
                <w:tcPr>
                  <w:tcW w:w="640" w:type="pct"/>
                  <w:vAlign w:val="center"/>
                </w:tcPr>
                <w:p w14:paraId="034C90A2">
                  <w:pPr>
                    <w:jc w:val="center"/>
                    <w:rPr>
                      <w:color w:val="auto"/>
                      <w:sz w:val="21"/>
                      <w:szCs w:val="21"/>
                    </w:rPr>
                  </w:pPr>
                  <w:r>
                    <w:rPr>
                      <w:rFonts w:hint="eastAsia"/>
                      <w:color w:val="auto"/>
                      <w:sz w:val="21"/>
                      <w:szCs w:val="21"/>
                    </w:rPr>
                    <w:t>是</w:t>
                  </w:r>
                </w:p>
              </w:tc>
              <w:tc>
                <w:tcPr>
                  <w:tcW w:w="496" w:type="pct"/>
                  <w:vAlign w:val="center"/>
                </w:tcPr>
                <w:p w14:paraId="45669FF1">
                  <w:pPr>
                    <w:jc w:val="center"/>
                    <w:rPr>
                      <w:rFonts w:hint="eastAsia" w:eastAsia="宋体"/>
                      <w:color w:val="auto"/>
                      <w:sz w:val="21"/>
                      <w:szCs w:val="21"/>
                      <w:lang w:val="en-US" w:eastAsia="zh-CN"/>
                    </w:rPr>
                  </w:pPr>
                  <w:r>
                    <w:rPr>
                      <w:rFonts w:hint="eastAsia"/>
                      <w:color w:val="auto"/>
                      <w:sz w:val="21"/>
                      <w:szCs w:val="21"/>
                      <w:lang w:val="en-US" w:eastAsia="zh-CN"/>
                    </w:rPr>
                    <w:t>/</w:t>
                  </w:r>
                </w:p>
              </w:tc>
              <w:tc>
                <w:tcPr>
                  <w:tcW w:w="552" w:type="pct"/>
                  <w:vAlign w:val="center"/>
                </w:tcPr>
                <w:p w14:paraId="7CA6D6A0">
                  <w:pPr>
                    <w:jc w:val="center"/>
                    <w:rPr>
                      <w:color w:val="auto"/>
                      <w:sz w:val="21"/>
                      <w:szCs w:val="21"/>
                    </w:rPr>
                  </w:pPr>
                  <w:r>
                    <w:rPr>
                      <w:rFonts w:hint="eastAsia"/>
                      <w:color w:val="auto"/>
                      <w:sz w:val="21"/>
                      <w:szCs w:val="21"/>
                    </w:rPr>
                    <w:t>是</w:t>
                  </w:r>
                </w:p>
              </w:tc>
              <w:tc>
                <w:tcPr>
                  <w:tcW w:w="478" w:type="pct"/>
                  <w:vAlign w:val="center"/>
                </w:tcPr>
                <w:p w14:paraId="29D18C95">
                  <w:pPr>
                    <w:jc w:val="center"/>
                    <w:rPr>
                      <w:color w:val="auto"/>
                      <w:sz w:val="21"/>
                      <w:szCs w:val="21"/>
                    </w:rPr>
                  </w:pPr>
                  <w:r>
                    <w:rPr>
                      <w:color w:val="auto"/>
                      <w:sz w:val="21"/>
                      <w:szCs w:val="21"/>
                    </w:rPr>
                    <w:t>是</w:t>
                  </w:r>
                </w:p>
              </w:tc>
              <w:tc>
                <w:tcPr>
                  <w:tcW w:w="470" w:type="pct"/>
                  <w:vAlign w:val="center"/>
                </w:tcPr>
                <w:p w14:paraId="408F75C9">
                  <w:pPr>
                    <w:jc w:val="center"/>
                    <w:rPr>
                      <w:color w:val="auto"/>
                      <w:sz w:val="21"/>
                      <w:szCs w:val="21"/>
                    </w:rPr>
                  </w:pPr>
                  <w:r>
                    <w:rPr>
                      <w:color w:val="auto"/>
                      <w:sz w:val="21"/>
                      <w:szCs w:val="21"/>
                    </w:rPr>
                    <w:t>是</w:t>
                  </w:r>
                </w:p>
              </w:tc>
            </w:tr>
            <w:tr w14:paraId="5C676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0" w:type="pct"/>
                  <w:vMerge w:val="continue"/>
                  <w:vAlign w:val="center"/>
                </w:tcPr>
                <w:p w14:paraId="43968E7A">
                  <w:pPr>
                    <w:jc w:val="center"/>
                    <w:rPr>
                      <w:color w:val="auto"/>
                      <w:sz w:val="21"/>
                      <w:szCs w:val="21"/>
                    </w:rPr>
                  </w:pPr>
                </w:p>
              </w:tc>
              <w:tc>
                <w:tcPr>
                  <w:tcW w:w="707" w:type="pct"/>
                  <w:vAlign w:val="center"/>
                </w:tcPr>
                <w:p w14:paraId="3D84C16A">
                  <w:pPr>
                    <w:jc w:val="center"/>
                    <w:rPr>
                      <w:color w:val="auto"/>
                      <w:sz w:val="21"/>
                      <w:szCs w:val="21"/>
                    </w:rPr>
                  </w:pPr>
                  <w:r>
                    <w:rPr>
                      <w:color w:val="auto"/>
                      <w:sz w:val="21"/>
                      <w:szCs w:val="21"/>
                    </w:rPr>
                    <w:t>污染物排放浓度（mg/m</w:t>
                  </w:r>
                  <w:r>
                    <w:rPr>
                      <w:color w:val="auto"/>
                      <w:sz w:val="21"/>
                      <w:szCs w:val="21"/>
                      <w:vertAlign w:val="superscript"/>
                    </w:rPr>
                    <w:t>3</w:t>
                  </w:r>
                  <w:r>
                    <w:rPr>
                      <w:color w:val="auto"/>
                      <w:sz w:val="21"/>
                      <w:szCs w:val="21"/>
                    </w:rPr>
                    <w:t>）</w:t>
                  </w:r>
                </w:p>
              </w:tc>
              <w:tc>
                <w:tcPr>
                  <w:tcW w:w="1402" w:type="pct"/>
                  <w:gridSpan w:val="2"/>
                  <w:vAlign w:val="center"/>
                </w:tcPr>
                <w:p w14:paraId="06CED086">
                  <w:pPr>
                    <w:jc w:val="center"/>
                    <w:rPr>
                      <w:rFonts w:hint="default" w:eastAsia="宋体"/>
                      <w:color w:val="auto"/>
                      <w:szCs w:val="21"/>
                      <w:lang w:val="en-US" w:eastAsia="zh-CN"/>
                    </w:rPr>
                  </w:pPr>
                  <w:r>
                    <w:rPr>
                      <w:rFonts w:hint="eastAsia"/>
                      <w:color w:val="auto"/>
                      <w:szCs w:val="21"/>
                      <w:lang w:val="en-US" w:eastAsia="zh-CN"/>
                    </w:rPr>
                    <w:t>2.31</w:t>
                  </w:r>
                </w:p>
              </w:tc>
              <w:tc>
                <w:tcPr>
                  <w:tcW w:w="640" w:type="pct"/>
                  <w:vAlign w:val="center"/>
                </w:tcPr>
                <w:p w14:paraId="05C82130">
                  <w:pPr>
                    <w:jc w:val="center"/>
                    <w:rPr>
                      <w:color w:val="auto"/>
                      <w:sz w:val="21"/>
                      <w:szCs w:val="21"/>
                    </w:rPr>
                  </w:pPr>
                  <w:r>
                    <w:rPr>
                      <w:rFonts w:hint="eastAsia"/>
                      <w:color w:val="auto"/>
                      <w:sz w:val="21"/>
                      <w:szCs w:val="21"/>
                    </w:rPr>
                    <w:t>/</w:t>
                  </w:r>
                </w:p>
              </w:tc>
              <w:tc>
                <w:tcPr>
                  <w:tcW w:w="496" w:type="pct"/>
                  <w:vAlign w:val="center"/>
                </w:tcPr>
                <w:p w14:paraId="7E3FC638">
                  <w:pPr>
                    <w:jc w:val="center"/>
                    <w:rPr>
                      <w:rFonts w:hint="default" w:eastAsia="宋体"/>
                      <w:color w:val="auto"/>
                      <w:sz w:val="21"/>
                      <w:szCs w:val="21"/>
                      <w:lang w:val="en-US" w:eastAsia="zh-CN"/>
                    </w:rPr>
                  </w:pPr>
                  <w:r>
                    <w:rPr>
                      <w:rFonts w:hint="eastAsia"/>
                      <w:color w:val="auto"/>
                      <w:sz w:val="21"/>
                      <w:szCs w:val="21"/>
                      <w:lang w:val="en-US" w:eastAsia="zh-CN"/>
                    </w:rPr>
                    <w:t>/</w:t>
                  </w:r>
                </w:p>
              </w:tc>
              <w:tc>
                <w:tcPr>
                  <w:tcW w:w="552" w:type="pct"/>
                  <w:vAlign w:val="center"/>
                </w:tcPr>
                <w:p w14:paraId="2C3B8D9E">
                  <w:pPr>
                    <w:jc w:val="center"/>
                    <w:rPr>
                      <w:color w:val="auto"/>
                      <w:sz w:val="21"/>
                      <w:szCs w:val="21"/>
                    </w:rPr>
                  </w:pPr>
                  <w:r>
                    <w:rPr>
                      <w:rFonts w:hint="eastAsia"/>
                      <w:color w:val="auto"/>
                      <w:sz w:val="21"/>
                      <w:szCs w:val="21"/>
                    </w:rPr>
                    <w:t>/</w:t>
                  </w:r>
                </w:p>
              </w:tc>
              <w:tc>
                <w:tcPr>
                  <w:tcW w:w="478" w:type="pct"/>
                  <w:vAlign w:val="center"/>
                </w:tcPr>
                <w:p w14:paraId="67D350FF">
                  <w:pPr>
                    <w:jc w:val="center"/>
                    <w:rPr>
                      <w:color w:val="auto"/>
                      <w:sz w:val="21"/>
                      <w:szCs w:val="21"/>
                    </w:rPr>
                  </w:pPr>
                  <w:r>
                    <w:rPr>
                      <w:rFonts w:hint="eastAsia"/>
                      <w:color w:val="auto"/>
                      <w:sz w:val="21"/>
                      <w:szCs w:val="21"/>
                    </w:rPr>
                    <w:t>/</w:t>
                  </w:r>
                </w:p>
              </w:tc>
              <w:tc>
                <w:tcPr>
                  <w:tcW w:w="470" w:type="pct"/>
                  <w:vAlign w:val="center"/>
                </w:tcPr>
                <w:p w14:paraId="24894AD5">
                  <w:pPr>
                    <w:jc w:val="center"/>
                    <w:rPr>
                      <w:color w:val="auto"/>
                      <w:sz w:val="21"/>
                      <w:szCs w:val="21"/>
                    </w:rPr>
                  </w:pPr>
                  <w:r>
                    <w:rPr>
                      <w:rFonts w:hint="eastAsia"/>
                      <w:color w:val="auto"/>
                      <w:sz w:val="21"/>
                      <w:szCs w:val="21"/>
                    </w:rPr>
                    <w:t>/</w:t>
                  </w:r>
                </w:p>
              </w:tc>
            </w:tr>
            <w:tr w14:paraId="73E1B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0" w:type="pct"/>
                  <w:vMerge w:val="continue"/>
                  <w:vAlign w:val="center"/>
                </w:tcPr>
                <w:p w14:paraId="0B4FF2D6">
                  <w:pPr>
                    <w:jc w:val="center"/>
                    <w:rPr>
                      <w:color w:val="auto"/>
                      <w:sz w:val="21"/>
                      <w:szCs w:val="21"/>
                    </w:rPr>
                  </w:pPr>
                </w:p>
              </w:tc>
              <w:tc>
                <w:tcPr>
                  <w:tcW w:w="707" w:type="pct"/>
                  <w:vAlign w:val="center"/>
                </w:tcPr>
                <w:p w14:paraId="33FE18E7">
                  <w:pPr>
                    <w:jc w:val="center"/>
                    <w:rPr>
                      <w:color w:val="auto"/>
                      <w:sz w:val="21"/>
                      <w:szCs w:val="21"/>
                    </w:rPr>
                  </w:pPr>
                  <w:r>
                    <w:rPr>
                      <w:color w:val="auto"/>
                      <w:sz w:val="21"/>
                      <w:szCs w:val="21"/>
                    </w:rPr>
                    <w:t>污染物排放速率（kg/h）</w:t>
                  </w:r>
                </w:p>
              </w:tc>
              <w:tc>
                <w:tcPr>
                  <w:tcW w:w="1402" w:type="pct"/>
                  <w:gridSpan w:val="2"/>
                  <w:vAlign w:val="center"/>
                </w:tcPr>
                <w:p w14:paraId="000E5D1B">
                  <w:pPr>
                    <w:jc w:val="center"/>
                    <w:rPr>
                      <w:rFonts w:hint="default" w:eastAsia="宋体"/>
                      <w:color w:val="auto"/>
                      <w:szCs w:val="21"/>
                      <w:lang w:val="en-US" w:eastAsia="zh-CN"/>
                    </w:rPr>
                  </w:pPr>
                  <w:r>
                    <w:rPr>
                      <w:rFonts w:hint="eastAsia"/>
                      <w:color w:val="auto"/>
                      <w:szCs w:val="21"/>
                      <w:lang w:val="en-US" w:eastAsia="zh-CN"/>
                    </w:rPr>
                    <w:t>0.012</w:t>
                  </w:r>
                </w:p>
              </w:tc>
              <w:tc>
                <w:tcPr>
                  <w:tcW w:w="640" w:type="pct"/>
                  <w:vAlign w:val="center"/>
                </w:tcPr>
                <w:p w14:paraId="39ECB5B2">
                  <w:pPr>
                    <w:jc w:val="center"/>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0.12</w:t>
                  </w:r>
                </w:p>
              </w:tc>
              <w:tc>
                <w:tcPr>
                  <w:tcW w:w="496" w:type="pct"/>
                  <w:vAlign w:val="center"/>
                </w:tcPr>
                <w:p w14:paraId="36B70B71">
                  <w:pPr>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0.0016</w:t>
                  </w:r>
                </w:p>
              </w:tc>
              <w:tc>
                <w:tcPr>
                  <w:tcW w:w="552" w:type="pct"/>
                  <w:vAlign w:val="center"/>
                </w:tcPr>
                <w:p w14:paraId="558C7753">
                  <w:pPr>
                    <w:jc w:val="center"/>
                    <w:rPr>
                      <w:rFonts w:hint="eastAsia" w:eastAsia="宋体"/>
                      <w:color w:val="auto"/>
                      <w:sz w:val="21"/>
                      <w:szCs w:val="21"/>
                      <w:lang w:val="en-US" w:eastAsia="zh-CN"/>
                    </w:rPr>
                  </w:pPr>
                  <w:r>
                    <w:rPr>
                      <w:rFonts w:hint="eastAsia"/>
                      <w:color w:val="auto"/>
                      <w:sz w:val="21"/>
                      <w:szCs w:val="21"/>
                      <w:lang w:val="en-US" w:eastAsia="zh-CN"/>
                    </w:rPr>
                    <w:t>0</w:t>
                  </w:r>
                </w:p>
              </w:tc>
              <w:tc>
                <w:tcPr>
                  <w:tcW w:w="478" w:type="pct"/>
                  <w:vAlign w:val="center"/>
                </w:tcPr>
                <w:p w14:paraId="0E77F50E">
                  <w:pPr>
                    <w:jc w:val="center"/>
                    <w:rPr>
                      <w:rFonts w:hint="default" w:eastAsia="宋体"/>
                      <w:color w:val="auto"/>
                      <w:sz w:val="21"/>
                      <w:szCs w:val="21"/>
                      <w:lang w:val="en-US" w:eastAsia="zh-CN"/>
                    </w:rPr>
                  </w:pPr>
                  <w:r>
                    <w:rPr>
                      <w:rFonts w:hint="eastAsia"/>
                      <w:color w:val="auto"/>
                      <w:sz w:val="21"/>
                      <w:szCs w:val="21"/>
                      <w:lang w:val="en-US" w:eastAsia="zh-CN"/>
                    </w:rPr>
                    <w:t>0.037</w:t>
                  </w:r>
                </w:p>
              </w:tc>
              <w:tc>
                <w:tcPr>
                  <w:tcW w:w="470" w:type="pct"/>
                  <w:vAlign w:val="center"/>
                </w:tcPr>
                <w:p w14:paraId="4E556DEA">
                  <w:pPr>
                    <w:jc w:val="center"/>
                    <w:rPr>
                      <w:rFonts w:hint="default" w:eastAsia="宋体"/>
                      <w:color w:val="auto"/>
                      <w:sz w:val="21"/>
                      <w:szCs w:val="21"/>
                      <w:lang w:val="en-US" w:eastAsia="zh-CN"/>
                    </w:rPr>
                  </w:pPr>
                  <w:r>
                    <w:rPr>
                      <w:rFonts w:hint="eastAsia"/>
                      <w:color w:val="auto"/>
                      <w:sz w:val="21"/>
                      <w:szCs w:val="21"/>
                      <w:lang w:val="en-US" w:eastAsia="zh-CN"/>
                    </w:rPr>
                    <w:t>0.06</w:t>
                  </w:r>
                </w:p>
              </w:tc>
            </w:tr>
            <w:tr w14:paraId="79111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0" w:type="pct"/>
                  <w:vMerge w:val="continue"/>
                  <w:vAlign w:val="center"/>
                </w:tcPr>
                <w:p w14:paraId="3D69BDE1">
                  <w:pPr>
                    <w:jc w:val="center"/>
                    <w:rPr>
                      <w:color w:val="auto"/>
                      <w:sz w:val="21"/>
                      <w:szCs w:val="21"/>
                    </w:rPr>
                  </w:pPr>
                </w:p>
              </w:tc>
              <w:tc>
                <w:tcPr>
                  <w:tcW w:w="707" w:type="pct"/>
                  <w:vAlign w:val="center"/>
                </w:tcPr>
                <w:p w14:paraId="52B4DF51">
                  <w:pPr>
                    <w:jc w:val="center"/>
                    <w:rPr>
                      <w:color w:val="auto"/>
                      <w:sz w:val="21"/>
                      <w:szCs w:val="21"/>
                    </w:rPr>
                  </w:pPr>
                  <w:r>
                    <w:rPr>
                      <w:color w:val="auto"/>
                      <w:sz w:val="21"/>
                      <w:szCs w:val="21"/>
                    </w:rPr>
                    <w:t>污染物排放量（t/a）</w:t>
                  </w:r>
                </w:p>
              </w:tc>
              <w:tc>
                <w:tcPr>
                  <w:tcW w:w="1402" w:type="pct"/>
                  <w:gridSpan w:val="2"/>
                  <w:vAlign w:val="center"/>
                </w:tcPr>
                <w:p w14:paraId="19CCC1E4">
                  <w:pPr>
                    <w:jc w:val="center"/>
                    <w:rPr>
                      <w:rFonts w:hint="default" w:eastAsia="宋体"/>
                      <w:color w:val="auto"/>
                      <w:szCs w:val="21"/>
                      <w:lang w:val="en-US" w:eastAsia="zh-CN"/>
                    </w:rPr>
                  </w:pPr>
                  <w:r>
                    <w:rPr>
                      <w:rFonts w:hint="eastAsia"/>
                      <w:color w:val="auto"/>
                      <w:szCs w:val="21"/>
                      <w:lang w:val="en-US" w:eastAsia="zh-CN"/>
                    </w:rPr>
                    <w:t>0.083</w:t>
                  </w:r>
                </w:p>
              </w:tc>
              <w:tc>
                <w:tcPr>
                  <w:tcW w:w="640" w:type="pct"/>
                  <w:vAlign w:val="center"/>
                </w:tcPr>
                <w:p w14:paraId="104C4108">
                  <w:pPr>
                    <w:jc w:val="center"/>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0.875</w:t>
                  </w:r>
                </w:p>
              </w:tc>
              <w:tc>
                <w:tcPr>
                  <w:tcW w:w="496" w:type="pct"/>
                  <w:vAlign w:val="center"/>
                </w:tcPr>
                <w:p w14:paraId="1114FFAE">
                  <w:pPr>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0.0038</w:t>
                  </w:r>
                </w:p>
              </w:tc>
              <w:tc>
                <w:tcPr>
                  <w:tcW w:w="552" w:type="pct"/>
                  <w:vAlign w:val="center"/>
                </w:tcPr>
                <w:p w14:paraId="3C364459">
                  <w:pPr>
                    <w:jc w:val="center"/>
                    <w:rPr>
                      <w:rFonts w:hint="eastAsia" w:eastAsia="宋体"/>
                      <w:color w:val="auto"/>
                      <w:sz w:val="21"/>
                      <w:szCs w:val="21"/>
                      <w:lang w:val="en-US" w:eastAsia="zh-CN"/>
                    </w:rPr>
                  </w:pPr>
                  <w:r>
                    <w:rPr>
                      <w:rFonts w:hint="eastAsia"/>
                      <w:color w:val="auto"/>
                      <w:sz w:val="21"/>
                      <w:szCs w:val="21"/>
                      <w:lang w:val="en-US" w:eastAsia="zh-CN"/>
                    </w:rPr>
                    <w:t>0</w:t>
                  </w:r>
                </w:p>
              </w:tc>
              <w:tc>
                <w:tcPr>
                  <w:tcW w:w="478" w:type="pct"/>
                  <w:vAlign w:val="center"/>
                </w:tcPr>
                <w:p w14:paraId="45F07536">
                  <w:pPr>
                    <w:jc w:val="center"/>
                    <w:rPr>
                      <w:rFonts w:hint="default" w:eastAsia="宋体"/>
                      <w:color w:val="auto"/>
                      <w:sz w:val="21"/>
                      <w:szCs w:val="21"/>
                      <w:lang w:val="en-US" w:eastAsia="zh-CN"/>
                    </w:rPr>
                  </w:pPr>
                  <w:r>
                    <w:rPr>
                      <w:rFonts w:hint="eastAsia"/>
                      <w:color w:val="auto"/>
                      <w:sz w:val="21"/>
                      <w:szCs w:val="21"/>
                      <w:lang w:val="en-US" w:eastAsia="zh-CN"/>
                    </w:rPr>
                    <w:t>0.265</w:t>
                  </w:r>
                </w:p>
              </w:tc>
              <w:tc>
                <w:tcPr>
                  <w:tcW w:w="470" w:type="pct"/>
                  <w:vAlign w:val="center"/>
                </w:tcPr>
                <w:p w14:paraId="31BC9719">
                  <w:pPr>
                    <w:jc w:val="center"/>
                    <w:rPr>
                      <w:rFonts w:hint="default" w:eastAsia="宋体"/>
                      <w:color w:val="auto"/>
                      <w:sz w:val="21"/>
                      <w:szCs w:val="21"/>
                      <w:lang w:val="en-US" w:eastAsia="zh-CN"/>
                    </w:rPr>
                  </w:pPr>
                  <w:r>
                    <w:rPr>
                      <w:rFonts w:hint="eastAsia"/>
                      <w:color w:val="auto"/>
                      <w:sz w:val="21"/>
                      <w:szCs w:val="21"/>
                      <w:lang w:val="en-US" w:eastAsia="zh-CN"/>
                    </w:rPr>
                    <w:t>0.44</w:t>
                  </w:r>
                </w:p>
              </w:tc>
            </w:tr>
            <w:tr w14:paraId="7A55B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0" w:type="pct"/>
                  <w:vMerge w:val="restart"/>
                  <w:vAlign w:val="center"/>
                </w:tcPr>
                <w:p w14:paraId="6DB59615">
                  <w:pPr>
                    <w:jc w:val="center"/>
                    <w:rPr>
                      <w:color w:val="auto"/>
                      <w:sz w:val="21"/>
                      <w:szCs w:val="21"/>
                    </w:rPr>
                  </w:pPr>
                  <w:r>
                    <w:rPr>
                      <w:color w:val="auto"/>
                      <w:sz w:val="21"/>
                      <w:szCs w:val="21"/>
                    </w:rPr>
                    <w:t>排放口基本情况</w:t>
                  </w:r>
                </w:p>
              </w:tc>
              <w:tc>
                <w:tcPr>
                  <w:tcW w:w="707" w:type="pct"/>
                  <w:vAlign w:val="center"/>
                </w:tcPr>
                <w:p w14:paraId="3F510D09">
                  <w:pPr>
                    <w:jc w:val="center"/>
                    <w:rPr>
                      <w:color w:val="auto"/>
                      <w:sz w:val="21"/>
                      <w:szCs w:val="21"/>
                    </w:rPr>
                  </w:pPr>
                  <w:r>
                    <w:rPr>
                      <w:color w:val="auto"/>
                      <w:sz w:val="21"/>
                      <w:szCs w:val="21"/>
                    </w:rPr>
                    <w:t>排气筒高度</w:t>
                  </w:r>
                </w:p>
              </w:tc>
              <w:tc>
                <w:tcPr>
                  <w:tcW w:w="1402" w:type="pct"/>
                  <w:gridSpan w:val="2"/>
                  <w:vAlign w:val="center"/>
                </w:tcPr>
                <w:p w14:paraId="2F31D30D">
                  <w:pPr>
                    <w:jc w:val="center"/>
                    <w:rPr>
                      <w:rFonts w:hint="eastAsia"/>
                      <w:color w:val="auto"/>
                      <w:sz w:val="21"/>
                      <w:szCs w:val="21"/>
                    </w:rPr>
                  </w:pPr>
                  <w:r>
                    <w:rPr>
                      <w:rFonts w:hint="eastAsia"/>
                      <w:color w:val="auto"/>
                      <w:sz w:val="21"/>
                      <w:szCs w:val="21"/>
                    </w:rPr>
                    <w:t>15m</w:t>
                  </w:r>
                </w:p>
              </w:tc>
              <w:tc>
                <w:tcPr>
                  <w:tcW w:w="640" w:type="pct"/>
                  <w:vAlign w:val="center"/>
                </w:tcPr>
                <w:p w14:paraId="77424A0B">
                  <w:pPr>
                    <w:jc w:val="center"/>
                    <w:rPr>
                      <w:color w:val="auto"/>
                      <w:sz w:val="21"/>
                      <w:szCs w:val="21"/>
                    </w:rPr>
                  </w:pPr>
                  <w:r>
                    <w:rPr>
                      <w:rFonts w:hint="eastAsia"/>
                      <w:color w:val="auto"/>
                      <w:sz w:val="21"/>
                      <w:szCs w:val="21"/>
                    </w:rPr>
                    <w:t>/</w:t>
                  </w:r>
                </w:p>
              </w:tc>
              <w:tc>
                <w:tcPr>
                  <w:tcW w:w="496" w:type="pct"/>
                  <w:vAlign w:val="center"/>
                </w:tcPr>
                <w:p w14:paraId="58DD74F8">
                  <w:pPr>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rPr>
                    <w:t>/</w:t>
                  </w:r>
                </w:p>
              </w:tc>
              <w:tc>
                <w:tcPr>
                  <w:tcW w:w="552" w:type="pct"/>
                  <w:vAlign w:val="center"/>
                </w:tcPr>
                <w:p w14:paraId="50F56C33">
                  <w:pPr>
                    <w:jc w:val="center"/>
                    <w:rPr>
                      <w:color w:val="auto"/>
                      <w:sz w:val="21"/>
                      <w:szCs w:val="21"/>
                    </w:rPr>
                  </w:pPr>
                  <w:r>
                    <w:rPr>
                      <w:rFonts w:hint="eastAsia"/>
                      <w:color w:val="auto"/>
                      <w:sz w:val="21"/>
                      <w:szCs w:val="21"/>
                    </w:rPr>
                    <w:t>/</w:t>
                  </w:r>
                </w:p>
              </w:tc>
              <w:tc>
                <w:tcPr>
                  <w:tcW w:w="478" w:type="pct"/>
                  <w:vAlign w:val="center"/>
                </w:tcPr>
                <w:p w14:paraId="60936994">
                  <w:pPr>
                    <w:jc w:val="center"/>
                    <w:rPr>
                      <w:color w:val="auto"/>
                      <w:sz w:val="21"/>
                      <w:szCs w:val="21"/>
                    </w:rPr>
                  </w:pPr>
                  <w:r>
                    <w:rPr>
                      <w:rFonts w:hint="eastAsia"/>
                      <w:color w:val="auto"/>
                      <w:sz w:val="21"/>
                      <w:szCs w:val="21"/>
                    </w:rPr>
                    <w:t>/</w:t>
                  </w:r>
                </w:p>
              </w:tc>
              <w:tc>
                <w:tcPr>
                  <w:tcW w:w="470" w:type="pct"/>
                  <w:vAlign w:val="center"/>
                </w:tcPr>
                <w:p w14:paraId="6C93AC11">
                  <w:pPr>
                    <w:jc w:val="center"/>
                    <w:rPr>
                      <w:color w:val="auto"/>
                      <w:sz w:val="21"/>
                      <w:szCs w:val="21"/>
                    </w:rPr>
                  </w:pPr>
                  <w:r>
                    <w:rPr>
                      <w:rFonts w:hint="eastAsia"/>
                      <w:color w:val="auto"/>
                      <w:sz w:val="21"/>
                      <w:szCs w:val="21"/>
                    </w:rPr>
                    <w:t>/</w:t>
                  </w:r>
                </w:p>
              </w:tc>
            </w:tr>
            <w:tr w14:paraId="6EAF0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0" w:type="pct"/>
                  <w:vMerge w:val="continue"/>
                  <w:vAlign w:val="center"/>
                </w:tcPr>
                <w:p w14:paraId="35974322">
                  <w:pPr>
                    <w:jc w:val="center"/>
                    <w:rPr>
                      <w:color w:val="auto"/>
                      <w:sz w:val="21"/>
                      <w:szCs w:val="21"/>
                    </w:rPr>
                  </w:pPr>
                </w:p>
              </w:tc>
              <w:tc>
                <w:tcPr>
                  <w:tcW w:w="707" w:type="pct"/>
                  <w:vAlign w:val="center"/>
                </w:tcPr>
                <w:p w14:paraId="1D9B75DE">
                  <w:pPr>
                    <w:jc w:val="center"/>
                    <w:rPr>
                      <w:color w:val="auto"/>
                      <w:sz w:val="21"/>
                      <w:szCs w:val="21"/>
                    </w:rPr>
                  </w:pPr>
                  <w:r>
                    <w:rPr>
                      <w:color w:val="auto"/>
                      <w:sz w:val="21"/>
                      <w:szCs w:val="21"/>
                    </w:rPr>
                    <w:t>排气筒内径</w:t>
                  </w:r>
                </w:p>
              </w:tc>
              <w:tc>
                <w:tcPr>
                  <w:tcW w:w="1402" w:type="pct"/>
                  <w:gridSpan w:val="2"/>
                  <w:vAlign w:val="center"/>
                </w:tcPr>
                <w:p w14:paraId="73E1A206">
                  <w:pPr>
                    <w:jc w:val="center"/>
                    <w:rPr>
                      <w:rFonts w:hint="eastAsia"/>
                      <w:color w:val="auto"/>
                      <w:sz w:val="21"/>
                      <w:szCs w:val="21"/>
                    </w:rPr>
                  </w:pPr>
                  <w:r>
                    <w:rPr>
                      <w:rFonts w:hint="eastAsia"/>
                      <w:color w:val="auto"/>
                      <w:sz w:val="21"/>
                      <w:szCs w:val="21"/>
                    </w:rPr>
                    <w:t>0.5m</w:t>
                  </w:r>
                </w:p>
              </w:tc>
              <w:tc>
                <w:tcPr>
                  <w:tcW w:w="640" w:type="pct"/>
                  <w:vAlign w:val="center"/>
                </w:tcPr>
                <w:p w14:paraId="24394F81">
                  <w:pPr>
                    <w:jc w:val="center"/>
                    <w:rPr>
                      <w:color w:val="auto"/>
                      <w:sz w:val="21"/>
                      <w:szCs w:val="21"/>
                    </w:rPr>
                  </w:pPr>
                  <w:r>
                    <w:rPr>
                      <w:rFonts w:hint="eastAsia"/>
                      <w:color w:val="auto"/>
                      <w:sz w:val="21"/>
                      <w:szCs w:val="21"/>
                    </w:rPr>
                    <w:t>/</w:t>
                  </w:r>
                </w:p>
              </w:tc>
              <w:tc>
                <w:tcPr>
                  <w:tcW w:w="496" w:type="pct"/>
                  <w:vAlign w:val="center"/>
                </w:tcPr>
                <w:p w14:paraId="5E399131">
                  <w:pPr>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rPr>
                    <w:t>/</w:t>
                  </w:r>
                </w:p>
              </w:tc>
              <w:tc>
                <w:tcPr>
                  <w:tcW w:w="552" w:type="pct"/>
                  <w:vAlign w:val="center"/>
                </w:tcPr>
                <w:p w14:paraId="1B0F3379">
                  <w:pPr>
                    <w:jc w:val="center"/>
                    <w:rPr>
                      <w:color w:val="auto"/>
                      <w:sz w:val="21"/>
                      <w:szCs w:val="21"/>
                    </w:rPr>
                  </w:pPr>
                  <w:r>
                    <w:rPr>
                      <w:rFonts w:hint="eastAsia"/>
                      <w:color w:val="auto"/>
                      <w:sz w:val="21"/>
                      <w:szCs w:val="21"/>
                    </w:rPr>
                    <w:t>/</w:t>
                  </w:r>
                </w:p>
              </w:tc>
              <w:tc>
                <w:tcPr>
                  <w:tcW w:w="478" w:type="pct"/>
                  <w:vAlign w:val="center"/>
                </w:tcPr>
                <w:p w14:paraId="57467A42">
                  <w:pPr>
                    <w:jc w:val="center"/>
                    <w:rPr>
                      <w:color w:val="auto"/>
                      <w:sz w:val="21"/>
                      <w:szCs w:val="21"/>
                    </w:rPr>
                  </w:pPr>
                  <w:r>
                    <w:rPr>
                      <w:rFonts w:hint="eastAsia"/>
                      <w:color w:val="auto"/>
                      <w:sz w:val="21"/>
                      <w:szCs w:val="21"/>
                    </w:rPr>
                    <w:t>/</w:t>
                  </w:r>
                </w:p>
              </w:tc>
              <w:tc>
                <w:tcPr>
                  <w:tcW w:w="470" w:type="pct"/>
                  <w:vAlign w:val="center"/>
                </w:tcPr>
                <w:p w14:paraId="59DCAF71">
                  <w:pPr>
                    <w:jc w:val="center"/>
                    <w:rPr>
                      <w:color w:val="auto"/>
                      <w:sz w:val="21"/>
                      <w:szCs w:val="21"/>
                    </w:rPr>
                  </w:pPr>
                  <w:r>
                    <w:rPr>
                      <w:rFonts w:hint="eastAsia"/>
                      <w:color w:val="auto"/>
                      <w:sz w:val="21"/>
                      <w:szCs w:val="21"/>
                    </w:rPr>
                    <w:t>/</w:t>
                  </w:r>
                </w:p>
              </w:tc>
            </w:tr>
            <w:tr w14:paraId="1F780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0" w:type="pct"/>
                  <w:vMerge w:val="continue"/>
                  <w:vAlign w:val="center"/>
                </w:tcPr>
                <w:p w14:paraId="2F5562EC">
                  <w:pPr>
                    <w:jc w:val="center"/>
                    <w:rPr>
                      <w:color w:val="auto"/>
                      <w:sz w:val="21"/>
                      <w:szCs w:val="21"/>
                    </w:rPr>
                  </w:pPr>
                </w:p>
              </w:tc>
              <w:tc>
                <w:tcPr>
                  <w:tcW w:w="707" w:type="pct"/>
                  <w:vAlign w:val="center"/>
                </w:tcPr>
                <w:p w14:paraId="6B273891">
                  <w:pPr>
                    <w:jc w:val="center"/>
                    <w:rPr>
                      <w:color w:val="auto"/>
                      <w:sz w:val="21"/>
                      <w:szCs w:val="21"/>
                    </w:rPr>
                  </w:pPr>
                  <w:r>
                    <w:rPr>
                      <w:color w:val="auto"/>
                      <w:sz w:val="21"/>
                      <w:szCs w:val="21"/>
                    </w:rPr>
                    <w:t>温度</w:t>
                  </w:r>
                </w:p>
              </w:tc>
              <w:tc>
                <w:tcPr>
                  <w:tcW w:w="1402" w:type="pct"/>
                  <w:gridSpan w:val="2"/>
                  <w:vAlign w:val="center"/>
                </w:tcPr>
                <w:p w14:paraId="36668D08">
                  <w:pPr>
                    <w:jc w:val="center"/>
                    <w:rPr>
                      <w:rFonts w:hint="eastAsia"/>
                      <w:color w:val="auto"/>
                      <w:szCs w:val="21"/>
                    </w:rPr>
                  </w:pPr>
                  <w:r>
                    <w:rPr>
                      <w:rFonts w:hint="eastAsia"/>
                      <w:color w:val="auto"/>
                      <w:szCs w:val="21"/>
                    </w:rPr>
                    <w:t>25</w:t>
                  </w:r>
                  <w:r>
                    <w:rPr>
                      <w:color w:val="auto"/>
                      <w:szCs w:val="21"/>
                    </w:rPr>
                    <w:t>℃</w:t>
                  </w:r>
                </w:p>
              </w:tc>
              <w:tc>
                <w:tcPr>
                  <w:tcW w:w="640" w:type="pct"/>
                  <w:vAlign w:val="center"/>
                </w:tcPr>
                <w:p w14:paraId="26FFC789">
                  <w:pPr>
                    <w:jc w:val="center"/>
                    <w:rPr>
                      <w:color w:val="auto"/>
                      <w:sz w:val="21"/>
                      <w:szCs w:val="21"/>
                    </w:rPr>
                  </w:pPr>
                  <w:r>
                    <w:rPr>
                      <w:rFonts w:hint="eastAsia"/>
                      <w:color w:val="auto"/>
                      <w:sz w:val="21"/>
                      <w:szCs w:val="21"/>
                    </w:rPr>
                    <w:t>/</w:t>
                  </w:r>
                </w:p>
              </w:tc>
              <w:tc>
                <w:tcPr>
                  <w:tcW w:w="496" w:type="pct"/>
                  <w:vAlign w:val="center"/>
                </w:tcPr>
                <w:p w14:paraId="17BFF16F">
                  <w:pPr>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rPr>
                    <w:t>/</w:t>
                  </w:r>
                </w:p>
              </w:tc>
              <w:tc>
                <w:tcPr>
                  <w:tcW w:w="552" w:type="pct"/>
                  <w:vAlign w:val="center"/>
                </w:tcPr>
                <w:p w14:paraId="35F7F625">
                  <w:pPr>
                    <w:jc w:val="center"/>
                    <w:rPr>
                      <w:color w:val="auto"/>
                      <w:sz w:val="21"/>
                      <w:szCs w:val="21"/>
                    </w:rPr>
                  </w:pPr>
                  <w:r>
                    <w:rPr>
                      <w:rFonts w:hint="eastAsia"/>
                      <w:color w:val="auto"/>
                      <w:sz w:val="21"/>
                      <w:szCs w:val="21"/>
                    </w:rPr>
                    <w:t>/</w:t>
                  </w:r>
                </w:p>
              </w:tc>
              <w:tc>
                <w:tcPr>
                  <w:tcW w:w="478" w:type="pct"/>
                  <w:vAlign w:val="center"/>
                </w:tcPr>
                <w:p w14:paraId="7352D4FF">
                  <w:pPr>
                    <w:jc w:val="center"/>
                    <w:rPr>
                      <w:color w:val="auto"/>
                      <w:sz w:val="21"/>
                      <w:szCs w:val="21"/>
                    </w:rPr>
                  </w:pPr>
                  <w:r>
                    <w:rPr>
                      <w:rFonts w:hint="eastAsia"/>
                      <w:color w:val="auto"/>
                      <w:sz w:val="21"/>
                      <w:szCs w:val="21"/>
                    </w:rPr>
                    <w:t>/</w:t>
                  </w:r>
                </w:p>
              </w:tc>
              <w:tc>
                <w:tcPr>
                  <w:tcW w:w="470" w:type="pct"/>
                  <w:vAlign w:val="center"/>
                </w:tcPr>
                <w:p w14:paraId="15865F76">
                  <w:pPr>
                    <w:jc w:val="center"/>
                    <w:rPr>
                      <w:color w:val="auto"/>
                      <w:sz w:val="21"/>
                      <w:szCs w:val="21"/>
                    </w:rPr>
                  </w:pPr>
                  <w:r>
                    <w:rPr>
                      <w:rFonts w:hint="eastAsia"/>
                      <w:color w:val="auto"/>
                      <w:sz w:val="21"/>
                      <w:szCs w:val="21"/>
                    </w:rPr>
                    <w:t>/</w:t>
                  </w:r>
                </w:p>
              </w:tc>
            </w:tr>
            <w:tr w14:paraId="7F678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0" w:type="pct"/>
                  <w:vMerge w:val="continue"/>
                  <w:vAlign w:val="center"/>
                </w:tcPr>
                <w:p w14:paraId="22FE6FD8">
                  <w:pPr>
                    <w:jc w:val="center"/>
                    <w:rPr>
                      <w:color w:val="auto"/>
                      <w:sz w:val="21"/>
                      <w:szCs w:val="21"/>
                    </w:rPr>
                  </w:pPr>
                </w:p>
              </w:tc>
              <w:tc>
                <w:tcPr>
                  <w:tcW w:w="707" w:type="pct"/>
                  <w:vAlign w:val="center"/>
                </w:tcPr>
                <w:p w14:paraId="02C74337">
                  <w:pPr>
                    <w:jc w:val="center"/>
                    <w:rPr>
                      <w:color w:val="auto"/>
                      <w:sz w:val="21"/>
                      <w:szCs w:val="21"/>
                    </w:rPr>
                  </w:pPr>
                  <w:r>
                    <w:rPr>
                      <w:color w:val="auto"/>
                      <w:sz w:val="21"/>
                      <w:szCs w:val="21"/>
                    </w:rPr>
                    <w:t>编号</w:t>
                  </w:r>
                </w:p>
              </w:tc>
              <w:tc>
                <w:tcPr>
                  <w:tcW w:w="1402" w:type="pct"/>
                  <w:gridSpan w:val="2"/>
                  <w:vAlign w:val="center"/>
                </w:tcPr>
                <w:p w14:paraId="3E7020EF">
                  <w:pPr>
                    <w:jc w:val="center"/>
                    <w:rPr>
                      <w:rFonts w:hint="default" w:eastAsia="宋体"/>
                      <w:color w:val="auto"/>
                      <w:szCs w:val="21"/>
                      <w:lang w:val="en-US" w:eastAsia="zh-CN"/>
                    </w:rPr>
                  </w:pPr>
                  <w:r>
                    <w:rPr>
                      <w:color w:val="auto"/>
                      <w:szCs w:val="21"/>
                    </w:rPr>
                    <w:t>DA0</w:t>
                  </w:r>
                  <w:r>
                    <w:rPr>
                      <w:rFonts w:hint="eastAsia"/>
                      <w:color w:val="auto"/>
                      <w:szCs w:val="21"/>
                      <w:lang w:val="en-US" w:eastAsia="zh-CN"/>
                    </w:rPr>
                    <w:t>08</w:t>
                  </w:r>
                </w:p>
              </w:tc>
              <w:tc>
                <w:tcPr>
                  <w:tcW w:w="640" w:type="pct"/>
                  <w:vAlign w:val="center"/>
                </w:tcPr>
                <w:p w14:paraId="30876E5E">
                  <w:pPr>
                    <w:jc w:val="center"/>
                    <w:rPr>
                      <w:rFonts w:ascii="Times New Roman" w:hAnsi="Times New Roman" w:eastAsia="宋体" w:cs="Times New Roman"/>
                      <w:color w:val="auto"/>
                      <w:sz w:val="21"/>
                      <w:szCs w:val="21"/>
                      <w:lang w:val="en-US" w:eastAsia="zh-CN" w:bidi="ar-SA"/>
                    </w:rPr>
                  </w:pPr>
                  <w:r>
                    <w:rPr>
                      <w:rFonts w:hint="eastAsia"/>
                      <w:color w:val="auto"/>
                      <w:sz w:val="21"/>
                      <w:szCs w:val="21"/>
                    </w:rPr>
                    <w:t>/</w:t>
                  </w:r>
                </w:p>
              </w:tc>
              <w:tc>
                <w:tcPr>
                  <w:tcW w:w="496" w:type="pct"/>
                  <w:vAlign w:val="center"/>
                </w:tcPr>
                <w:p w14:paraId="3EC8876E">
                  <w:pPr>
                    <w:jc w:val="center"/>
                    <w:rPr>
                      <w:rFonts w:hint="eastAsia"/>
                      <w:color w:val="auto"/>
                      <w:szCs w:val="21"/>
                    </w:rPr>
                  </w:pPr>
                  <w:r>
                    <w:rPr>
                      <w:rFonts w:hint="eastAsia"/>
                      <w:color w:val="auto"/>
                      <w:sz w:val="21"/>
                      <w:szCs w:val="21"/>
                    </w:rPr>
                    <w:t>/</w:t>
                  </w:r>
                </w:p>
              </w:tc>
              <w:tc>
                <w:tcPr>
                  <w:tcW w:w="552" w:type="pct"/>
                  <w:vAlign w:val="center"/>
                </w:tcPr>
                <w:p w14:paraId="1D5069EF">
                  <w:pPr>
                    <w:jc w:val="center"/>
                    <w:rPr>
                      <w:color w:val="auto"/>
                      <w:sz w:val="21"/>
                      <w:szCs w:val="21"/>
                    </w:rPr>
                  </w:pPr>
                  <w:r>
                    <w:rPr>
                      <w:rFonts w:hint="eastAsia"/>
                      <w:color w:val="auto"/>
                      <w:sz w:val="21"/>
                      <w:szCs w:val="21"/>
                    </w:rPr>
                    <w:t>/</w:t>
                  </w:r>
                </w:p>
              </w:tc>
              <w:tc>
                <w:tcPr>
                  <w:tcW w:w="478" w:type="pct"/>
                  <w:vAlign w:val="center"/>
                </w:tcPr>
                <w:p w14:paraId="07EEB5EC">
                  <w:pPr>
                    <w:jc w:val="center"/>
                    <w:rPr>
                      <w:color w:val="auto"/>
                      <w:sz w:val="21"/>
                      <w:szCs w:val="21"/>
                    </w:rPr>
                  </w:pPr>
                  <w:r>
                    <w:rPr>
                      <w:rFonts w:hint="eastAsia"/>
                      <w:color w:val="auto"/>
                      <w:sz w:val="21"/>
                      <w:szCs w:val="21"/>
                    </w:rPr>
                    <w:t>/</w:t>
                  </w:r>
                </w:p>
              </w:tc>
              <w:tc>
                <w:tcPr>
                  <w:tcW w:w="470" w:type="pct"/>
                  <w:vAlign w:val="center"/>
                </w:tcPr>
                <w:p w14:paraId="63296CE8">
                  <w:pPr>
                    <w:jc w:val="center"/>
                    <w:rPr>
                      <w:color w:val="auto"/>
                      <w:sz w:val="21"/>
                      <w:szCs w:val="21"/>
                    </w:rPr>
                  </w:pPr>
                  <w:r>
                    <w:rPr>
                      <w:rFonts w:hint="eastAsia"/>
                      <w:color w:val="auto"/>
                      <w:sz w:val="21"/>
                      <w:szCs w:val="21"/>
                    </w:rPr>
                    <w:t>/</w:t>
                  </w:r>
                </w:p>
              </w:tc>
            </w:tr>
            <w:tr w14:paraId="4A9C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0" w:type="pct"/>
                  <w:vMerge w:val="continue"/>
                  <w:vAlign w:val="center"/>
                </w:tcPr>
                <w:p w14:paraId="6132758F">
                  <w:pPr>
                    <w:jc w:val="center"/>
                    <w:rPr>
                      <w:color w:val="auto"/>
                      <w:sz w:val="21"/>
                      <w:szCs w:val="21"/>
                    </w:rPr>
                  </w:pPr>
                </w:p>
              </w:tc>
              <w:tc>
                <w:tcPr>
                  <w:tcW w:w="707" w:type="pct"/>
                  <w:vAlign w:val="center"/>
                </w:tcPr>
                <w:p w14:paraId="0534328A">
                  <w:pPr>
                    <w:jc w:val="center"/>
                    <w:rPr>
                      <w:color w:val="auto"/>
                      <w:sz w:val="21"/>
                      <w:szCs w:val="21"/>
                    </w:rPr>
                  </w:pPr>
                  <w:r>
                    <w:rPr>
                      <w:color w:val="auto"/>
                      <w:sz w:val="21"/>
                      <w:szCs w:val="21"/>
                    </w:rPr>
                    <w:t>类型</w:t>
                  </w:r>
                </w:p>
              </w:tc>
              <w:tc>
                <w:tcPr>
                  <w:tcW w:w="1402" w:type="pct"/>
                  <w:gridSpan w:val="2"/>
                  <w:vAlign w:val="center"/>
                </w:tcPr>
                <w:p w14:paraId="4F239402">
                  <w:pPr>
                    <w:jc w:val="center"/>
                    <w:rPr>
                      <w:color w:val="auto"/>
                      <w:szCs w:val="21"/>
                    </w:rPr>
                  </w:pPr>
                  <w:r>
                    <w:rPr>
                      <w:color w:val="auto"/>
                      <w:szCs w:val="21"/>
                    </w:rPr>
                    <w:t>一般排放口</w:t>
                  </w:r>
                </w:p>
              </w:tc>
              <w:tc>
                <w:tcPr>
                  <w:tcW w:w="640" w:type="pct"/>
                  <w:vAlign w:val="center"/>
                </w:tcPr>
                <w:p w14:paraId="57F36954">
                  <w:pPr>
                    <w:jc w:val="center"/>
                    <w:rPr>
                      <w:rFonts w:ascii="Times New Roman" w:hAnsi="Times New Roman" w:eastAsia="宋体" w:cs="Times New Roman"/>
                      <w:color w:val="auto"/>
                      <w:sz w:val="21"/>
                      <w:szCs w:val="21"/>
                      <w:lang w:val="en-US" w:eastAsia="zh-CN" w:bidi="ar-SA"/>
                    </w:rPr>
                  </w:pPr>
                  <w:r>
                    <w:rPr>
                      <w:rFonts w:hint="eastAsia"/>
                      <w:color w:val="auto"/>
                      <w:sz w:val="21"/>
                      <w:szCs w:val="21"/>
                    </w:rPr>
                    <w:t>/</w:t>
                  </w:r>
                </w:p>
              </w:tc>
              <w:tc>
                <w:tcPr>
                  <w:tcW w:w="496" w:type="pct"/>
                  <w:vAlign w:val="center"/>
                </w:tcPr>
                <w:p w14:paraId="55A8E2EA">
                  <w:pPr>
                    <w:jc w:val="center"/>
                    <w:rPr>
                      <w:rFonts w:hint="eastAsia"/>
                      <w:color w:val="auto"/>
                      <w:sz w:val="21"/>
                      <w:szCs w:val="21"/>
                    </w:rPr>
                  </w:pPr>
                  <w:r>
                    <w:rPr>
                      <w:rFonts w:hint="eastAsia"/>
                      <w:color w:val="auto"/>
                      <w:sz w:val="21"/>
                      <w:szCs w:val="21"/>
                    </w:rPr>
                    <w:t>/</w:t>
                  </w:r>
                </w:p>
              </w:tc>
              <w:tc>
                <w:tcPr>
                  <w:tcW w:w="552" w:type="pct"/>
                  <w:vAlign w:val="center"/>
                </w:tcPr>
                <w:p w14:paraId="2C2B3EE6">
                  <w:pPr>
                    <w:jc w:val="center"/>
                    <w:rPr>
                      <w:color w:val="auto"/>
                      <w:sz w:val="21"/>
                      <w:szCs w:val="21"/>
                    </w:rPr>
                  </w:pPr>
                  <w:r>
                    <w:rPr>
                      <w:rFonts w:hint="eastAsia"/>
                      <w:color w:val="auto"/>
                      <w:sz w:val="21"/>
                      <w:szCs w:val="21"/>
                    </w:rPr>
                    <w:t>/</w:t>
                  </w:r>
                </w:p>
              </w:tc>
              <w:tc>
                <w:tcPr>
                  <w:tcW w:w="478" w:type="pct"/>
                  <w:vAlign w:val="center"/>
                </w:tcPr>
                <w:p w14:paraId="1A1ADEE5">
                  <w:pPr>
                    <w:jc w:val="center"/>
                    <w:rPr>
                      <w:color w:val="auto"/>
                      <w:sz w:val="21"/>
                      <w:szCs w:val="21"/>
                    </w:rPr>
                  </w:pPr>
                  <w:r>
                    <w:rPr>
                      <w:rFonts w:hint="eastAsia"/>
                      <w:color w:val="auto"/>
                      <w:sz w:val="21"/>
                      <w:szCs w:val="21"/>
                    </w:rPr>
                    <w:t>/</w:t>
                  </w:r>
                </w:p>
              </w:tc>
              <w:tc>
                <w:tcPr>
                  <w:tcW w:w="470" w:type="pct"/>
                  <w:vAlign w:val="center"/>
                </w:tcPr>
                <w:p w14:paraId="6B5513F1">
                  <w:pPr>
                    <w:jc w:val="center"/>
                    <w:rPr>
                      <w:color w:val="auto"/>
                      <w:sz w:val="21"/>
                      <w:szCs w:val="21"/>
                    </w:rPr>
                  </w:pPr>
                  <w:r>
                    <w:rPr>
                      <w:rFonts w:hint="eastAsia"/>
                      <w:color w:val="auto"/>
                      <w:sz w:val="21"/>
                      <w:szCs w:val="21"/>
                    </w:rPr>
                    <w:t>/</w:t>
                  </w:r>
                </w:p>
              </w:tc>
            </w:tr>
            <w:tr w14:paraId="5E6EE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0" w:type="pct"/>
                  <w:vMerge w:val="continue"/>
                  <w:vAlign w:val="center"/>
                </w:tcPr>
                <w:p w14:paraId="3C660220">
                  <w:pPr>
                    <w:jc w:val="center"/>
                    <w:rPr>
                      <w:color w:val="auto"/>
                      <w:sz w:val="21"/>
                      <w:szCs w:val="21"/>
                    </w:rPr>
                  </w:pPr>
                </w:p>
              </w:tc>
              <w:tc>
                <w:tcPr>
                  <w:tcW w:w="707" w:type="pct"/>
                  <w:vAlign w:val="center"/>
                </w:tcPr>
                <w:p w14:paraId="2F2D8A22">
                  <w:pPr>
                    <w:jc w:val="center"/>
                    <w:rPr>
                      <w:color w:val="auto"/>
                      <w:sz w:val="21"/>
                      <w:szCs w:val="21"/>
                    </w:rPr>
                  </w:pPr>
                  <w:r>
                    <w:rPr>
                      <w:color w:val="auto"/>
                      <w:sz w:val="21"/>
                      <w:szCs w:val="21"/>
                    </w:rPr>
                    <w:t>地理坐标</w:t>
                  </w:r>
                </w:p>
              </w:tc>
              <w:tc>
                <w:tcPr>
                  <w:tcW w:w="1402" w:type="pct"/>
                  <w:gridSpan w:val="2"/>
                  <w:vAlign w:val="center"/>
                </w:tcPr>
                <w:p w14:paraId="75524A5D">
                  <w:pPr>
                    <w:jc w:val="center"/>
                    <w:rPr>
                      <w:color w:val="auto"/>
                      <w:sz w:val="21"/>
                      <w:szCs w:val="21"/>
                    </w:rPr>
                  </w:pPr>
                  <w:r>
                    <w:rPr>
                      <w:rFonts w:hint="eastAsia"/>
                      <w:color w:val="auto"/>
                      <w:sz w:val="21"/>
                      <w:szCs w:val="21"/>
                    </w:rPr>
                    <w:t>E</w:t>
                  </w:r>
                  <w:r>
                    <w:rPr>
                      <w:color w:val="auto"/>
                      <w:sz w:val="21"/>
                      <w:szCs w:val="21"/>
                    </w:rPr>
                    <w:t>103°</w:t>
                  </w:r>
                  <w:r>
                    <w:rPr>
                      <w:rFonts w:hint="eastAsia"/>
                      <w:color w:val="auto"/>
                      <w:sz w:val="21"/>
                      <w:szCs w:val="21"/>
                      <w:lang w:val="en-US" w:eastAsia="zh-CN"/>
                    </w:rPr>
                    <w:t>15</w:t>
                  </w:r>
                  <w:r>
                    <w:rPr>
                      <w:color w:val="auto"/>
                      <w:sz w:val="21"/>
                      <w:szCs w:val="21"/>
                    </w:rPr>
                    <w:t>′</w:t>
                  </w:r>
                  <w:r>
                    <w:rPr>
                      <w:rFonts w:hint="eastAsia"/>
                      <w:color w:val="auto"/>
                      <w:sz w:val="21"/>
                      <w:szCs w:val="21"/>
                      <w:lang w:val="en-US" w:eastAsia="zh-CN"/>
                    </w:rPr>
                    <w:t>47.050</w:t>
                  </w:r>
                  <w:r>
                    <w:rPr>
                      <w:color w:val="auto"/>
                      <w:sz w:val="21"/>
                      <w:szCs w:val="21"/>
                    </w:rPr>
                    <w:t>′′</w:t>
                  </w:r>
                </w:p>
                <w:p w14:paraId="189DF0ED">
                  <w:pPr>
                    <w:jc w:val="center"/>
                    <w:rPr>
                      <w:rFonts w:hint="eastAsia"/>
                      <w:color w:val="auto"/>
                      <w:sz w:val="21"/>
                      <w:szCs w:val="21"/>
                    </w:rPr>
                  </w:pPr>
                  <w:r>
                    <w:rPr>
                      <w:rFonts w:hint="eastAsia"/>
                      <w:color w:val="auto"/>
                      <w:sz w:val="21"/>
                      <w:szCs w:val="21"/>
                    </w:rPr>
                    <w:t>N</w:t>
                  </w:r>
                  <w:r>
                    <w:rPr>
                      <w:color w:val="auto"/>
                      <w:sz w:val="21"/>
                      <w:szCs w:val="21"/>
                    </w:rPr>
                    <w:t>25°</w:t>
                  </w:r>
                  <w:r>
                    <w:rPr>
                      <w:rFonts w:hint="eastAsia"/>
                      <w:color w:val="auto"/>
                      <w:sz w:val="21"/>
                      <w:szCs w:val="21"/>
                      <w:lang w:val="en-US" w:eastAsia="zh-CN"/>
                    </w:rPr>
                    <w:t>25</w:t>
                  </w:r>
                  <w:r>
                    <w:rPr>
                      <w:color w:val="auto"/>
                      <w:sz w:val="21"/>
                      <w:szCs w:val="21"/>
                    </w:rPr>
                    <w:t>′</w:t>
                  </w:r>
                  <w:r>
                    <w:rPr>
                      <w:rFonts w:hint="eastAsia"/>
                      <w:color w:val="auto"/>
                      <w:sz w:val="21"/>
                      <w:szCs w:val="21"/>
                      <w:lang w:val="en-US" w:eastAsia="zh-CN"/>
                    </w:rPr>
                    <w:t>36.884</w:t>
                  </w:r>
                  <w:r>
                    <w:rPr>
                      <w:color w:val="auto"/>
                      <w:sz w:val="21"/>
                      <w:szCs w:val="21"/>
                    </w:rPr>
                    <w:t>′′</w:t>
                  </w:r>
                </w:p>
              </w:tc>
              <w:tc>
                <w:tcPr>
                  <w:tcW w:w="640" w:type="pct"/>
                  <w:vAlign w:val="center"/>
                </w:tcPr>
                <w:p w14:paraId="10BE3BC1">
                  <w:pPr>
                    <w:jc w:val="center"/>
                    <w:rPr>
                      <w:rFonts w:ascii="Times New Roman" w:hAnsi="Times New Roman" w:eastAsia="宋体" w:cs="Times New Roman"/>
                      <w:color w:val="auto"/>
                      <w:sz w:val="21"/>
                      <w:szCs w:val="21"/>
                      <w:lang w:val="en-US" w:eastAsia="zh-CN" w:bidi="ar-SA"/>
                    </w:rPr>
                  </w:pPr>
                  <w:r>
                    <w:rPr>
                      <w:rFonts w:hint="eastAsia"/>
                      <w:color w:val="auto"/>
                      <w:sz w:val="21"/>
                      <w:szCs w:val="21"/>
                    </w:rPr>
                    <w:t>/</w:t>
                  </w:r>
                </w:p>
              </w:tc>
              <w:tc>
                <w:tcPr>
                  <w:tcW w:w="496" w:type="pct"/>
                  <w:vAlign w:val="center"/>
                </w:tcPr>
                <w:p w14:paraId="6BA4708E">
                  <w:pPr>
                    <w:jc w:val="center"/>
                    <w:rPr>
                      <w:rFonts w:hint="eastAsia"/>
                      <w:color w:val="auto"/>
                      <w:sz w:val="21"/>
                      <w:szCs w:val="21"/>
                    </w:rPr>
                  </w:pPr>
                  <w:r>
                    <w:rPr>
                      <w:rFonts w:hint="eastAsia"/>
                      <w:color w:val="auto"/>
                      <w:sz w:val="21"/>
                      <w:szCs w:val="21"/>
                    </w:rPr>
                    <w:t>/</w:t>
                  </w:r>
                </w:p>
              </w:tc>
              <w:tc>
                <w:tcPr>
                  <w:tcW w:w="552" w:type="pct"/>
                  <w:vAlign w:val="center"/>
                </w:tcPr>
                <w:p w14:paraId="127C5856">
                  <w:pPr>
                    <w:jc w:val="center"/>
                    <w:rPr>
                      <w:color w:val="auto"/>
                      <w:sz w:val="21"/>
                      <w:szCs w:val="21"/>
                    </w:rPr>
                  </w:pPr>
                  <w:r>
                    <w:rPr>
                      <w:rFonts w:hint="eastAsia"/>
                      <w:color w:val="auto"/>
                      <w:sz w:val="21"/>
                      <w:szCs w:val="21"/>
                    </w:rPr>
                    <w:t>/</w:t>
                  </w:r>
                </w:p>
              </w:tc>
              <w:tc>
                <w:tcPr>
                  <w:tcW w:w="478" w:type="pct"/>
                  <w:vAlign w:val="center"/>
                </w:tcPr>
                <w:p w14:paraId="69015146">
                  <w:pPr>
                    <w:jc w:val="center"/>
                    <w:rPr>
                      <w:color w:val="auto"/>
                      <w:sz w:val="21"/>
                      <w:szCs w:val="21"/>
                    </w:rPr>
                  </w:pPr>
                  <w:r>
                    <w:rPr>
                      <w:rFonts w:hint="eastAsia"/>
                      <w:color w:val="auto"/>
                      <w:sz w:val="21"/>
                      <w:szCs w:val="21"/>
                    </w:rPr>
                    <w:t>/</w:t>
                  </w:r>
                </w:p>
              </w:tc>
              <w:tc>
                <w:tcPr>
                  <w:tcW w:w="470" w:type="pct"/>
                  <w:vAlign w:val="center"/>
                </w:tcPr>
                <w:p w14:paraId="502D3EC9">
                  <w:pPr>
                    <w:jc w:val="center"/>
                    <w:rPr>
                      <w:color w:val="auto"/>
                      <w:sz w:val="21"/>
                      <w:szCs w:val="21"/>
                    </w:rPr>
                  </w:pPr>
                  <w:r>
                    <w:rPr>
                      <w:rFonts w:hint="eastAsia"/>
                      <w:color w:val="auto"/>
                      <w:sz w:val="21"/>
                      <w:szCs w:val="21"/>
                    </w:rPr>
                    <w:t>/</w:t>
                  </w:r>
                </w:p>
              </w:tc>
            </w:tr>
            <w:tr w14:paraId="4FE5D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0" w:type="pct"/>
                  <w:vMerge w:val="restart"/>
                  <w:vAlign w:val="center"/>
                </w:tcPr>
                <w:p w14:paraId="608ECCA6">
                  <w:pPr>
                    <w:jc w:val="center"/>
                    <w:rPr>
                      <w:color w:val="auto"/>
                      <w:sz w:val="21"/>
                      <w:szCs w:val="21"/>
                    </w:rPr>
                  </w:pPr>
                  <w:r>
                    <w:rPr>
                      <w:color w:val="auto"/>
                      <w:sz w:val="21"/>
                      <w:szCs w:val="21"/>
                    </w:rPr>
                    <w:t>排放标准</w:t>
                  </w:r>
                </w:p>
              </w:tc>
              <w:tc>
                <w:tcPr>
                  <w:tcW w:w="707" w:type="pct"/>
                  <w:vAlign w:val="center"/>
                </w:tcPr>
                <w:p w14:paraId="13D77AD1">
                  <w:pPr>
                    <w:jc w:val="center"/>
                    <w:rPr>
                      <w:color w:val="auto"/>
                      <w:sz w:val="21"/>
                      <w:szCs w:val="21"/>
                    </w:rPr>
                  </w:pPr>
                  <w:r>
                    <w:rPr>
                      <w:rFonts w:hint="eastAsia"/>
                      <w:color w:val="auto"/>
                      <w:sz w:val="21"/>
                      <w:szCs w:val="21"/>
                    </w:rPr>
                    <w:t>允许排放浓度（</w:t>
                  </w:r>
                  <w:r>
                    <w:rPr>
                      <w:color w:val="auto"/>
                      <w:sz w:val="21"/>
                      <w:szCs w:val="21"/>
                    </w:rPr>
                    <w:t>mg/m</w:t>
                  </w:r>
                  <w:r>
                    <w:rPr>
                      <w:color w:val="auto"/>
                      <w:sz w:val="21"/>
                      <w:szCs w:val="21"/>
                      <w:vertAlign w:val="superscript"/>
                    </w:rPr>
                    <w:t>3</w:t>
                  </w:r>
                  <w:r>
                    <w:rPr>
                      <w:rFonts w:hint="eastAsia"/>
                      <w:color w:val="auto"/>
                      <w:sz w:val="21"/>
                      <w:szCs w:val="21"/>
                    </w:rPr>
                    <w:t>）</w:t>
                  </w:r>
                </w:p>
              </w:tc>
              <w:tc>
                <w:tcPr>
                  <w:tcW w:w="1402" w:type="pct"/>
                  <w:gridSpan w:val="2"/>
                  <w:vAlign w:val="center"/>
                </w:tcPr>
                <w:p w14:paraId="78BB6C3A">
                  <w:pPr>
                    <w:jc w:val="center"/>
                    <w:rPr>
                      <w:rFonts w:hint="eastAsia"/>
                      <w:color w:val="auto"/>
                      <w:sz w:val="21"/>
                      <w:szCs w:val="21"/>
                    </w:rPr>
                  </w:pPr>
                  <w:r>
                    <w:rPr>
                      <w:rFonts w:hint="eastAsia"/>
                      <w:color w:val="auto"/>
                      <w:sz w:val="21"/>
                      <w:szCs w:val="21"/>
                    </w:rPr>
                    <w:t>120</w:t>
                  </w:r>
                </w:p>
              </w:tc>
              <w:tc>
                <w:tcPr>
                  <w:tcW w:w="640" w:type="pct"/>
                  <w:vAlign w:val="center"/>
                </w:tcPr>
                <w:p w14:paraId="223FDE34">
                  <w:pPr>
                    <w:jc w:val="center"/>
                    <w:rPr>
                      <w:color w:val="auto"/>
                      <w:sz w:val="21"/>
                      <w:szCs w:val="21"/>
                    </w:rPr>
                  </w:pPr>
                  <w:r>
                    <w:rPr>
                      <w:rFonts w:hint="eastAsia"/>
                      <w:color w:val="auto"/>
                      <w:sz w:val="21"/>
                      <w:szCs w:val="21"/>
                    </w:rPr>
                    <w:t>1.0</w:t>
                  </w:r>
                </w:p>
              </w:tc>
              <w:tc>
                <w:tcPr>
                  <w:tcW w:w="496" w:type="pct"/>
                  <w:vAlign w:val="center"/>
                </w:tcPr>
                <w:p w14:paraId="1ED253E8">
                  <w:pPr>
                    <w:jc w:val="center"/>
                    <w:rPr>
                      <w:rFonts w:hint="default" w:eastAsia="宋体"/>
                      <w:color w:val="auto"/>
                      <w:sz w:val="21"/>
                      <w:szCs w:val="21"/>
                      <w:lang w:val="en-US" w:eastAsia="zh-CN"/>
                    </w:rPr>
                  </w:pPr>
                  <w:r>
                    <w:rPr>
                      <w:rFonts w:hint="eastAsia"/>
                      <w:color w:val="auto"/>
                      <w:sz w:val="21"/>
                      <w:szCs w:val="21"/>
                      <w:lang w:val="en-US" w:eastAsia="zh-CN"/>
                    </w:rPr>
                    <w:t>1.0</w:t>
                  </w:r>
                </w:p>
              </w:tc>
              <w:tc>
                <w:tcPr>
                  <w:tcW w:w="552" w:type="pct"/>
                  <w:vAlign w:val="center"/>
                </w:tcPr>
                <w:p w14:paraId="3AEC567C">
                  <w:pPr>
                    <w:jc w:val="center"/>
                    <w:rPr>
                      <w:color w:val="auto"/>
                      <w:sz w:val="21"/>
                      <w:szCs w:val="21"/>
                    </w:rPr>
                  </w:pPr>
                  <w:r>
                    <w:rPr>
                      <w:rFonts w:hint="eastAsia"/>
                      <w:color w:val="auto"/>
                      <w:sz w:val="21"/>
                      <w:szCs w:val="21"/>
                    </w:rPr>
                    <w:t>1.0</w:t>
                  </w:r>
                </w:p>
              </w:tc>
              <w:tc>
                <w:tcPr>
                  <w:tcW w:w="478" w:type="pct"/>
                  <w:vAlign w:val="center"/>
                </w:tcPr>
                <w:p w14:paraId="704C0466">
                  <w:pPr>
                    <w:jc w:val="center"/>
                    <w:rPr>
                      <w:color w:val="auto"/>
                      <w:sz w:val="21"/>
                      <w:szCs w:val="21"/>
                    </w:rPr>
                  </w:pPr>
                  <w:r>
                    <w:rPr>
                      <w:rFonts w:hint="eastAsia"/>
                      <w:color w:val="auto"/>
                      <w:sz w:val="21"/>
                      <w:szCs w:val="21"/>
                    </w:rPr>
                    <w:t>1.0</w:t>
                  </w:r>
                </w:p>
              </w:tc>
              <w:tc>
                <w:tcPr>
                  <w:tcW w:w="470" w:type="pct"/>
                  <w:vAlign w:val="center"/>
                </w:tcPr>
                <w:p w14:paraId="075AABC8">
                  <w:pPr>
                    <w:jc w:val="center"/>
                    <w:rPr>
                      <w:color w:val="auto"/>
                      <w:sz w:val="21"/>
                      <w:szCs w:val="21"/>
                    </w:rPr>
                  </w:pPr>
                  <w:r>
                    <w:rPr>
                      <w:rFonts w:hint="eastAsia"/>
                      <w:color w:val="auto"/>
                      <w:sz w:val="21"/>
                      <w:szCs w:val="21"/>
                    </w:rPr>
                    <w:t>1.0</w:t>
                  </w:r>
                </w:p>
              </w:tc>
            </w:tr>
            <w:tr w14:paraId="50D58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0" w:type="pct"/>
                  <w:vMerge w:val="continue"/>
                  <w:vAlign w:val="center"/>
                </w:tcPr>
                <w:p w14:paraId="33E6638C">
                  <w:pPr>
                    <w:jc w:val="center"/>
                    <w:rPr>
                      <w:color w:val="auto"/>
                      <w:sz w:val="21"/>
                      <w:szCs w:val="21"/>
                    </w:rPr>
                  </w:pPr>
                </w:p>
              </w:tc>
              <w:tc>
                <w:tcPr>
                  <w:tcW w:w="707" w:type="pct"/>
                  <w:vAlign w:val="center"/>
                </w:tcPr>
                <w:p w14:paraId="4ECBF994">
                  <w:pPr>
                    <w:jc w:val="center"/>
                    <w:rPr>
                      <w:color w:val="auto"/>
                      <w:sz w:val="21"/>
                      <w:szCs w:val="21"/>
                    </w:rPr>
                  </w:pPr>
                  <w:r>
                    <w:rPr>
                      <w:rFonts w:hint="eastAsia"/>
                      <w:color w:val="auto"/>
                      <w:sz w:val="21"/>
                      <w:szCs w:val="21"/>
                    </w:rPr>
                    <w:t>允许排放速率（</w:t>
                  </w:r>
                  <w:r>
                    <w:rPr>
                      <w:color w:val="auto"/>
                      <w:sz w:val="21"/>
                      <w:szCs w:val="21"/>
                    </w:rPr>
                    <w:t>kg/h</w:t>
                  </w:r>
                  <w:r>
                    <w:rPr>
                      <w:rFonts w:hint="eastAsia"/>
                      <w:color w:val="auto"/>
                      <w:sz w:val="21"/>
                      <w:szCs w:val="21"/>
                    </w:rPr>
                    <w:t>）</w:t>
                  </w:r>
                </w:p>
              </w:tc>
              <w:tc>
                <w:tcPr>
                  <w:tcW w:w="1402" w:type="pct"/>
                  <w:gridSpan w:val="2"/>
                  <w:vAlign w:val="center"/>
                </w:tcPr>
                <w:p w14:paraId="3C098A80">
                  <w:pPr>
                    <w:jc w:val="center"/>
                    <w:rPr>
                      <w:rFonts w:hint="eastAsia"/>
                      <w:color w:val="auto"/>
                      <w:sz w:val="21"/>
                      <w:szCs w:val="21"/>
                    </w:rPr>
                  </w:pPr>
                  <w:r>
                    <w:rPr>
                      <w:rFonts w:hint="eastAsia"/>
                      <w:color w:val="auto"/>
                      <w:sz w:val="21"/>
                      <w:szCs w:val="21"/>
                    </w:rPr>
                    <w:t>3.5</w:t>
                  </w:r>
                </w:p>
              </w:tc>
              <w:tc>
                <w:tcPr>
                  <w:tcW w:w="640" w:type="pct"/>
                  <w:vAlign w:val="center"/>
                </w:tcPr>
                <w:p w14:paraId="7F913EC1">
                  <w:pPr>
                    <w:jc w:val="center"/>
                    <w:rPr>
                      <w:color w:val="auto"/>
                      <w:sz w:val="21"/>
                      <w:szCs w:val="21"/>
                    </w:rPr>
                  </w:pPr>
                  <w:r>
                    <w:rPr>
                      <w:rFonts w:hint="eastAsia"/>
                      <w:color w:val="auto"/>
                      <w:sz w:val="21"/>
                      <w:szCs w:val="21"/>
                    </w:rPr>
                    <w:t>/</w:t>
                  </w:r>
                </w:p>
              </w:tc>
              <w:tc>
                <w:tcPr>
                  <w:tcW w:w="496" w:type="pct"/>
                  <w:vAlign w:val="center"/>
                </w:tcPr>
                <w:p w14:paraId="7CC0F3A2">
                  <w:pPr>
                    <w:jc w:val="center"/>
                    <w:rPr>
                      <w:rFonts w:hint="eastAsia" w:eastAsia="宋体"/>
                      <w:color w:val="auto"/>
                      <w:sz w:val="21"/>
                      <w:szCs w:val="21"/>
                      <w:lang w:val="en-US" w:eastAsia="zh-CN"/>
                    </w:rPr>
                  </w:pPr>
                  <w:r>
                    <w:rPr>
                      <w:rFonts w:hint="eastAsia"/>
                      <w:color w:val="auto"/>
                      <w:sz w:val="21"/>
                      <w:szCs w:val="21"/>
                      <w:lang w:val="en-US" w:eastAsia="zh-CN"/>
                    </w:rPr>
                    <w:t>/</w:t>
                  </w:r>
                </w:p>
              </w:tc>
              <w:tc>
                <w:tcPr>
                  <w:tcW w:w="552" w:type="pct"/>
                  <w:vAlign w:val="center"/>
                </w:tcPr>
                <w:p w14:paraId="45B86801">
                  <w:pPr>
                    <w:jc w:val="center"/>
                    <w:rPr>
                      <w:color w:val="auto"/>
                      <w:sz w:val="21"/>
                      <w:szCs w:val="21"/>
                    </w:rPr>
                  </w:pPr>
                  <w:r>
                    <w:rPr>
                      <w:rFonts w:hint="eastAsia"/>
                      <w:color w:val="auto"/>
                      <w:sz w:val="21"/>
                      <w:szCs w:val="21"/>
                    </w:rPr>
                    <w:t>/</w:t>
                  </w:r>
                </w:p>
              </w:tc>
              <w:tc>
                <w:tcPr>
                  <w:tcW w:w="478" w:type="pct"/>
                  <w:vAlign w:val="center"/>
                </w:tcPr>
                <w:p w14:paraId="50C95BED">
                  <w:pPr>
                    <w:jc w:val="center"/>
                    <w:rPr>
                      <w:color w:val="auto"/>
                      <w:sz w:val="21"/>
                      <w:szCs w:val="21"/>
                    </w:rPr>
                  </w:pPr>
                  <w:r>
                    <w:rPr>
                      <w:rFonts w:hint="eastAsia"/>
                      <w:color w:val="auto"/>
                      <w:sz w:val="21"/>
                      <w:szCs w:val="21"/>
                    </w:rPr>
                    <w:t>/</w:t>
                  </w:r>
                </w:p>
              </w:tc>
              <w:tc>
                <w:tcPr>
                  <w:tcW w:w="470" w:type="pct"/>
                  <w:vAlign w:val="center"/>
                </w:tcPr>
                <w:p w14:paraId="0CF7D065">
                  <w:pPr>
                    <w:jc w:val="center"/>
                    <w:rPr>
                      <w:color w:val="auto"/>
                      <w:sz w:val="21"/>
                      <w:szCs w:val="21"/>
                    </w:rPr>
                  </w:pPr>
                  <w:r>
                    <w:rPr>
                      <w:rFonts w:hint="eastAsia"/>
                      <w:color w:val="auto"/>
                      <w:sz w:val="21"/>
                      <w:szCs w:val="21"/>
                    </w:rPr>
                    <w:t>/</w:t>
                  </w:r>
                </w:p>
              </w:tc>
            </w:tr>
            <w:tr w14:paraId="79169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0" w:type="pct"/>
                  <w:vAlign w:val="center"/>
                </w:tcPr>
                <w:p w14:paraId="4A4E1521">
                  <w:pPr>
                    <w:jc w:val="center"/>
                    <w:rPr>
                      <w:color w:val="auto"/>
                      <w:sz w:val="21"/>
                      <w:szCs w:val="21"/>
                    </w:rPr>
                  </w:pPr>
                  <w:r>
                    <w:rPr>
                      <w:color w:val="auto"/>
                      <w:sz w:val="21"/>
                      <w:szCs w:val="21"/>
                    </w:rPr>
                    <w:t>达标情况</w:t>
                  </w:r>
                </w:p>
              </w:tc>
              <w:tc>
                <w:tcPr>
                  <w:tcW w:w="707" w:type="pct"/>
                  <w:vAlign w:val="center"/>
                </w:tcPr>
                <w:p w14:paraId="1C1FE704">
                  <w:pPr>
                    <w:jc w:val="center"/>
                    <w:rPr>
                      <w:color w:val="auto"/>
                      <w:sz w:val="21"/>
                      <w:szCs w:val="21"/>
                    </w:rPr>
                  </w:pPr>
                  <w:r>
                    <w:rPr>
                      <w:rFonts w:hint="eastAsia"/>
                      <w:color w:val="auto"/>
                      <w:sz w:val="21"/>
                      <w:szCs w:val="21"/>
                    </w:rPr>
                    <w:t>达标</w:t>
                  </w:r>
                </w:p>
              </w:tc>
              <w:tc>
                <w:tcPr>
                  <w:tcW w:w="1402" w:type="pct"/>
                  <w:gridSpan w:val="2"/>
                  <w:vAlign w:val="center"/>
                </w:tcPr>
                <w:p w14:paraId="631F4317">
                  <w:pPr>
                    <w:jc w:val="center"/>
                    <w:rPr>
                      <w:rFonts w:hint="eastAsia"/>
                      <w:color w:val="auto"/>
                      <w:sz w:val="21"/>
                      <w:szCs w:val="21"/>
                    </w:rPr>
                  </w:pPr>
                  <w:r>
                    <w:rPr>
                      <w:rFonts w:hint="eastAsia"/>
                      <w:color w:val="auto"/>
                      <w:sz w:val="21"/>
                      <w:szCs w:val="21"/>
                    </w:rPr>
                    <w:t>达标</w:t>
                  </w:r>
                </w:p>
              </w:tc>
              <w:tc>
                <w:tcPr>
                  <w:tcW w:w="640" w:type="pct"/>
                  <w:vAlign w:val="center"/>
                </w:tcPr>
                <w:p w14:paraId="68E51010">
                  <w:pPr>
                    <w:jc w:val="center"/>
                    <w:rPr>
                      <w:color w:val="auto"/>
                      <w:sz w:val="21"/>
                      <w:szCs w:val="21"/>
                    </w:rPr>
                  </w:pPr>
                  <w:r>
                    <w:rPr>
                      <w:rFonts w:hint="eastAsia"/>
                      <w:color w:val="auto"/>
                      <w:sz w:val="21"/>
                      <w:szCs w:val="21"/>
                    </w:rPr>
                    <w:t>/</w:t>
                  </w:r>
                </w:p>
              </w:tc>
              <w:tc>
                <w:tcPr>
                  <w:tcW w:w="496" w:type="pct"/>
                  <w:vAlign w:val="center"/>
                </w:tcPr>
                <w:p w14:paraId="61333CE5">
                  <w:pPr>
                    <w:jc w:val="center"/>
                    <w:rPr>
                      <w:rFonts w:hint="eastAsia" w:eastAsia="宋体"/>
                      <w:color w:val="auto"/>
                      <w:sz w:val="21"/>
                      <w:szCs w:val="21"/>
                      <w:lang w:val="en-US" w:eastAsia="zh-CN"/>
                    </w:rPr>
                  </w:pPr>
                  <w:r>
                    <w:rPr>
                      <w:rFonts w:hint="eastAsia"/>
                      <w:color w:val="auto"/>
                      <w:sz w:val="21"/>
                      <w:szCs w:val="21"/>
                      <w:lang w:val="en-US" w:eastAsia="zh-CN"/>
                    </w:rPr>
                    <w:t>/</w:t>
                  </w:r>
                </w:p>
              </w:tc>
              <w:tc>
                <w:tcPr>
                  <w:tcW w:w="552" w:type="pct"/>
                  <w:vAlign w:val="center"/>
                </w:tcPr>
                <w:p w14:paraId="04360E57">
                  <w:pPr>
                    <w:jc w:val="center"/>
                    <w:rPr>
                      <w:color w:val="auto"/>
                      <w:sz w:val="21"/>
                      <w:szCs w:val="21"/>
                    </w:rPr>
                  </w:pPr>
                  <w:r>
                    <w:rPr>
                      <w:rFonts w:hint="eastAsia"/>
                      <w:color w:val="auto"/>
                      <w:sz w:val="21"/>
                      <w:szCs w:val="21"/>
                    </w:rPr>
                    <w:t>/</w:t>
                  </w:r>
                </w:p>
              </w:tc>
              <w:tc>
                <w:tcPr>
                  <w:tcW w:w="478" w:type="pct"/>
                  <w:vAlign w:val="center"/>
                </w:tcPr>
                <w:p w14:paraId="4E4C3171">
                  <w:pPr>
                    <w:jc w:val="center"/>
                    <w:rPr>
                      <w:color w:val="auto"/>
                      <w:sz w:val="21"/>
                      <w:szCs w:val="21"/>
                    </w:rPr>
                  </w:pPr>
                  <w:r>
                    <w:rPr>
                      <w:rFonts w:hint="eastAsia"/>
                      <w:color w:val="auto"/>
                      <w:sz w:val="21"/>
                      <w:szCs w:val="21"/>
                    </w:rPr>
                    <w:t>/</w:t>
                  </w:r>
                </w:p>
              </w:tc>
              <w:tc>
                <w:tcPr>
                  <w:tcW w:w="470" w:type="pct"/>
                  <w:vAlign w:val="center"/>
                </w:tcPr>
                <w:p w14:paraId="49E8E9E7">
                  <w:pPr>
                    <w:jc w:val="center"/>
                    <w:rPr>
                      <w:color w:val="auto"/>
                      <w:sz w:val="21"/>
                      <w:szCs w:val="21"/>
                    </w:rPr>
                  </w:pPr>
                  <w:r>
                    <w:rPr>
                      <w:rFonts w:hint="eastAsia"/>
                      <w:color w:val="auto"/>
                      <w:sz w:val="21"/>
                      <w:szCs w:val="21"/>
                    </w:rPr>
                    <w:t>/</w:t>
                  </w:r>
                </w:p>
              </w:tc>
            </w:tr>
          </w:tbl>
          <w:p w14:paraId="1479B159">
            <w:pPr>
              <w:pStyle w:val="17"/>
              <w:spacing w:before="0" w:after="0" w:line="360" w:lineRule="auto"/>
              <w:ind w:right="0" w:firstLine="360" w:firstLineChars="150"/>
              <w:rPr>
                <w:rFonts w:ascii="宋体" w:hAnsi="宋体"/>
                <w:color w:val="auto"/>
                <w:sz w:val="24"/>
                <w:szCs w:val="24"/>
              </w:rPr>
            </w:pPr>
            <w:r>
              <w:rPr>
                <w:rFonts w:hint="eastAsia"/>
                <w:color w:val="auto"/>
                <w:sz w:val="24"/>
                <w:lang w:val="en-US" w:eastAsia="zh-CN"/>
              </w:rPr>
              <w:t>项目在电石渣筛分机上方设置集气罩，</w:t>
            </w:r>
            <w:r>
              <w:rPr>
                <w:rFonts w:hint="eastAsia"/>
                <w:color w:val="auto"/>
                <w:sz w:val="24"/>
              </w:rPr>
              <w:t>生石灰筒仓产生的</w:t>
            </w:r>
            <w:r>
              <w:rPr>
                <w:rFonts w:hint="eastAsia"/>
                <w:color w:val="auto"/>
                <w:sz w:val="24"/>
                <w:lang w:val="en-US" w:eastAsia="zh-CN"/>
              </w:rPr>
              <w:t>粉尘经仓顶除尘器（处理效率为99%）处理后</w:t>
            </w:r>
            <w:r>
              <w:rPr>
                <w:rFonts w:hint="eastAsia"/>
                <w:bCs/>
                <w:color w:val="auto"/>
                <w:sz w:val="24"/>
              </w:rPr>
              <w:t>与</w:t>
            </w:r>
            <w:r>
              <w:rPr>
                <w:rFonts w:hint="eastAsia"/>
                <w:bCs/>
                <w:color w:val="auto"/>
                <w:sz w:val="24"/>
                <w:lang w:val="en-US" w:eastAsia="zh-CN"/>
              </w:rPr>
              <w:t>收集的电石渣筛分</w:t>
            </w:r>
            <w:r>
              <w:rPr>
                <w:rFonts w:hint="eastAsia"/>
                <w:bCs/>
                <w:color w:val="auto"/>
                <w:sz w:val="24"/>
              </w:rPr>
              <w:t>产生的粉尘一起进入一套布袋除尘器处理后，经15m高排气筒（DA0</w:t>
            </w:r>
            <w:r>
              <w:rPr>
                <w:rFonts w:hint="eastAsia"/>
                <w:bCs/>
                <w:color w:val="auto"/>
                <w:sz w:val="24"/>
                <w:lang w:val="en-US" w:eastAsia="zh-CN"/>
              </w:rPr>
              <w:t>08</w:t>
            </w:r>
            <w:r>
              <w:rPr>
                <w:rFonts w:hint="eastAsia"/>
                <w:bCs/>
                <w:color w:val="auto"/>
                <w:sz w:val="24"/>
              </w:rPr>
              <w:t>）排放。</w:t>
            </w:r>
            <w:r>
              <w:rPr>
                <w:rFonts w:hint="eastAsia"/>
                <w:color w:val="auto"/>
                <w:sz w:val="24"/>
              </w:rPr>
              <w:t>根据现场踏勘，本项目排气筒周围半径200m范围内最高建筑物为厂区9m的办公楼，项目DA0</w:t>
            </w:r>
            <w:r>
              <w:rPr>
                <w:rFonts w:hint="eastAsia"/>
                <w:color w:val="auto"/>
                <w:sz w:val="24"/>
                <w:lang w:val="en-US" w:eastAsia="zh-CN"/>
              </w:rPr>
              <w:t>08</w:t>
            </w:r>
            <w:r>
              <w:rPr>
                <w:rFonts w:hint="eastAsia"/>
                <w:color w:val="auto"/>
                <w:sz w:val="24"/>
              </w:rPr>
              <w:t>排气筒高度为15m，满足“高出周围200m半径范围的建筑5m以上”的要求。</w:t>
            </w:r>
          </w:p>
          <w:p w14:paraId="4CCEAE32">
            <w:pPr>
              <w:pStyle w:val="17"/>
              <w:spacing w:before="0" w:after="0" w:line="360" w:lineRule="auto"/>
              <w:ind w:right="0" w:firstLine="360" w:firstLineChars="150"/>
              <w:rPr>
                <w:color w:val="auto"/>
                <w:sz w:val="24"/>
                <w:szCs w:val="24"/>
              </w:rPr>
            </w:pPr>
            <w:r>
              <w:rPr>
                <w:color w:val="auto"/>
                <w:sz w:val="24"/>
                <w:szCs w:val="24"/>
              </w:rPr>
              <w:t>综上所述，项目</w:t>
            </w:r>
            <w:r>
              <w:rPr>
                <w:rFonts w:hint="eastAsia"/>
                <w:color w:val="auto"/>
                <w:sz w:val="24"/>
                <w:szCs w:val="24"/>
                <w:lang w:val="en-US" w:eastAsia="zh-CN"/>
              </w:rPr>
              <w:t>有组织</w:t>
            </w:r>
            <w:r>
              <w:rPr>
                <w:color w:val="auto"/>
                <w:sz w:val="24"/>
                <w:szCs w:val="24"/>
              </w:rPr>
              <w:t>颗粒物能够达到《大气污染物综合排放标准》（GB16297-1996）表2中颗粒物有组织浓度限值120mg/m</w:t>
            </w:r>
            <w:r>
              <w:rPr>
                <w:color w:val="auto"/>
                <w:sz w:val="24"/>
                <w:szCs w:val="24"/>
                <w:vertAlign w:val="superscript"/>
              </w:rPr>
              <w:t>3</w:t>
            </w:r>
            <w:r>
              <w:rPr>
                <w:color w:val="auto"/>
                <w:sz w:val="24"/>
                <w:szCs w:val="24"/>
              </w:rPr>
              <w:t>要求和排放速率3.5kg/h要求，排气筒</w:t>
            </w:r>
            <w:r>
              <w:rPr>
                <w:rFonts w:hint="eastAsia"/>
                <w:color w:val="auto"/>
                <w:sz w:val="24"/>
                <w:szCs w:val="24"/>
              </w:rPr>
              <w:t>DA</w:t>
            </w:r>
            <w:r>
              <w:rPr>
                <w:rFonts w:hint="eastAsia"/>
                <w:color w:val="auto"/>
                <w:sz w:val="24"/>
                <w:szCs w:val="24"/>
                <w:lang w:val="en-US" w:eastAsia="zh-CN"/>
              </w:rPr>
              <w:t>008</w:t>
            </w:r>
            <w:r>
              <w:rPr>
                <w:color w:val="auto"/>
                <w:sz w:val="24"/>
                <w:szCs w:val="24"/>
              </w:rPr>
              <w:t>达标排放。</w:t>
            </w:r>
          </w:p>
          <w:p w14:paraId="2A41E2C3">
            <w:pPr>
              <w:spacing w:before="120" w:beforeLines="50" w:line="360" w:lineRule="auto"/>
              <w:ind w:firstLine="482" w:firstLineChars="200"/>
              <w:rPr>
                <w:b/>
                <w:bCs/>
                <w:color w:val="auto"/>
                <w:sz w:val="24"/>
              </w:rPr>
            </w:pPr>
            <w:r>
              <w:rPr>
                <w:rFonts w:hint="eastAsia"/>
                <w:b/>
                <w:bCs/>
                <w:color w:val="auto"/>
                <w:sz w:val="24"/>
              </w:rPr>
              <w:t>（2）运输车辆扬尘</w:t>
            </w:r>
          </w:p>
          <w:p w14:paraId="3FFF3861">
            <w:pPr>
              <w:spacing w:line="360" w:lineRule="auto"/>
              <w:ind w:firstLine="480" w:firstLineChars="200"/>
              <w:rPr>
                <w:rFonts w:hint="default" w:eastAsia="宋体"/>
                <w:color w:val="auto"/>
                <w:sz w:val="24"/>
                <w:lang w:val="en-US" w:eastAsia="zh-CN"/>
              </w:rPr>
            </w:pPr>
            <w:r>
              <w:rPr>
                <w:rFonts w:hint="eastAsia"/>
                <w:color w:val="auto"/>
                <w:sz w:val="24"/>
              </w:rPr>
              <w:t>运输车辆扬尘：</w:t>
            </w:r>
            <w:r>
              <w:rPr>
                <w:rFonts w:hint="eastAsia"/>
                <w:color w:val="auto"/>
                <w:sz w:val="24"/>
                <w:lang w:val="en-US" w:eastAsia="zh-CN"/>
              </w:rPr>
              <w:t>原料磷石膏从渣场通过车辆运输值原料库</w:t>
            </w:r>
            <w:r>
              <w:rPr>
                <w:rFonts w:hint="eastAsia"/>
                <w:color w:val="auto"/>
                <w:sz w:val="24"/>
              </w:rPr>
              <w:t>时</w:t>
            </w:r>
            <w:r>
              <w:rPr>
                <w:rFonts w:hint="eastAsia"/>
                <w:color w:val="auto"/>
                <w:sz w:val="24"/>
                <w:lang w:val="en-US" w:eastAsia="zh-CN"/>
              </w:rPr>
              <w:t>，</w:t>
            </w:r>
            <w:r>
              <w:rPr>
                <w:rFonts w:hint="eastAsia"/>
                <w:color w:val="auto"/>
                <w:sz w:val="24"/>
              </w:rPr>
              <w:t>重型车辆行驶将产生露路面的表层浮沉由于天气干燥及大风产生风力扬尘；而动力起尘主要是在磷石膏装卸过程中，由于外力而产生的尘粒再悬浮所引起的。</w:t>
            </w:r>
          </w:p>
          <w:p w14:paraId="09923107">
            <w:pPr>
              <w:spacing w:line="360" w:lineRule="auto"/>
              <w:ind w:firstLine="480" w:firstLineChars="200"/>
              <w:rPr>
                <w:color w:val="auto"/>
                <w:sz w:val="24"/>
              </w:rPr>
            </w:pPr>
            <w:r>
              <w:rPr>
                <w:rFonts w:hint="eastAsia"/>
                <w:color w:val="auto"/>
                <w:sz w:val="24"/>
                <w:lang w:val="en-US" w:eastAsia="zh-CN"/>
              </w:rPr>
              <w:t>项目扩建的路基材料、土壤改良剂、生态修复材料磷石膏用量</w:t>
            </w:r>
            <w:r>
              <w:rPr>
                <w:rFonts w:hint="eastAsia"/>
                <w:color w:val="auto"/>
                <w:sz w:val="24"/>
                <w:highlight w:val="none"/>
                <w:lang w:val="en-US" w:eastAsia="zh-CN"/>
              </w:rPr>
              <w:t>为523958.82t/a，</w:t>
            </w:r>
            <w:r>
              <w:rPr>
                <w:rFonts w:hint="eastAsia"/>
                <w:color w:val="auto"/>
                <w:sz w:val="24"/>
              </w:rPr>
              <w:t>本项目</w:t>
            </w:r>
            <w:r>
              <w:rPr>
                <w:rFonts w:hint="eastAsia"/>
                <w:color w:val="auto"/>
                <w:sz w:val="24"/>
                <w:lang w:val="en-US" w:eastAsia="zh-CN"/>
              </w:rPr>
              <w:t>采用2</w:t>
            </w:r>
            <w:r>
              <w:rPr>
                <w:rFonts w:hint="eastAsia"/>
                <w:color w:val="auto"/>
                <w:sz w:val="24"/>
              </w:rPr>
              <w:t>辆载重30t的载重车</w:t>
            </w:r>
            <w:r>
              <w:rPr>
                <w:rFonts w:hint="eastAsia"/>
                <w:color w:val="auto"/>
                <w:sz w:val="24"/>
                <w:lang w:val="en-US" w:eastAsia="zh-CN"/>
              </w:rPr>
              <w:t>进行运输，</w:t>
            </w:r>
            <w:r>
              <w:rPr>
                <w:rFonts w:hint="eastAsia"/>
                <w:color w:val="auto"/>
                <w:sz w:val="24"/>
              </w:rPr>
              <w:t>项目年生产工作300天，每天24小时。</w:t>
            </w:r>
          </w:p>
          <w:p w14:paraId="1949A8FC">
            <w:pPr>
              <w:spacing w:line="360" w:lineRule="auto"/>
              <w:ind w:firstLine="480" w:firstLineChars="200"/>
              <w:rPr>
                <w:color w:val="auto"/>
                <w:sz w:val="24"/>
              </w:rPr>
            </w:pPr>
            <w:r>
              <w:rPr>
                <w:color w:val="auto"/>
                <w:sz w:val="24"/>
              </w:rPr>
              <w:t>车辆行驶中产生的扬尘，在道路完全干燥的情况下，可按下列经验公式计算：</w:t>
            </w:r>
          </w:p>
          <w:p w14:paraId="257901B9">
            <w:pPr>
              <w:spacing w:line="360" w:lineRule="auto"/>
              <w:ind w:firstLine="480"/>
              <w:jc w:val="center"/>
              <w:rPr>
                <w:color w:val="auto"/>
                <w:sz w:val="24"/>
              </w:rPr>
            </w:pPr>
            <w:r>
              <w:rPr>
                <w:color w:val="auto"/>
                <w:sz w:val="24"/>
              </w:rPr>
              <w:object>
                <v:shape id="_x0000_i1028" o:spt="75" type="#_x0000_t75" style="height:54.75pt;width:223.5pt;" o:ole="t" filled="f" o:preferrelative="t" stroked="f" coordsize="21600,21600">
                  <v:path/>
                  <v:fill on="f" focussize="0,0"/>
                  <v:stroke on="f" joinstyle="miter"/>
                  <v:imagedata r:id="rId20" o:title=""/>
                  <o:lock v:ext="edit" aspectratio="t"/>
                  <w10:wrap type="none"/>
                  <w10:anchorlock/>
                </v:shape>
                <o:OLEObject Type="Embed" ProgID="Equation.3" ShapeID="_x0000_i1028" DrawAspect="Content" ObjectID="_1468075728" r:id="rId19">
                  <o:LockedField>false</o:LockedField>
                </o:OLEObject>
              </w:object>
            </w:r>
          </w:p>
          <w:p w14:paraId="55D031D6">
            <w:pPr>
              <w:spacing w:line="360" w:lineRule="auto"/>
              <w:ind w:firstLine="480"/>
              <w:rPr>
                <w:color w:val="auto"/>
                <w:sz w:val="24"/>
              </w:rPr>
            </w:pPr>
            <w:r>
              <w:rPr>
                <w:color w:val="auto"/>
                <w:sz w:val="24"/>
              </w:rPr>
              <w:t>式中：Q</w:t>
            </w:r>
            <w:r>
              <w:rPr>
                <w:color w:val="auto"/>
                <w:sz w:val="24"/>
                <w:vertAlign w:val="subscript"/>
              </w:rPr>
              <w:t>P</w:t>
            </w:r>
            <w:r>
              <w:rPr>
                <w:color w:val="auto"/>
                <w:sz w:val="24"/>
              </w:rPr>
              <w:t>——道路扬尘量（kg/km·辆）；</w:t>
            </w:r>
          </w:p>
          <w:p w14:paraId="74D17B40">
            <w:pPr>
              <w:spacing w:line="360" w:lineRule="auto"/>
              <w:ind w:firstLine="480"/>
              <w:rPr>
                <w:color w:val="auto"/>
                <w:sz w:val="24"/>
              </w:rPr>
            </w:pPr>
            <w:r>
              <w:rPr>
                <w:color w:val="auto"/>
                <w:sz w:val="24"/>
              </w:rPr>
              <w:t xml:space="preserve">      Q</w:t>
            </w:r>
            <w:r>
              <w:rPr>
                <w:color w:val="auto"/>
                <w:sz w:val="24"/>
                <w:vertAlign w:val="subscript"/>
              </w:rPr>
              <w:t>P</w:t>
            </w:r>
            <w:r>
              <w:rPr>
                <w:color w:val="auto"/>
                <w:sz w:val="24"/>
                <w:vertAlign w:val="superscript"/>
              </w:rPr>
              <w:t>1</w:t>
            </w:r>
            <w:r>
              <w:rPr>
                <w:color w:val="auto"/>
                <w:sz w:val="24"/>
              </w:rPr>
              <w:t>——总扬尘量（kg/a）；</w:t>
            </w:r>
          </w:p>
          <w:p w14:paraId="6B9D015C">
            <w:pPr>
              <w:spacing w:line="360" w:lineRule="auto"/>
              <w:ind w:firstLine="480"/>
              <w:rPr>
                <w:color w:val="auto"/>
                <w:sz w:val="24"/>
              </w:rPr>
            </w:pPr>
            <w:r>
              <w:rPr>
                <w:color w:val="auto"/>
                <w:sz w:val="24"/>
              </w:rPr>
              <w:t xml:space="preserve">      V——车辆速度（km/h）；</w:t>
            </w:r>
          </w:p>
          <w:p w14:paraId="3DA2A2A2">
            <w:pPr>
              <w:spacing w:line="360" w:lineRule="auto"/>
              <w:ind w:firstLine="480"/>
              <w:rPr>
                <w:color w:val="auto"/>
                <w:sz w:val="24"/>
              </w:rPr>
            </w:pPr>
            <w:r>
              <w:rPr>
                <w:color w:val="auto"/>
                <w:sz w:val="24"/>
              </w:rPr>
              <w:t xml:space="preserve">      M——车辆载重（t/辆）；</w:t>
            </w:r>
          </w:p>
          <w:p w14:paraId="4A1A8172">
            <w:pPr>
              <w:spacing w:line="360" w:lineRule="auto"/>
              <w:ind w:firstLine="480"/>
              <w:rPr>
                <w:color w:val="auto"/>
                <w:sz w:val="24"/>
              </w:rPr>
            </w:pPr>
            <w:r>
              <w:rPr>
                <w:color w:val="auto"/>
                <w:sz w:val="24"/>
              </w:rPr>
              <w:t xml:space="preserve">      P——道路灰尘覆盖量（kg/m</w:t>
            </w:r>
            <w:r>
              <w:rPr>
                <w:color w:val="auto"/>
                <w:sz w:val="24"/>
                <w:vertAlign w:val="superscript"/>
              </w:rPr>
              <w:t>2</w:t>
            </w:r>
            <w:r>
              <w:rPr>
                <w:color w:val="auto"/>
                <w:sz w:val="24"/>
              </w:rPr>
              <w:t>），项目场内运输道路为</w:t>
            </w:r>
            <w:r>
              <w:rPr>
                <w:rFonts w:hint="eastAsia"/>
                <w:color w:val="auto"/>
                <w:sz w:val="24"/>
              </w:rPr>
              <w:t>水泥路面</w:t>
            </w:r>
            <w:r>
              <w:rPr>
                <w:color w:val="auto"/>
                <w:sz w:val="24"/>
              </w:rPr>
              <w:t>，故道路灰尘覆盖量P取0.</w:t>
            </w:r>
            <w:r>
              <w:rPr>
                <w:rFonts w:hint="eastAsia"/>
                <w:color w:val="auto"/>
                <w:sz w:val="24"/>
              </w:rPr>
              <w:t>08</w:t>
            </w:r>
            <w:r>
              <w:rPr>
                <w:color w:val="auto"/>
                <w:sz w:val="24"/>
              </w:rPr>
              <w:t>kg/m</w:t>
            </w:r>
            <w:r>
              <w:rPr>
                <w:color w:val="auto"/>
                <w:sz w:val="24"/>
                <w:vertAlign w:val="superscript"/>
              </w:rPr>
              <w:t>2</w:t>
            </w:r>
            <w:r>
              <w:rPr>
                <w:color w:val="auto"/>
                <w:sz w:val="24"/>
              </w:rPr>
              <w:t>；</w:t>
            </w:r>
          </w:p>
          <w:p w14:paraId="3DD7C5F8">
            <w:pPr>
              <w:spacing w:line="360" w:lineRule="auto"/>
              <w:ind w:firstLine="480"/>
              <w:rPr>
                <w:color w:val="auto"/>
                <w:sz w:val="24"/>
              </w:rPr>
            </w:pPr>
            <w:r>
              <w:rPr>
                <w:color w:val="auto"/>
                <w:sz w:val="24"/>
              </w:rPr>
              <w:t xml:space="preserve">      L——运输距离（km）；</w:t>
            </w:r>
          </w:p>
          <w:p w14:paraId="3BFB67E3">
            <w:pPr>
              <w:spacing w:line="360" w:lineRule="auto"/>
              <w:ind w:firstLine="480"/>
              <w:rPr>
                <w:color w:val="auto"/>
              </w:rPr>
            </w:pPr>
            <w:r>
              <w:rPr>
                <w:color w:val="auto"/>
                <w:sz w:val="24"/>
              </w:rPr>
              <w:t xml:space="preserve">      Q——运输量（t/a）。</w:t>
            </w:r>
          </w:p>
          <w:p w14:paraId="369CE1D0">
            <w:pPr>
              <w:spacing w:line="360" w:lineRule="auto"/>
              <w:ind w:firstLine="480" w:firstLineChars="200"/>
              <w:rPr>
                <w:color w:val="auto"/>
                <w:sz w:val="24"/>
              </w:rPr>
            </w:pPr>
            <w:r>
              <w:rPr>
                <w:rFonts w:hint="eastAsia"/>
                <w:color w:val="auto"/>
                <w:sz w:val="24"/>
              </w:rPr>
              <w:t>车辆在</w:t>
            </w:r>
            <w:r>
              <w:rPr>
                <w:rFonts w:hint="eastAsia"/>
                <w:color w:val="auto"/>
                <w:sz w:val="24"/>
                <w:lang w:eastAsia="zh-CN"/>
              </w:rPr>
              <w:t>云南常青树化工有限公司</w:t>
            </w:r>
            <w:r>
              <w:rPr>
                <w:rFonts w:hint="eastAsia"/>
                <w:color w:val="auto"/>
                <w:sz w:val="24"/>
              </w:rPr>
              <w:t>厂区内行驶</w:t>
            </w:r>
            <w:r>
              <w:rPr>
                <w:rFonts w:hint="eastAsia"/>
                <w:color w:val="auto"/>
                <w:sz w:val="24"/>
                <w:lang w:val="en-US" w:eastAsia="zh-CN"/>
              </w:rPr>
              <w:t>车程约500</w:t>
            </w:r>
            <w:r>
              <w:rPr>
                <w:rFonts w:hint="eastAsia"/>
                <w:color w:val="auto"/>
                <w:sz w:val="24"/>
              </w:rPr>
              <w:t>m计算，以速度10km/h行驶，则经计算，Q</w:t>
            </w:r>
            <w:r>
              <w:rPr>
                <w:color w:val="auto"/>
                <w:sz w:val="24"/>
                <w:vertAlign w:val="subscript"/>
              </w:rPr>
              <w:t>P</w:t>
            </w:r>
            <w:r>
              <w:rPr>
                <w:rFonts w:hint="eastAsia"/>
                <w:color w:val="auto"/>
                <w:sz w:val="24"/>
              </w:rPr>
              <w:t>=0.2</w:t>
            </w:r>
            <w:r>
              <w:rPr>
                <w:rFonts w:hint="eastAsia"/>
                <w:color w:val="auto"/>
                <w:sz w:val="24"/>
                <w:lang w:val="en-US" w:eastAsia="zh-CN"/>
              </w:rPr>
              <w:t>3</w:t>
            </w:r>
            <w:r>
              <w:rPr>
                <w:rFonts w:hint="eastAsia"/>
                <w:color w:val="auto"/>
                <w:sz w:val="24"/>
              </w:rPr>
              <w:t>kg/km</w:t>
            </w:r>
            <w:r>
              <w:rPr>
                <w:color w:val="auto"/>
                <w:sz w:val="24"/>
              </w:rPr>
              <w:t>·</w:t>
            </w:r>
            <w:r>
              <w:rPr>
                <w:rFonts w:hint="eastAsia"/>
                <w:color w:val="auto"/>
                <w:sz w:val="24"/>
              </w:rPr>
              <w:t>辆，则项目车辆运输产生粉尘量约</w:t>
            </w:r>
            <w:r>
              <w:rPr>
                <w:rFonts w:hint="eastAsia"/>
                <w:color w:val="auto"/>
                <w:sz w:val="24"/>
                <w:lang w:val="en-US" w:eastAsia="zh-CN"/>
              </w:rPr>
              <w:t>2.01</w:t>
            </w:r>
            <w:r>
              <w:rPr>
                <w:rFonts w:hint="eastAsia"/>
                <w:color w:val="auto"/>
                <w:sz w:val="24"/>
              </w:rPr>
              <w:t>t/a</w:t>
            </w:r>
            <w:r>
              <w:rPr>
                <w:rFonts w:hint="eastAsia"/>
                <w:color w:val="auto"/>
                <w:sz w:val="24"/>
                <w:lang w:eastAsia="zh-CN"/>
              </w:rPr>
              <w:t>、</w:t>
            </w:r>
            <w:r>
              <w:rPr>
                <w:rFonts w:hint="eastAsia"/>
                <w:color w:val="auto"/>
                <w:sz w:val="24"/>
                <w:lang w:val="en-US" w:eastAsia="zh-CN"/>
              </w:rPr>
              <w:t>0.28</w:t>
            </w:r>
            <w:r>
              <w:rPr>
                <w:rFonts w:hint="eastAsia"/>
                <w:color w:val="auto"/>
                <w:sz w:val="24"/>
              </w:rPr>
              <w:t>kg/h。依托</w:t>
            </w:r>
            <w:r>
              <w:rPr>
                <w:rFonts w:hint="eastAsia"/>
                <w:color w:val="auto"/>
                <w:sz w:val="24"/>
                <w:lang w:eastAsia="zh-CN"/>
              </w:rPr>
              <w:t>云南常青树化工有限公司</w:t>
            </w:r>
            <w:r>
              <w:rPr>
                <w:rFonts w:hint="eastAsia"/>
                <w:color w:val="auto"/>
                <w:sz w:val="24"/>
              </w:rPr>
              <w:t>厂区道路已硬化且</w:t>
            </w:r>
            <w:r>
              <w:rPr>
                <w:color w:val="auto"/>
                <w:sz w:val="24"/>
              </w:rPr>
              <w:t>道路采取洒水降尘措施，运输车辆加盖篷布</w:t>
            </w:r>
            <w:r>
              <w:rPr>
                <w:rFonts w:hint="eastAsia"/>
                <w:color w:val="auto"/>
                <w:sz w:val="24"/>
              </w:rPr>
              <w:t>遮盖</w:t>
            </w:r>
            <w:r>
              <w:rPr>
                <w:color w:val="auto"/>
                <w:sz w:val="24"/>
              </w:rPr>
              <w:t>，依据《扬尘源颗粒物排放清单编制技术指南》，对于铺装道路扬尘控制措施，洒水降尘对</w:t>
            </w:r>
            <w:r>
              <w:rPr>
                <w:rFonts w:hint="eastAsia"/>
                <w:color w:val="auto"/>
                <w:sz w:val="24"/>
              </w:rPr>
              <w:t>颗粒物</w:t>
            </w:r>
            <w:r>
              <w:rPr>
                <w:color w:val="auto"/>
                <w:sz w:val="24"/>
              </w:rPr>
              <w:t>的控制效率为66%，则道路扬尘排放量为</w:t>
            </w:r>
            <w:r>
              <w:rPr>
                <w:rFonts w:hint="eastAsia"/>
                <w:color w:val="auto"/>
                <w:sz w:val="24"/>
                <w:lang w:val="en-US" w:eastAsia="zh-CN"/>
              </w:rPr>
              <w:t>0.68</w:t>
            </w:r>
            <w:r>
              <w:rPr>
                <w:color w:val="auto"/>
                <w:sz w:val="24"/>
              </w:rPr>
              <w:t>t/a</w:t>
            </w:r>
            <w:r>
              <w:rPr>
                <w:rFonts w:hint="eastAsia"/>
                <w:color w:val="auto"/>
                <w:sz w:val="24"/>
                <w:lang w:eastAsia="zh-CN"/>
              </w:rPr>
              <w:t>、</w:t>
            </w:r>
            <w:r>
              <w:rPr>
                <w:rFonts w:hint="eastAsia"/>
                <w:color w:val="auto"/>
                <w:sz w:val="24"/>
                <w:lang w:val="en-US" w:eastAsia="zh-CN"/>
              </w:rPr>
              <w:t>0.09</w:t>
            </w:r>
            <w:r>
              <w:rPr>
                <w:rFonts w:hint="eastAsia"/>
                <w:color w:val="auto"/>
                <w:sz w:val="24"/>
              </w:rPr>
              <w:t>kg/h</w:t>
            </w:r>
            <w:r>
              <w:rPr>
                <w:rFonts w:hint="eastAsia"/>
                <w:color w:val="auto"/>
                <w:sz w:val="24"/>
                <w:lang w:eastAsia="zh-CN"/>
              </w:rPr>
              <w:t>，</w:t>
            </w:r>
            <w:r>
              <w:rPr>
                <w:color w:val="auto"/>
                <w:sz w:val="24"/>
              </w:rPr>
              <w:t>为间歇式无组织排放。</w:t>
            </w:r>
          </w:p>
          <w:p w14:paraId="27D8131A">
            <w:pPr>
              <w:spacing w:before="120" w:beforeLines="50" w:line="360" w:lineRule="auto"/>
              <w:ind w:firstLine="482" w:firstLineChars="200"/>
              <w:rPr>
                <w:color w:val="auto"/>
                <w:sz w:val="24"/>
              </w:rPr>
            </w:pPr>
            <w:r>
              <w:rPr>
                <w:rFonts w:hint="eastAsia"/>
                <w:b/>
                <w:bCs/>
                <w:color w:val="auto"/>
                <w:sz w:val="24"/>
              </w:rPr>
              <w:t>（</w:t>
            </w:r>
            <w:r>
              <w:rPr>
                <w:rFonts w:hint="eastAsia"/>
                <w:b/>
                <w:bCs/>
                <w:color w:val="auto"/>
                <w:sz w:val="24"/>
                <w:lang w:val="en-US" w:eastAsia="zh-CN"/>
              </w:rPr>
              <w:t>3</w:t>
            </w:r>
            <w:r>
              <w:rPr>
                <w:rFonts w:hint="eastAsia"/>
                <w:b/>
                <w:bCs/>
                <w:color w:val="auto"/>
                <w:sz w:val="24"/>
              </w:rPr>
              <w:t>）</w:t>
            </w:r>
            <w:r>
              <w:rPr>
                <w:rFonts w:hint="eastAsia"/>
                <w:b/>
                <w:color w:val="auto"/>
                <w:sz w:val="24"/>
              </w:rPr>
              <w:t>非正常工况设置及废气排放情况</w:t>
            </w:r>
          </w:p>
          <w:p w14:paraId="0484AFB9">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扩建</w:t>
            </w:r>
            <w:r>
              <w:rPr>
                <w:rFonts w:hint="default" w:ascii="Times New Roman" w:hAnsi="Times New Roman" w:cs="Times New Roman"/>
                <w:color w:val="auto"/>
                <w:sz w:val="24"/>
                <w:lang w:val="zh-CN"/>
              </w:rPr>
              <w:t>项目废气非正常排放主要为</w:t>
            </w:r>
            <w:r>
              <w:rPr>
                <w:rFonts w:hint="default" w:ascii="Times New Roman" w:hAnsi="Times New Roman" w:cs="Times New Roman"/>
                <w:color w:val="auto"/>
                <w:sz w:val="24"/>
                <w:lang w:val="en-US" w:eastAsia="zh-CN"/>
              </w:rPr>
              <w:t>布袋除尘器</w:t>
            </w:r>
            <w:r>
              <w:rPr>
                <w:rFonts w:hint="default" w:ascii="Times New Roman" w:hAnsi="Times New Roman" w:cs="Times New Roman"/>
                <w:color w:val="auto"/>
                <w:sz w:val="24"/>
                <w:lang w:val="zh-CN"/>
              </w:rPr>
              <w:t>失去作用的情况下</w:t>
            </w:r>
            <w:r>
              <w:rPr>
                <w:rFonts w:hint="default" w:ascii="Times New Roman" w:hAnsi="Times New Roman" w:cs="Times New Roman"/>
                <w:color w:val="auto"/>
                <w:sz w:val="24"/>
              </w:rPr>
              <w:t>，废气未经处理，直接排放，事故状态下将停止生产，将停机进行检修，检修时间约为2h，正常后</w:t>
            </w:r>
            <w:r>
              <w:rPr>
                <w:rFonts w:hint="eastAsia" w:cs="Times New Roman"/>
                <w:color w:val="auto"/>
                <w:sz w:val="24"/>
                <w:lang w:eastAsia="zh-CN"/>
              </w:rPr>
              <w:t>再</w:t>
            </w:r>
            <w:r>
              <w:rPr>
                <w:rFonts w:hint="default" w:ascii="Times New Roman" w:hAnsi="Times New Roman" w:cs="Times New Roman"/>
                <w:color w:val="auto"/>
                <w:sz w:val="24"/>
              </w:rPr>
              <w:t>进行生产。因此，本项目非正常排放是可控的，对周围环境影响较小。</w:t>
            </w:r>
          </w:p>
          <w:p w14:paraId="47D3E645">
            <w:pPr>
              <w:spacing w:line="360" w:lineRule="auto"/>
              <w:ind w:firstLine="480" w:firstLineChars="200"/>
              <w:rPr>
                <w:rFonts w:hint="eastAsia" w:hAnsi="宋体"/>
                <w:color w:val="auto"/>
                <w:sz w:val="24"/>
              </w:rPr>
            </w:pPr>
            <w:r>
              <w:rPr>
                <w:rFonts w:hint="default" w:ascii="Times New Roman" w:hAnsi="Times New Roman" w:cs="Times New Roman"/>
                <w:color w:val="auto"/>
                <w:sz w:val="24"/>
              </w:rPr>
              <w:t>为了进一步降低生产废气排放对周围环境空气的影响，必须杜绝项目废气的非正常排放，本次评价提出以下建议措施：</w:t>
            </w:r>
          </w:p>
          <w:p w14:paraId="4EB55056">
            <w:pPr>
              <w:spacing w:line="360" w:lineRule="auto"/>
              <w:ind w:firstLine="480" w:firstLineChars="200"/>
              <w:rPr>
                <w:color w:val="auto"/>
                <w:sz w:val="24"/>
              </w:rPr>
            </w:pPr>
            <w:r>
              <w:rPr>
                <w:rFonts w:hint="eastAsia"/>
                <w:color w:val="auto"/>
                <w:sz w:val="24"/>
              </w:rPr>
              <w:t>①加强管理，明确岗位责任制，定期检查、维修、保养设备及构件，确保各种工艺、电气、设备的正常运转。</w:t>
            </w:r>
          </w:p>
          <w:p w14:paraId="22556FD1">
            <w:pPr>
              <w:spacing w:line="360" w:lineRule="auto"/>
              <w:ind w:firstLine="480" w:firstLineChars="200"/>
              <w:rPr>
                <w:color w:val="auto"/>
                <w:sz w:val="24"/>
              </w:rPr>
            </w:pPr>
            <w:r>
              <w:rPr>
                <w:rFonts w:hint="eastAsia"/>
                <w:color w:val="auto"/>
                <w:sz w:val="24"/>
              </w:rPr>
              <w:t>②加强废气处理系统的日常管理和监控工作，记录废气处理系统的日常运行参数，保证废气收集装置的正常运行；</w:t>
            </w:r>
          </w:p>
          <w:p w14:paraId="7C751EBD">
            <w:pPr>
              <w:spacing w:line="360" w:lineRule="auto"/>
              <w:ind w:firstLine="480" w:firstLineChars="200"/>
              <w:rPr>
                <w:b/>
                <w:bCs/>
                <w:color w:val="auto"/>
                <w:sz w:val="24"/>
              </w:rPr>
            </w:pPr>
            <w:r>
              <w:rPr>
                <w:rFonts w:hint="eastAsia"/>
                <w:color w:val="auto"/>
                <w:sz w:val="24"/>
              </w:rPr>
              <w:t>③定期检查布袋除尘器、仓顶布袋除尘器装置，保证废气处理装置的净化效率。</w:t>
            </w:r>
          </w:p>
          <w:p w14:paraId="5093F568">
            <w:pPr>
              <w:spacing w:line="360" w:lineRule="auto"/>
              <w:ind w:firstLine="482" w:firstLineChars="200"/>
              <w:rPr>
                <w:b/>
                <w:bCs/>
                <w:color w:val="auto"/>
                <w:sz w:val="24"/>
              </w:rPr>
            </w:pPr>
            <w:r>
              <w:rPr>
                <w:rFonts w:hint="eastAsia"/>
                <w:b/>
                <w:bCs/>
                <w:color w:val="auto"/>
                <w:sz w:val="24"/>
              </w:rPr>
              <w:t>1.2污染物排放量核算统计</w:t>
            </w:r>
          </w:p>
          <w:p w14:paraId="0AF33D2F">
            <w:pPr>
              <w:spacing w:line="360" w:lineRule="auto"/>
              <w:ind w:firstLine="480" w:firstLineChars="200"/>
              <w:rPr>
                <w:rFonts w:hint="eastAsia"/>
                <w:color w:val="auto"/>
                <w:sz w:val="24"/>
              </w:rPr>
            </w:pPr>
            <w:r>
              <w:rPr>
                <w:rFonts w:hint="eastAsia"/>
                <w:color w:val="auto"/>
                <w:sz w:val="24"/>
              </w:rPr>
              <w:t>项目有组织大气污染物排放情况见表4-</w:t>
            </w:r>
            <w:r>
              <w:rPr>
                <w:rFonts w:hint="eastAsia"/>
                <w:color w:val="auto"/>
                <w:sz w:val="24"/>
                <w:lang w:val="en-US" w:eastAsia="zh-CN"/>
              </w:rPr>
              <w:t>2</w:t>
            </w:r>
            <w:r>
              <w:rPr>
                <w:rFonts w:hint="eastAsia"/>
                <w:color w:val="auto"/>
                <w:sz w:val="24"/>
              </w:rPr>
              <w:t>。</w:t>
            </w:r>
          </w:p>
          <w:p w14:paraId="2A36CA34">
            <w:pPr>
              <w:jc w:val="center"/>
              <w:rPr>
                <w:b/>
                <w:bCs/>
                <w:color w:val="auto"/>
                <w:sz w:val="24"/>
              </w:rPr>
            </w:pPr>
            <w:r>
              <w:rPr>
                <w:rFonts w:hint="eastAsia"/>
                <w:b/>
                <w:bCs/>
                <w:color w:val="auto"/>
                <w:sz w:val="24"/>
              </w:rPr>
              <w:t>表4-</w:t>
            </w:r>
            <w:r>
              <w:rPr>
                <w:rFonts w:hint="eastAsia"/>
                <w:b/>
                <w:bCs/>
                <w:color w:val="auto"/>
                <w:sz w:val="24"/>
                <w:lang w:val="en-US" w:eastAsia="zh-CN"/>
              </w:rPr>
              <w:t>2</w:t>
            </w:r>
            <w:r>
              <w:rPr>
                <w:rFonts w:hint="eastAsia"/>
                <w:b/>
                <w:bCs/>
                <w:color w:val="auto"/>
                <w:sz w:val="24"/>
              </w:rPr>
              <w:t xml:space="preserve">  大气污染物有组织排放量核算表</w:t>
            </w:r>
          </w:p>
          <w:tbl>
            <w:tblPr>
              <w:tblStyle w:val="45"/>
              <w:tblW w:w="8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1280"/>
              <w:gridCol w:w="1500"/>
              <w:gridCol w:w="1408"/>
              <w:gridCol w:w="1535"/>
              <w:gridCol w:w="1545"/>
            </w:tblGrid>
            <w:tr w14:paraId="309BA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6" w:type="dxa"/>
                  <w:vAlign w:val="center"/>
                </w:tcPr>
                <w:p w14:paraId="2BCC518F">
                  <w:pPr>
                    <w:jc w:val="center"/>
                    <w:rPr>
                      <w:color w:val="auto"/>
                      <w:sz w:val="21"/>
                      <w:szCs w:val="21"/>
                    </w:rPr>
                  </w:pPr>
                  <w:r>
                    <w:rPr>
                      <w:rFonts w:hint="eastAsia"/>
                      <w:color w:val="auto"/>
                      <w:sz w:val="21"/>
                      <w:szCs w:val="21"/>
                    </w:rPr>
                    <w:t>序号</w:t>
                  </w:r>
                </w:p>
              </w:tc>
              <w:tc>
                <w:tcPr>
                  <w:tcW w:w="1280" w:type="dxa"/>
                  <w:vAlign w:val="center"/>
                </w:tcPr>
                <w:p w14:paraId="0F7F196D">
                  <w:pPr>
                    <w:jc w:val="center"/>
                    <w:rPr>
                      <w:color w:val="auto"/>
                      <w:sz w:val="21"/>
                      <w:szCs w:val="21"/>
                    </w:rPr>
                  </w:pPr>
                  <w:r>
                    <w:rPr>
                      <w:rFonts w:hint="eastAsia"/>
                      <w:color w:val="auto"/>
                      <w:sz w:val="21"/>
                      <w:szCs w:val="21"/>
                    </w:rPr>
                    <w:t>排放口编号</w:t>
                  </w:r>
                </w:p>
              </w:tc>
              <w:tc>
                <w:tcPr>
                  <w:tcW w:w="1500" w:type="dxa"/>
                  <w:vAlign w:val="center"/>
                </w:tcPr>
                <w:p w14:paraId="324D334F">
                  <w:pPr>
                    <w:jc w:val="center"/>
                    <w:rPr>
                      <w:color w:val="auto"/>
                      <w:sz w:val="21"/>
                      <w:szCs w:val="21"/>
                    </w:rPr>
                  </w:pPr>
                  <w:r>
                    <w:rPr>
                      <w:rFonts w:hint="eastAsia"/>
                      <w:color w:val="auto"/>
                      <w:sz w:val="21"/>
                      <w:szCs w:val="21"/>
                    </w:rPr>
                    <w:t>污染物</w:t>
                  </w:r>
                </w:p>
              </w:tc>
              <w:tc>
                <w:tcPr>
                  <w:tcW w:w="1408" w:type="dxa"/>
                  <w:vAlign w:val="center"/>
                </w:tcPr>
                <w:p w14:paraId="10D21468">
                  <w:pPr>
                    <w:jc w:val="center"/>
                    <w:rPr>
                      <w:color w:val="auto"/>
                      <w:sz w:val="21"/>
                      <w:szCs w:val="21"/>
                    </w:rPr>
                  </w:pPr>
                  <w:r>
                    <w:rPr>
                      <w:rFonts w:hint="eastAsia"/>
                      <w:color w:val="auto"/>
                      <w:sz w:val="21"/>
                      <w:szCs w:val="21"/>
                    </w:rPr>
                    <w:t>核算排放浓度/</w:t>
                  </w:r>
                  <w:r>
                    <w:rPr>
                      <w:rFonts w:hAnsi="宋体"/>
                      <w:bCs/>
                      <w:color w:val="auto"/>
                      <w:sz w:val="21"/>
                      <w:szCs w:val="21"/>
                    </w:rPr>
                    <w:t>（</w:t>
                  </w:r>
                  <w:r>
                    <w:rPr>
                      <w:rFonts w:hint="eastAsia"/>
                      <w:bCs/>
                      <w:color w:val="auto"/>
                      <w:sz w:val="21"/>
                      <w:szCs w:val="21"/>
                    </w:rPr>
                    <w:t>m</w:t>
                  </w:r>
                  <w:r>
                    <w:rPr>
                      <w:bCs/>
                      <w:color w:val="auto"/>
                      <w:sz w:val="21"/>
                      <w:szCs w:val="21"/>
                    </w:rPr>
                    <w:t>g/m</w:t>
                  </w:r>
                  <w:r>
                    <w:rPr>
                      <w:bCs/>
                      <w:color w:val="auto"/>
                      <w:sz w:val="21"/>
                      <w:szCs w:val="21"/>
                      <w:vertAlign w:val="superscript"/>
                    </w:rPr>
                    <w:t>3</w:t>
                  </w:r>
                  <w:r>
                    <w:rPr>
                      <w:rFonts w:hAnsi="宋体"/>
                      <w:bCs/>
                      <w:color w:val="auto"/>
                      <w:sz w:val="21"/>
                      <w:szCs w:val="21"/>
                    </w:rPr>
                    <w:t>）</w:t>
                  </w:r>
                </w:p>
              </w:tc>
              <w:tc>
                <w:tcPr>
                  <w:tcW w:w="1535" w:type="dxa"/>
                  <w:vAlign w:val="center"/>
                </w:tcPr>
                <w:p w14:paraId="26F41521">
                  <w:pPr>
                    <w:jc w:val="center"/>
                    <w:rPr>
                      <w:color w:val="auto"/>
                      <w:sz w:val="21"/>
                      <w:szCs w:val="21"/>
                    </w:rPr>
                  </w:pPr>
                  <w:r>
                    <w:rPr>
                      <w:rFonts w:hint="eastAsia"/>
                      <w:color w:val="auto"/>
                      <w:sz w:val="21"/>
                      <w:szCs w:val="21"/>
                    </w:rPr>
                    <w:t>核算排放速率/</w:t>
                  </w:r>
                </w:p>
                <w:p w14:paraId="477964D0">
                  <w:pPr>
                    <w:jc w:val="center"/>
                    <w:rPr>
                      <w:color w:val="auto"/>
                      <w:sz w:val="21"/>
                      <w:szCs w:val="21"/>
                    </w:rPr>
                  </w:pPr>
                  <w:r>
                    <w:rPr>
                      <w:rFonts w:hint="eastAsia"/>
                      <w:color w:val="auto"/>
                      <w:sz w:val="21"/>
                      <w:szCs w:val="21"/>
                    </w:rPr>
                    <w:t>（kg/h）</w:t>
                  </w:r>
                </w:p>
              </w:tc>
              <w:tc>
                <w:tcPr>
                  <w:tcW w:w="1545" w:type="dxa"/>
                  <w:vAlign w:val="center"/>
                </w:tcPr>
                <w:p w14:paraId="0DE01F82">
                  <w:pPr>
                    <w:jc w:val="center"/>
                    <w:rPr>
                      <w:color w:val="auto"/>
                      <w:sz w:val="21"/>
                      <w:szCs w:val="21"/>
                    </w:rPr>
                  </w:pPr>
                  <w:r>
                    <w:rPr>
                      <w:rFonts w:hint="eastAsia"/>
                      <w:color w:val="auto"/>
                      <w:sz w:val="21"/>
                      <w:szCs w:val="21"/>
                    </w:rPr>
                    <w:t>核算年排放量</w:t>
                  </w:r>
                </w:p>
                <w:p w14:paraId="435C9A8A">
                  <w:pPr>
                    <w:jc w:val="center"/>
                    <w:rPr>
                      <w:color w:val="auto"/>
                      <w:sz w:val="21"/>
                      <w:szCs w:val="21"/>
                    </w:rPr>
                  </w:pPr>
                  <w:r>
                    <w:rPr>
                      <w:rFonts w:hint="eastAsia"/>
                      <w:color w:val="auto"/>
                      <w:sz w:val="21"/>
                      <w:szCs w:val="21"/>
                    </w:rPr>
                    <w:t>（t/a）</w:t>
                  </w:r>
                </w:p>
              </w:tc>
            </w:tr>
            <w:tr w14:paraId="3690A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6" w:type="dxa"/>
                  <w:vAlign w:val="center"/>
                </w:tcPr>
                <w:p w14:paraId="096A097C">
                  <w:pPr>
                    <w:jc w:val="center"/>
                    <w:rPr>
                      <w:color w:val="auto"/>
                      <w:sz w:val="21"/>
                      <w:szCs w:val="21"/>
                    </w:rPr>
                  </w:pPr>
                  <w:r>
                    <w:rPr>
                      <w:rFonts w:hint="eastAsia"/>
                      <w:color w:val="auto"/>
                      <w:sz w:val="21"/>
                      <w:szCs w:val="21"/>
                    </w:rPr>
                    <w:t>1</w:t>
                  </w:r>
                </w:p>
              </w:tc>
              <w:tc>
                <w:tcPr>
                  <w:tcW w:w="1280" w:type="dxa"/>
                  <w:vAlign w:val="center"/>
                </w:tcPr>
                <w:p w14:paraId="638B5D01">
                  <w:pPr>
                    <w:jc w:val="center"/>
                    <w:rPr>
                      <w:rFonts w:hint="default" w:eastAsia="宋体"/>
                      <w:color w:val="auto"/>
                      <w:sz w:val="21"/>
                      <w:szCs w:val="21"/>
                      <w:lang w:val="en-US" w:eastAsia="zh-CN"/>
                    </w:rPr>
                  </w:pPr>
                  <w:r>
                    <w:rPr>
                      <w:rFonts w:hint="eastAsia"/>
                      <w:color w:val="auto"/>
                      <w:sz w:val="21"/>
                      <w:szCs w:val="21"/>
                    </w:rPr>
                    <w:t>DA0</w:t>
                  </w:r>
                  <w:r>
                    <w:rPr>
                      <w:rFonts w:hint="eastAsia"/>
                      <w:color w:val="auto"/>
                      <w:sz w:val="21"/>
                      <w:szCs w:val="21"/>
                      <w:lang w:val="en-US" w:eastAsia="zh-CN"/>
                    </w:rPr>
                    <w:t>08</w:t>
                  </w:r>
                </w:p>
              </w:tc>
              <w:tc>
                <w:tcPr>
                  <w:tcW w:w="1500" w:type="dxa"/>
                  <w:vAlign w:val="center"/>
                </w:tcPr>
                <w:p w14:paraId="4FA25F78">
                  <w:pPr>
                    <w:jc w:val="center"/>
                    <w:rPr>
                      <w:color w:val="auto"/>
                      <w:sz w:val="21"/>
                      <w:szCs w:val="21"/>
                    </w:rPr>
                  </w:pPr>
                  <w:r>
                    <w:rPr>
                      <w:rFonts w:hint="eastAsia"/>
                      <w:color w:val="auto"/>
                      <w:sz w:val="21"/>
                      <w:szCs w:val="21"/>
                    </w:rPr>
                    <w:t>颗粒物</w:t>
                  </w:r>
                </w:p>
              </w:tc>
              <w:tc>
                <w:tcPr>
                  <w:tcW w:w="1408" w:type="dxa"/>
                  <w:vAlign w:val="center"/>
                </w:tcPr>
                <w:p w14:paraId="24A08CB8">
                  <w:pPr>
                    <w:jc w:val="center"/>
                    <w:rPr>
                      <w:rFonts w:hint="default" w:eastAsia="宋体"/>
                      <w:color w:val="auto"/>
                      <w:sz w:val="21"/>
                      <w:szCs w:val="21"/>
                      <w:lang w:val="en-US" w:eastAsia="zh-CN"/>
                    </w:rPr>
                  </w:pPr>
                  <w:r>
                    <w:rPr>
                      <w:rFonts w:hint="eastAsia"/>
                      <w:color w:val="auto"/>
                      <w:sz w:val="21"/>
                      <w:szCs w:val="21"/>
                      <w:lang w:val="en-US" w:eastAsia="zh-CN"/>
                    </w:rPr>
                    <w:t>2.31</w:t>
                  </w:r>
                </w:p>
              </w:tc>
              <w:tc>
                <w:tcPr>
                  <w:tcW w:w="1535" w:type="dxa"/>
                  <w:vAlign w:val="center"/>
                </w:tcPr>
                <w:p w14:paraId="2C0D9422">
                  <w:pPr>
                    <w:jc w:val="center"/>
                    <w:rPr>
                      <w:rFonts w:hint="default" w:eastAsia="宋体"/>
                      <w:color w:val="auto"/>
                      <w:sz w:val="21"/>
                      <w:szCs w:val="21"/>
                      <w:lang w:val="en-US" w:eastAsia="zh-CN"/>
                    </w:rPr>
                  </w:pPr>
                  <w:r>
                    <w:rPr>
                      <w:rFonts w:hint="eastAsia"/>
                      <w:color w:val="auto"/>
                      <w:sz w:val="21"/>
                      <w:szCs w:val="21"/>
                      <w:lang w:val="en-US" w:eastAsia="zh-CN"/>
                    </w:rPr>
                    <w:t>0.012</w:t>
                  </w:r>
                </w:p>
              </w:tc>
              <w:tc>
                <w:tcPr>
                  <w:tcW w:w="1545" w:type="dxa"/>
                  <w:vAlign w:val="center"/>
                </w:tcPr>
                <w:p w14:paraId="2BE6FC7C">
                  <w:pPr>
                    <w:jc w:val="center"/>
                    <w:rPr>
                      <w:rFonts w:hint="default" w:eastAsia="宋体"/>
                      <w:color w:val="auto"/>
                      <w:sz w:val="21"/>
                      <w:szCs w:val="21"/>
                      <w:lang w:val="en-US" w:eastAsia="zh-CN"/>
                    </w:rPr>
                  </w:pPr>
                  <w:r>
                    <w:rPr>
                      <w:rFonts w:hint="eastAsia"/>
                      <w:color w:val="auto"/>
                      <w:sz w:val="21"/>
                      <w:szCs w:val="21"/>
                      <w:lang w:val="en-US" w:eastAsia="zh-CN"/>
                    </w:rPr>
                    <w:t>0.083</w:t>
                  </w:r>
                </w:p>
              </w:tc>
            </w:tr>
            <w:tr w14:paraId="29D06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46" w:type="dxa"/>
                  <w:gridSpan w:val="3"/>
                  <w:vAlign w:val="center"/>
                </w:tcPr>
                <w:p w14:paraId="6825F0EA">
                  <w:pPr>
                    <w:jc w:val="center"/>
                    <w:rPr>
                      <w:color w:val="auto"/>
                      <w:sz w:val="21"/>
                      <w:szCs w:val="21"/>
                    </w:rPr>
                  </w:pPr>
                  <w:r>
                    <w:rPr>
                      <w:rFonts w:hAnsi="宋体"/>
                      <w:bCs/>
                      <w:color w:val="auto"/>
                      <w:sz w:val="21"/>
                      <w:szCs w:val="21"/>
                    </w:rPr>
                    <w:t>有组织排放总计（</w:t>
                  </w:r>
                  <w:r>
                    <w:rPr>
                      <w:bCs/>
                      <w:color w:val="auto"/>
                      <w:sz w:val="21"/>
                      <w:szCs w:val="21"/>
                    </w:rPr>
                    <w:t>t/a</w:t>
                  </w:r>
                  <w:r>
                    <w:rPr>
                      <w:rFonts w:hAnsi="宋体"/>
                      <w:bCs/>
                      <w:color w:val="auto"/>
                      <w:sz w:val="21"/>
                      <w:szCs w:val="21"/>
                    </w:rPr>
                    <w:t>）</w:t>
                  </w:r>
                </w:p>
              </w:tc>
              <w:tc>
                <w:tcPr>
                  <w:tcW w:w="2943" w:type="dxa"/>
                  <w:gridSpan w:val="2"/>
                  <w:vAlign w:val="center"/>
                </w:tcPr>
                <w:p w14:paraId="67631AD0">
                  <w:pPr>
                    <w:jc w:val="center"/>
                    <w:rPr>
                      <w:color w:val="auto"/>
                      <w:sz w:val="21"/>
                      <w:szCs w:val="21"/>
                    </w:rPr>
                  </w:pPr>
                  <w:r>
                    <w:rPr>
                      <w:rFonts w:hint="eastAsia"/>
                      <w:color w:val="auto"/>
                      <w:sz w:val="21"/>
                      <w:szCs w:val="21"/>
                    </w:rPr>
                    <w:t>颗粒物</w:t>
                  </w:r>
                </w:p>
              </w:tc>
              <w:tc>
                <w:tcPr>
                  <w:tcW w:w="1545" w:type="dxa"/>
                  <w:vAlign w:val="center"/>
                </w:tcPr>
                <w:p w14:paraId="4251ECA7">
                  <w:pPr>
                    <w:jc w:val="center"/>
                    <w:rPr>
                      <w:rFonts w:hint="default" w:eastAsia="宋体"/>
                      <w:color w:val="auto"/>
                      <w:sz w:val="21"/>
                      <w:szCs w:val="21"/>
                      <w:lang w:val="en-US" w:eastAsia="zh-CN"/>
                    </w:rPr>
                  </w:pPr>
                  <w:r>
                    <w:rPr>
                      <w:rFonts w:hint="eastAsia"/>
                      <w:color w:val="auto"/>
                      <w:sz w:val="21"/>
                      <w:szCs w:val="21"/>
                      <w:lang w:val="en-US" w:eastAsia="zh-CN"/>
                    </w:rPr>
                    <w:t>0.083</w:t>
                  </w:r>
                </w:p>
              </w:tc>
            </w:tr>
          </w:tbl>
          <w:p w14:paraId="68DEA8E5">
            <w:pPr>
              <w:spacing w:before="120" w:beforeLines="50" w:line="360" w:lineRule="auto"/>
              <w:ind w:firstLine="480" w:firstLineChars="200"/>
              <w:rPr>
                <w:color w:val="auto"/>
                <w:sz w:val="24"/>
              </w:rPr>
            </w:pPr>
            <w:r>
              <w:rPr>
                <w:rFonts w:hint="eastAsia"/>
                <w:color w:val="auto"/>
                <w:sz w:val="24"/>
              </w:rPr>
              <w:t>项目无组织排放情况见表4-</w:t>
            </w:r>
            <w:r>
              <w:rPr>
                <w:rFonts w:hint="eastAsia"/>
                <w:color w:val="auto"/>
                <w:sz w:val="24"/>
                <w:lang w:val="en-US" w:eastAsia="zh-CN"/>
              </w:rPr>
              <w:t>3</w:t>
            </w:r>
            <w:r>
              <w:rPr>
                <w:rFonts w:hint="eastAsia"/>
                <w:color w:val="auto"/>
                <w:sz w:val="24"/>
              </w:rPr>
              <w:t>。</w:t>
            </w:r>
          </w:p>
          <w:p w14:paraId="67BB4A50">
            <w:pPr>
              <w:jc w:val="center"/>
              <w:rPr>
                <w:b/>
                <w:bCs/>
                <w:color w:val="auto"/>
                <w:sz w:val="24"/>
              </w:rPr>
            </w:pPr>
            <w:r>
              <w:rPr>
                <w:rFonts w:hint="eastAsia"/>
                <w:b/>
                <w:bCs/>
                <w:color w:val="auto"/>
                <w:sz w:val="24"/>
              </w:rPr>
              <w:t>表4-</w:t>
            </w:r>
            <w:r>
              <w:rPr>
                <w:rFonts w:hint="eastAsia"/>
                <w:b/>
                <w:bCs/>
                <w:color w:val="auto"/>
                <w:sz w:val="24"/>
                <w:lang w:val="en-US" w:eastAsia="zh-CN"/>
              </w:rPr>
              <w:t>3</w:t>
            </w:r>
            <w:r>
              <w:rPr>
                <w:rFonts w:hint="eastAsia"/>
                <w:b/>
                <w:bCs/>
                <w:color w:val="auto"/>
                <w:sz w:val="24"/>
              </w:rPr>
              <w:t xml:space="preserve">  大气污染物无组织排放量核算表</w:t>
            </w:r>
          </w:p>
          <w:tbl>
            <w:tblPr>
              <w:tblStyle w:val="45"/>
              <w:tblW w:w="788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7"/>
              <w:gridCol w:w="1045"/>
              <w:gridCol w:w="818"/>
              <w:gridCol w:w="1557"/>
              <w:gridCol w:w="1737"/>
              <w:gridCol w:w="1305"/>
              <w:gridCol w:w="824"/>
            </w:tblGrid>
            <w:tr w14:paraId="41088B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97" w:type="dxa"/>
                  <w:vMerge w:val="restart"/>
                  <w:vAlign w:val="center"/>
                </w:tcPr>
                <w:p w14:paraId="6C7E0E52">
                  <w:pPr>
                    <w:pStyle w:val="102"/>
                    <w:jc w:val="center"/>
                    <w:rPr>
                      <w:rFonts w:ascii="Times New Roman" w:hAnsi="Times New Roman"/>
                      <w:color w:val="auto"/>
                      <w:kern w:val="2"/>
                      <w:sz w:val="21"/>
                      <w:szCs w:val="21"/>
                    </w:rPr>
                  </w:pPr>
                  <w:r>
                    <w:rPr>
                      <w:rFonts w:ascii="Times New Roman" w:hAnsi="Times New Roman"/>
                      <w:bCs/>
                      <w:color w:val="auto"/>
                      <w:kern w:val="2"/>
                      <w:sz w:val="21"/>
                      <w:szCs w:val="21"/>
                    </w:rPr>
                    <w:t>序号</w:t>
                  </w:r>
                </w:p>
              </w:tc>
              <w:tc>
                <w:tcPr>
                  <w:tcW w:w="1045" w:type="dxa"/>
                  <w:vMerge w:val="restart"/>
                  <w:vAlign w:val="center"/>
                </w:tcPr>
                <w:p w14:paraId="433540A4">
                  <w:pPr>
                    <w:pStyle w:val="102"/>
                    <w:jc w:val="center"/>
                    <w:rPr>
                      <w:rFonts w:ascii="Times New Roman" w:hAnsi="Times New Roman"/>
                      <w:color w:val="auto"/>
                      <w:kern w:val="2"/>
                      <w:sz w:val="21"/>
                      <w:szCs w:val="21"/>
                    </w:rPr>
                  </w:pPr>
                  <w:r>
                    <w:rPr>
                      <w:rFonts w:ascii="Times New Roman" w:hAnsi="Times New Roman"/>
                      <w:bCs/>
                      <w:color w:val="auto"/>
                      <w:kern w:val="2"/>
                      <w:sz w:val="21"/>
                      <w:szCs w:val="21"/>
                    </w:rPr>
                    <w:t>产污环节</w:t>
                  </w:r>
                </w:p>
              </w:tc>
              <w:tc>
                <w:tcPr>
                  <w:tcW w:w="818" w:type="dxa"/>
                  <w:vMerge w:val="restart"/>
                  <w:vAlign w:val="center"/>
                </w:tcPr>
                <w:p w14:paraId="3AD62635">
                  <w:pPr>
                    <w:pStyle w:val="102"/>
                    <w:jc w:val="center"/>
                    <w:rPr>
                      <w:rFonts w:ascii="Times New Roman" w:hAnsi="Times New Roman"/>
                      <w:color w:val="auto"/>
                      <w:kern w:val="2"/>
                      <w:sz w:val="21"/>
                      <w:szCs w:val="21"/>
                    </w:rPr>
                  </w:pPr>
                  <w:r>
                    <w:rPr>
                      <w:rFonts w:ascii="Times New Roman" w:hAnsi="Times New Roman"/>
                      <w:bCs/>
                      <w:color w:val="auto"/>
                      <w:kern w:val="2"/>
                      <w:sz w:val="21"/>
                      <w:szCs w:val="21"/>
                    </w:rPr>
                    <w:t>污染物</w:t>
                  </w:r>
                </w:p>
              </w:tc>
              <w:tc>
                <w:tcPr>
                  <w:tcW w:w="1557" w:type="dxa"/>
                  <w:vMerge w:val="restart"/>
                  <w:vAlign w:val="center"/>
                </w:tcPr>
                <w:p w14:paraId="41A98FD7">
                  <w:pPr>
                    <w:pStyle w:val="102"/>
                    <w:jc w:val="center"/>
                    <w:rPr>
                      <w:rFonts w:ascii="Times New Roman" w:hAnsi="Times New Roman"/>
                      <w:color w:val="auto"/>
                      <w:kern w:val="2"/>
                      <w:sz w:val="21"/>
                      <w:szCs w:val="21"/>
                    </w:rPr>
                  </w:pPr>
                  <w:r>
                    <w:rPr>
                      <w:rFonts w:ascii="Times New Roman" w:hAnsi="Times New Roman"/>
                      <w:bCs/>
                      <w:color w:val="auto"/>
                      <w:kern w:val="2"/>
                      <w:sz w:val="21"/>
                      <w:szCs w:val="21"/>
                    </w:rPr>
                    <w:t>主要防治措施</w:t>
                  </w:r>
                </w:p>
              </w:tc>
              <w:tc>
                <w:tcPr>
                  <w:tcW w:w="3042" w:type="dxa"/>
                  <w:gridSpan w:val="2"/>
                  <w:vAlign w:val="center"/>
                </w:tcPr>
                <w:p w14:paraId="3FEB01F6">
                  <w:pPr>
                    <w:pStyle w:val="102"/>
                    <w:jc w:val="center"/>
                    <w:rPr>
                      <w:rFonts w:ascii="Times New Roman" w:hAnsi="Times New Roman"/>
                      <w:color w:val="auto"/>
                      <w:kern w:val="2"/>
                      <w:sz w:val="21"/>
                      <w:szCs w:val="21"/>
                      <w:lang w:eastAsia="zh-CN"/>
                    </w:rPr>
                  </w:pPr>
                  <w:r>
                    <w:rPr>
                      <w:rFonts w:ascii="Times New Roman" w:hAnsi="Times New Roman"/>
                      <w:bCs/>
                      <w:color w:val="auto"/>
                      <w:kern w:val="2"/>
                      <w:sz w:val="21"/>
                      <w:szCs w:val="21"/>
                      <w:lang w:eastAsia="zh-CN"/>
                    </w:rPr>
                    <w:t>国家或地方污染物排放标准</w:t>
                  </w:r>
                </w:p>
              </w:tc>
              <w:tc>
                <w:tcPr>
                  <w:tcW w:w="824" w:type="dxa"/>
                  <w:vMerge w:val="restart"/>
                  <w:vAlign w:val="center"/>
                </w:tcPr>
                <w:p w14:paraId="0B29DA48">
                  <w:pPr>
                    <w:pStyle w:val="102"/>
                    <w:jc w:val="center"/>
                    <w:rPr>
                      <w:rFonts w:ascii="Times New Roman" w:hAnsi="Times New Roman"/>
                      <w:bCs/>
                      <w:color w:val="auto"/>
                      <w:w w:val="99"/>
                      <w:kern w:val="2"/>
                      <w:sz w:val="21"/>
                      <w:szCs w:val="21"/>
                    </w:rPr>
                  </w:pPr>
                  <w:r>
                    <w:rPr>
                      <w:rFonts w:ascii="Times New Roman" w:hAnsi="Times New Roman"/>
                      <w:bCs/>
                      <w:color w:val="auto"/>
                      <w:kern w:val="2"/>
                      <w:sz w:val="21"/>
                      <w:szCs w:val="21"/>
                    </w:rPr>
                    <w:t>年排</w:t>
                  </w:r>
                </w:p>
                <w:p w14:paraId="3B72C041">
                  <w:pPr>
                    <w:pStyle w:val="102"/>
                    <w:jc w:val="center"/>
                    <w:rPr>
                      <w:rFonts w:ascii="Times New Roman" w:hAnsi="Times New Roman"/>
                      <w:color w:val="auto"/>
                      <w:kern w:val="2"/>
                      <w:sz w:val="21"/>
                      <w:szCs w:val="21"/>
                    </w:rPr>
                  </w:pPr>
                  <w:r>
                    <w:rPr>
                      <w:rFonts w:ascii="Times New Roman" w:hAnsi="Times New Roman"/>
                      <w:bCs/>
                      <w:color w:val="auto"/>
                      <w:kern w:val="2"/>
                      <w:sz w:val="21"/>
                      <w:szCs w:val="21"/>
                    </w:rPr>
                    <w:t>放量</w:t>
                  </w:r>
                </w:p>
                <w:p w14:paraId="40A76027">
                  <w:pPr>
                    <w:pStyle w:val="102"/>
                    <w:jc w:val="center"/>
                    <w:rPr>
                      <w:rFonts w:ascii="Times New Roman" w:hAnsi="Times New Roman"/>
                      <w:color w:val="auto"/>
                      <w:kern w:val="2"/>
                      <w:sz w:val="21"/>
                      <w:szCs w:val="21"/>
                    </w:rPr>
                  </w:pPr>
                  <w:r>
                    <w:rPr>
                      <w:rFonts w:ascii="Times New Roman" w:hAnsi="Times New Roman"/>
                      <w:bCs/>
                      <w:color w:val="auto"/>
                      <w:kern w:val="2"/>
                      <w:sz w:val="21"/>
                      <w:szCs w:val="21"/>
                    </w:rPr>
                    <w:t>（</w:t>
                  </w:r>
                  <w:r>
                    <w:rPr>
                      <w:rFonts w:hint="eastAsia" w:ascii="Times New Roman" w:hAnsi="Times New Roman"/>
                      <w:bCs/>
                      <w:color w:val="auto"/>
                      <w:kern w:val="2"/>
                      <w:sz w:val="21"/>
                      <w:szCs w:val="21"/>
                      <w:lang w:eastAsia="zh-CN"/>
                    </w:rPr>
                    <w:t>t</w:t>
                  </w:r>
                  <w:r>
                    <w:rPr>
                      <w:rFonts w:ascii="Times New Roman" w:hAnsi="Times New Roman"/>
                      <w:bCs/>
                      <w:color w:val="auto"/>
                      <w:kern w:val="2"/>
                      <w:sz w:val="21"/>
                      <w:szCs w:val="21"/>
                    </w:rPr>
                    <w:t>/a）</w:t>
                  </w:r>
                </w:p>
              </w:tc>
            </w:tr>
            <w:tr w14:paraId="4355F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97" w:type="dxa"/>
                  <w:vMerge w:val="continue"/>
                  <w:vAlign w:val="center"/>
                </w:tcPr>
                <w:p w14:paraId="5AE25BE3">
                  <w:pPr>
                    <w:autoSpaceDE w:val="0"/>
                    <w:autoSpaceDN w:val="0"/>
                    <w:jc w:val="center"/>
                    <w:rPr>
                      <w:color w:val="auto"/>
                      <w:sz w:val="21"/>
                      <w:szCs w:val="21"/>
                    </w:rPr>
                  </w:pPr>
                </w:p>
              </w:tc>
              <w:tc>
                <w:tcPr>
                  <w:tcW w:w="1045" w:type="dxa"/>
                  <w:vMerge w:val="continue"/>
                  <w:vAlign w:val="center"/>
                </w:tcPr>
                <w:p w14:paraId="1D473663">
                  <w:pPr>
                    <w:autoSpaceDE w:val="0"/>
                    <w:autoSpaceDN w:val="0"/>
                    <w:jc w:val="center"/>
                    <w:rPr>
                      <w:color w:val="auto"/>
                      <w:sz w:val="21"/>
                      <w:szCs w:val="21"/>
                    </w:rPr>
                  </w:pPr>
                </w:p>
              </w:tc>
              <w:tc>
                <w:tcPr>
                  <w:tcW w:w="818" w:type="dxa"/>
                  <w:vMerge w:val="continue"/>
                  <w:vAlign w:val="center"/>
                </w:tcPr>
                <w:p w14:paraId="66BD83C5">
                  <w:pPr>
                    <w:autoSpaceDE w:val="0"/>
                    <w:autoSpaceDN w:val="0"/>
                    <w:jc w:val="center"/>
                    <w:rPr>
                      <w:color w:val="auto"/>
                      <w:sz w:val="21"/>
                      <w:szCs w:val="21"/>
                    </w:rPr>
                  </w:pPr>
                </w:p>
              </w:tc>
              <w:tc>
                <w:tcPr>
                  <w:tcW w:w="1557" w:type="dxa"/>
                  <w:vMerge w:val="continue"/>
                  <w:vAlign w:val="center"/>
                </w:tcPr>
                <w:p w14:paraId="7CCE60C7">
                  <w:pPr>
                    <w:autoSpaceDE w:val="0"/>
                    <w:autoSpaceDN w:val="0"/>
                    <w:jc w:val="center"/>
                    <w:rPr>
                      <w:color w:val="auto"/>
                      <w:sz w:val="21"/>
                      <w:szCs w:val="21"/>
                    </w:rPr>
                  </w:pPr>
                </w:p>
              </w:tc>
              <w:tc>
                <w:tcPr>
                  <w:tcW w:w="1737" w:type="dxa"/>
                  <w:vAlign w:val="center"/>
                </w:tcPr>
                <w:p w14:paraId="1A027AE0">
                  <w:pPr>
                    <w:pStyle w:val="102"/>
                    <w:jc w:val="center"/>
                    <w:rPr>
                      <w:rFonts w:ascii="Times New Roman" w:hAnsi="Times New Roman"/>
                      <w:color w:val="auto"/>
                      <w:kern w:val="2"/>
                      <w:sz w:val="21"/>
                      <w:szCs w:val="21"/>
                    </w:rPr>
                  </w:pPr>
                  <w:r>
                    <w:rPr>
                      <w:rFonts w:ascii="Times New Roman" w:hAnsi="Times New Roman"/>
                      <w:bCs/>
                      <w:color w:val="auto"/>
                      <w:kern w:val="2"/>
                      <w:sz w:val="21"/>
                      <w:szCs w:val="21"/>
                    </w:rPr>
                    <w:t>标准名称</w:t>
                  </w:r>
                </w:p>
              </w:tc>
              <w:tc>
                <w:tcPr>
                  <w:tcW w:w="1305" w:type="dxa"/>
                  <w:vAlign w:val="center"/>
                </w:tcPr>
                <w:p w14:paraId="0608B849">
                  <w:pPr>
                    <w:pStyle w:val="102"/>
                    <w:jc w:val="center"/>
                    <w:rPr>
                      <w:rFonts w:ascii="Times New Roman" w:hAnsi="Times New Roman"/>
                      <w:color w:val="auto"/>
                      <w:kern w:val="2"/>
                      <w:sz w:val="21"/>
                      <w:szCs w:val="21"/>
                    </w:rPr>
                  </w:pPr>
                  <w:r>
                    <w:rPr>
                      <w:rFonts w:ascii="Times New Roman" w:hAnsi="Times New Roman"/>
                      <w:bCs/>
                      <w:color w:val="auto"/>
                      <w:kern w:val="2"/>
                      <w:sz w:val="21"/>
                      <w:szCs w:val="21"/>
                    </w:rPr>
                    <w:t>浓度限值</w:t>
                  </w:r>
                </w:p>
                <w:p w14:paraId="06EC511E">
                  <w:pPr>
                    <w:pStyle w:val="102"/>
                    <w:jc w:val="center"/>
                    <w:rPr>
                      <w:rFonts w:ascii="Times New Roman" w:hAnsi="Times New Roman"/>
                      <w:color w:val="auto"/>
                      <w:kern w:val="2"/>
                      <w:sz w:val="21"/>
                      <w:szCs w:val="21"/>
                    </w:rPr>
                  </w:pPr>
                  <w:r>
                    <w:rPr>
                      <w:rFonts w:ascii="Times New Roman" w:hAnsi="Times New Roman"/>
                      <w:bCs/>
                      <w:color w:val="auto"/>
                      <w:kern w:val="2"/>
                      <w:sz w:val="21"/>
                      <w:szCs w:val="21"/>
                    </w:rPr>
                    <w:t>（</w:t>
                  </w:r>
                  <w:r>
                    <w:rPr>
                      <w:rFonts w:hint="eastAsia" w:ascii="Times New Roman" w:hAnsi="Times New Roman"/>
                      <w:bCs/>
                      <w:color w:val="auto"/>
                      <w:kern w:val="2"/>
                      <w:sz w:val="21"/>
                      <w:szCs w:val="21"/>
                      <w:lang w:eastAsia="zh-CN"/>
                    </w:rPr>
                    <w:t>m</w:t>
                  </w:r>
                  <w:r>
                    <w:rPr>
                      <w:rFonts w:ascii="Times New Roman" w:hAnsi="Times New Roman"/>
                      <w:bCs/>
                      <w:color w:val="auto"/>
                      <w:kern w:val="2"/>
                      <w:sz w:val="21"/>
                      <w:szCs w:val="21"/>
                    </w:rPr>
                    <w:t>g/m</w:t>
                  </w:r>
                  <w:r>
                    <w:rPr>
                      <w:rFonts w:ascii="Times New Roman" w:hAnsi="Times New Roman"/>
                      <w:bCs/>
                      <w:color w:val="auto"/>
                      <w:kern w:val="2"/>
                      <w:sz w:val="21"/>
                      <w:szCs w:val="21"/>
                      <w:vertAlign w:val="superscript"/>
                    </w:rPr>
                    <w:t>3</w:t>
                  </w:r>
                  <w:r>
                    <w:rPr>
                      <w:rFonts w:ascii="Times New Roman" w:hAnsi="Times New Roman"/>
                      <w:bCs/>
                      <w:color w:val="auto"/>
                      <w:kern w:val="2"/>
                      <w:sz w:val="21"/>
                      <w:szCs w:val="21"/>
                    </w:rPr>
                    <w:t>）</w:t>
                  </w:r>
                </w:p>
              </w:tc>
              <w:tc>
                <w:tcPr>
                  <w:tcW w:w="824" w:type="dxa"/>
                  <w:vMerge w:val="continue"/>
                  <w:vAlign w:val="center"/>
                </w:tcPr>
                <w:p w14:paraId="30D6FCBD">
                  <w:pPr>
                    <w:autoSpaceDE w:val="0"/>
                    <w:autoSpaceDN w:val="0"/>
                    <w:jc w:val="center"/>
                    <w:rPr>
                      <w:color w:val="auto"/>
                      <w:sz w:val="21"/>
                      <w:szCs w:val="21"/>
                    </w:rPr>
                  </w:pPr>
                </w:p>
              </w:tc>
            </w:tr>
            <w:tr w14:paraId="69D17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97" w:type="dxa"/>
                  <w:vAlign w:val="center"/>
                </w:tcPr>
                <w:p w14:paraId="1A2CB5B3">
                  <w:pPr>
                    <w:pStyle w:val="102"/>
                    <w:jc w:val="center"/>
                    <w:rPr>
                      <w:rFonts w:ascii="Times New Roman" w:hAnsi="Times New Roman"/>
                      <w:color w:val="auto"/>
                      <w:w w:val="99"/>
                      <w:kern w:val="2"/>
                      <w:sz w:val="21"/>
                      <w:szCs w:val="21"/>
                      <w:lang w:eastAsia="zh-CN"/>
                    </w:rPr>
                  </w:pPr>
                  <w:r>
                    <w:rPr>
                      <w:rFonts w:hint="eastAsia" w:ascii="Times New Roman" w:hAnsi="Times New Roman"/>
                      <w:color w:val="auto"/>
                      <w:w w:val="99"/>
                      <w:kern w:val="2"/>
                      <w:sz w:val="21"/>
                      <w:szCs w:val="21"/>
                      <w:lang w:eastAsia="zh-CN"/>
                    </w:rPr>
                    <w:t>1</w:t>
                  </w:r>
                </w:p>
              </w:tc>
              <w:tc>
                <w:tcPr>
                  <w:tcW w:w="1045" w:type="dxa"/>
                  <w:vAlign w:val="center"/>
                </w:tcPr>
                <w:p w14:paraId="5857856D">
                  <w:pPr>
                    <w:adjustRightInd w:val="0"/>
                    <w:snapToGrid w:val="0"/>
                    <w:jc w:val="center"/>
                    <w:rPr>
                      <w:color w:val="auto"/>
                      <w:sz w:val="21"/>
                      <w:szCs w:val="21"/>
                    </w:rPr>
                  </w:pPr>
                  <w:r>
                    <w:rPr>
                      <w:rFonts w:hint="eastAsia"/>
                      <w:color w:val="auto"/>
                      <w:sz w:val="21"/>
                      <w:szCs w:val="21"/>
                    </w:rPr>
                    <w:t>未被集气罩收集的颗粒物</w:t>
                  </w:r>
                </w:p>
              </w:tc>
              <w:tc>
                <w:tcPr>
                  <w:tcW w:w="818" w:type="dxa"/>
                  <w:vAlign w:val="center"/>
                </w:tcPr>
                <w:p w14:paraId="77E2C45B">
                  <w:pPr>
                    <w:jc w:val="center"/>
                    <w:rPr>
                      <w:color w:val="auto"/>
                      <w:sz w:val="21"/>
                      <w:szCs w:val="21"/>
                    </w:rPr>
                  </w:pPr>
                  <w:r>
                    <w:rPr>
                      <w:rFonts w:hint="eastAsia"/>
                      <w:color w:val="auto"/>
                      <w:sz w:val="21"/>
                      <w:szCs w:val="21"/>
                    </w:rPr>
                    <w:t>颗粒物</w:t>
                  </w:r>
                </w:p>
              </w:tc>
              <w:tc>
                <w:tcPr>
                  <w:tcW w:w="1557" w:type="dxa"/>
                  <w:vAlign w:val="center"/>
                </w:tcPr>
                <w:p w14:paraId="3BD4CA3C">
                  <w:pPr>
                    <w:jc w:val="center"/>
                    <w:rPr>
                      <w:rFonts w:hint="default" w:eastAsia="宋体"/>
                      <w:color w:val="auto"/>
                      <w:sz w:val="21"/>
                      <w:szCs w:val="21"/>
                      <w:lang w:val="en-US" w:eastAsia="zh-CN"/>
                    </w:rPr>
                  </w:pPr>
                  <w:r>
                    <w:rPr>
                      <w:rFonts w:hint="eastAsia"/>
                      <w:color w:val="auto"/>
                      <w:sz w:val="21"/>
                      <w:szCs w:val="21"/>
                      <w:lang w:val="en-US" w:eastAsia="zh-CN"/>
                    </w:rPr>
                    <w:t>在车间内沉降</w:t>
                  </w:r>
                </w:p>
              </w:tc>
              <w:tc>
                <w:tcPr>
                  <w:tcW w:w="1737" w:type="dxa"/>
                  <w:vMerge w:val="restart"/>
                  <w:vAlign w:val="center"/>
                </w:tcPr>
                <w:p w14:paraId="3EEB5BC8">
                  <w:pPr>
                    <w:pStyle w:val="102"/>
                    <w:jc w:val="center"/>
                    <w:rPr>
                      <w:rFonts w:ascii="Times New Roman" w:hAnsi="Times New Roman"/>
                      <w:color w:val="auto"/>
                      <w:kern w:val="2"/>
                      <w:sz w:val="21"/>
                      <w:szCs w:val="21"/>
                      <w:lang w:eastAsia="zh-CN"/>
                    </w:rPr>
                  </w:pPr>
                  <w:r>
                    <w:rPr>
                      <w:rFonts w:ascii="Times New Roman" w:hAnsi="Times New Roman"/>
                      <w:bCs/>
                      <w:color w:val="auto"/>
                      <w:kern w:val="2"/>
                      <w:sz w:val="21"/>
                      <w:szCs w:val="21"/>
                      <w:lang w:eastAsia="zh-CN"/>
                    </w:rPr>
                    <w:t>《大气污染物综合排放标准》（GB16297-1996）</w:t>
                  </w:r>
                </w:p>
              </w:tc>
              <w:tc>
                <w:tcPr>
                  <w:tcW w:w="1305" w:type="dxa"/>
                  <w:vAlign w:val="center"/>
                </w:tcPr>
                <w:p w14:paraId="1CF7F342">
                  <w:pPr>
                    <w:pStyle w:val="102"/>
                    <w:jc w:val="center"/>
                    <w:rPr>
                      <w:rFonts w:ascii="Times New Roman" w:hAnsi="Times New Roman"/>
                      <w:color w:val="auto"/>
                      <w:kern w:val="2"/>
                      <w:sz w:val="21"/>
                      <w:szCs w:val="21"/>
                      <w:lang w:eastAsia="zh-CN"/>
                    </w:rPr>
                  </w:pPr>
                  <w:r>
                    <w:rPr>
                      <w:rFonts w:hint="eastAsia" w:ascii="Times New Roman" w:hAnsi="Times New Roman"/>
                      <w:color w:val="auto"/>
                      <w:kern w:val="2"/>
                      <w:sz w:val="21"/>
                      <w:szCs w:val="21"/>
                      <w:lang w:eastAsia="zh-CN"/>
                    </w:rPr>
                    <w:t>1.0</w:t>
                  </w:r>
                </w:p>
              </w:tc>
              <w:tc>
                <w:tcPr>
                  <w:tcW w:w="824" w:type="dxa"/>
                  <w:vAlign w:val="center"/>
                </w:tcPr>
                <w:p w14:paraId="1A2F7130">
                  <w:pPr>
                    <w:widowControl/>
                    <w:jc w:val="center"/>
                    <w:rPr>
                      <w:rFonts w:hint="default" w:eastAsia="宋体"/>
                      <w:color w:val="auto"/>
                      <w:sz w:val="21"/>
                      <w:szCs w:val="21"/>
                      <w:lang w:val="en-US" w:eastAsia="zh-CN"/>
                    </w:rPr>
                  </w:pPr>
                  <w:r>
                    <w:rPr>
                      <w:rFonts w:hint="eastAsia"/>
                      <w:color w:val="auto"/>
                      <w:sz w:val="21"/>
                      <w:szCs w:val="21"/>
                      <w:lang w:val="en-US" w:eastAsia="zh-CN"/>
                    </w:rPr>
                    <w:t>0.875</w:t>
                  </w:r>
                </w:p>
              </w:tc>
            </w:tr>
            <w:tr w14:paraId="444DFD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97" w:type="dxa"/>
                  <w:vAlign w:val="center"/>
                </w:tcPr>
                <w:p w14:paraId="1A210BD2">
                  <w:pPr>
                    <w:pStyle w:val="102"/>
                    <w:jc w:val="center"/>
                    <w:rPr>
                      <w:rFonts w:hint="default" w:ascii="Times New Roman" w:hAnsi="Times New Roman"/>
                      <w:color w:val="auto"/>
                      <w:w w:val="99"/>
                      <w:kern w:val="2"/>
                      <w:sz w:val="21"/>
                      <w:szCs w:val="21"/>
                      <w:lang w:val="en-US" w:eastAsia="zh-CN"/>
                    </w:rPr>
                  </w:pPr>
                  <w:r>
                    <w:rPr>
                      <w:rFonts w:hint="eastAsia" w:ascii="Times New Roman" w:hAnsi="Times New Roman"/>
                      <w:color w:val="auto"/>
                      <w:w w:val="99"/>
                      <w:kern w:val="2"/>
                      <w:sz w:val="21"/>
                      <w:szCs w:val="21"/>
                      <w:lang w:val="en-US" w:eastAsia="zh-CN"/>
                    </w:rPr>
                    <w:t>2</w:t>
                  </w:r>
                </w:p>
              </w:tc>
              <w:tc>
                <w:tcPr>
                  <w:tcW w:w="1045" w:type="dxa"/>
                  <w:vAlign w:val="center"/>
                </w:tcPr>
                <w:p w14:paraId="0CB85790">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装载机压碎电石渣粉尘</w:t>
                  </w:r>
                </w:p>
              </w:tc>
              <w:tc>
                <w:tcPr>
                  <w:tcW w:w="818" w:type="dxa"/>
                  <w:vAlign w:val="center"/>
                </w:tcPr>
                <w:p w14:paraId="719794AE">
                  <w:pPr>
                    <w:jc w:val="center"/>
                    <w:rPr>
                      <w:rFonts w:hint="eastAsia" w:eastAsia="宋体"/>
                      <w:color w:val="auto"/>
                      <w:sz w:val="21"/>
                      <w:szCs w:val="21"/>
                      <w:lang w:val="en-US" w:eastAsia="zh-CN"/>
                    </w:rPr>
                  </w:pPr>
                  <w:r>
                    <w:rPr>
                      <w:rFonts w:hint="eastAsia"/>
                      <w:color w:val="auto"/>
                      <w:sz w:val="21"/>
                      <w:szCs w:val="21"/>
                      <w:lang w:val="en-US" w:eastAsia="zh-CN"/>
                    </w:rPr>
                    <w:t>颗粒物</w:t>
                  </w:r>
                </w:p>
              </w:tc>
              <w:tc>
                <w:tcPr>
                  <w:tcW w:w="1557" w:type="dxa"/>
                  <w:vAlign w:val="center"/>
                </w:tcPr>
                <w:p w14:paraId="4911AFA2">
                  <w:pPr>
                    <w:jc w:val="center"/>
                    <w:rPr>
                      <w:rFonts w:hint="default"/>
                      <w:color w:val="auto"/>
                      <w:sz w:val="21"/>
                      <w:szCs w:val="21"/>
                      <w:lang w:val="en-US" w:eastAsia="zh-CN"/>
                    </w:rPr>
                  </w:pPr>
                  <w:r>
                    <w:rPr>
                      <w:rFonts w:hint="eastAsia"/>
                      <w:color w:val="auto"/>
                      <w:sz w:val="21"/>
                      <w:szCs w:val="21"/>
                      <w:lang w:val="en-US" w:eastAsia="zh-CN"/>
                    </w:rPr>
                    <w:t>在车间内沉降</w:t>
                  </w:r>
                </w:p>
              </w:tc>
              <w:tc>
                <w:tcPr>
                  <w:tcW w:w="1737" w:type="dxa"/>
                  <w:vMerge w:val="continue"/>
                  <w:vAlign w:val="center"/>
                </w:tcPr>
                <w:p w14:paraId="667C9190">
                  <w:pPr>
                    <w:pStyle w:val="102"/>
                    <w:jc w:val="center"/>
                    <w:rPr>
                      <w:rFonts w:ascii="Times New Roman" w:hAnsi="Times New Roman"/>
                      <w:bCs/>
                      <w:color w:val="auto"/>
                      <w:kern w:val="2"/>
                      <w:sz w:val="21"/>
                      <w:szCs w:val="21"/>
                      <w:lang w:eastAsia="zh-CN"/>
                    </w:rPr>
                  </w:pPr>
                </w:p>
              </w:tc>
              <w:tc>
                <w:tcPr>
                  <w:tcW w:w="1305" w:type="dxa"/>
                  <w:vAlign w:val="center"/>
                </w:tcPr>
                <w:p w14:paraId="2EB51261">
                  <w:pPr>
                    <w:pStyle w:val="102"/>
                    <w:jc w:val="center"/>
                    <w:rPr>
                      <w:rFonts w:hint="default" w:ascii="Times New Roman" w:hAnsi="Times New Roman"/>
                      <w:color w:val="auto"/>
                      <w:kern w:val="2"/>
                      <w:sz w:val="21"/>
                      <w:szCs w:val="21"/>
                      <w:lang w:val="en-US" w:eastAsia="zh-CN"/>
                    </w:rPr>
                  </w:pPr>
                  <w:r>
                    <w:rPr>
                      <w:rFonts w:hint="eastAsia" w:ascii="Times New Roman" w:hAnsi="Times New Roman"/>
                      <w:color w:val="auto"/>
                      <w:kern w:val="2"/>
                      <w:sz w:val="21"/>
                      <w:szCs w:val="21"/>
                      <w:lang w:val="en-US" w:eastAsia="zh-CN"/>
                    </w:rPr>
                    <w:t>1.0</w:t>
                  </w:r>
                </w:p>
              </w:tc>
              <w:tc>
                <w:tcPr>
                  <w:tcW w:w="824" w:type="dxa"/>
                  <w:vAlign w:val="center"/>
                </w:tcPr>
                <w:p w14:paraId="24C27E64">
                  <w:pPr>
                    <w:widowControl/>
                    <w:jc w:val="center"/>
                    <w:rPr>
                      <w:rFonts w:hint="default"/>
                      <w:color w:val="auto"/>
                      <w:sz w:val="21"/>
                      <w:szCs w:val="21"/>
                      <w:lang w:val="en-US" w:eastAsia="zh-CN"/>
                    </w:rPr>
                  </w:pPr>
                  <w:r>
                    <w:rPr>
                      <w:rFonts w:hint="eastAsia"/>
                      <w:color w:val="auto"/>
                      <w:sz w:val="21"/>
                      <w:szCs w:val="21"/>
                      <w:lang w:val="en-US" w:eastAsia="zh-CN"/>
                    </w:rPr>
                    <w:t>0.0038</w:t>
                  </w:r>
                </w:p>
              </w:tc>
            </w:tr>
            <w:tr w14:paraId="71356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97" w:type="dxa"/>
                  <w:vAlign w:val="center"/>
                </w:tcPr>
                <w:p w14:paraId="2FFB09AC">
                  <w:pPr>
                    <w:pStyle w:val="102"/>
                    <w:jc w:val="center"/>
                    <w:rPr>
                      <w:rFonts w:hint="default" w:ascii="Times New Roman" w:hAnsi="Times New Roman"/>
                      <w:color w:val="auto"/>
                      <w:w w:val="99"/>
                      <w:kern w:val="2"/>
                      <w:sz w:val="21"/>
                      <w:szCs w:val="21"/>
                      <w:lang w:val="en-US" w:eastAsia="zh-CN"/>
                    </w:rPr>
                  </w:pPr>
                  <w:r>
                    <w:rPr>
                      <w:rFonts w:hint="eastAsia" w:ascii="Times New Roman" w:hAnsi="Times New Roman"/>
                      <w:color w:val="auto"/>
                      <w:w w:val="99"/>
                      <w:kern w:val="2"/>
                      <w:sz w:val="21"/>
                      <w:szCs w:val="21"/>
                      <w:lang w:val="en-US" w:eastAsia="zh-CN"/>
                    </w:rPr>
                    <w:t>3</w:t>
                  </w:r>
                </w:p>
              </w:tc>
              <w:tc>
                <w:tcPr>
                  <w:tcW w:w="1045" w:type="dxa"/>
                  <w:vAlign w:val="center"/>
                </w:tcPr>
                <w:p w14:paraId="2F627F1A">
                  <w:pPr>
                    <w:adjustRightInd w:val="0"/>
                    <w:snapToGrid w:val="0"/>
                    <w:jc w:val="center"/>
                    <w:rPr>
                      <w:rFonts w:hint="default"/>
                      <w:color w:val="auto"/>
                      <w:sz w:val="21"/>
                      <w:szCs w:val="21"/>
                      <w:lang w:val="en-US" w:eastAsia="zh-CN"/>
                    </w:rPr>
                  </w:pPr>
                  <w:r>
                    <w:rPr>
                      <w:rFonts w:hint="eastAsia"/>
                      <w:color w:val="auto"/>
                      <w:sz w:val="21"/>
                      <w:szCs w:val="21"/>
                      <w:lang w:val="en-US" w:eastAsia="zh-CN"/>
                    </w:rPr>
                    <w:t>搅拌</w:t>
                  </w:r>
                </w:p>
              </w:tc>
              <w:tc>
                <w:tcPr>
                  <w:tcW w:w="818" w:type="dxa"/>
                  <w:vAlign w:val="center"/>
                </w:tcPr>
                <w:p w14:paraId="4D8AA298">
                  <w:pPr>
                    <w:jc w:val="center"/>
                    <w:rPr>
                      <w:rFonts w:hint="eastAsia"/>
                      <w:color w:val="auto"/>
                      <w:sz w:val="21"/>
                      <w:szCs w:val="21"/>
                      <w:lang w:val="en-US" w:eastAsia="zh-CN"/>
                    </w:rPr>
                  </w:pPr>
                  <w:r>
                    <w:rPr>
                      <w:rFonts w:hint="eastAsia"/>
                      <w:color w:val="auto"/>
                      <w:sz w:val="21"/>
                      <w:szCs w:val="21"/>
                      <w:lang w:val="en-US" w:eastAsia="zh-CN"/>
                    </w:rPr>
                    <w:t>颗粒物</w:t>
                  </w:r>
                </w:p>
              </w:tc>
              <w:tc>
                <w:tcPr>
                  <w:tcW w:w="1557" w:type="dxa"/>
                  <w:vAlign w:val="center"/>
                </w:tcPr>
                <w:p w14:paraId="3942689A">
                  <w:pPr>
                    <w:jc w:val="center"/>
                    <w:rPr>
                      <w:rFonts w:hint="eastAsia"/>
                      <w:color w:val="auto"/>
                      <w:sz w:val="21"/>
                      <w:szCs w:val="21"/>
                      <w:lang w:val="en-US" w:eastAsia="zh-CN"/>
                    </w:rPr>
                  </w:pPr>
                  <w:r>
                    <w:rPr>
                      <w:rFonts w:hint="eastAsia"/>
                      <w:color w:val="auto"/>
                      <w:sz w:val="21"/>
                      <w:szCs w:val="21"/>
                    </w:rPr>
                    <w:t>整套双轴搅拌机设备机身为封闭式，下料口连接皮带输送系统</w:t>
                  </w:r>
                </w:p>
              </w:tc>
              <w:tc>
                <w:tcPr>
                  <w:tcW w:w="1737" w:type="dxa"/>
                  <w:vMerge w:val="continue"/>
                  <w:vAlign w:val="center"/>
                </w:tcPr>
                <w:p w14:paraId="7186AA05">
                  <w:pPr>
                    <w:pStyle w:val="102"/>
                    <w:jc w:val="center"/>
                    <w:rPr>
                      <w:rFonts w:ascii="Times New Roman" w:hAnsi="Times New Roman"/>
                      <w:bCs/>
                      <w:color w:val="auto"/>
                      <w:kern w:val="2"/>
                      <w:sz w:val="21"/>
                      <w:szCs w:val="21"/>
                      <w:lang w:eastAsia="zh-CN"/>
                    </w:rPr>
                  </w:pPr>
                </w:p>
              </w:tc>
              <w:tc>
                <w:tcPr>
                  <w:tcW w:w="1305" w:type="dxa"/>
                  <w:vAlign w:val="center"/>
                </w:tcPr>
                <w:p w14:paraId="7338FE11">
                  <w:pPr>
                    <w:pStyle w:val="102"/>
                    <w:jc w:val="center"/>
                    <w:rPr>
                      <w:rFonts w:hint="default" w:ascii="Times New Roman" w:hAnsi="Times New Roman"/>
                      <w:color w:val="auto"/>
                      <w:kern w:val="2"/>
                      <w:sz w:val="21"/>
                      <w:szCs w:val="21"/>
                      <w:lang w:val="en-US" w:eastAsia="zh-CN"/>
                    </w:rPr>
                  </w:pPr>
                  <w:r>
                    <w:rPr>
                      <w:rFonts w:hint="eastAsia" w:ascii="Times New Roman" w:hAnsi="Times New Roman"/>
                      <w:color w:val="auto"/>
                      <w:kern w:val="2"/>
                      <w:sz w:val="21"/>
                      <w:szCs w:val="21"/>
                      <w:lang w:val="en-US" w:eastAsia="zh-CN"/>
                    </w:rPr>
                    <w:t>1.0</w:t>
                  </w:r>
                </w:p>
              </w:tc>
              <w:tc>
                <w:tcPr>
                  <w:tcW w:w="824" w:type="dxa"/>
                  <w:vAlign w:val="center"/>
                </w:tcPr>
                <w:p w14:paraId="02A0E2D4">
                  <w:pPr>
                    <w:widowControl/>
                    <w:jc w:val="center"/>
                    <w:rPr>
                      <w:rFonts w:hint="default"/>
                      <w:color w:val="auto"/>
                      <w:sz w:val="21"/>
                      <w:szCs w:val="21"/>
                      <w:lang w:val="en-US" w:eastAsia="zh-CN"/>
                    </w:rPr>
                  </w:pPr>
                  <w:r>
                    <w:rPr>
                      <w:rFonts w:hint="eastAsia"/>
                      <w:color w:val="auto"/>
                      <w:sz w:val="21"/>
                      <w:szCs w:val="21"/>
                      <w:lang w:val="en-US" w:eastAsia="zh-CN"/>
                    </w:rPr>
                    <w:t>0</w:t>
                  </w:r>
                </w:p>
              </w:tc>
            </w:tr>
            <w:tr w14:paraId="398D05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97" w:type="dxa"/>
                  <w:vAlign w:val="center"/>
                </w:tcPr>
                <w:p w14:paraId="5927EB7E">
                  <w:pPr>
                    <w:pStyle w:val="102"/>
                    <w:jc w:val="center"/>
                    <w:rPr>
                      <w:rFonts w:hint="default" w:ascii="Times New Roman" w:hAnsi="Times New Roman"/>
                      <w:color w:val="auto"/>
                      <w:w w:val="99"/>
                      <w:kern w:val="2"/>
                      <w:sz w:val="21"/>
                      <w:szCs w:val="21"/>
                      <w:lang w:val="en-US" w:eastAsia="zh-CN"/>
                    </w:rPr>
                  </w:pPr>
                  <w:r>
                    <w:rPr>
                      <w:rFonts w:hint="eastAsia" w:ascii="Times New Roman" w:hAnsi="Times New Roman"/>
                      <w:color w:val="auto"/>
                      <w:w w:val="99"/>
                      <w:kern w:val="2"/>
                      <w:sz w:val="21"/>
                      <w:szCs w:val="21"/>
                      <w:lang w:val="en-US" w:eastAsia="zh-CN"/>
                    </w:rPr>
                    <w:t>4</w:t>
                  </w:r>
                </w:p>
              </w:tc>
              <w:tc>
                <w:tcPr>
                  <w:tcW w:w="1045" w:type="dxa"/>
                  <w:vAlign w:val="center"/>
                </w:tcPr>
                <w:p w14:paraId="156F0559">
                  <w:pPr>
                    <w:adjustRightInd w:val="0"/>
                    <w:snapToGrid w:val="0"/>
                    <w:jc w:val="center"/>
                    <w:rPr>
                      <w:rFonts w:hint="eastAsia"/>
                      <w:color w:val="auto"/>
                      <w:sz w:val="21"/>
                      <w:szCs w:val="21"/>
                      <w:lang w:val="en-US" w:eastAsia="zh-CN"/>
                    </w:rPr>
                  </w:pPr>
                  <w:r>
                    <w:rPr>
                      <w:rFonts w:hint="eastAsia"/>
                      <w:color w:val="auto"/>
                      <w:sz w:val="21"/>
                      <w:szCs w:val="21"/>
                    </w:rPr>
                    <w:t>皮带输送、计量</w:t>
                  </w:r>
                </w:p>
              </w:tc>
              <w:tc>
                <w:tcPr>
                  <w:tcW w:w="818" w:type="dxa"/>
                  <w:vAlign w:val="center"/>
                </w:tcPr>
                <w:p w14:paraId="377C4FB7">
                  <w:pPr>
                    <w:jc w:val="center"/>
                    <w:rPr>
                      <w:rFonts w:hint="eastAsia"/>
                      <w:color w:val="auto"/>
                      <w:sz w:val="21"/>
                      <w:szCs w:val="21"/>
                      <w:lang w:val="en-US" w:eastAsia="zh-CN"/>
                    </w:rPr>
                  </w:pPr>
                  <w:r>
                    <w:rPr>
                      <w:rFonts w:hint="eastAsia"/>
                      <w:color w:val="auto"/>
                      <w:sz w:val="21"/>
                      <w:szCs w:val="21"/>
                      <w:lang w:val="en-US" w:eastAsia="zh-CN"/>
                    </w:rPr>
                    <w:t>颗粒物</w:t>
                  </w:r>
                </w:p>
              </w:tc>
              <w:tc>
                <w:tcPr>
                  <w:tcW w:w="1557" w:type="dxa"/>
                  <w:vAlign w:val="center"/>
                </w:tcPr>
                <w:p w14:paraId="1C5F46A4">
                  <w:pPr>
                    <w:jc w:val="center"/>
                    <w:rPr>
                      <w:rFonts w:hint="eastAsia"/>
                      <w:color w:val="auto"/>
                      <w:sz w:val="21"/>
                      <w:szCs w:val="21"/>
                    </w:rPr>
                  </w:pPr>
                  <w:r>
                    <w:rPr>
                      <w:rFonts w:hint="eastAsia"/>
                      <w:color w:val="auto"/>
                      <w:sz w:val="21"/>
                      <w:szCs w:val="21"/>
                    </w:rPr>
                    <w:t>整套皮带运输、计量系统设备采取彩钢瓦全封闭状态</w:t>
                  </w:r>
                </w:p>
              </w:tc>
              <w:tc>
                <w:tcPr>
                  <w:tcW w:w="1737" w:type="dxa"/>
                  <w:vMerge w:val="continue"/>
                  <w:vAlign w:val="center"/>
                </w:tcPr>
                <w:p w14:paraId="2768656D">
                  <w:pPr>
                    <w:pStyle w:val="102"/>
                    <w:jc w:val="center"/>
                    <w:rPr>
                      <w:rFonts w:ascii="Times New Roman" w:hAnsi="Times New Roman"/>
                      <w:bCs/>
                      <w:color w:val="auto"/>
                      <w:kern w:val="2"/>
                      <w:sz w:val="21"/>
                      <w:szCs w:val="21"/>
                      <w:lang w:eastAsia="zh-CN"/>
                    </w:rPr>
                  </w:pPr>
                </w:p>
              </w:tc>
              <w:tc>
                <w:tcPr>
                  <w:tcW w:w="1305" w:type="dxa"/>
                  <w:vAlign w:val="center"/>
                </w:tcPr>
                <w:p w14:paraId="6EB39F40">
                  <w:pPr>
                    <w:pStyle w:val="102"/>
                    <w:jc w:val="center"/>
                    <w:rPr>
                      <w:rFonts w:hint="default" w:ascii="Times New Roman" w:hAnsi="Times New Roman"/>
                      <w:color w:val="auto"/>
                      <w:kern w:val="2"/>
                      <w:sz w:val="21"/>
                      <w:szCs w:val="21"/>
                      <w:lang w:val="en-US" w:eastAsia="zh-CN"/>
                    </w:rPr>
                  </w:pPr>
                  <w:r>
                    <w:rPr>
                      <w:rFonts w:hint="eastAsia" w:ascii="Times New Roman" w:hAnsi="Times New Roman"/>
                      <w:color w:val="auto"/>
                      <w:kern w:val="2"/>
                      <w:sz w:val="21"/>
                      <w:szCs w:val="21"/>
                      <w:lang w:val="en-US" w:eastAsia="zh-CN"/>
                    </w:rPr>
                    <w:t>1.0</w:t>
                  </w:r>
                </w:p>
              </w:tc>
              <w:tc>
                <w:tcPr>
                  <w:tcW w:w="824" w:type="dxa"/>
                  <w:vAlign w:val="center"/>
                </w:tcPr>
                <w:p w14:paraId="7116BE78">
                  <w:pPr>
                    <w:widowControl/>
                    <w:jc w:val="center"/>
                    <w:rPr>
                      <w:rFonts w:hint="default"/>
                      <w:color w:val="auto"/>
                      <w:sz w:val="21"/>
                      <w:szCs w:val="21"/>
                      <w:lang w:val="en-US" w:eastAsia="zh-CN"/>
                    </w:rPr>
                  </w:pPr>
                  <w:r>
                    <w:rPr>
                      <w:rFonts w:hint="eastAsia"/>
                      <w:color w:val="auto"/>
                      <w:sz w:val="21"/>
                      <w:szCs w:val="21"/>
                      <w:lang w:val="en-US" w:eastAsia="zh-CN"/>
                    </w:rPr>
                    <w:t>0.265</w:t>
                  </w:r>
                </w:p>
              </w:tc>
            </w:tr>
            <w:tr w14:paraId="01E38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97" w:type="dxa"/>
                  <w:vAlign w:val="center"/>
                </w:tcPr>
                <w:p w14:paraId="047F84E4">
                  <w:pPr>
                    <w:pStyle w:val="102"/>
                    <w:jc w:val="center"/>
                    <w:rPr>
                      <w:rFonts w:ascii="Times New Roman" w:hAnsi="Times New Roman"/>
                      <w:color w:val="auto"/>
                      <w:w w:val="99"/>
                      <w:kern w:val="2"/>
                      <w:sz w:val="21"/>
                      <w:szCs w:val="21"/>
                      <w:lang w:eastAsia="zh-CN"/>
                    </w:rPr>
                  </w:pPr>
                  <w:r>
                    <w:rPr>
                      <w:rFonts w:hint="eastAsia" w:ascii="Times New Roman" w:hAnsi="Times New Roman"/>
                      <w:color w:val="auto"/>
                      <w:w w:val="99"/>
                      <w:kern w:val="2"/>
                      <w:sz w:val="21"/>
                      <w:szCs w:val="21"/>
                      <w:lang w:val="en-US" w:eastAsia="zh-CN"/>
                    </w:rPr>
                    <w:t>5</w:t>
                  </w:r>
                </w:p>
              </w:tc>
              <w:tc>
                <w:tcPr>
                  <w:tcW w:w="1045" w:type="dxa"/>
                  <w:vAlign w:val="center"/>
                </w:tcPr>
                <w:p w14:paraId="0E67535E">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原料及成品堆场</w:t>
                  </w:r>
                </w:p>
              </w:tc>
              <w:tc>
                <w:tcPr>
                  <w:tcW w:w="818" w:type="dxa"/>
                  <w:vAlign w:val="center"/>
                </w:tcPr>
                <w:p w14:paraId="3D4DB1D6">
                  <w:pPr>
                    <w:jc w:val="center"/>
                    <w:rPr>
                      <w:color w:val="auto"/>
                      <w:sz w:val="21"/>
                      <w:szCs w:val="21"/>
                    </w:rPr>
                  </w:pPr>
                  <w:r>
                    <w:rPr>
                      <w:rFonts w:hint="eastAsia"/>
                      <w:color w:val="auto"/>
                      <w:sz w:val="21"/>
                      <w:szCs w:val="21"/>
                    </w:rPr>
                    <w:t>颗粒物</w:t>
                  </w:r>
                </w:p>
              </w:tc>
              <w:tc>
                <w:tcPr>
                  <w:tcW w:w="1557" w:type="dxa"/>
                  <w:vAlign w:val="center"/>
                </w:tcPr>
                <w:p w14:paraId="6C88DFC3">
                  <w:pPr>
                    <w:jc w:val="center"/>
                    <w:rPr>
                      <w:color w:val="auto"/>
                      <w:sz w:val="21"/>
                      <w:szCs w:val="21"/>
                    </w:rPr>
                  </w:pPr>
                  <w:r>
                    <w:rPr>
                      <w:rFonts w:hint="eastAsia" w:ascii="Times New Roman" w:hAnsi="Times New Roman" w:cs="Times New Roman"/>
                      <w:color w:val="auto"/>
                      <w:sz w:val="21"/>
                      <w:szCs w:val="21"/>
                      <w:lang w:val="en-US" w:eastAsia="zh-CN"/>
                    </w:rPr>
                    <w:t>物料入库，库房顶棚遮挡+三面围挡，物料编织覆盖</w:t>
                  </w:r>
                </w:p>
              </w:tc>
              <w:tc>
                <w:tcPr>
                  <w:tcW w:w="1737" w:type="dxa"/>
                  <w:vMerge w:val="continue"/>
                  <w:vAlign w:val="center"/>
                </w:tcPr>
                <w:p w14:paraId="4EA87A9A">
                  <w:pPr>
                    <w:pStyle w:val="102"/>
                    <w:jc w:val="center"/>
                    <w:rPr>
                      <w:rFonts w:ascii="Times New Roman" w:hAnsi="Times New Roman"/>
                      <w:color w:val="auto"/>
                      <w:kern w:val="2"/>
                      <w:sz w:val="21"/>
                      <w:szCs w:val="21"/>
                      <w:lang w:eastAsia="zh-CN"/>
                    </w:rPr>
                  </w:pPr>
                </w:p>
              </w:tc>
              <w:tc>
                <w:tcPr>
                  <w:tcW w:w="1305" w:type="dxa"/>
                  <w:vAlign w:val="center"/>
                </w:tcPr>
                <w:p w14:paraId="064EE54B">
                  <w:pPr>
                    <w:pStyle w:val="102"/>
                    <w:jc w:val="center"/>
                    <w:rPr>
                      <w:rFonts w:ascii="Times New Roman" w:hAnsi="Times New Roman"/>
                      <w:color w:val="auto"/>
                      <w:kern w:val="2"/>
                      <w:sz w:val="21"/>
                      <w:szCs w:val="21"/>
                      <w:lang w:eastAsia="zh-CN"/>
                    </w:rPr>
                  </w:pPr>
                  <w:r>
                    <w:rPr>
                      <w:rFonts w:hint="eastAsia" w:ascii="Times New Roman" w:hAnsi="Times New Roman"/>
                      <w:color w:val="auto"/>
                      <w:kern w:val="2"/>
                      <w:sz w:val="21"/>
                      <w:szCs w:val="21"/>
                      <w:lang w:eastAsia="zh-CN"/>
                    </w:rPr>
                    <w:t>1.0</w:t>
                  </w:r>
                </w:p>
              </w:tc>
              <w:tc>
                <w:tcPr>
                  <w:tcW w:w="824" w:type="dxa"/>
                  <w:vAlign w:val="center"/>
                </w:tcPr>
                <w:p w14:paraId="0998A95D">
                  <w:pPr>
                    <w:jc w:val="center"/>
                    <w:rPr>
                      <w:rFonts w:hint="default" w:eastAsia="宋体"/>
                      <w:color w:val="auto"/>
                      <w:sz w:val="21"/>
                      <w:szCs w:val="21"/>
                      <w:lang w:val="en-US" w:eastAsia="zh-CN"/>
                    </w:rPr>
                  </w:pPr>
                  <w:r>
                    <w:rPr>
                      <w:rFonts w:hint="eastAsia"/>
                      <w:color w:val="auto"/>
                      <w:sz w:val="21"/>
                      <w:szCs w:val="21"/>
                      <w:lang w:val="en-US" w:eastAsia="zh-CN"/>
                    </w:rPr>
                    <w:t>0.44</w:t>
                  </w:r>
                </w:p>
              </w:tc>
            </w:tr>
            <w:tr w14:paraId="786B9D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97" w:type="dxa"/>
                  <w:vAlign w:val="center"/>
                </w:tcPr>
                <w:p w14:paraId="694C66D9">
                  <w:pPr>
                    <w:jc w:val="center"/>
                    <w:rPr>
                      <w:rFonts w:hint="eastAsia" w:eastAsia="宋体"/>
                      <w:color w:val="auto"/>
                      <w:sz w:val="21"/>
                      <w:szCs w:val="21"/>
                      <w:lang w:eastAsia="zh-CN"/>
                    </w:rPr>
                  </w:pPr>
                  <w:r>
                    <w:rPr>
                      <w:rFonts w:hint="eastAsia"/>
                      <w:color w:val="auto"/>
                      <w:sz w:val="21"/>
                      <w:szCs w:val="21"/>
                      <w:lang w:val="en-US" w:eastAsia="zh-CN"/>
                    </w:rPr>
                    <w:t>6</w:t>
                  </w:r>
                </w:p>
              </w:tc>
              <w:tc>
                <w:tcPr>
                  <w:tcW w:w="1045" w:type="dxa"/>
                  <w:vAlign w:val="center"/>
                </w:tcPr>
                <w:p w14:paraId="0CB86182">
                  <w:pPr>
                    <w:jc w:val="center"/>
                    <w:rPr>
                      <w:color w:val="auto"/>
                      <w:sz w:val="21"/>
                      <w:szCs w:val="21"/>
                    </w:rPr>
                  </w:pPr>
                  <w:r>
                    <w:rPr>
                      <w:rFonts w:hint="eastAsia"/>
                      <w:color w:val="auto"/>
                      <w:sz w:val="21"/>
                      <w:szCs w:val="21"/>
                    </w:rPr>
                    <w:t>车辆运输扬尘</w:t>
                  </w:r>
                </w:p>
              </w:tc>
              <w:tc>
                <w:tcPr>
                  <w:tcW w:w="818" w:type="dxa"/>
                  <w:vAlign w:val="center"/>
                </w:tcPr>
                <w:p w14:paraId="2690433D">
                  <w:pPr>
                    <w:jc w:val="center"/>
                    <w:rPr>
                      <w:color w:val="auto"/>
                      <w:sz w:val="21"/>
                      <w:szCs w:val="21"/>
                    </w:rPr>
                  </w:pPr>
                  <w:r>
                    <w:rPr>
                      <w:rFonts w:hint="eastAsia"/>
                      <w:color w:val="auto"/>
                      <w:sz w:val="21"/>
                      <w:szCs w:val="21"/>
                    </w:rPr>
                    <w:t>颗粒物</w:t>
                  </w:r>
                </w:p>
              </w:tc>
              <w:tc>
                <w:tcPr>
                  <w:tcW w:w="1557" w:type="dxa"/>
                  <w:vAlign w:val="center"/>
                </w:tcPr>
                <w:p w14:paraId="09285938">
                  <w:pPr>
                    <w:widowControl/>
                    <w:jc w:val="center"/>
                    <w:rPr>
                      <w:color w:val="auto"/>
                      <w:sz w:val="21"/>
                      <w:szCs w:val="21"/>
                    </w:rPr>
                  </w:pPr>
                  <w:r>
                    <w:rPr>
                      <w:rFonts w:hint="eastAsia"/>
                      <w:color w:val="auto"/>
                      <w:sz w:val="21"/>
                      <w:szCs w:val="21"/>
                    </w:rPr>
                    <w:t>道路硬化、洒水降尘，覆盖运输</w:t>
                  </w:r>
                </w:p>
              </w:tc>
              <w:tc>
                <w:tcPr>
                  <w:tcW w:w="1737" w:type="dxa"/>
                  <w:vMerge w:val="continue"/>
                  <w:vAlign w:val="center"/>
                </w:tcPr>
                <w:p w14:paraId="13C45C72">
                  <w:pPr>
                    <w:pStyle w:val="102"/>
                    <w:jc w:val="center"/>
                    <w:rPr>
                      <w:rFonts w:ascii="Times New Roman" w:hAnsi="Times New Roman"/>
                      <w:color w:val="auto"/>
                      <w:kern w:val="2"/>
                      <w:sz w:val="21"/>
                      <w:szCs w:val="21"/>
                      <w:lang w:eastAsia="zh-CN"/>
                    </w:rPr>
                  </w:pPr>
                </w:p>
              </w:tc>
              <w:tc>
                <w:tcPr>
                  <w:tcW w:w="1305" w:type="dxa"/>
                  <w:vAlign w:val="center"/>
                </w:tcPr>
                <w:p w14:paraId="6B782145">
                  <w:pPr>
                    <w:pStyle w:val="102"/>
                    <w:jc w:val="center"/>
                    <w:rPr>
                      <w:rFonts w:ascii="Times New Roman" w:hAnsi="Times New Roman"/>
                      <w:color w:val="auto"/>
                      <w:kern w:val="2"/>
                      <w:sz w:val="21"/>
                      <w:szCs w:val="21"/>
                      <w:lang w:eastAsia="zh-CN"/>
                    </w:rPr>
                  </w:pPr>
                  <w:r>
                    <w:rPr>
                      <w:rFonts w:hint="eastAsia" w:ascii="Times New Roman" w:hAnsi="Times New Roman"/>
                      <w:color w:val="auto"/>
                      <w:kern w:val="2"/>
                      <w:sz w:val="21"/>
                      <w:szCs w:val="21"/>
                      <w:lang w:eastAsia="zh-CN"/>
                    </w:rPr>
                    <w:t>1.0</w:t>
                  </w:r>
                </w:p>
              </w:tc>
              <w:tc>
                <w:tcPr>
                  <w:tcW w:w="824" w:type="dxa"/>
                  <w:vAlign w:val="center"/>
                </w:tcPr>
                <w:p w14:paraId="193657CA">
                  <w:pPr>
                    <w:widowControl/>
                    <w:jc w:val="center"/>
                    <w:rPr>
                      <w:rFonts w:hint="default" w:eastAsia="宋体"/>
                      <w:color w:val="auto"/>
                      <w:sz w:val="21"/>
                      <w:szCs w:val="21"/>
                      <w:lang w:val="en-US" w:eastAsia="zh-CN"/>
                    </w:rPr>
                  </w:pPr>
                  <w:r>
                    <w:rPr>
                      <w:rFonts w:hint="eastAsia"/>
                      <w:color w:val="auto"/>
                      <w:sz w:val="21"/>
                      <w:szCs w:val="21"/>
                      <w:lang w:val="en-US" w:eastAsia="zh-CN"/>
                    </w:rPr>
                    <w:t>0.68</w:t>
                  </w:r>
                </w:p>
              </w:tc>
            </w:tr>
            <w:tr w14:paraId="62FDD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42" w:type="dxa"/>
                  <w:gridSpan w:val="2"/>
                  <w:vAlign w:val="center"/>
                </w:tcPr>
                <w:p w14:paraId="1181BD92">
                  <w:pPr>
                    <w:pStyle w:val="102"/>
                    <w:jc w:val="center"/>
                    <w:rPr>
                      <w:rFonts w:ascii="Times New Roman" w:hAnsi="Times New Roman"/>
                      <w:bCs/>
                      <w:color w:val="auto"/>
                      <w:kern w:val="2"/>
                      <w:sz w:val="21"/>
                      <w:szCs w:val="21"/>
                      <w:lang w:eastAsia="zh-CN"/>
                    </w:rPr>
                  </w:pPr>
                  <w:r>
                    <w:rPr>
                      <w:rFonts w:ascii="Times New Roman" w:hAnsi="Times New Roman"/>
                      <w:bCs/>
                      <w:color w:val="auto"/>
                      <w:kern w:val="2"/>
                      <w:sz w:val="21"/>
                      <w:szCs w:val="21"/>
                      <w:lang w:eastAsia="zh-CN"/>
                    </w:rPr>
                    <w:t>无组织排放总计（</w:t>
                  </w:r>
                  <w:r>
                    <w:rPr>
                      <w:rFonts w:hint="eastAsia" w:ascii="Times New Roman" w:hAnsi="Times New Roman"/>
                      <w:bCs/>
                      <w:color w:val="auto"/>
                      <w:kern w:val="2"/>
                      <w:sz w:val="21"/>
                      <w:szCs w:val="21"/>
                      <w:lang w:eastAsia="zh-CN"/>
                    </w:rPr>
                    <w:t>t</w:t>
                  </w:r>
                  <w:r>
                    <w:rPr>
                      <w:rFonts w:ascii="Times New Roman" w:hAnsi="Times New Roman"/>
                      <w:bCs/>
                      <w:color w:val="auto"/>
                      <w:kern w:val="2"/>
                      <w:sz w:val="21"/>
                      <w:szCs w:val="21"/>
                      <w:lang w:eastAsia="zh-CN"/>
                    </w:rPr>
                    <w:t>/a）</w:t>
                  </w:r>
                </w:p>
              </w:tc>
              <w:tc>
                <w:tcPr>
                  <w:tcW w:w="4112" w:type="dxa"/>
                  <w:gridSpan w:val="3"/>
                  <w:vAlign w:val="center"/>
                </w:tcPr>
                <w:p w14:paraId="793D8CF6">
                  <w:pPr>
                    <w:jc w:val="center"/>
                    <w:rPr>
                      <w:color w:val="auto"/>
                      <w:sz w:val="21"/>
                      <w:szCs w:val="21"/>
                    </w:rPr>
                  </w:pPr>
                  <w:r>
                    <w:rPr>
                      <w:rFonts w:hint="eastAsia"/>
                      <w:color w:val="auto"/>
                      <w:sz w:val="21"/>
                      <w:szCs w:val="21"/>
                    </w:rPr>
                    <w:t>颗粒物</w:t>
                  </w:r>
                </w:p>
              </w:tc>
              <w:tc>
                <w:tcPr>
                  <w:tcW w:w="2129" w:type="dxa"/>
                  <w:gridSpan w:val="2"/>
                  <w:vAlign w:val="center"/>
                </w:tcPr>
                <w:p w14:paraId="7DF8ED9B">
                  <w:pPr>
                    <w:widowControl/>
                    <w:jc w:val="center"/>
                    <w:rPr>
                      <w:rFonts w:hint="default" w:eastAsia="宋体"/>
                      <w:color w:val="auto"/>
                      <w:sz w:val="21"/>
                      <w:szCs w:val="21"/>
                      <w:lang w:val="en-US" w:eastAsia="zh-CN"/>
                    </w:rPr>
                  </w:pPr>
                  <w:r>
                    <w:rPr>
                      <w:rFonts w:hint="eastAsia"/>
                      <w:color w:val="auto"/>
                      <w:sz w:val="21"/>
                      <w:szCs w:val="21"/>
                      <w:lang w:val="en-US" w:eastAsia="zh-CN"/>
                    </w:rPr>
                    <w:t>2.2638</w:t>
                  </w:r>
                </w:p>
              </w:tc>
            </w:tr>
          </w:tbl>
          <w:p w14:paraId="0F256A1F">
            <w:pPr>
              <w:spacing w:line="360" w:lineRule="auto"/>
              <w:ind w:firstLine="480" w:firstLineChars="200"/>
              <w:rPr>
                <w:color w:val="auto"/>
                <w:sz w:val="24"/>
              </w:rPr>
            </w:pPr>
            <w:r>
              <w:rPr>
                <w:rFonts w:hint="eastAsia"/>
                <w:color w:val="auto"/>
                <w:sz w:val="24"/>
              </w:rPr>
              <w:t>项目大气污染物年排放情况见表4-</w:t>
            </w:r>
            <w:r>
              <w:rPr>
                <w:rFonts w:hint="eastAsia"/>
                <w:color w:val="auto"/>
                <w:sz w:val="24"/>
                <w:lang w:val="en-US" w:eastAsia="zh-CN"/>
              </w:rPr>
              <w:t>4</w:t>
            </w:r>
            <w:r>
              <w:rPr>
                <w:rFonts w:hint="eastAsia"/>
                <w:color w:val="auto"/>
                <w:sz w:val="24"/>
              </w:rPr>
              <w:t>。</w:t>
            </w:r>
          </w:p>
          <w:p w14:paraId="631A6A47">
            <w:pPr>
              <w:jc w:val="center"/>
              <w:rPr>
                <w:color w:val="auto"/>
                <w:sz w:val="24"/>
              </w:rPr>
            </w:pPr>
            <w:r>
              <w:rPr>
                <w:rFonts w:hint="eastAsia"/>
                <w:b/>
                <w:bCs/>
                <w:color w:val="auto"/>
                <w:sz w:val="24"/>
              </w:rPr>
              <w:t>表4-</w:t>
            </w:r>
            <w:r>
              <w:rPr>
                <w:rFonts w:hint="eastAsia"/>
                <w:b/>
                <w:bCs/>
                <w:color w:val="auto"/>
                <w:sz w:val="24"/>
                <w:lang w:val="en-US" w:eastAsia="zh-CN"/>
              </w:rPr>
              <w:t xml:space="preserve">4 </w:t>
            </w:r>
            <w:r>
              <w:rPr>
                <w:rFonts w:hint="eastAsia"/>
                <w:b/>
                <w:bCs/>
                <w:color w:val="auto"/>
                <w:sz w:val="24"/>
              </w:rPr>
              <w:t xml:space="preserve"> 大气污染物年排放量核算表</w:t>
            </w:r>
          </w:p>
          <w:tbl>
            <w:tblPr>
              <w:tblStyle w:val="45"/>
              <w:tblW w:w="8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8"/>
              <w:gridCol w:w="3681"/>
              <w:gridCol w:w="2745"/>
            </w:tblGrid>
            <w:tr w14:paraId="30B82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8" w:type="dxa"/>
                  <w:vAlign w:val="center"/>
                </w:tcPr>
                <w:p w14:paraId="53926DC9">
                  <w:pPr>
                    <w:jc w:val="center"/>
                    <w:rPr>
                      <w:color w:val="auto"/>
                      <w:sz w:val="21"/>
                      <w:szCs w:val="21"/>
                    </w:rPr>
                  </w:pPr>
                  <w:r>
                    <w:rPr>
                      <w:rFonts w:hint="eastAsia"/>
                      <w:color w:val="auto"/>
                      <w:sz w:val="21"/>
                      <w:szCs w:val="21"/>
                    </w:rPr>
                    <w:t>序号</w:t>
                  </w:r>
                </w:p>
              </w:tc>
              <w:tc>
                <w:tcPr>
                  <w:tcW w:w="3681" w:type="dxa"/>
                  <w:vAlign w:val="center"/>
                </w:tcPr>
                <w:p w14:paraId="05E5DBDD">
                  <w:pPr>
                    <w:jc w:val="center"/>
                    <w:rPr>
                      <w:color w:val="auto"/>
                      <w:sz w:val="21"/>
                      <w:szCs w:val="21"/>
                    </w:rPr>
                  </w:pPr>
                  <w:r>
                    <w:rPr>
                      <w:rFonts w:hint="eastAsia"/>
                      <w:color w:val="auto"/>
                      <w:sz w:val="21"/>
                      <w:szCs w:val="21"/>
                    </w:rPr>
                    <w:t>污染物</w:t>
                  </w:r>
                </w:p>
              </w:tc>
              <w:tc>
                <w:tcPr>
                  <w:tcW w:w="2745" w:type="dxa"/>
                  <w:vAlign w:val="center"/>
                </w:tcPr>
                <w:p w14:paraId="5BC88D07">
                  <w:pPr>
                    <w:jc w:val="center"/>
                    <w:rPr>
                      <w:color w:val="auto"/>
                      <w:sz w:val="21"/>
                      <w:szCs w:val="21"/>
                    </w:rPr>
                  </w:pPr>
                  <w:r>
                    <w:rPr>
                      <w:rFonts w:hint="eastAsia"/>
                      <w:color w:val="auto"/>
                      <w:sz w:val="21"/>
                      <w:szCs w:val="21"/>
                    </w:rPr>
                    <w:t>年排放量（t/a）</w:t>
                  </w:r>
                </w:p>
              </w:tc>
            </w:tr>
            <w:tr w14:paraId="7EF23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8" w:type="dxa"/>
                  <w:vAlign w:val="center"/>
                </w:tcPr>
                <w:p w14:paraId="3D7FA446">
                  <w:pPr>
                    <w:jc w:val="center"/>
                    <w:rPr>
                      <w:color w:val="auto"/>
                      <w:sz w:val="21"/>
                      <w:szCs w:val="21"/>
                    </w:rPr>
                  </w:pPr>
                  <w:r>
                    <w:rPr>
                      <w:rFonts w:hint="eastAsia"/>
                      <w:color w:val="auto"/>
                      <w:sz w:val="21"/>
                      <w:szCs w:val="21"/>
                    </w:rPr>
                    <w:t>1</w:t>
                  </w:r>
                </w:p>
              </w:tc>
              <w:tc>
                <w:tcPr>
                  <w:tcW w:w="3681" w:type="dxa"/>
                  <w:vAlign w:val="center"/>
                </w:tcPr>
                <w:p w14:paraId="4CA2526B">
                  <w:pPr>
                    <w:jc w:val="center"/>
                    <w:rPr>
                      <w:color w:val="auto"/>
                      <w:sz w:val="21"/>
                      <w:szCs w:val="21"/>
                    </w:rPr>
                  </w:pPr>
                  <w:r>
                    <w:rPr>
                      <w:rFonts w:hint="eastAsia"/>
                      <w:color w:val="auto"/>
                      <w:sz w:val="21"/>
                      <w:szCs w:val="21"/>
                    </w:rPr>
                    <w:t>有组织颗粒物</w:t>
                  </w:r>
                </w:p>
              </w:tc>
              <w:tc>
                <w:tcPr>
                  <w:tcW w:w="2745" w:type="dxa"/>
                  <w:vAlign w:val="center"/>
                </w:tcPr>
                <w:p w14:paraId="137540BE">
                  <w:pPr>
                    <w:jc w:val="center"/>
                    <w:rPr>
                      <w:rFonts w:hint="default" w:eastAsia="宋体"/>
                      <w:color w:val="auto"/>
                      <w:sz w:val="21"/>
                      <w:szCs w:val="21"/>
                      <w:lang w:val="en-US" w:eastAsia="zh-CN"/>
                    </w:rPr>
                  </w:pPr>
                  <w:r>
                    <w:rPr>
                      <w:rFonts w:hint="eastAsia"/>
                      <w:color w:val="auto"/>
                      <w:sz w:val="21"/>
                      <w:szCs w:val="21"/>
                      <w:lang w:val="en-US" w:eastAsia="zh-CN"/>
                    </w:rPr>
                    <w:t>0.083</w:t>
                  </w:r>
                </w:p>
              </w:tc>
            </w:tr>
            <w:tr w14:paraId="3B4E8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8" w:type="dxa"/>
                  <w:vAlign w:val="center"/>
                </w:tcPr>
                <w:p w14:paraId="2FF2F9FB">
                  <w:pPr>
                    <w:jc w:val="center"/>
                    <w:rPr>
                      <w:color w:val="auto"/>
                      <w:sz w:val="21"/>
                      <w:szCs w:val="21"/>
                    </w:rPr>
                  </w:pPr>
                  <w:r>
                    <w:rPr>
                      <w:rFonts w:hint="eastAsia"/>
                      <w:color w:val="auto"/>
                      <w:sz w:val="21"/>
                      <w:szCs w:val="21"/>
                    </w:rPr>
                    <w:t>2</w:t>
                  </w:r>
                </w:p>
              </w:tc>
              <w:tc>
                <w:tcPr>
                  <w:tcW w:w="3681" w:type="dxa"/>
                  <w:vAlign w:val="center"/>
                </w:tcPr>
                <w:p w14:paraId="38FD0CF1">
                  <w:pPr>
                    <w:jc w:val="center"/>
                    <w:rPr>
                      <w:color w:val="auto"/>
                      <w:sz w:val="21"/>
                      <w:szCs w:val="21"/>
                    </w:rPr>
                  </w:pPr>
                  <w:r>
                    <w:rPr>
                      <w:rFonts w:hint="eastAsia"/>
                      <w:color w:val="auto"/>
                      <w:sz w:val="21"/>
                      <w:szCs w:val="21"/>
                    </w:rPr>
                    <w:t>无组织颗粒物</w:t>
                  </w:r>
                </w:p>
              </w:tc>
              <w:tc>
                <w:tcPr>
                  <w:tcW w:w="2745" w:type="dxa"/>
                  <w:vAlign w:val="center"/>
                </w:tcPr>
                <w:p w14:paraId="061B3464">
                  <w:pPr>
                    <w:jc w:val="center"/>
                    <w:rPr>
                      <w:rFonts w:hint="default" w:eastAsia="宋体"/>
                      <w:color w:val="auto"/>
                      <w:sz w:val="21"/>
                      <w:szCs w:val="21"/>
                      <w:lang w:val="en-US" w:eastAsia="zh-CN"/>
                    </w:rPr>
                  </w:pPr>
                  <w:r>
                    <w:rPr>
                      <w:rFonts w:hint="eastAsia"/>
                      <w:color w:val="auto"/>
                      <w:sz w:val="21"/>
                      <w:szCs w:val="21"/>
                      <w:lang w:val="en-US" w:eastAsia="zh-CN"/>
                    </w:rPr>
                    <w:t>2.1808</w:t>
                  </w:r>
                </w:p>
              </w:tc>
            </w:tr>
            <w:tr w14:paraId="29581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89" w:type="dxa"/>
                  <w:gridSpan w:val="2"/>
                  <w:vAlign w:val="center"/>
                </w:tcPr>
                <w:p w14:paraId="25635DFE">
                  <w:pPr>
                    <w:jc w:val="center"/>
                    <w:rPr>
                      <w:color w:val="auto"/>
                      <w:sz w:val="21"/>
                      <w:szCs w:val="21"/>
                    </w:rPr>
                  </w:pPr>
                  <w:r>
                    <w:rPr>
                      <w:color w:val="auto"/>
                      <w:sz w:val="21"/>
                      <w:szCs w:val="21"/>
                    </w:rPr>
                    <w:t>合计</w:t>
                  </w:r>
                </w:p>
              </w:tc>
              <w:tc>
                <w:tcPr>
                  <w:tcW w:w="2745" w:type="dxa"/>
                  <w:vAlign w:val="center"/>
                </w:tcPr>
                <w:p w14:paraId="380034ED">
                  <w:pPr>
                    <w:jc w:val="center"/>
                    <w:rPr>
                      <w:rFonts w:hint="default" w:eastAsia="宋体"/>
                      <w:color w:val="auto"/>
                      <w:sz w:val="21"/>
                      <w:szCs w:val="21"/>
                      <w:lang w:val="en-US" w:eastAsia="zh-CN"/>
                    </w:rPr>
                  </w:pPr>
                  <w:r>
                    <w:rPr>
                      <w:rFonts w:hint="eastAsia"/>
                      <w:color w:val="auto"/>
                      <w:sz w:val="21"/>
                      <w:szCs w:val="21"/>
                      <w:lang w:val="en-US" w:eastAsia="zh-CN"/>
                    </w:rPr>
                    <w:t>2.2638</w:t>
                  </w:r>
                </w:p>
              </w:tc>
            </w:tr>
          </w:tbl>
          <w:p w14:paraId="1C27D93D">
            <w:pPr>
              <w:spacing w:before="120" w:beforeLines="50" w:line="360" w:lineRule="auto"/>
              <w:ind w:firstLine="482" w:firstLineChars="200"/>
              <w:rPr>
                <w:b/>
                <w:bCs/>
                <w:color w:val="auto"/>
                <w:sz w:val="24"/>
              </w:rPr>
            </w:pPr>
            <w:r>
              <w:rPr>
                <w:rFonts w:hint="eastAsia"/>
                <w:b/>
                <w:bCs/>
                <w:color w:val="auto"/>
                <w:sz w:val="24"/>
              </w:rPr>
              <w:t>1.3有组织废气达标排放分析</w:t>
            </w:r>
          </w:p>
          <w:p w14:paraId="596D7EB6">
            <w:pPr>
              <w:spacing w:line="360" w:lineRule="auto"/>
              <w:ind w:firstLine="480" w:firstLineChars="200"/>
              <w:rPr>
                <w:rFonts w:hAnsi="宋体"/>
                <w:color w:val="auto"/>
                <w:sz w:val="24"/>
              </w:rPr>
            </w:pPr>
            <w:r>
              <w:rPr>
                <w:rFonts w:hAnsi="宋体"/>
                <w:color w:val="auto"/>
                <w:sz w:val="24"/>
              </w:rPr>
              <w:t>根据表</w:t>
            </w:r>
            <w:r>
              <w:rPr>
                <w:rFonts w:hint="eastAsia" w:hAnsi="宋体"/>
                <w:color w:val="auto"/>
                <w:sz w:val="24"/>
              </w:rPr>
              <w:t>4-1，</w:t>
            </w:r>
            <w:r>
              <w:rPr>
                <w:rFonts w:hint="eastAsia"/>
                <w:color w:val="auto"/>
                <w:sz w:val="24"/>
                <w:lang w:val="en-US" w:eastAsia="zh-CN"/>
              </w:rPr>
              <w:t>项目在电石渣筛分机上方设置集气罩，</w:t>
            </w:r>
            <w:r>
              <w:rPr>
                <w:rFonts w:hint="eastAsia"/>
                <w:color w:val="auto"/>
                <w:sz w:val="24"/>
              </w:rPr>
              <w:t>生石灰筒仓产生的</w:t>
            </w:r>
            <w:r>
              <w:rPr>
                <w:rFonts w:hint="eastAsia"/>
                <w:color w:val="auto"/>
                <w:sz w:val="24"/>
                <w:lang w:val="en-US" w:eastAsia="zh-CN"/>
              </w:rPr>
              <w:t>粉尘经仓顶除尘器（处理效率为99%）处理后</w:t>
            </w:r>
            <w:r>
              <w:rPr>
                <w:rFonts w:hint="eastAsia"/>
                <w:bCs/>
                <w:color w:val="auto"/>
                <w:sz w:val="24"/>
              </w:rPr>
              <w:t>与</w:t>
            </w:r>
            <w:r>
              <w:rPr>
                <w:rFonts w:hint="eastAsia"/>
                <w:bCs/>
                <w:color w:val="auto"/>
                <w:sz w:val="24"/>
                <w:lang w:val="en-US" w:eastAsia="zh-CN"/>
              </w:rPr>
              <w:t>收集的电石渣筛分</w:t>
            </w:r>
            <w:r>
              <w:rPr>
                <w:rFonts w:hint="eastAsia"/>
                <w:bCs/>
                <w:color w:val="auto"/>
                <w:sz w:val="24"/>
              </w:rPr>
              <w:t>产生的粉尘一起进入一套布袋除尘器处理后，经15m高排气筒DA0</w:t>
            </w:r>
            <w:r>
              <w:rPr>
                <w:rFonts w:hint="eastAsia"/>
                <w:bCs/>
                <w:color w:val="auto"/>
                <w:sz w:val="24"/>
                <w:lang w:val="en-US" w:eastAsia="zh-CN"/>
              </w:rPr>
              <w:t>08</w:t>
            </w:r>
            <w:r>
              <w:rPr>
                <w:rFonts w:hint="eastAsia" w:hAnsi="宋体"/>
                <w:bCs/>
                <w:color w:val="auto"/>
                <w:sz w:val="24"/>
              </w:rPr>
              <w:t>（φ0.5m×15m）有组织排放</w:t>
            </w:r>
            <w:r>
              <w:rPr>
                <w:rFonts w:hint="eastAsia"/>
                <w:bCs/>
                <w:color w:val="auto"/>
                <w:sz w:val="24"/>
              </w:rPr>
              <w:t>。DA0</w:t>
            </w:r>
            <w:r>
              <w:rPr>
                <w:rFonts w:hint="eastAsia"/>
                <w:bCs/>
                <w:color w:val="auto"/>
                <w:sz w:val="24"/>
                <w:lang w:val="en-US" w:eastAsia="zh-CN"/>
              </w:rPr>
              <w:t>08</w:t>
            </w:r>
            <w:r>
              <w:rPr>
                <w:rFonts w:hint="eastAsia" w:hAnsi="宋体"/>
                <w:color w:val="auto"/>
                <w:sz w:val="24"/>
              </w:rPr>
              <w:t>的排放可达到《大气污染物综合排放标准》（</w:t>
            </w:r>
            <w:r>
              <w:rPr>
                <w:rFonts w:hAnsi="宋体"/>
                <w:color w:val="auto"/>
                <w:sz w:val="24"/>
              </w:rPr>
              <w:t>GB16297-1996</w:t>
            </w:r>
            <w:r>
              <w:rPr>
                <w:rFonts w:hint="eastAsia" w:hAnsi="宋体"/>
                <w:color w:val="auto"/>
                <w:sz w:val="24"/>
              </w:rPr>
              <w:t>）表</w:t>
            </w:r>
            <w:r>
              <w:rPr>
                <w:rFonts w:hAnsi="宋体"/>
                <w:color w:val="auto"/>
                <w:sz w:val="24"/>
              </w:rPr>
              <w:t>2</w:t>
            </w:r>
            <w:r>
              <w:rPr>
                <w:rFonts w:hint="eastAsia" w:hAnsi="宋体"/>
                <w:color w:val="auto"/>
                <w:sz w:val="24"/>
              </w:rPr>
              <w:t>中二级排放标准限值，即</w:t>
            </w:r>
            <w:r>
              <w:rPr>
                <w:rFonts w:hint="eastAsia"/>
                <w:color w:val="auto"/>
                <w:sz w:val="24"/>
              </w:rPr>
              <w:t>最高允许排放浓度≤120mg/m</w:t>
            </w:r>
            <w:r>
              <w:rPr>
                <w:rFonts w:hint="eastAsia"/>
                <w:color w:val="auto"/>
                <w:sz w:val="24"/>
                <w:vertAlign w:val="superscript"/>
              </w:rPr>
              <w:t>3</w:t>
            </w:r>
            <w:r>
              <w:rPr>
                <w:rFonts w:hint="eastAsia"/>
                <w:color w:val="auto"/>
                <w:sz w:val="24"/>
              </w:rPr>
              <w:t>，最高允许排放速率≤3.5kg/h</w:t>
            </w:r>
            <w:r>
              <w:rPr>
                <w:rFonts w:hint="eastAsia" w:hAnsi="宋体"/>
                <w:color w:val="auto"/>
                <w:sz w:val="24"/>
              </w:rPr>
              <w:t>。</w:t>
            </w:r>
          </w:p>
          <w:p w14:paraId="08FA6549">
            <w:pPr>
              <w:spacing w:line="360" w:lineRule="auto"/>
              <w:ind w:firstLine="480" w:firstLineChars="200"/>
              <w:rPr>
                <w:rFonts w:hint="eastAsia" w:hAnsi="宋体"/>
                <w:color w:val="auto"/>
                <w:sz w:val="24"/>
              </w:rPr>
            </w:pPr>
            <w:r>
              <w:rPr>
                <w:rFonts w:hint="eastAsia"/>
                <w:color w:val="auto"/>
                <w:sz w:val="24"/>
              </w:rPr>
              <w:t>综上所述，项目有组织废气均能达标排放，对周边环境影响较小。</w:t>
            </w:r>
          </w:p>
          <w:p w14:paraId="653FFA09">
            <w:pPr>
              <w:spacing w:line="360" w:lineRule="auto"/>
              <w:ind w:firstLine="482" w:firstLineChars="200"/>
              <w:rPr>
                <w:b/>
                <w:bCs/>
                <w:color w:val="auto"/>
                <w:sz w:val="24"/>
              </w:rPr>
            </w:pPr>
            <w:r>
              <w:rPr>
                <w:rFonts w:hint="eastAsia"/>
                <w:b/>
                <w:bCs/>
                <w:color w:val="auto"/>
                <w:sz w:val="24"/>
              </w:rPr>
              <w:t>1.4无组织废气达标排放分析</w:t>
            </w:r>
          </w:p>
          <w:p w14:paraId="6D5172FF">
            <w:pPr>
              <w:spacing w:line="360" w:lineRule="auto"/>
              <w:ind w:firstLine="480" w:firstLineChars="200"/>
              <w:rPr>
                <w:color w:val="auto"/>
                <w:sz w:val="24"/>
              </w:rPr>
            </w:pPr>
            <w:r>
              <w:rPr>
                <w:rFonts w:hint="eastAsia"/>
                <w:color w:val="auto"/>
                <w:sz w:val="24"/>
              </w:rPr>
              <w:t>根据《环境影响评价技术导则 大气环境》（</w:t>
            </w:r>
            <w:r>
              <w:rPr>
                <w:color w:val="auto"/>
                <w:sz w:val="24"/>
              </w:rPr>
              <w:t>HJ 2.2-2018</w:t>
            </w:r>
            <w:r>
              <w:rPr>
                <w:rFonts w:hint="eastAsia"/>
                <w:color w:val="auto"/>
                <w:sz w:val="24"/>
              </w:rPr>
              <w:t>），本次环评利用估算模式</w:t>
            </w:r>
            <w:r>
              <w:rPr>
                <w:color w:val="auto"/>
                <w:sz w:val="24"/>
              </w:rPr>
              <w:t>AERSCREEN</w:t>
            </w:r>
            <w:r>
              <w:rPr>
                <w:rFonts w:hint="eastAsia"/>
                <w:color w:val="auto"/>
                <w:sz w:val="24"/>
              </w:rPr>
              <w:t>对无组织排放进行预测</w:t>
            </w:r>
            <w:r>
              <w:rPr>
                <w:rFonts w:hint="eastAsia" w:ascii="Times New Roman" w:hAnsi="Times New Roman" w:eastAsia="宋体" w:cs="Times New Roman"/>
                <w:color w:val="auto"/>
                <w:sz w:val="24"/>
              </w:rPr>
              <w:t>，项目无组织排放的污染物最大地面落地浓度距源距离为源下风向</w:t>
            </w:r>
            <w:r>
              <w:rPr>
                <w:rFonts w:hint="eastAsia" w:ascii="Times New Roman" w:hAnsi="Times New Roman" w:eastAsia="宋体" w:cs="Times New Roman"/>
                <w:color w:val="auto"/>
                <w:sz w:val="24"/>
                <w:lang w:val="en-US" w:eastAsia="zh-CN"/>
              </w:rPr>
              <w:t>100</w:t>
            </w:r>
            <w:r>
              <w:rPr>
                <w:rFonts w:hint="eastAsia" w:ascii="Times New Roman" w:hAnsi="Times New Roman" w:eastAsia="宋体" w:cs="Times New Roman"/>
                <w:color w:val="auto"/>
                <w:sz w:val="24"/>
              </w:rPr>
              <w:t>m，无组织颗粒物最大落地浓度为0.</w:t>
            </w:r>
            <w:r>
              <w:rPr>
                <w:rFonts w:hint="eastAsia" w:ascii="Times New Roman" w:hAnsi="Times New Roman" w:eastAsia="宋体" w:cs="Times New Roman"/>
                <w:color w:val="auto"/>
                <w:sz w:val="24"/>
                <w:lang w:val="en-US" w:eastAsia="zh-CN"/>
              </w:rPr>
              <w:t>1368</w:t>
            </w:r>
            <w:r>
              <w:rPr>
                <w:rFonts w:hint="eastAsia" w:ascii="Times New Roman" w:hAnsi="Times New Roman" w:eastAsia="宋体" w:cs="Times New Roman"/>
                <w:color w:val="auto"/>
                <w:sz w:val="24"/>
              </w:rPr>
              <w:t>mg/m</w:t>
            </w:r>
            <w:r>
              <w:rPr>
                <w:rFonts w:hint="eastAsia" w:ascii="Times New Roman" w:hAnsi="Times New Roman" w:eastAsia="宋体" w:cs="Times New Roman"/>
                <w:color w:val="auto"/>
                <w:sz w:val="24"/>
                <w:vertAlign w:val="superscript"/>
              </w:rPr>
              <w:t>3</w:t>
            </w:r>
            <w:r>
              <w:rPr>
                <w:rFonts w:hint="eastAsia" w:ascii="Times New Roman" w:hAnsi="Times New Roman" w:eastAsia="宋体" w:cs="Times New Roman"/>
                <w:color w:val="auto"/>
                <w:sz w:val="24"/>
              </w:rPr>
              <w:t>，占标率为</w:t>
            </w:r>
            <w:r>
              <w:rPr>
                <w:rFonts w:hint="eastAsia" w:ascii="Times New Roman" w:hAnsi="Times New Roman" w:eastAsia="宋体" w:cs="Times New Roman"/>
                <w:color w:val="auto"/>
                <w:sz w:val="24"/>
                <w:lang w:val="en-US" w:eastAsia="zh-CN"/>
              </w:rPr>
              <w:t>15.2</w:t>
            </w:r>
            <w:r>
              <w:rPr>
                <w:rFonts w:hint="eastAsia"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w:t>
            </w:r>
            <w:r>
              <w:rPr>
                <w:rFonts w:hint="eastAsia"/>
                <w:color w:val="auto"/>
                <w:sz w:val="24"/>
              </w:rPr>
              <w:t>项目厂界无组织排放的颗粒物满足《大气污染物综合排放标准》</w:t>
            </w:r>
            <w:r>
              <w:rPr>
                <w:color w:val="auto"/>
                <w:sz w:val="24"/>
              </w:rPr>
              <w:t>(GB16297-1996)</w:t>
            </w:r>
            <w:r>
              <w:rPr>
                <w:rFonts w:hint="eastAsia"/>
                <w:color w:val="auto"/>
                <w:sz w:val="24"/>
              </w:rPr>
              <w:t>表</w:t>
            </w:r>
            <w:r>
              <w:rPr>
                <w:color w:val="auto"/>
                <w:sz w:val="24"/>
              </w:rPr>
              <w:t>2</w:t>
            </w:r>
            <w:r>
              <w:rPr>
                <w:rFonts w:hint="eastAsia"/>
                <w:color w:val="auto"/>
                <w:sz w:val="24"/>
              </w:rPr>
              <w:t>新污染源大气污染物二级无组织排放监控浓度限值，即：颗粒物</w:t>
            </w:r>
            <w:r>
              <w:rPr>
                <w:color w:val="auto"/>
                <w:sz w:val="24"/>
              </w:rPr>
              <w:t>≤1.0mg/m</w:t>
            </w:r>
            <w:r>
              <w:rPr>
                <w:color w:val="auto"/>
                <w:sz w:val="24"/>
                <w:vertAlign w:val="superscript"/>
              </w:rPr>
              <w:t>3</w:t>
            </w:r>
            <w:r>
              <w:rPr>
                <w:rFonts w:hint="eastAsia"/>
                <w:color w:val="auto"/>
                <w:sz w:val="24"/>
              </w:rPr>
              <w:t>。</w:t>
            </w:r>
          </w:p>
          <w:p w14:paraId="3F388406">
            <w:pPr>
              <w:spacing w:line="360" w:lineRule="auto"/>
              <w:ind w:firstLine="482" w:firstLineChars="200"/>
              <w:rPr>
                <w:rFonts w:hAnsi="宋体"/>
                <w:b/>
                <w:bCs/>
                <w:color w:val="auto"/>
                <w:sz w:val="24"/>
              </w:rPr>
            </w:pPr>
            <w:r>
              <w:rPr>
                <w:rFonts w:hint="eastAsia" w:hAnsi="宋体"/>
                <w:b/>
                <w:bCs/>
                <w:color w:val="auto"/>
                <w:sz w:val="24"/>
              </w:rPr>
              <w:t>1.5废气处理措施可行性分析</w:t>
            </w:r>
          </w:p>
          <w:p w14:paraId="22EE09F8">
            <w:pPr>
              <w:spacing w:line="360" w:lineRule="auto"/>
              <w:ind w:firstLine="480" w:firstLineChars="200"/>
              <w:rPr>
                <w:rFonts w:hAnsi="宋体"/>
                <w:color w:val="auto"/>
                <w:sz w:val="24"/>
              </w:rPr>
            </w:pPr>
            <w:r>
              <w:rPr>
                <w:rFonts w:hint="eastAsia" w:hAnsi="宋体"/>
                <w:color w:val="auto"/>
                <w:sz w:val="24"/>
              </w:rPr>
              <w:t>（1）有组织排放</w:t>
            </w:r>
          </w:p>
          <w:p w14:paraId="2E2FCA62">
            <w:pPr>
              <w:spacing w:line="360" w:lineRule="auto"/>
              <w:ind w:firstLine="480" w:firstLineChars="200"/>
              <w:rPr>
                <w:rFonts w:hAnsi="宋体"/>
                <w:color w:val="auto"/>
                <w:sz w:val="24"/>
                <w:highlight w:val="yellow"/>
              </w:rPr>
            </w:pPr>
            <w:r>
              <w:rPr>
                <w:rFonts w:hint="eastAsia"/>
                <w:color w:val="auto"/>
                <w:sz w:val="24"/>
                <w:lang w:val="en-US" w:eastAsia="zh-CN"/>
              </w:rPr>
              <w:t>项目在电石渣筛分机上方设置集气罩，</w:t>
            </w:r>
            <w:r>
              <w:rPr>
                <w:rFonts w:hint="eastAsia"/>
                <w:color w:val="auto"/>
                <w:sz w:val="24"/>
              </w:rPr>
              <w:t>生石灰筒仓产生的</w:t>
            </w:r>
            <w:r>
              <w:rPr>
                <w:rFonts w:hint="eastAsia"/>
                <w:color w:val="auto"/>
                <w:sz w:val="24"/>
                <w:lang w:val="en-US" w:eastAsia="zh-CN"/>
              </w:rPr>
              <w:t>粉尘经仓顶除尘器（处理效率为99%）处理后</w:t>
            </w:r>
            <w:r>
              <w:rPr>
                <w:rFonts w:hint="eastAsia"/>
                <w:bCs/>
                <w:color w:val="auto"/>
                <w:sz w:val="24"/>
              </w:rPr>
              <w:t>与</w:t>
            </w:r>
            <w:r>
              <w:rPr>
                <w:rFonts w:hint="eastAsia"/>
                <w:bCs/>
                <w:color w:val="auto"/>
                <w:sz w:val="24"/>
                <w:lang w:val="en-US" w:eastAsia="zh-CN"/>
              </w:rPr>
              <w:t>收集的电石渣筛分</w:t>
            </w:r>
            <w:r>
              <w:rPr>
                <w:rFonts w:hint="eastAsia"/>
                <w:bCs/>
                <w:color w:val="auto"/>
                <w:sz w:val="24"/>
              </w:rPr>
              <w:t>产生的粉尘一起进入一套布袋除尘器处理后，经15m高排气筒DA0</w:t>
            </w:r>
            <w:r>
              <w:rPr>
                <w:rFonts w:hint="eastAsia"/>
                <w:bCs/>
                <w:color w:val="auto"/>
                <w:sz w:val="24"/>
                <w:lang w:val="en-US" w:eastAsia="zh-CN"/>
              </w:rPr>
              <w:t>08</w:t>
            </w:r>
            <w:r>
              <w:rPr>
                <w:rFonts w:hint="eastAsia" w:hAnsi="宋体"/>
                <w:bCs/>
                <w:color w:val="auto"/>
                <w:sz w:val="24"/>
              </w:rPr>
              <w:t>（φ0.5m×15m）有组织排放</w:t>
            </w:r>
            <w:r>
              <w:rPr>
                <w:rFonts w:hint="eastAsia"/>
                <w:bCs/>
                <w:color w:val="auto"/>
                <w:sz w:val="24"/>
              </w:rPr>
              <w:t>。</w:t>
            </w:r>
          </w:p>
          <w:p w14:paraId="4B9C7A10">
            <w:pPr>
              <w:spacing w:line="360" w:lineRule="auto"/>
              <w:ind w:firstLine="480" w:firstLineChars="200"/>
              <w:rPr>
                <w:rFonts w:hAnsi="宋体"/>
                <w:color w:val="auto"/>
                <w:sz w:val="24"/>
              </w:rPr>
            </w:pPr>
            <w:r>
              <w:rPr>
                <w:rFonts w:hint="eastAsia" w:hAnsi="宋体"/>
                <w:color w:val="auto"/>
                <w:sz w:val="24"/>
              </w:rPr>
              <w:t>根据《排污许可证申请与核发技术规范  工业固体废物和危险废物治理》（HJ 1033—2019）和《环境空气细颗粒物污染综合防治技术政策》，布袋除尘器技术可行。且DA016和DA017的排放可达到《大气污染物综合排放标准》（</w:t>
            </w:r>
            <w:r>
              <w:rPr>
                <w:rFonts w:hAnsi="宋体"/>
                <w:color w:val="auto"/>
                <w:sz w:val="24"/>
              </w:rPr>
              <w:t>GB16297-1996</w:t>
            </w:r>
            <w:r>
              <w:rPr>
                <w:rFonts w:hint="eastAsia" w:hAnsi="宋体"/>
                <w:color w:val="auto"/>
                <w:sz w:val="24"/>
              </w:rPr>
              <w:t>）表</w:t>
            </w:r>
            <w:r>
              <w:rPr>
                <w:rFonts w:hAnsi="宋体"/>
                <w:color w:val="auto"/>
                <w:sz w:val="24"/>
              </w:rPr>
              <w:t>2</w:t>
            </w:r>
            <w:r>
              <w:rPr>
                <w:rFonts w:hint="eastAsia" w:hAnsi="宋体"/>
                <w:color w:val="auto"/>
                <w:sz w:val="24"/>
              </w:rPr>
              <w:t>中二级排放标准限值。</w:t>
            </w:r>
          </w:p>
          <w:p w14:paraId="6751D643">
            <w:pPr>
              <w:spacing w:line="360" w:lineRule="auto"/>
              <w:ind w:firstLine="480" w:firstLineChars="200"/>
              <w:rPr>
                <w:color w:val="auto"/>
                <w:sz w:val="24"/>
                <w:szCs w:val="21"/>
              </w:rPr>
            </w:pPr>
            <w:r>
              <w:rPr>
                <w:rFonts w:hint="eastAsia" w:hAnsi="宋体"/>
                <w:color w:val="auto"/>
                <w:sz w:val="24"/>
              </w:rPr>
              <w:t>（2）</w:t>
            </w:r>
            <w:r>
              <w:rPr>
                <w:rFonts w:hint="eastAsia"/>
                <w:color w:val="auto"/>
                <w:sz w:val="24"/>
                <w:szCs w:val="21"/>
              </w:rPr>
              <w:t>无组织排放</w:t>
            </w:r>
          </w:p>
          <w:p w14:paraId="15246888">
            <w:pPr>
              <w:spacing w:line="360" w:lineRule="auto"/>
              <w:ind w:firstLine="480" w:firstLineChars="200"/>
              <w:rPr>
                <w:rFonts w:hAnsi="宋体"/>
                <w:color w:val="auto"/>
                <w:sz w:val="24"/>
              </w:rPr>
            </w:pPr>
            <w:r>
              <w:rPr>
                <w:rFonts w:hint="eastAsia" w:hAnsi="宋体"/>
                <w:color w:val="auto"/>
                <w:sz w:val="24"/>
                <w:lang w:val="en-US" w:eastAsia="zh-CN"/>
              </w:rPr>
              <w:t>项目</w:t>
            </w:r>
            <w:r>
              <w:rPr>
                <w:rFonts w:hint="eastAsia" w:hAnsi="宋体"/>
                <w:color w:val="auto"/>
                <w:sz w:val="24"/>
              </w:rPr>
              <w:t>各个物料堆场在物料堆存中会产生无组织废气，根据《排污许可证申请与核发技术规范  工业固体废物和危险废物治理》（</w:t>
            </w:r>
            <w:r>
              <w:rPr>
                <w:rFonts w:hAnsi="宋体"/>
                <w:color w:val="auto"/>
                <w:sz w:val="24"/>
              </w:rPr>
              <w:t>HJ</w:t>
            </w:r>
            <w:r>
              <w:rPr>
                <w:rFonts w:hint="eastAsia" w:hAnsi="宋体"/>
                <w:color w:val="auto"/>
                <w:sz w:val="24"/>
              </w:rPr>
              <w:t xml:space="preserve"> </w:t>
            </w:r>
            <w:r>
              <w:rPr>
                <w:rFonts w:hAnsi="宋体"/>
                <w:color w:val="auto"/>
                <w:sz w:val="24"/>
              </w:rPr>
              <w:t>1033-2019</w:t>
            </w:r>
            <w:r>
              <w:rPr>
                <w:rFonts w:hint="eastAsia" w:hAnsi="宋体"/>
                <w:color w:val="auto"/>
                <w:sz w:val="24"/>
              </w:rPr>
              <w:t>）和《防治城市扬尘污染技术规范 (HJ/T 393-2007)》，物料堆场在封闭厂房，在密闭厂房里作业，有效控制粉尘产生。</w:t>
            </w:r>
          </w:p>
          <w:p w14:paraId="1EC327CB">
            <w:pPr>
              <w:spacing w:line="360" w:lineRule="auto"/>
              <w:ind w:firstLine="480"/>
              <w:rPr>
                <w:rFonts w:ascii="宋体" w:hAnsi="宋体"/>
                <w:b/>
                <w:color w:val="auto"/>
                <w:sz w:val="24"/>
              </w:rPr>
            </w:pPr>
            <w:r>
              <w:rPr>
                <w:rFonts w:hint="eastAsia" w:hAnsi="宋体"/>
                <w:b/>
                <w:bCs/>
                <w:color w:val="auto"/>
                <w:sz w:val="24"/>
              </w:rPr>
              <w:t>1.6</w:t>
            </w:r>
            <w:r>
              <w:rPr>
                <w:rFonts w:hint="eastAsia" w:ascii="宋体" w:hAnsi="宋体"/>
                <w:b/>
                <w:color w:val="auto"/>
                <w:sz w:val="24"/>
              </w:rPr>
              <w:t>监测计划</w:t>
            </w:r>
          </w:p>
          <w:p w14:paraId="5C8E95F9">
            <w:pPr>
              <w:spacing w:line="360" w:lineRule="auto"/>
              <w:ind w:firstLine="480"/>
              <w:rPr>
                <w:bCs/>
                <w:color w:val="auto"/>
                <w:sz w:val="24"/>
              </w:rPr>
            </w:pPr>
            <w:r>
              <w:rPr>
                <w:rFonts w:hint="eastAsia"/>
                <w:bCs/>
                <w:color w:val="auto"/>
                <w:sz w:val="24"/>
              </w:rPr>
              <w:t>根据以上分析，项目运营期废气排污监测计划根据《排污单位自行监测技术指南 总则》（HJ819-2017）进行设置。</w:t>
            </w:r>
          </w:p>
          <w:p w14:paraId="63521910">
            <w:pPr>
              <w:pStyle w:val="17"/>
              <w:spacing w:before="0" w:after="0" w:line="240" w:lineRule="auto"/>
              <w:ind w:right="0"/>
              <w:jc w:val="center"/>
              <w:rPr>
                <w:b/>
                <w:color w:val="auto"/>
                <w:kern w:val="2"/>
                <w:sz w:val="24"/>
                <w:szCs w:val="24"/>
              </w:rPr>
            </w:pPr>
            <w:r>
              <w:rPr>
                <w:rFonts w:hint="eastAsia"/>
                <w:b/>
                <w:color w:val="auto"/>
                <w:kern w:val="2"/>
                <w:sz w:val="24"/>
                <w:szCs w:val="24"/>
              </w:rPr>
              <w:t>表4</w:t>
            </w:r>
            <w:r>
              <w:rPr>
                <w:b/>
                <w:color w:val="auto"/>
                <w:kern w:val="2"/>
                <w:sz w:val="24"/>
                <w:szCs w:val="24"/>
              </w:rPr>
              <w:t>-</w:t>
            </w:r>
            <w:r>
              <w:rPr>
                <w:rFonts w:hint="eastAsia"/>
                <w:b/>
                <w:color w:val="auto"/>
                <w:kern w:val="2"/>
                <w:sz w:val="24"/>
                <w:szCs w:val="24"/>
                <w:lang w:val="en-US" w:eastAsia="zh-CN"/>
              </w:rPr>
              <w:t>5</w:t>
            </w:r>
            <w:r>
              <w:rPr>
                <w:b/>
                <w:color w:val="auto"/>
                <w:kern w:val="2"/>
                <w:sz w:val="24"/>
                <w:szCs w:val="24"/>
              </w:rPr>
              <w:t xml:space="preserve"> </w:t>
            </w:r>
            <w:r>
              <w:rPr>
                <w:rFonts w:hint="eastAsia"/>
                <w:b/>
                <w:color w:val="auto"/>
                <w:kern w:val="2"/>
                <w:sz w:val="24"/>
                <w:szCs w:val="24"/>
              </w:rPr>
              <w:t xml:space="preserve"> 项目运营期废气排污监测计划</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0"/>
              <w:gridCol w:w="3556"/>
              <w:gridCol w:w="1590"/>
              <w:gridCol w:w="1448"/>
            </w:tblGrid>
            <w:tr w14:paraId="75967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1" w:type="pct"/>
                  <w:shd w:val="clear" w:color="auto" w:fill="auto"/>
                  <w:vAlign w:val="center"/>
                </w:tcPr>
                <w:p w14:paraId="7341AEB9">
                  <w:pPr>
                    <w:widowControl/>
                    <w:jc w:val="center"/>
                    <w:rPr>
                      <w:color w:val="auto"/>
                      <w:sz w:val="21"/>
                      <w:szCs w:val="21"/>
                    </w:rPr>
                  </w:pPr>
                  <w:r>
                    <w:rPr>
                      <w:color w:val="auto"/>
                      <w:sz w:val="21"/>
                      <w:szCs w:val="21"/>
                    </w:rPr>
                    <w:t>排放类型</w:t>
                  </w:r>
                </w:p>
              </w:tc>
              <w:tc>
                <w:tcPr>
                  <w:tcW w:w="2161" w:type="pct"/>
                  <w:vAlign w:val="center"/>
                </w:tcPr>
                <w:p w14:paraId="38EF3F9D">
                  <w:pPr>
                    <w:widowControl/>
                    <w:jc w:val="center"/>
                    <w:rPr>
                      <w:color w:val="auto"/>
                      <w:sz w:val="21"/>
                      <w:szCs w:val="21"/>
                    </w:rPr>
                  </w:pPr>
                  <w:r>
                    <w:rPr>
                      <w:color w:val="auto"/>
                      <w:sz w:val="21"/>
                      <w:szCs w:val="21"/>
                    </w:rPr>
                    <w:t>监测点位</w:t>
                  </w:r>
                </w:p>
              </w:tc>
              <w:tc>
                <w:tcPr>
                  <w:tcW w:w="966" w:type="pct"/>
                  <w:shd w:val="clear" w:color="auto" w:fill="auto"/>
                  <w:vAlign w:val="center"/>
                </w:tcPr>
                <w:p w14:paraId="07546F73">
                  <w:pPr>
                    <w:widowControl/>
                    <w:jc w:val="center"/>
                    <w:rPr>
                      <w:color w:val="auto"/>
                      <w:sz w:val="21"/>
                      <w:szCs w:val="21"/>
                    </w:rPr>
                  </w:pPr>
                  <w:r>
                    <w:rPr>
                      <w:color w:val="auto"/>
                      <w:sz w:val="21"/>
                      <w:szCs w:val="21"/>
                    </w:rPr>
                    <w:t>监测指标</w:t>
                  </w:r>
                </w:p>
              </w:tc>
              <w:tc>
                <w:tcPr>
                  <w:tcW w:w="880" w:type="pct"/>
                  <w:shd w:val="clear" w:color="auto" w:fill="auto"/>
                  <w:vAlign w:val="center"/>
                </w:tcPr>
                <w:p w14:paraId="59046542">
                  <w:pPr>
                    <w:widowControl/>
                    <w:jc w:val="center"/>
                    <w:rPr>
                      <w:color w:val="auto"/>
                      <w:sz w:val="21"/>
                      <w:szCs w:val="21"/>
                    </w:rPr>
                  </w:pPr>
                  <w:r>
                    <w:rPr>
                      <w:color w:val="auto"/>
                      <w:sz w:val="21"/>
                      <w:szCs w:val="21"/>
                    </w:rPr>
                    <w:t>最低监测频次</w:t>
                  </w:r>
                </w:p>
              </w:tc>
            </w:tr>
            <w:tr w14:paraId="51846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1" w:type="pct"/>
                  <w:shd w:val="clear" w:color="auto" w:fill="auto"/>
                  <w:vAlign w:val="center"/>
                </w:tcPr>
                <w:p w14:paraId="01F05E87">
                  <w:pPr>
                    <w:widowControl/>
                    <w:jc w:val="center"/>
                    <w:rPr>
                      <w:rFonts w:hint="default" w:eastAsia="宋体"/>
                      <w:color w:val="auto"/>
                      <w:sz w:val="21"/>
                      <w:szCs w:val="21"/>
                      <w:lang w:val="en-US" w:eastAsia="zh-CN"/>
                    </w:rPr>
                  </w:pPr>
                  <w:r>
                    <w:rPr>
                      <w:color w:val="auto"/>
                      <w:sz w:val="21"/>
                      <w:szCs w:val="21"/>
                    </w:rPr>
                    <w:t>有组织DA</w:t>
                  </w:r>
                  <w:r>
                    <w:rPr>
                      <w:rFonts w:hint="eastAsia"/>
                      <w:color w:val="auto"/>
                      <w:sz w:val="21"/>
                      <w:szCs w:val="21"/>
                      <w:lang w:val="en-US" w:eastAsia="zh-CN"/>
                    </w:rPr>
                    <w:t>008</w:t>
                  </w:r>
                </w:p>
              </w:tc>
              <w:tc>
                <w:tcPr>
                  <w:tcW w:w="2161" w:type="pct"/>
                  <w:vAlign w:val="center"/>
                </w:tcPr>
                <w:p w14:paraId="2F36E2A5">
                  <w:pPr>
                    <w:widowControl/>
                    <w:jc w:val="center"/>
                    <w:rPr>
                      <w:color w:val="auto"/>
                      <w:sz w:val="21"/>
                      <w:szCs w:val="21"/>
                    </w:rPr>
                  </w:pPr>
                  <w:r>
                    <w:rPr>
                      <w:rFonts w:hint="eastAsia"/>
                      <w:color w:val="auto"/>
                      <w:sz w:val="21"/>
                      <w:szCs w:val="21"/>
                    </w:rPr>
                    <w:t>排气口</w:t>
                  </w:r>
                </w:p>
              </w:tc>
              <w:tc>
                <w:tcPr>
                  <w:tcW w:w="966" w:type="pct"/>
                  <w:vMerge w:val="restart"/>
                  <w:shd w:val="clear" w:color="auto" w:fill="auto"/>
                  <w:vAlign w:val="center"/>
                </w:tcPr>
                <w:p w14:paraId="08AF29E4">
                  <w:pPr>
                    <w:widowControl/>
                    <w:jc w:val="center"/>
                    <w:rPr>
                      <w:color w:val="auto"/>
                      <w:sz w:val="21"/>
                      <w:szCs w:val="21"/>
                    </w:rPr>
                  </w:pPr>
                  <w:r>
                    <w:rPr>
                      <w:color w:val="auto"/>
                      <w:sz w:val="21"/>
                      <w:szCs w:val="21"/>
                    </w:rPr>
                    <w:t>颗粒物</w:t>
                  </w:r>
                </w:p>
              </w:tc>
              <w:tc>
                <w:tcPr>
                  <w:tcW w:w="880" w:type="pct"/>
                  <w:vMerge w:val="restart"/>
                  <w:shd w:val="clear" w:color="auto" w:fill="auto"/>
                  <w:vAlign w:val="center"/>
                </w:tcPr>
                <w:p w14:paraId="76BCC946">
                  <w:pPr>
                    <w:widowControl/>
                    <w:jc w:val="center"/>
                    <w:rPr>
                      <w:color w:val="auto"/>
                      <w:sz w:val="21"/>
                      <w:szCs w:val="21"/>
                    </w:rPr>
                  </w:pPr>
                  <w:r>
                    <w:rPr>
                      <w:color w:val="auto"/>
                      <w:sz w:val="21"/>
                      <w:szCs w:val="21"/>
                    </w:rPr>
                    <w:t>1次/年</w:t>
                  </w:r>
                </w:p>
              </w:tc>
            </w:tr>
            <w:tr w14:paraId="453F9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1" w:type="pct"/>
                  <w:shd w:val="clear" w:color="auto" w:fill="auto"/>
                  <w:vAlign w:val="center"/>
                </w:tcPr>
                <w:p w14:paraId="04360D95">
                  <w:pPr>
                    <w:widowControl/>
                    <w:jc w:val="center"/>
                    <w:rPr>
                      <w:color w:val="auto"/>
                      <w:sz w:val="21"/>
                      <w:szCs w:val="21"/>
                    </w:rPr>
                  </w:pPr>
                  <w:r>
                    <w:rPr>
                      <w:color w:val="auto"/>
                      <w:sz w:val="21"/>
                      <w:szCs w:val="21"/>
                    </w:rPr>
                    <w:t>无组织</w:t>
                  </w:r>
                </w:p>
              </w:tc>
              <w:tc>
                <w:tcPr>
                  <w:tcW w:w="2161" w:type="pct"/>
                  <w:vAlign w:val="center"/>
                </w:tcPr>
                <w:p w14:paraId="148DE4FF">
                  <w:pPr>
                    <w:widowControl/>
                    <w:jc w:val="center"/>
                    <w:rPr>
                      <w:color w:val="auto"/>
                      <w:sz w:val="21"/>
                      <w:szCs w:val="21"/>
                    </w:rPr>
                  </w:pPr>
                  <w:r>
                    <w:rPr>
                      <w:color w:val="auto"/>
                      <w:sz w:val="21"/>
                      <w:szCs w:val="21"/>
                    </w:rPr>
                    <w:t>厂界上风向1个点位，厂界下风向3个点位</w:t>
                  </w:r>
                </w:p>
              </w:tc>
              <w:tc>
                <w:tcPr>
                  <w:tcW w:w="966" w:type="pct"/>
                  <w:vMerge w:val="continue"/>
                  <w:shd w:val="clear" w:color="auto" w:fill="auto"/>
                  <w:vAlign w:val="center"/>
                </w:tcPr>
                <w:p w14:paraId="7B280EBB">
                  <w:pPr>
                    <w:widowControl/>
                    <w:jc w:val="center"/>
                    <w:rPr>
                      <w:color w:val="auto"/>
                      <w:sz w:val="21"/>
                      <w:szCs w:val="21"/>
                    </w:rPr>
                  </w:pPr>
                </w:p>
              </w:tc>
              <w:tc>
                <w:tcPr>
                  <w:tcW w:w="880" w:type="pct"/>
                  <w:vMerge w:val="continue"/>
                  <w:shd w:val="clear" w:color="auto" w:fill="auto"/>
                  <w:vAlign w:val="center"/>
                </w:tcPr>
                <w:p w14:paraId="5A52E544">
                  <w:pPr>
                    <w:widowControl/>
                    <w:jc w:val="center"/>
                    <w:rPr>
                      <w:color w:val="auto"/>
                      <w:sz w:val="21"/>
                      <w:szCs w:val="21"/>
                    </w:rPr>
                  </w:pPr>
                </w:p>
              </w:tc>
            </w:tr>
          </w:tbl>
          <w:p w14:paraId="5CFB4F40">
            <w:pPr>
              <w:pStyle w:val="23"/>
              <w:spacing w:before="120" w:beforeLines="50" w:line="360" w:lineRule="auto"/>
              <w:ind w:firstLine="482" w:firstLineChars="200"/>
              <w:rPr>
                <w:rFonts w:ascii="Times New Roman" w:hAnsi="宋体"/>
                <w:b/>
                <w:bCs/>
                <w:color w:val="auto"/>
                <w:sz w:val="24"/>
                <w:szCs w:val="24"/>
              </w:rPr>
            </w:pPr>
            <w:r>
              <w:rPr>
                <w:rFonts w:hint="eastAsia" w:ascii="Times New Roman" w:hAnsi="宋体"/>
                <w:b/>
                <w:bCs/>
                <w:color w:val="auto"/>
                <w:sz w:val="24"/>
                <w:szCs w:val="24"/>
              </w:rPr>
              <w:t>1.7</w:t>
            </w:r>
            <w:r>
              <w:rPr>
                <w:rFonts w:hint="eastAsia" w:hAnsi="宋体"/>
                <w:b/>
                <w:bCs/>
                <w:color w:val="auto"/>
                <w:sz w:val="24"/>
              </w:rPr>
              <w:t>项目废气对区域环境空气及周围敏感点的影响分析</w:t>
            </w:r>
          </w:p>
          <w:p w14:paraId="41C3326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rFonts w:hint="eastAsia" w:hAnsi="宋体"/>
                <w:color w:val="auto"/>
                <w:sz w:val="24"/>
              </w:rPr>
              <w:t>根据现场实地踏勘，项目500m范围内的敏感保护目标主要为</w:t>
            </w:r>
            <w:r>
              <w:rPr>
                <w:rFonts w:hint="eastAsia"/>
                <w:color w:val="auto"/>
                <w:sz w:val="24"/>
              </w:rPr>
              <w:t>项目</w:t>
            </w:r>
            <w:r>
              <w:rPr>
                <w:rFonts w:hint="eastAsia"/>
                <w:color w:val="auto"/>
                <w:sz w:val="24"/>
                <w:lang w:val="en-US" w:eastAsia="zh-CN"/>
              </w:rPr>
              <w:t>东</w:t>
            </w:r>
            <w:r>
              <w:rPr>
                <w:rFonts w:hint="eastAsia"/>
                <w:color w:val="auto"/>
                <w:sz w:val="24"/>
              </w:rPr>
              <w:t>侧</w:t>
            </w:r>
            <w:r>
              <w:rPr>
                <w:rFonts w:hint="eastAsia"/>
                <w:color w:val="auto"/>
                <w:sz w:val="24"/>
                <w:lang w:val="en-US" w:eastAsia="zh-CN"/>
              </w:rPr>
              <w:t>436m</w:t>
            </w:r>
            <w:r>
              <w:rPr>
                <w:color w:val="auto"/>
                <w:sz w:val="24"/>
              </w:rPr>
              <w:t>的</w:t>
            </w:r>
            <w:r>
              <w:rPr>
                <w:rFonts w:hint="eastAsia"/>
                <w:color w:val="auto"/>
                <w:sz w:val="24"/>
                <w:lang w:val="en-US" w:eastAsia="zh-CN"/>
              </w:rPr>
              <w:t>王岗屯村和西北侧413m的云集村</w:t>
            </w:r>
            <w:r>
              <w:rPr>
                <w:color w:val="auto"/>
                <w:sz w:val="24"/>
              </w:rPr>
              <w:t>，</w:t>
            </w:r>
            <w:r>
              <w:rPr>
                <w:rFonts w:hint="eastAsia"/>
                <w:color w:val="auto"/>
                <w:sz w:val="24"/>
                <w:lang w:val="en-US" w:eastAsia="zh-CN"/>
              </w:rPr>
              <w:t>均位于项目侧风向，根据表3-1对周边保护目标的监测结果，均可</w:t>
            </w:r>
            <w:r>
              <w:rPr>
                <w:color w:val="auto"/>
                <w:sz w:val="24"/>
              </w:rPr>
              <w:t>满足《环境空气质量标准》（GB3095-2012）二级标准。本项目采取的</w:t>
            </w:r>
            <w:r>
              <w:rPr>
                <w:rFonts w:hint="eastAsia" w:hAnsi="宋体"/>
                <w:color w:val="auto"/>
                <w:sz w:val="24"/>
              </w:rPr>
              <w:t>布袋除尘器</w:t>
            </w:r>
            <w:r>
              <w:rPr>
                <w:color w:val="auto"/>
                <w:sz w:val="24"/>
              </w:rPr>
              <w:t>废气处理设施可行，且废气达标排放。</w:t>
            </w:r>
          </w:p>
          <w:p w14:paraId="6E6AABC6">
            <w:pPr>
              <w:spacing w:line="360" w:lineRule="auto"/>
              <w:ind w:firstLine="480" w:firstLineChars="200"/>
              <w:rPr>
                <w:rFonts w:hAnsi="宋体"/>
                <w:bCs/>
                <w:color w:val="auto"/>
                <w:sz w:val="24"/>
              </w:rPr>
            </w:pPr>
            <w:r>
              <w:rPr>
                <w:rFonts w:hint="eastAsia" w:hAnsi="宋体"/>
                <w:bCs/>
                <w:color w:val="auto"/>
                <w:sz w:val="24"/>
              </w:rPr>
              <w:t>项目在采取以上污染防治措施后，项目废气排放可满足</w:t>
            </w:r>
            <w:r>
              <w:rPr>
                <w:rFonts w:hint="eastAsia" w:hAnsi="宋体"/>
                <w:color w:val="auto"/>
                <w:sz w:val="24"/>
              </w:rPr>
              <w:t>《大气污染物综合排放标准》（GB16297-1996）表2中无组织排放监控浓度限值及有组织排放标准要求</w:t>
            </w:r>
            <w:r>
              <w:rPr>
                <w:rFonts w:hint="eastAsia" w:hAnsi="宋体"/>
                <w:bCs/>
                <w:color w:val="auto"/>
                <w:sz w:val="24"/>
              </w:rPr>
              <w:t>，对</w:t>
            </w:r>
            <w:r>
              <w:rPr>
                <w:rFonts w:hint="eastAsia" w:hAnsi="宋体"/>
                <w:bCs/>
                <w:color w:val="auto"/>
                <w:sz w:val="24"/>
                <w:lang w:val="en-US" w:eastAsia="zh-CN"/>
              </w:rPr>
              <w:t>王岗屯村和云集村</w:t>
            </w:r>
            <w:r>
              <w:rPr>
                <w:rFonts w:hint="eastAsia" w:hAnsi="宋体"/>
                <w:bCs/>
                <w:color w:val="auto"/>
                <w:sz w:val="24"/>
              </w:rPr>
              <w:t>以及周围环境影响不大。</w:t>
            </w:r>
          </w:p>
          <w:p w14:paraId="24616E8D">
            <w:pPr>
              <w:spacing w:line="360" w:lineRule="auto"/>
              <w:ind w:firstLine="562" w:firstLineChars="200"/>
              <w:rPr>
                <w:b/>
                <w:bCs/>
                <w:color w:val="auto"/>
                <w:sz w:val="28"/>
                <w:szCs w:val="28"/>
              </w:rPr>
            </w:pPr>
            <w:r>
              <w:rPr>
                <w:rFonts w:hint="eastAsia"/>
                <w:b/>
                <w:bCs/>
                <w:color w:val="auto"/>
                <w:sz w:val="28"/>
                <w:szCs w:val="28"/>
              </w:rPr>
              <w:t>2、废水影响和保护措施</w:t>
            </w:r>
          </w:p>
          <w:p w14:paraId="61A6B568">
            <w:pPr>
              <w:spacing w:line="360" w:lineRule="auto"/>
              <w:ind w:firstLine="480" w:firstLineChars="200"/>
              <w:rPr>
                <w:rFonts w:hint="default" w:eastAsia="宋体"/>
                <w:color w:val="auto"/>
                <w:sz w:val="24"/>
                <w:lang w:val="en-US" w:eastAsia="zh-CN"/>
              </w:rPr>
            </w:pPr>
            <w:r>
              <w:rPr>
                <w:rFonts w:hint="eastAsia"/>
                <w:color w:val="auto"/>
                <w:sz w:val="24"/>
                <w:lang w:val="en-US" w:eastAsia="zh-CN"/>
              </w:rPr>
              <w:t>本项目扩建工程不新增劳动人员，从厂区内现有人员进行调配；项目利用50万t/a球状水泥缓凝剂混合工序进行扩建生产土壤改良剂、生态修复材料和路基材料，扩建工程无废水产生。</w:t>
            </w:r>
          </w:p>
          <w:p w14:paraId="0FF153C6">
            <w:pPr>
              <w:spacing w:line="360" w:lineRule="auto"/>
              <w:ind w:firstLine="562" w:firstLineChars="200"/>
              <w:jc w:val="left"/>
              <w:rPr>
                <w:color w:val="auto"/>
                <w:sz w:val="24"/>
              </w:rPr>
            </w:pPr>
            <w:r>
              <w:rPr>
                <w:b/>
                <w:bCs/>
                <w:color w:val="auto"/>
                <w:sz w:val="28"/>
                <w:szCs w:val="28"/>
              </w:rPr>
              <w:t>3、噪声影响和保护措施</w:t>
            </w:r>
          </w:p>
          <w:p w14:paraId="651953CE">
            <w:pPr>
              <w:spacing w:line="360" w:lineRule="auto"/>
              <w:ind w:firstLine="480" w:firstLineChars="200"/>
              <w:rPr>
                <w:bCs/>
                <w:color w:val="auto"/>
                <w:sz w:val="24"/>
              </w:rPr>
            </w:pPr>
            <w:r>
              <w:rPr>
                <w:bCs/>
                <w:color w:val="auto"/>
                <w:sz w:val="24"/>
              </w:rPr>
              <w:t>本项目在现有</w:t>
            </w:r>
            <w:r>
              <w:rPr>
                <w:rFonts w:hint="eastAsia"/>
                <w:bCs/>
                <w:color w:val="auto"/>
                <w:sz w:val="24"/>
                <w:lang w:val="en-US" w:eastAsia="zh-CN"/>
              </w:rPr>
              <w:t>50</w:t>
            </w:r>
            <w:r>
              <w:rPr>
                <w:rFonts w:hint="eastAsia"/>
                <w:bCs/>
                <w:color w:val="auto"/>
                <w:sz w:val="24"/>
              </w:rPr>
              <w:t>万吨／年</w:t>
            </w:r>
            <w:r>
              <w:rPr>
                <w:rFonts w:hint="eastAsia"/>
                <w:bCs/>
                <w:color w:val="auto"/>
                <w:sz w:val="24"/>
                <w:lang w:val="en-US" w:eastAsia="zh-CN"/>
              </w:rPr>
              <w:t>球状</w:t>
            </w:r>
            <w:r>
              <w:rPr>
                <w:rFonts w:hint="eastAsia"/>
                <w:bCs/>
                <w:color w:val="auto"/>
                <w:sz w:val="24"/>
              </w:rPr>
              <w:t>水泥缓凝剂生产线的基础上，新增</w:t>
            </w:r>
            <w:r>
              <w:rPr>
                <w:rFonts w:hint="eastAsia"/>
                <w:bCs/>
                <w:color w:val="auto"/>
                <w:sz w:val="24"/>
                <w:lang w:val="en-US" w:eastAsia="zh-CN"/>
              </w:rPr>
              <w:t>土壤改良剂、生态修复材料、路基材料</w:t>
            </w:r>
            <w:r>
              <w:rPr>
                <w:bCs/>
                <w:color w:val="auto"/>
                <w:sz w:val="24"/>
              </w:rPr>
              <w:t>。</w:t>
            </w:r>
          </w:p>
          <w:p w14:paraId="27888DC5">
            <w:pPr>
              <w:spacing w:line="360" w:lineRule="auto"/>
              <w:ind w:firstLine="482" w:firstLineChars="200"/>
              <w:rPr>
                <w:b/>
                <w:bCs/>
                <w:color w:val="auto"/>
                <w:sz w:val="24"/>
              </w:rPr>
            </w:pPr>
            <w:r>
              <w:rPr>
                <w:rFonts w:hint="eastAsia"/>
                <w:b/>
                <w:bCs/>
                <w:color w:val="auto"/>
                <w:sz w:val="24"/>
              </w:rPr>
              <w:t>（一）噪声源强</w:t>
            </w:r>
            <w:r>
              <w:rPr>
                <w:b/>
                <w:bCs/>
                <w:color w:val="auto"/>
                <w:sz w:val="24"/>
              </w:rPr>
              <w:t>分析</w:t>
            </w:r>
          </w:p>
          <w:p w14:paraId="237B94EF">
            <w:pPr>
              <w:spacing w:line="360" w:lineRule="auto"/>
              <w:ind w:firstLine="480" w:firstLineChars="200"/>
              <w:rPr>
                <w:color w:val="auto"/>
                <w:sz w:val="24"/>
              </w:rPr>
            </w:pPr>
            <w:r>
              <w:rPr>
                <w:color w:val="auto"/>
                <w:sz w:val="24"/>
              </w:rPr>
              <w:t>项目</w:t>
            </w:r>
            <w:r>
              <w:rPr>
                <w:rFonts w:hint="eastAsia"/>
                <w:color w:val="auto"/>
                <w:sz w:val="24"/>
                <w:lang w:val="en-US" w:eastAsia="zh-CN"/>
              </w:rPr>
              <w:t>新增</w:t>
            </w:r>
            <w:r>
              <w:rPr>
                <w:color w:val="auto"/>
                <w:sz w:val="24"/>
              </w:rPr>
              <w:t>噪声源主要为</w:t>
            </w:r>
            <w:r>
              <w:rPr>
                <w:rFonts w:hint="eastAsia"/>
                <w:color w:val="auto"/>
                <w:sz w:val="24"/>
              </w:rPr>
              <w:t>皮带机、</w:t>
            </w:r>
            <w:r>
              <w:rPr>
                <w:rFonts w:hint="eastAsia"/>
                <w:color w:val="auto"/>
                <w:sz w:val="24"/>
                <w:lang w:val="en-US" w:eastAsia="zh-CN"/>
              </w:rPr>
              <w:t>筛分机</w:t>
            </w:r>
            <w:r>
              <w:rPr>
                <w:rFonts w:hint="eastAsia"/>
                <w:color w:val="auto"/>
                <w:sz w:val="24"/>
              </w:rPr>
              <w:t>和</w:t>
            </w:r>
            <w:r>
              <w:rPr>
                <w:rFonts w:hint="eastAsia"/>
                <w:color w:val="auto"/>
                <w:sz w:val="24"/>
                <w:lang w:val="en-US" w:eastAsia="zh-CN"/>
              </w:rPr>
              <w:t>布袋除尘器</w:t>
            </w:r>
            <w:r>
              <w:rPr>
                <w:rFonts w:hint="eastAsia"/>
                <w:color w:val="auto"/>
                <w:sz w:val="24"/>
              </w:rPr>
              <w:t>等</w:t>
            </w:r>
            <w:r>
              <w:rPr>
                <w:color w:val="auto"/>
                <w:sz w:val="24"/>
              </w:rPr>
              <w:t>设备噪声。设备均安装与厂房内。</w:t>
            </w:r>
            <w:r>
              <w:rPr>
                <w:rFonts w:hint="eastAsia"/>
                <w:bCs/>
                <w:color w:val="auto"/>
                <w:sz w:val="24"/>
              </w:rPr>
              <w:t>噪声源强</w:t>
            </w:r>
            <w:r>
              <w:rPr>
                <w:bCs/>
                <w:color w:val="auto"/>
                <w:sz w:val="24"/>
              </w:rPr>
              <w:t>在</w:t>
            </w:r>
            <w:r>
              <w:rPr>
                <w:rFonts w:hint="eastAsia"/>
                <w:bCs/>
                <w:color w:val="auto"/>
                <w:sz w:val="24"/>
                <w:lang w:val="en-US" w:eastAsia="zh-CN"/>
              </w:rPr>
              <w:t>80</w:t>
            </w:r>
            <w:r>
              <w:rPr>
                <w:rFonts w:hint="eastAsia"/>
                <w:bCs/>
                <w:color w:val="auto"/>
                <w:sz w:val="24"/>
              </w:rPr>
              <w:t>~85dB（A）。主要噪声源</w:t>
            </w:r>
            <w:r>
              <w:rPr>
                <w:rFonts w:hint="eastAsia"/>
                <w:color w:val="auto"/>
                <w:sz w:val="24"/>
              </w:rPr>
              <w:t>见表4-</w:t>
            </w:r>
            <w:r>
              <w:rPr>
                <w:rFonts w:hint="eastAsia"/>
                <w:color w:val="auto"/>
                <w:sz w:val="24"/>
                <w:lang w:val="en-US" w:eastAsia="zh-CN"/>
              </w:rPr>
              <w:t>6</w:t>
            </w:r>
            <w:r>
              <w:rPr>
                <w:rFonts w:hint="eastAsia"/>
                <w:color w:val="auto"/>
                <w:sz w:val="24"/>
              </w:rPr>
              <w:t>。</w:t>
            </w:r>
          </w:p>
          <w:p w14:paraId="18FA5DD5">
            <w:pPr>
              <w:jc w:val="center"/>
              <w:rPr>
                <w:color w:val="auto"/>
                <w:sz w:val="24"/>
              </w:rPr>
            </w:pPr>
            <w:r>
              <w:rPr>
                <w:rFonts w:hint="eastAsia"/>
                <w:b/>
                <w:bCs/>
                <w:color w:val="auto"/>
                <w:sz w:val="24"/>
              </w:rPr>
              <w:t>表4-</w:t>
            </w:r>
            <w:r>
              <w:rPr>
                <w:rFonts w:hint="eastAsia"/>
                <w:b/>
                <w:bCs/>
                <w:color w:val="auto"/>
                <w:sz w:val="24"/>
                <w:lang w:val="en-US" w:eastAsia="zh-CN"/>
              </w:rPr>
              <w:t>6</w:t>
            </w:r>
            <w:r>
              <w:rPr>
                <w:rFonts w:hint="eastAsia"/>
                <w:b/>
                <w:bCs/>
                <w:color w:val="auto"/>
                <w:sz w:val="24"/>
              </w:rPr>
              <w:t xml:space="preserve">  </w:t>
            </w:r>
            <w:r>
              <w:rPr>
                <w:rFonts w:hint="eastAsia"/>
                <w:b/>
                <w:bCs/>
                <w:color w:val="auto"/>
                <w:sz w:val="24"/>
                <w:lang w:val="en-US" w:eastAsia="zh-CN"/>
              </w:rPr>
              <w:t>扩建</w:t>
            </w:r>
            <w:r>
              <w:rPr>
                <w:rFonts w:hint="eastAsia"/>
                <w:b/>
                <w:bCs/>
                <w:color w:val="auto"/>
                <w:sz w:val="24"/>
              </w:rPr>
              <w:t>项目运营期主要设备噪声源强一览表</w:t>
            </w:r>
          </w:p>
          <w:tbl>
            <w:tblPr>
              <w:tblStyle w:val="45"/>
              <w:tblW w:w="49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4"/>
              <w:gridCol w:w="1045"/>
              <w:gridCol w:w="1045"/>
              <w:gridCol w:w="943"/>
              <w:gridCol w:w="1766"/>
              <w:gridCol w:w="1360"/>
              <w:gridCol w:w="909"/>
            </w:tblGrid>
            <w:tr w14:paraId="2D78E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pct"/>
                  <w:vMerge w:val="restart"/>
                  <w:vAlign w:val="center"/>
                </w:tcPr>
                <w:p w14:paraId="5DC6B6CA">
                  <w:pPr>
                    <w:jc w:val="center"/>
                    <w:rPr>
                      <w:color w:val="auto"/>
                      <w:sz w:val="21"/>
                      <w:szCs w:val="21"/>
                    </w:rPr>
                  </w:pPr>
                  <w:r>
                    <w:rPr>
                      <w:rFonts w:hint="eastAsia"/>
                      <w:color w:val="auto"/>
                      <w:sz w:val="21"/>
                      <w:szCs w:val="21"/>
                    </w:rPr>
                    <w:t>噪声源</w:t>
                  </w:r>
                </w:p>
              </w:tc>
              <w:tc>
                <w:tcPr>
                  <w:tcW w:w="645" w:type="pct"/>
                  <w:vMerge w:val="restart"/>
                  <w:vAlign w:val="center"/>
                </w:tcPr>
                <w:p w14:paraId="76AA373C">
                  <w:pPr>
                    <w:jc w:val="center"/>
                    <w:rPr>
                      <w:color w:val="auto"/>
                      <w:sz w:val="21"/>
                      <w:szCs w:val="21"/>
                    </w:rPr>
                  </w:pPr>
                  <w:r>
                    <w:rPr>
                      <w:rFonts w:hint="eastAsia"/>
                      <w:color w:val="auto"/>
                      <w:sz w:val="21"/>
                      <w:szCs w:val="21"/>
                    </w:rPr>
                    <w:t>数量</w:t>
                  </w:r>
                </w:p>
              </w:tc>
              <w:tc>
                <w:tcPr>
                  <w:tcW w:w="645" w:type="pct"/>
                  <w:vMerge w:val="restart"/>
                  <w:vAlign w:val="center"/>
                </w:tcPr>
                <w:p w14:paraId="40FD9D19">
                  <w:pPr>
                    <w:jc w:val="center"/>
                    <w:rPr>
                      <w:color w:val="auto"/>
                      <w:sz w:val="21"/>
                      <w:szCs w:val="21"/>
                    </w:rPr>
                  </w:pPr>
                  <w:r>
                    <w:rPr>
                      <w:rFonts w:hint="eastAsia"/>
                      <w:color w:val="auto"/>
                      <w:sz w:val="21"/>
                      <w:szCs w:val="21"/>
                    </w:rPr>
                    <w:t>声源位置</w:t>
                  </w:r>
                </w:p>
              </w:tc>
              <w:tc>
                <w:tcPr>
                  <w:tcW w:w="581" w:type="pct"/>
                  <w:vMerge w:val="restart"/>
                  <w:vAlign w:val="center"/>
                </w:tcPr>
                <w:p w14:paraId="6A439928">
                  <w:pPr>
                    <w:jc w:val="center"/>
                    <w:rPr>
                      <w:color w:val="auto"/>
                      <w:sz w:val="21"/>
                      <w:szCs w:val="21"/>
                    </w:rPr>
                  </w:pPr>
                  <w:r>
                    <w:rPr>
                      <w:rFonts w:hint="eastAsia"/>
                      <w:color w:val="auto"/>
                      <w:sz w:val="21"/>
                      <w:szCs w:val="21"/>
                    </w:rPr>
                    <w:t>声源类型</w:t>
                  </w:r>
                </w:p>
              </w:tc>
              <w:tc>
                <w:tcPr>
                  <w:tcW w:w="1929" w:type="pct"/>
                  <w:gridSpan w:val="2"/>
                  <w:vAlign w:val="center"/>
                </w:tcPr>
                <w:p w14:paraId="10C04AD8">
                  <w:pPr>
                    <w:jc w:val="center"/>
                    <w:rPr>
                      <w:color w:val="auto"/>
                      <w:sz w:val="21"/>
                      <w:szCs w:val="21"/>
                    </w:rPr>
                  </w:pPr>
                  <w:r>
                    <w:rPr>
                      <w:rFonts w:hint="eastAsia"/>
                      <w:color w:val="auto"/>
                      <w:sz w:val="21"/>
                      <w:szCs w:val="21"/>
                    </w:rPr>
                    <w:t>声源源强</w:t>
                  </w:r>
                </w:p>
              </w:tc>
              <w:tc>
                <w:tcPr>
                  <w:tcW w:w="561" w:type="pct"/>
                  <w:vMerge w:val="restart"/>
                  <w:vAlign w:val="center"/>
                </w:tcPr>
                <w:p w14:paraId="351EF73D">
                  <w:pPr>
                    <w:jc w:val="center"/>
                    <w:rPr>
                      <w:color w:val="auto"/>
                      <w:sz w:val="21"/>
                      <w:szCs w:val="21"/>
                    </w:rPr>
                  </w:pPr>
                  <w:r>
                    <w:rPr>
                      <w:rFonts w:hint="eastAsia"/>
                      <w:color w:val="auto"/>
                      <w:sz w:val="21"/>
                      <w:szCs w:val="21"/>
                    </w:rPr>
                    <w:t>运行时间</w:t>
                  </w:r>
                </w:p>
              </w:tc>
            </w:tr>
            <w:tr w14:paraId="1128D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pct"/>
                  <w:vMerge w:val="continue"/>
                  <w:vAlign w:val="center"/>
                </w:tcPr>
                <w:p w14:paraId="0BD344A9">
                  <w:pPr>
                    <w:jc w:val="center"/>
                    <w:rPr>
                      <w:color w:val="auto"/>
                      <w:sz w:val="21"/>
                      <w:szCs w:val="21"/>
                    </w:rPr>
                  </w:pPr>
                </w:p>
              </w:tc>
              <w:tc>
                <w:tcPr>
                  <w:tcW w:w="645" w:type="pct"/>
                  <w:vMerge w:val="continue"/>
                  <w:vAlign w:val="center"/>
                </w:tcPr>
                <w:p w14:paraId="23AD3F35">
                  <w:pPr>
                    <w:jc w:val="center"/>
                    <w:rPr>
                      <w:color w:val="auto"/>
                      <w:sz w:val="21"/>
                      <w:szCs w:val="21"/>
                    </w:rPr>
                  </w:pPr>
                </w:p>
              </w:tc>
              <w:tc>
                <w:tcPr>
                  <w:tcW w:w="645" w:type="pct"/>
                  <w:vMerge w:val="continue"/>
                  <w:vAlign w:val="center"/>
                </w:tcPr>
                <w:p w14:paraId="43CE1508">
                  <w:pPr>
                    <w:jc w:val="center"/>
                    <w:rPr>
                      <w:color w:val="auto"/>
                      <w:sz w:val="21"/>
                      <w:szCs w:val="21"/>
                    </w:rPr>
                  </w:pPr>
                </w:p>
              </w:tc>
              <w:tc>
                <w:tcPr>
                  <w:tcW w:w="581" w:type="pct"/>
                  <w:vMerge w:val="continue"/>
                  <w:vAlign w:val="center"/>
                </w:tcPr>
                <w:p w14:paraId="739273EF">
                  <w:pPr>
                    <w:jc w:val="center"/>
                    <w:rPr>
                      <w:color w:val="auto"/>
                      <w:sz w:val="21"/>
                      <w:szCs w:val="21"/>
                    </w:rPr>
                  </w:pPr>
                </w:p>
              </w:tc>
              <w:tc>
                <w:tcPr>
                  <w:tcW w:w="1089" w:type="pct"/>
                  <w:vAlign w:val="center"/>
                </w:tcPr>
                <w:p w14:paraId="68E50FB7">
                  <w:pPr>
                    <w:jc w:val="center"/>
                    <w:rPr>
                      <w:color w:val="auto"/>
                      <w:sz w:val="21"/>
                      <w:szCs w:val="21"/>
                    </w:rPr>
                  </w:pPr>
                  <w:r>
                    <w:rPr>
                      <w:rFonts w:hint="eastAsia"/>
                      <w:color w:val="auto"/>
                      <w:sz w:val="21"/>
                      <w:szCs w:val="21"/>
                    </w:rPr>
                    <w:t>核算方法</w:t>
                  </w:r>
                </w:p>
              </w:tc>
              <w:tc>
                <w:tcPr>
                  <w:tcW w:w="839" w:type="pct"/>
                  <w:vAlign w:val="center"/>
                </w:tcPr>
                <w:p w14:paraId="0A25A9B9">
                  <w:pPr>
                    <w:jc w:val="center"/>
                    <w:rPr>
                      <w:color w:val="auto"/>
                      <w:sz w:val="21"/>
                      <w:szCs w:val="21"/>
                    </w:rPr>
                  </w:pPr>
                  <w:r>
                    <w:rPr>
                      <w:rFonts w:hint="eastAsia"/>
                      <w:color w:val="auto"/>
                      <w:sz w:val="21"/>
                      <w:szCs w:val="21"/>
                    </w:rPr>
                    <w:t>声压级/距声源距离（dB（A）/1m）</w:t>
                  </w:r>
                </w:p>
              </w:tc>
              <w:tc>
                <w:tcPr>
                  <w:tcW w:w="561" w:type="pct"/>
                  <w:vMerge w:val="continue"/>
                  <w:vAlign w:val="center"/>
                </w:tcPr>
                <w:p w14:paraId="5076653B">
                  <w:pPr>
                    <w:jc w:val="center"/>
                    <w:rPr>
                      <w:color w:val="auto"/>
                      <w:sz w:val="21"/>
                      <w:szCs w:val="21"/>
                    </w:rPr>
                  </w:pPr>
                </w:p>
              </w:tc>
            </w:tr>
            <w:tr w14:paraId="134C6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pct"/>
                  <w:vAlign w:val="center"/>
                </w:tcPr>
                <w:p w14:paraId="2C8E2340">
                  <w:pPr>
                    <w:jc w:val="center"/>
                    <w:rPr>
                      <w:color w:val="auto"/>
                      <w:sz w:val="21"/>
                      <w:szCs w:val="21"/>
                    </w:rPr>
                  </w:pPr>
                  <w:r>
                    <w:rPr>
                      <w:rFonts w:hint="eastAsia"/>
                      <w:color w:val="auto"/>
                      <w:sz w:val="21"/>
                      <w:szCs w:val="21"/>
                      <w:lang w:val="en-US" w:eastAsia="zh-CN"/>
                    </w:rPr>
                    <w:t>皮带</w:t>
                  </w:r>
                  <w:r>
                    <w:rPr>
                      <w:rFonts w:hint="eastAsia"/>
                      <w:color w:val="auto"/>
                      <w:sz w:val="21"/>
                      <w:szCs w:val="21"/>
                    </w:rPr>
                    <w:t>机</w:t>
                  </w:r>
                </w:p>
              </w:tc>
              <w:tc>
                <w:tcPr>
                  <w:tcW w:w="645" w:type="pct"/>
                  <w:vAlign w:val="center"/>
                </w:tcPr>
                <w:p w14:paraId="64EE4716">
                  <w:pPr>
                    <w:jc w:val="center"/>
                    <w:rPr>
                      <w:color w:val="auto"/>
                      <w:sz w:val="21"/>
                      <w:szCs w:val="21"/>
                    </w:rPr>
                  </w:pPr>
                  <w:r>
                    <w:rPr>
                      <w:rFonts w:hint="eastAsia"/>
                      <w:color w:val="auto"/>
                      <w:sz w:val="21"/>
                      <w:szCs w:val="21"/>
                      <w:lang w:val="en-US" w:eastAsia="zh-CN"/>
                    </w:rPr>
                    <w:t>3</w:t>
                  </w:r>
                  <w:r>
                    <w:rPr>
                      <w:rFonts w:hint="eastAsia"/>
                      <w:color w:val="auto"/>
                      <w:sz w:val="21"/>
                      <w:szCs w:val="21"/>
                    </w:rPr>
                    <w:t>台</w:t>
                  </w:r>
                </w:p>
              </w:tc>
              <w:tc>
                <w:tcPr>
                  <w:tcW w:w="645" w:type="pct"/>
                  <w:vAlign w:val="center"/>
                </w:tcPr>
                <w:p w14:paraId="3C843622">
                  <w:pPr>
                    <w:jc w:val="center"/>
                    <w:rPr>
                      <w:color w:val="auto"/>
                      <w:sz w:val="21"/>
                      <w:szCs w:val="21"/>
                    </w:rPr>
                  </w:pPr>
                  <w:r>
                    <w:rPr>
                      <w:rFonts w:hint="eastAsia"/>
                      <w:color w:val="auto"/>
                      <w:sz w:val="21"/>
                      <w:szCs w:val="21"/>
                    </w:rPr>
                    <w:t>室内</w:t>
                  </w:r>
                </w:p>
              </w:tc>
              <w:tc>
                <w:tcPr>
                  <w:tcW w:w="581" w:type="pct"/>
                  <w:vAlign w:val="center"/>
                </w:tcPr>
                <w:p w14:paraId="26B595D0">
                  <w:pPr>
                    <w:jc w:val="center"/>
                    <w:rPr>
                      <w:color w:val="auto"/>
                      <w:sz w:val="21"/>
                      <w:szCs w:val="21"/>
                    </w:rPr>
                  </w:pPr>
                  <w:r>
                    <w:rPr>
                      <w:rFonts w:hint="eastAsia"/>
                      <w:color w:val="auto"/>
                      <w:sz w:val="21"/>
                      <w:szCs w:val="21"/>
                    </w:rPr>
                    <w:t>频发</w:t>
                  </w:r>
                </w:p>
              </w:tc>
              <w:tc>
                <w:tcPr>
                  <w:tcW w:w="1089" w:type="pct"/>
                  <w:vMerge w:val="restart"/>
                  <w:vAlign w:val="center"/>
                </w:tcPr>
                <w:p w14:paraId="31307683">
                  <w:pPr>
                    <w:jc w:val="center"/>
                    <w:rPr>
                      <w:color w:val="auto"/>
                      <w:sz w:val="21"/>
                      <w:szCs w:val="21"/>
                    </w:rPr>
                  </w:pPr>
                  <w:r>
                    <w:rPr>
                      <w:rFonts w:hint="eastAsia"/>
                      <w:color w:val="auto"/>
                      <w:sz w:val="21"/>
                      <w:szCs w:val="21"/>
                    </w:rPr>
                    <w:t>参考《污染源源强核算技术指南》各行业技术指南附录中相关设备声</w:t>
                  </w:r>
                </w:p>
                <w:p w14:paraId="7498C383">
                  <w:pPr>
                    <w:jc w:val="center"/>
                    <w:rPr>
                      <w:color w:val="auto"/>
                      <w:sz w:val="21"/>
                      <w:szCs w:val="21"/>
                    </w:rPr>
                  </w:pPr>
                  <w:r>
                    <w:rPr>
                      <w:rFonts w:hint="eastAsia"/>
                      <w:color w:val="auto"/>
                      <w:sz w:val="21"/>
                      <w:szCs w:val="21"/>
                    </w:rPr>
                    <w:t>源源强资料</w:t>
                  </w:r>
                </w:p>
              </w:tc>
              <w:tc>
                <w:tcPr>
                  <w:tcW w:w="839" w:type="pct"/>
                  <w:vAlign w:val="center"/>
                </w:tcPr>
                <w:p w14:paraId="0D6948DB">
                  <w:pPr>
                    <w:jc w:val="center"/>
                    <w:rPr>
                      <w:color w:val="auto"/>
                      <w:sz w:val="21"/>
                      <w:szCs w:val="21"/>
                    </w:rPr>
                  </w:pPr>
                  <w:r>
                    <w:rPr>
                      <w:rFonts w:hint="eastAsia"/>
                      <w:color w:val="auto"/>
                      <w:sz w:val="21"/>
                      <w:szCs w:val="21"/>
                      <w:lang w:val="en-US" w:eastAsia="zh-CN"/>
                    </w:rPr>
                    <w:t>8</w:t>
                  </w:r>
                  <w:r>
                    <w:rPr>
                      <w:rFonts w:hint="eastAsia"/>
                      <w:color w:val="auto"/>
                      <w:sz w:val="21"/>
                      <w:szCs w:val="21"/>
                    </w:rPr>
                    <w:t>0</w:t>
                  </w:r>
                </w:p>
              </w:tc>
              <w:tc>
                <w:tcPr>
                  <w:tcW w:w="561" w:type="pct"/>
                  <w:vAlign w:val="center"/>
                </w:tcPr>
                <w:p w14:paraId="356A7FF7">
                  <w:pPr>
                    <w:jc w:val="center"/>
                    <w:rPr>
                      <w:color w:val="auto"/>
                      <w:sz w:val="21"/>
                      <w:szCs w:val="21"/>
                    </w:rPr>
                  </w:pPr>
                  <w:r>
                    <w:rPr>
                      <w:rFonts w:hint="eastAsia"/>
                      <w:color w:val="auto"/>
                      <w:sz w:val="21"/>
                      <w:szCs w:val="21"/>
                    </w:rPr>
                    <w:t>7200</w:t>
                  </w:r>
                </w:p>
              </w:tc>
            </w:tr>
            <w:tr w14:paraId="349C9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pct"/>
                  <w:vAlign w:val="center"/>
                </w:tcPr>
                <w:p w14:paraId="7975AFBE">
                  <w:pPr>
                    <w:jc w:val="center"/>
                    <w:rPr>
                      <w:color w:val="auto"/>
                      <w:sz w:val="21"/>
                      <w:szCs w:val="21"/>
                    </w:rPr>
                  </w:pPr>
                  <w:r>
                    <w:rPr>
                      <w:rFonts w:hint="eastAsia"/>
                      <w:color w:val="auto"/>
                      <w:sz w:val="21"/>
                      <w:szCs w:val="21"/>
                      <w:lang w:val="en-US" w:eastAsia="zh-CN"/>
                    </w:rPr>
                    <w:t>筛分</w:t>
                  </w:r>
                  <w:r>
                    <w:rPr>
                      <w:rFonts w:hint="eastAsia"/>
                      <w:color w:val="auto"/>
                      <w:sz w:val="21"/>
                      <w:szCs w:val="21"/>
                    </w:rPr>
                    <w:t>机</w:t>
                  </w:r>
                </w:p>
              </w:tc>
              <w:tc>
                <w:tcPr>
                  <w:tcW w:w="645" w:type="pct"/>
                  <w:vAlign w:val="center"/>
                </w:tcPr>
                <w:p w14:paraId="6F2FC926">
                  <w:pPr>
                    <w:jc w:val="center"/>
                    <w:rPr>
                      <w:color w:val="auto"/>
                      <w:sz w:val="21"/>
                      <w:szCs w:val="21"/>
                    </w:rPr>
                  </w:pPr>
                  <w:r>
                    <w:rPr>
                      <w:rFonts w:hint="eastAsia"/>
                      <w:color w:val="auto"/>
                      <w:sz w:val="21"/>
                      <w:szCs w:val="21"/>
                      <w:lang w:val="en-US" w:eastAsia="zh-CN"/>
                    </w:rPr>
                    <w:t>1</w:t>
                  </w:r>
                  <w:r>
                    <w:rPr>
                      <w:rFonts w:hint="eastAsia"/>
                      <w:color w:val="auto"/>
                      <w:sz w:val="21"/>
                      <w:szCs w:val="21"/>
                    </w:rPr>
                    <w:t>台</w:t>
                  </w:r>
                </w:p>
              </w:tc>
              <w:tc>
                <w:tcPr>
                  <w:tcW w:w="645" w:type="pct"/>
                  <w:vAlign w:val="center"/>
                </w:tcPr>
                <w:p w14:paraId="68576967">
                  <w:pPr>
                    <w:jc w:val="center"/>
                    <w:rPr>
                      <w:color w:val="auto"/>
                      <w:sz w:val="21"/>
                      <w:szCs w:val="21"/>
                    </w:rPr>
                  </w:pPr>
                  <w:r>
                    <w:rPr>
                      <w:rFonts w:hint="eastAsia"/>
                      <w:color w:val="auto"/>
                      <w:sz w:val="21"/>
                      <w:szCs w:val="21"/>
                    </w:rPr>
                    <w:t>室内</w:t>
                  </w:r>
                </w:p>
              </w:tc>
              <w:tc>
                <w:tcPr>
                  <w:tcW w:w="581" w:type="pct"/>
                  <w:vAlign w:val="center"/>
                </w:tcPr>
                <w:p w14:paraId="5C7FC55B">
                  <w:pPr>
                    <w:jc w:val="center"/>
                    <w:rPr>
                      <w:color w:val="auto"/>
                      <w:sz w:val="21"/>
                      <w:szCs w:val="21"/>
                    </w:rPr>
                  </w:pPr>
                  <w:r>
                    <w:rPr>
                      <w:rFonts w:hint="eastAsia"/>
                      <w:color w:val="auto"/>
                      <w:sz w:val="21"/>
                      <w:szCs w:val="21"/>
                    </w:rPr>
                    <w:t>频发</w:t>
                  </w:r>
                </w:p>
              </w:tc>
              <w:tc>
                <w:tcPr>
                  <w:tcW w:w="1089" w:type="pct"/>
                  <w:vMerge w:val="continue"/>
                  <w:vAlign w:val="center"/>
                </w:tcPr>
                <w:p w14:paraId="5A81C376">
                  <w:pPr>
                    <w:jc w:val="center"/>
                    <w:rPr>
                      <w:color w:val="auto"/>
                      <w:sz w:val="21"/>
                      <w:szCs w:val="21"/>
                    </w:rPr>
                  </w:pPr>
                </w:p>
              </w:tc>
              <w:tc>
                <w:tcPr>
                  <w:tcW w:w="839" w:type="pct"/>
                  <w:vAlign w:val="center"/>
                </w:tcPr>
                <w:p w14:paraId="52970A04">
                  <w:pPr>
                    <w:jc w:val="center"/>
                    <w:rPr>
                      <w:rFonts w:hint="default" w:eastAsia="宋体"/>
                      <w:color w:val="auto"/>
                      <w:sz w:val="21"/>
                      <w:szCs w:val="21"/>
                      <w:lang w:val="en-US" w:eastAsia="zh-CN"/>
                    </w:rPr>
                  </w:pPr>
                  <w:r>
                    <w:rPr>
                      <w:rFonts w:hint="eastAsia"/>
                      <w:color w:val="auto"/>
                      <w:sz w:val="21"/>
                      <w:szCs w:val="21"/>
                      <w:lang w:val="en-US" w:eastAsia="zh-CN"/>
                    </w:rPr>
                    <w:t>85</w:t>
                  </w:r>
                </w:p>
              </w:tc>
              <w:tc>
                <w:tcPr>
                  <w:tcW w:w="561" w:type="pct"/>
                  <w:vAlign w:val="center"/>
                </w:tcPr>
                <w:p w14:paraId="7261AEA4">
                  <w:pPr>
                    <w:jc w:val="center"/>
                    <w:rPr>
                      <w:color w:val="auto"/>
                      <w:sz w:val="21"/>
                      <w:szCs w:val="21"/>
                    </w:rPr>
                  </w:pPr>
                  <w:r>
                    <w:rPr>
                      <w:rFonts w:hint="eastAsia"/>
                      <w:color w:val="auto"/>
                      <w:sz w:val="21"/>
                      <w:szCs w:val="21"/>
                    </w:rPr>
                    <w:t>7200</w:t>
                  </w:r>
                </w:p>
              </w:tc>
            </w:tr>
            <w:tr w14:paraId="5906C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pct"/>
                  <w:vAlign w:val="center"/>
                </w:tcPr>
                <w:p w14:paraId="12BD64FC">
                  <w:pPr>
                    <w:jc w:val="center"/>
                    <w:rPr>
                      <w:rFonts w:hint="eastAsia" w:eastAsia="宋体"/>
                      <w:color w:val="auto"/>
                      <w:sz w:val="21"/>
                      <w:szCs w:val="21"/>
                      <w:lang w:eastAsia="zh-CN"/>
                    </w:rPr>
                  </w:pPr>
                  <w:r>
                    <w:rPr>
                      <w:rFonts w:hint="eastAsia"/>
                      <w:color w:val="auto"/>
                      <w:sz w:val="21"/>
                      <w:szCs w:val="21"/>
                      <w:lang w:val="en-US" w:eastAsia="zh-CN"/>
                    </w:rPr>
                    <w:t>布袋除尘器</w:t>
                  </w:r>
                </w:p>
              </w:tc>
              <w:tc>
                <w:tcPr>
                  <w:tcW w:w="645" w:type="pct"/>
                  <w:vAlign w:val="center"/>
                </w:tcPr>
                <w:p w14:paraId="1B5FDC36">
                  <w:pPr>
                    <w:jc w:val="center"/>
                    <w:rPr>
                      <w:color w:val="auto"/>
                      <w:sz w:val="21"/>
                      <w:szCs w:val="21"/>
                    </w:rPr>
                  </w:pPr>
                  <w:r>
                    <w:rPr>
                      <w:rFonts w:hint="eastAsia"/>
                      <w:color w:val="auto"/>
                      <w:sz w:val="21"/>
                      <w:szCs w:val="21"/>
                    </w:rPr>
                    <w:t>1台</w:t>
                  </w:r>
                </w:p>
              </w:tc>
              <w:tc>
                <w:tcPr>
                  <w:tcW w:w="645" w:type="pct"/>
                  <w:vAlign w:val="center"/>
                </w:tcPr>
                <w:p w14:paraId="41CC1601">
                  <w:pPr>
                    <w:jc w:val="center"/>
                    <w:rPr>
                      <w:color w:val="auto"/>
                      <w:sz w:val="21"/>
                      <w:szCs w:val="21"/>
                    </w:rPr>
                  </w:pPr>
                  <w:r>
                    <w:rPr>
                      <w:rFonts w:hint="eastAsia"/>
                      <w:color w:val="auto"/>
                      <w:sz w:val="21"/>
                      <w:szCs w:val="21"/>
                    </w:rPr>
                    <w:t>室内</w:t>
                  </w:r>
                </w:p>
              </w:tc>
              <w:tc>
                <w:tcPr>
                  <w:tcW w:w="581" w:type="pct"/>
                  <w:vAlign w:val="center"/>
                </w:tcPr>
                <w:p w14:paraId="3884A061">
                  <w:pPr>
                    <w:jc w:val="center"/>
                    <w:rPr>
                      <w:color w:val="auto"/>
                      <w:sz w:val="21"/>
                      <w:szCs w:val="21"/>
                    </w:rPr>
                  </w:pPr>
                  <w:r>
                    <w:rPr>
                      <w:rFonts w:hint="eastAsia"/>
                      <w:color w:val="auto"/>
                      <w:sz w:val="21"/>
                      <w:szCs w:val="21"/>
                    </w:rPr>
                    <w:t>频发</w:t>
                  </w:r>
                </w:p>
              </w:tc>
              <w:tc>
                <w:tcPr>
                  <w:tcW w:w="1089" w:type="pct"/>
                  <w:vMerge w:val="continue"/>
                  <w:vAlign w:val="center"/>
                </w:tcPr>
                <w:p w14:paraId="6B790D3F">
                  <w:pPr>
                    <w:jc w:val="center"/>
                    <w:rPr>
                      <w:color w:val="auto"/>
                      <w:sz w:val="21"/>
                      <w:szCs w:val="21"/>
                    </w:rPr>
                  </w:pPr>
                </w:p>
              </w:tc>
              <w:tc>
                <w:tcPr>
                  <w:tcW w:w="839" w:type="pct"/>
                  <w:vAlign w:val="center"/>
                </w:tcPr>
                <w:p w14:paraId="527E1472">
                  <w:pPr>
                    <w:jc w:val="center"/>
                    <w:rPr>
                      <w:color w:val="auto"/>
                      <w:sz w:val="21"/>
                      <w:szCs w:val="21"/>
                    </w:rPr>
                  </w:pPr>
                  <w:r>
                    <w:rPr>
                      <w:rFonts w:hint="eastAsia"/>
                      <w:color w:val="auto"/>
                      <w:sz w:val="21"/>
                      <w:szCs w:val="21"/>
                    </w:rPr>
                    <w:t>80</w:t>
                  </w:r>
                </w:p>
              </w:tc>
              <w:tc>
                <w:tcPr>
                  <w:tcW w:w="561" w:type="pct"/>
                  <w:vAlign w:val="center"/>
                </w:tcPr>
                <w:p w14:paraId="20793BDD">
                  <w:pPr>
                    <w:jc w:val="center"/>
                    <w:rPr>
                      <w:color w:val="auto"/>
                      <w:sz w:val="21"/>
                      <w:szCs w:val="21"/>
                    </w:rPr>
                  </w:pPr>
                  <w:r>
                    <w:rPr>
                      <w:rFonts w:hint="eastAsia"/>
                      <w:color w:val="auto"/>
                      <w:sz w:val="21"/>
                      <w:szCs w:val="21"/>
                    </w:rPr>
                    <w:t>7200</w:t>
                  </w:r>
                </w:p>
              </w:tc>
            </w:tr>
          </w:tbl>
          <w:p w14:paraId="3D4B297C">
            <w:pPr>
              <w:pStyle w:val="81"/>
              <w:ind w:firstLine="498" w:firstLineChars="200"/>
              <w:rPr>
                <w:b/>
                <w:bCs/>
                <w:color w:val="auto"/>
                <w:sz w:val="24"/>
                <w:lang w:val="en-US"/>
              </w:rPr>
            </w:pPr>
            <w:r>
              <w:rPr>
                <w:b/>
                <w:bCs/>
                <w:color w:val="auto"/>
                <w:sz w:val="24"/>
                <w:lang w:val="en-US"/>
              </w:rPr>
              <w:t>（</w:t>
            </w:r>
            <w:r>
              <w:rPr>
                <w:rFonts w:hint="eastAsia"/>
                <w:b/>
                <w:bCs/>
                <w:color w:val="auto"/>
                <w:sz w:val="24"/>
                <w:lang w:val="en-US"/>
              </w:rPr>
              <w:t>二</w:t>
            </w:r>
            <w:r>
              <w:rPr>
                <w:b/>
                <w:bCs/>
                <w:color w:val="auto"/>
                <w:sz w:val="24"/>
                <w:lang w:val="en-US"/>
              </w:rPr>
              <w:t>）噪声预测</w:t>
            </w:r>
          </w:p>
          <w:p w14:paraId="47D4C9EE">
            <w:pPr>
              <w:spacing w:line="360" w:lineRule="auto"/>
              <w:ind w:firstLine="480" w:firstLineChars="200"/>
              <w:rPr>
                <w:color w:val="auto"/>
                <w:sz w:val="24"/>
              </w:rPr>
            </w:pPr>
            <w:r>
              <w:rPr>
                <w:rFonts w:hint="eastAsia"/>
                <w:color w:val="auto"/>
                <w:sz w:val="24"/>
              </w:rPr>
              <w:t>A、预测模式</w:t>
            </w:r>
          </w:p>
          <w:p w14:paraId="388A921D">
            <w:pPr>
              <w:spacing w:line="360" w:lineRule="auto"/>
              <w:ind w:firstLine="480" w:firstLineChars="200"/>
              <w:rPr>
                <w:color w:val="auto"/>
                <w:sz w:val="24"/>
              </w:rPr>
            </w:pPr>
            <w:r>
              <w:rPr>
                <w:rFonts w:hint="eastAsia"/>
                <w:color w:val="auto"/>
                <w:sz w:val="24"/>
              </w:rPr>
              <w:t>根据《环境影响评价技术导则  声环境》（HJ2.4-2021）的要求，项目声环境预测采用的模型为《环境影响评价技术导则  声环境》（HJ2.4-2021）附录B（规范性附录）中“B.1 工业噪声预测计算模型”。</w:t>
            </w:r>
          </w:p>
          <w:p w14:paraId="45FC19ED">
            <w:pPr>
              <w:spacing w:line="360" w:lineRule="auto"/>
              <w:ind w:firstLine="480" w:firstLineChars="200"/>
              <w:rPr>
                <w:color w:val="auto"/>
                <w:sz w:val="24"/>
              </w:rPr>
            </w:pPr>
            <w:r>
              <w:rPr>
                <w:rFonts w:hint="eastAsia"/>
                <w:color w:val="auto"/>
                <w:sz w:val="24"/>
              </w:rPr>
              <w:t>B、声源数据</w:t>
            </w:r>
          </w:p>
          <w:p w14:paraId="63E5DA3C">
            <w:pPr>
              <w:spacing w:line="360" w:lineRule="auto"/>
              <w:ind w:firstLine="480" w:firstLineChars="200"/>
              <w:rPr>
                <w:color w:val="auto"/>
                <w:sz w:val="24"/>
              </w:rPr>
            </w:pPr>
            <w:r>
              <w:rPr>
                <w:bCs/>
                <w:color w:val="auto"/>
                <w:sz w:val="24"/>
              </w:rPr>
              <w:t>项目</w:t>
            </w:r>
            <w:r>
              <w:rPr>
                <w:color w:val="auto"/>
                <w:sz w:val="24"/>
              </w:rPr>
              <w:t>运营期</w:t>
            </w:r>
            <w:r>
              <w:rPr>
                <w:rFonts w:hint="eastAsia"/>
                <w:color w:val="auto"/>
                <w:sz w:val="24"/>
              </w:rPr>
              <w:t>噪声源主要为皮带机、</w:t>
            </w:r>
            <w:r>
              <w:rPr>
                <w:rFonts w:hint="eastAsia"/>
                <w:color w:val="auto"/>
                <w:sz w:val="24"/>
                <w:lang w:val="en-US" w:eastAsia="zh-CN"/>
              </w:rPr>
              <w:t>筛分机</w:t>
            </w:r>
            <w:r>
              <w:rPr>
                <w:rFonts w:hint="eastAsia"/>
                <w:color w:val="auto"/>
                <w:sz w:val="24"/>
              </w:rPr>
              <w:t>和</w:t>
            </w:r>
            <w:r>
              <w:rPr>
                <w:rFonts w:hint="eastAsia"/>
                <w:color w:val="auto"/>
                <w:sz w:val="24"/>
                <w:lang w:val="en-US" w:eastAsia="zh-CN"/>
              </w:rPr>
              <w:t>布袋除尘器</w:t>
            </w:r>
            <w:r>
              <w:rPr>
                <w:rFonts w:hint="eastAsia"/>
                <w:color w:val="auto"/>
                <w:sz w:val="24"/>
              </w:rPr>
              <w:t>等，项目产生的室内噪声源强调查清单见表4-</w:t>
            </w:r>
            <w:r>
              <w:rPr>
                <w:rFonts w:hint="eastAsia"/>
                <w:color w:val="auto"/>
                <w:sz w:val="24"/>
                <w:lang w:val="en-US" w:eastAsia="zh-CN"/>
              </w:rPr>
              <w:t>7</w:t>
            </w:r>
            <w:r>
              <w:rPr>
                <w:rFonts w:hint="eastAsia"/>
                <w:color w:val="auto"/>
                <w:sz w:val="24"/>
              </w:rPr>
              <w:t>。</w:t>
            </w:r>
          </w:p>
          <w:p w14:paraId="6E798359">
            <w:pPr>
              <w:spacing w:line="360" w:lineRule="auto"/>
              <w:ind w:firstLine="480" w:firstLineChars="200"/>
              <w:rPr>
                <w:color w:val="auto"/>
                <w:sz w:val="24"/>
              </w:rPr>
            </w:pPr>
            <w:r>
              <w:rPr>
                <w:rFonts w:hint="eastAsia"/>
                <w:color w:val="auto"/>
                <w:sz w:val="24"/>
              </w:rPr>
              <w:t>以</w:t>
            </w:r>
            <w:r>
              <w:rPr>
                <w:rFonts w:hint="eastAsia"/>
                <w:bCs/>
                <w:color w:val="auto"/>
                <w:sz w:val="24"/>
                <w:lang w:eastAsia="zh-CN"/>
              </w:rPr>
              <w:t>云南常青树化工有限公司</w:t>
            </w:r>
            <w:r>
              <w:rPr>
                <w:rFonts w:hint="eastAsia"/>
                <w:bCs/>
                <w:color w:val="auto"/>
                <w:sz w:val="24"/>
              </w:rPr>
              <w:t>厂界中心（</w:t>
            </w:r>
            <w:r>
              <w:rPr>
                <w:rFonts w:hint="eastAsia"/>
                <w:bCs/>
                <w:color w:val="auto"/>
                <w:sz w:val="24"/>
                <w:lang w:val="en-US" w:eastAsia="zh-CN"/>
              </w:rPr>
              <w:t>103.262826217</w:t>
            </w:r>
            <w:r>
              <w:rPr>
                <w:bCs/>
                <w:color w:val="auto"/>
                <w:sz w:val="24"/>
              </w:rPr>
              <w:t>,25.</w:t>
            </w:r>
            <w:r>
              <w:rPr>
                <w:rFonts w:hint="eastAsia"/>
                <w:bCs/>
                <w:color w:val="auto"/>
                <w:sz w:val="24"/>
                <w:lang w:val="en-US" w:eastAsia="zh-CN"/>
              </w:rPr>
              <w:t>42674967</w:t>
            </w:r>
            <w:r>
              <w:rPr>
                <w:rFonts w:hint="eastAsia"/>
                <w:bCs/>
                <w:color w:val="auto"/>
                <w:sz w:val="24"/>
              </w:rPr>
              <w:t>）</w:t>
            </w:r>
            <w:r>
              <w:rPr>
                <w:color w:val="auto"/>
                <w:sz w:val="24"/>
              </w:rPr>
              <w:t>为坐标原点</w:t>
            </w:r>
            <w:r>
              <w:rPr>
                <w:rFonts w:hint="eastAsia"/>
                <w:color w:val="auto"/>
                <w:sz w:val="24"/>
              </w:rPr>
              <w:t>，原点以东方向为X轴正方向，原点以北方向为Y轴正方向。</w:t>
            </w:r>
          </w:p>
          <w:p w14:paraId="10A71F25">
            <w:pPr>
              <w:jc w:val="center"/>
              <w:rPr>
                <w:rFonts w:hint="eastAsia"/>
                <w:b/>
                <w:bCs/>
                <w:color w:val="auto"/>
                <w:sz w:val="24"/>
                <w:szCs w:val="24"/>
              </w:rPr>
            </w:pPr>
          </w:p>
          <w:p w14:paraId="593B09F9">
            <w:pPr>
              <w:jc w:val="center"/>
              <w:rPr>
                <w:rFonts w:hint="eastAsia"/>
                <w:b/>
                <w:bCs/>
                <w:color w:val="auto"/>
                <w:sz w:val="24"/>
                <w:szCs w:val="24"/>
              </w:rPr>
            </w:pPr>
          </w:p>
          <w:p w14:paraId="429A9730">
            <w:pPr>
              <w:jc w:val="center"/>
              <w:rPr>
                <w:rFonts w:hint="eastAsia"/>
                <w:b/>
                <w:bCs/>
                <w:color w:val="auto"/>
                <w:sz w:val="24"/>
                <w:szCs w:val="24"/>
              </w:rPr>
            </w:pPr>
          </w:p>
          <w:p w14:paraId="7DD50242">
            <w:pPr>
              <w:jc w:val="center"/>
              <w:rPr>
                <w:rFonts w:hint="eastAsia"/>
                <w:b/>
                <w:bCs/>
                <w:color w:val="auto"/>
                <w:sz w:val="24"/>
                <w:szCs w:val="24"/>
              </w:rPr>
            </w:pPr>
          </w:p>
          <w:p w14:paraId="6EAA694D">
            <w:pPr>
              <w:jc w:val="center"/>
              <w:rPr>
                <w:rFonts w:hint="eastAsia"/>
                <w:color w:val="auto"/>
              </w:rPr>
            </w:pPr>
            <w:r>
              <w:rPr>
                <w:rFonts w:hint="eastAsia"/>
                <w:b/>
                <w:bCs/>
                <w:color w:val="auto"/>
                <w:sz w:val="24"/>
                <w:szCs w:val="24"/>
              </w:rPr>
              <w:t>表4-</w:t>
            </w:r>
            <w:r>
              <w:rPr>
                <w:rFonts w:hint="eastAsia"/>
                <w:b/>
                <w:bCs/>
                <w:color w:val="auto"/>
                <w:sz w:val="24"/>
                <w:szCs w:val="24"/>
                <w:lang w:val="en-US" w:eastAsia="zh-CN"/>
              </w:rPr>
              <w:t>7</w:t>
            </w:r>
            <w:r>
              <w:rPr>
                <w:rFonts w:hint="eastAsia"/>
                <w:b/>
                <w:bCs/>
                <w:color w:val="auto"/>
                <w:sz w:val="24"/>
                <w:szCs w:val="24"/>
              </w:rPr>
              <w:t xml:space="preserve">  项目噪声源强调查清单（室内）</w:t>
            </w:r>
          </w:p>
          <w:tbl>
            <w:tblPr>
              <w:tblStyle w:val="45"/>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492"/>
              <w:gridCol w:w="446"/>
              <w:gridCol w:w="409"/>
              <w:gridCol w:w="381"/>
              <w:gridCol w:w="279"/>
              <w:gridCol w:w="306"/>
              <w:gridCol w:w="306"/>
              <w:gridCol w:w="306"/>
              <w:gridCol w:w="316"/>
              <w:gridCol w:w="302"/>
              <w:gridCol w:w="302"/>
              <w:gridCol w:w="302"/>
              <w:gridCol w:w="312"/>
              <w:gridCol w:w="312"/>
              <w:gridCol w:w="299"/>
              <w:gridCol w:w="299"/>
              <w:gridCol w:w="299"/>
              <w:gridCol w:w="306"/>
              <w:gridCol w:w="306"/>
              <w:gridCol w:w="306"/>
              <w:gridCol w:w="306"/>
              <w:gridCol w:w="306"/>
              <w:gridCol w:w="430"/>
            </w:tblGrid>
            <w:tr w14:paraId="794B9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352" w:type="pct"/>
                  <w:vMerge w:val="restart"/>
                  <w:tcBorders>
                    <w:top w:val="single" w:color="auto" w:sz="4" w:space="0"/>
                  </w:tcBorders>
                  <w:vAlign w:val="center"/>
                </w:tcPr>
                <w:p w14:paraId="3C6EC6A9">
                  <w:pPr>
                    <w:jc w:val="center"/>
                    <w:rPr>
                      <w:color w:val="auto"/>
                      <w:sz w:val="21"/>
                      <w:szCs w:val="21"/>
                    </w:rPr>
                  </w:pPr>
                  <w:r>
                    <w:rPr>
                      <w:color w:val="auto"/>
                      <w:sz w:val="21"/>
                      <w:szCs w:val="21"/>
                    </w:rPr>
                    <w:t>建筑物名称</w:t>
                  </w:r>
                </w:p>
              </w:tc>
              <w:tc>
                <w:tcPr>
                  <w:tcW w:w="299" w:type="pct"/>
                  <w:vMerge w:val="restart"/>
                  <w:tcBorders>
                    <w:top w:val="single" w:color="auto" w:sz="4" w:space="0"/>
                  </w:tcBorders>
                  <w:vAlign w:val="center"/>
                </w:tcPr>
                <w:p w14:paraId="1B883EC7">
                  <w:pPr>
                    <w:jc w:val="center"/>
                    <w:rPr>
                      <w:color w:val="auto"/>
                      <w:sz w:val="21"/>
                      <w:szCs w:val="21"/>
                    </w:rPr>
                  </w:pPr>
                  <w:r>
                    <w:rPr>
                      <w:color w:val="auto"/>
                      <w:sz w:val="21"/>
                      <w:szCs w:val="21"/>
                    </w:rPr>
                    <w:t>声源名称</w:t>
                  </w:r>
                </w:p>
              </w:tc>
              <w:tc>
                <w:tcPr>
                  <w:tcW w:w="271" w:type="pct"/>
                  <w:tcBorders>
                    <w:top w:val="single" w:color="auto" w:sz="4" w:space="0"/>
                  </w:tcBorders>
                  <w:vAlign w:val="center"/>
                </w:tcPr>
                <w:p w14:paraId="6ACC1FFF">
                  <w:pPr>
                    <w:jc w:val="center"/>
                    <w:rPr>
                      <w:color w:val="auto"/>
                      <w:sz w:val="21"/>
                      <w:szCs w:val="21"/>
                    </w:rPr>
                  </w:pPr>
                  <w:r>
                    <w:rPr>
                      <w:color w:val="auto"/>
                      <w:sz w:val="21"/>
                      <w:szCs w:val="21"/>
                    </w:rPr>
                    <w:t>声源源强</w:t>
                  </w:r>
                </w:p>
              </w:tc>
              <w:tc>
                <w:tcPr>
                  <w:tcW w:w="651" w:type="pct"/>
                  <w:gridSpan w:val="3"/>
                  <w:tcBorders>
                    <w:top w:val="single" w:color="auto" w:sz="4" w:space="0"/>
                  </w:tcBorders>
                  <w:vAlign w:val="center"/>
                </w:tcPr>
                <w:p w14:paraId="0A1BE07F">
                  <w:pPr>
                    <w:jc w:val="center"/>
                    <w:rPr>
                      <w:color w:val="auto"/>
                      <w:sz w:val="21"/>
                      <w:szCs w:val="21"/>
                    </w:rPr>
                  </w:pPr>
                  <w:r>
                    <w:rPr>
                      <w:color w:val="auto"/>
                      <w:sz w:val="21"/>
                      <w:szCs w:val="21"/>
                    </w:rPr>
                    <w:t>空间相对位置/m</w:t>
                  </w:r>
                </w:p>
              </w:tc>
              <w:tc>
                <w:tcPr>
                  <w:tcW w:w="751" w:type="pct"/>
                  <w:gridSpan w:val="4"/>
                  <w:tcBorders>
                    <w:top w:val="single" w:color="auto" w:sz="4" w:space="0"/>
                  </w:tcBorders>
                  <w:vAlign w:val="center"/>
                </w:tcPr>
                <w:p w14:paraId="1CCB2AF8">
                  <w:pPr>
                    <w:jc w:val="center"/>
                    <w:rPr>
                      <w:color w:val="auto"/>
                      <w:sz w:val="21"/>
                      <w:szCs w:val="21"/>
                    </w:rPr>
                  </w:pPr>
                  <w:r>
                    <w:rPr>
                      <w:color w:val="auto"/>
                      <w:sz w:val="21"/>
                      <w:szCs w:val="21"/>
                    </w:rPr>
                    <w:t>距室内边界距离/m</w:t>
                  </w:r>
                </w:p>
              </w:tc>
              <w:tc>
                <w:tcPr>
                  <w:tcW w:w="742" w:type="pct"/>
                  <w:gridSpan w:val="4"/>
                  <w:tcBorders>
                    <w:top w:val="single" w:color="auto" w:sz="4" w:space="0"/>
                  </w:tcBorders>
                  <w:vAlign w:val="center"/>
                </w:tcPr>
                <w:p w14:paraId="332252F8">
                  <w:pPr>
                    <w:jc w:val="center"/>
                    <w:rPr>
                      <w:color w:val="auto"/>
                      <w:sz w:val="21"/>
                      <w:szCs w:val="21"/>
                    </w:rPr>
                  </w:pPr>
                  <w:r>
                    <w:rPr>
                      <w:color w:val="auto"/>
                      <w:sz w:val="21"/>
                      <w:szCs w:val="21"/>
                    </w:rPr>
                    <w:t>室内边界声级/dB(A)</w:t>
                  </w:r>
                </w:p>
              </w:tc>
              <w:tc>
                <w:tcPr>
                  <w:tcW w:w="189" w:type="pct"/>
                  <w:vMerge w:val="restart"/>
                  <w:tcBorders>
                    <w:top w:val="single" w:color="auto" w:sz="4" w:space="0"/>
                  </w:tcBorders>
                  <w:vAlign w:val="center"/>
                </w:tcPr>
                <w:p w14:paraId="7013D85C">
                  <w:pPr>
                    <w:jc w:val="center"/>
                    <w:rPr>
                      <w:color w:val="auto"/>
                      <w:sz w:val="21"/>
                      <w:szCs w:val="21"/>
                    </w:rPr>
                  </w:pPr>
                  <w:r>
                    <w:rPr>
                      <w:color w:val="auto"/>
                      <w:sz w:val="21"/>
                      <w:szCs w:val="21"/>
                    </w:rPr>
                    <w:t>运行时段</w:t>
                  </w:r>
                </w:p>
              </w:tc>
              <w:tc>
                <w:tcPr>
                  <w:tcW w:w="733" w:type="pct"/>
                  <w:gridSpan w:val="4"/>
                  <w:tcBorders>
                    <w:top w:val="single" w:color="auto" w:sz="4" w:space="0"/>
                  </w:tcBorders>
                  <w:vAlign w:val="center"/>
                </w:tcPr>
                <w:p w14:paraId="6DD61443">
                  <w:pPr>
                    <w:jc w:val="center"/>
                    <w:rPr>
                      <w:color w:val="auto"/>
                      <w:sz w:val="21"/>
                      <w:szCs w:val="21"/>
                    </w:rPr>
                  </w:pPr>
                  <w:r>
                    <w:rPr>
                      <w:color w:val="auto"/>
                      <w:sz w:val="21"/>
                      <w:szCs w:val="21"/>
                    </w:rPr>
                    <w:t>建筑物插入损失 / dB(A)</w:t>
                  </w:r>
                </w:p>
              </w:tc>
              <w:tc>
                <w:tcPr>
                  <w:tcW w:w="1007" w:type="pct"/>
                  <w:gridSpan w:val="5"/>
                  <w:tcBorders>
                    <w:top w:val="single" w:color="auto" w:sz="4" w:space="0"/>
                  </w:tcBorders>
                  <w:vAlign w:val="center"/>
                </w:tcPr>
                <w:p w14:paraId="008A5CBC">
                  <w:pPr>
                    <w:jc w:val="center"/>
                    <w:rPr>
                      <w:color w:val="auto"/>
                      <w:sz w:val="21"/>
                      <w:szCs w:val="21"/>
                    </w:rPr>
                  </w:pPr>
                  <w:r>
                    <w:rPr>
                      <w:color w:val="auto"/>
                      <w:sz w:val="21"/>
                      <w:szCs w:val="21"/>
                    </w:rPr>
                    <w:t>建筑物外噪声声压级/dB(A)</w:t>
                  </w:r>
                </w:p>
              </w:tc>
            </w:tr>
            <w:tr w14:paraId="72B90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2" w:type="pct"/>
                  <w:vMerge w:val="continue"/>
                  <w:shd w:val="clear" w:color="auto" w:fill="FFFFFF"/>
                  <w:tcMar>
                    <w:top w:w="0" w:type="dxa"/>
                    <w:left w:w="0" w:type="dxa"/>
                    <w:bottom w:w="0" w:type="dxa"/>
                    <w:right w:w="0" w:type="dxa"/>
                  </w:tcMar>
                  <w:vAlign w:val="center"/>
                </w:tcPr>
                <w:p w14:paraId="1AB342B0">
                  <w:pPr>
                    <w:jc w:val="center"/>
                    <w:rPr>
                      <w:color w:val="auto"/>
                      <w:sz w:val="21"/>
                      <w:szCs w:val="21"/>
                    </w:rPr>
                  </w:pPr>
                </w:p>
              </w:tc>
              <w:tc>
                <w:tcPr>
                  <w:tcW w:w="299" w:type="pct"/>
                  <w:vMerge w:val="continue"/>
                  <w:shd w:val="clear" w:color="auto" w:fill="FFFFFF"/>
                  <w:tcMar>
                    <w:top w:w="0" w:type="dxa"/>
                    <w:left w:w="0" w:type="dxa"/>
                    <w:bottom w:w="0" w:type="dxa"/>
                    <w:right w:w="0" w:type="dxa"/>
                  </w:tcMar>
                  <w:vAlign w:val="center"/>
                </w:tcPr>
                <w:p w14:paraId="4F6FA525">
                  <w:pPr>
                    <w:jc w:val="center"/>
                    <w:rPr>
                      <w:color w:val="auto"/>
                      <w:sz w:val="21"/>
                      <w:szCs w:val="21"/>
                    </w:rPr>
                  </w:pPr>
                </w:p>
              </w:tc>
              <w:tc>
                <w:tcPr>
                  <w:tcW w:w="271" w:type="pct"/>
                  <w:shd w:val="clear" w:color="auto" w:fill="FFFFFF"/>
                  <w:tcMar>
                    <w:top w:w="0" w:type="dxa"/>
                    <w:left w:w="0" w:type="dxa"/>
                    <w:bottom w:w="0" w:type="dxa"/>
                    <w:right w:w="0" w:type="dxa"/>
                  </w:tcMar>
                  <w:vAlign w:val="center"/>
                </w:tcPr>
                <w:p w14:paraId="61E0C8FC">
                  <w:pPr>
                    <w:jc w:val="center"/>
                    <w:rPr>
                      <w:color w:val="auto"/>
                      <w:sz w:val="21"/>
                      <w:szCs w:val="21"/>
                    </w:rPr>
                  </w:pPr>
                  <w:r>
                    <w:rPr>
                      <w:color w:val="auto"/>
                      <w:sz w:val="21"/>
                      <w:szCs w:val="21"/>
                    </w:rPr>
                    <w:t>声功率级/dB(A)</w:t>
                  </w:r>
                </w:p>
              </w:tc>
              <w:tc>
                <w:tcPr>
                  <w:tcW w:w="249" w:type="pct"/>
                  <w:shd w:val="clear" w:color="auto" w:fill="FFFFFF"/>
                  <w:tcMar>
                    <w:top w:w="0" w:type="dxa"/>
                    <w:left w:w="0" w:type="dxa"/>
                    <w:bottom w:w="0" w:type="dxa"/>
                    <w:right w:w="0" w:type="dxa"/>
                  </w:tcMar>
                  <w:vAlign w:val="center"/>
                </w:tcPr>
                <w:p w14:paraId="6588346A">
                  <w:pPr>
                    <w:jc w:val="center"/>
                    <w:rPr>
                      <w:color w:val="auto"/>
                      <w:sz w:val="21"/>
                      <w:szCs w:val="21"/>
                    </w:rPr>
                  </w:pPr>
                  <w:r>
                    <w:rPr>
                      <w:color w:val="auto"/>
                      <w:sz w:val="21"/>
                      <w:szCs w:val="21"/>
                    </w:rPr>
                    <w:t>X</w:t>
                  </w:r>
                </w:p>
              </w:tc>
              <w:tc>
                <w:tcPr>
                  <w:tcW w:w="232" w:type="pct"/>
                  <w:shd w:val="clear" w:color="auto" w:fill="FFFFFF"/>
                  <w:tcMar>
                    <w:top w:w="0" w:type="dxa"/>
                    <w:left w:w="0" w:type="dxa"/>
                    <w:bottom w:w="0" w:type="dxa"/>
                    <w:right w:w="0" w:type="dxa"/>
                  </w:tcMar>
                  <w:vAlign w:val="center"/>
                </w:tcPr>
                <w:p w14:paraId="5336E3DD">
                  <w:pPr>
                    <w:jc w:val="center"/>
                    <w:rPr>
                      <w:color w:val="auto"/>
                      <w:sz w:val="21"/>
                      <w:szCs w:val="21"/>
                    </w:rPr>
                  </w:pPr>
                  <w:r>
                    <w:rPr>
                      <w:color w:val="auto"/>
                      <w:sz w:val="21"/>
                      <w:szCs w:val="21"/>
                    </w:rPr>
                    <w:t>Y</w:t>
                  </w:r>
                </w:p>
              </w:tc>
              <w:tc>
                <w:tcPr>
                  <w:tcW w:w="169" w:type="pct"/>
                  <w:shd w:val="clear" w:color="auto" w:fill="FFFFFF"/>
                  <w:tcMar>
                    <w:top w:w="0" w:type="dxa"/>
                    <w:left w:w="0" w:type="dxa"/>
                    <w:bottom w:w="0" w:type="dxa"/>
                    <w:right w:w="0" w:type="dxa"/>
                  </w:tcMar>
                  <w:vAlign w:val="center"/>
                </w:tcPr>
                <w:p w14:paraId="64AB0E36">
                  <w:pPr>
                    <w:jc w:val="center"/>
                    <w:rPr>
                      <w:color w:val="auto"/>
                      <w:sz w:val="21"/>
                      <w:szCs w:val="21"/>
                    </w:rPr>
                  </w:pPr>
                  <w:r>
                    <w:rPr>
                      <w:color w:val="auto"/>
                      <w:sz w:val="21"/>
                      <w:szCs w:val="21"/>
                    </w:rPr>
                    <w:t>Z</w:t>
                  </w:r>
                </w:p>
              </w:tc>
              <w:tc>
                <w:tcPr>
                  <w:tcW w:w="186" w:type="pct"/>
                  <w:shd w:val="clear" w:color="auto" w:fill="FFFFFF"/>
                  <w:tcMar>
                    <w:top w:w="0" w:type="dxa"/>
                    <w:left w:w="0" w:type="dxa"/>
                    <w:bottom w:w="0" w:type="dxa"/>
                    <w:right w:w="0" w:type="dxa"/>
                  </w:tcMar>
                  <w:vAlign w:val="center"/>
                </w:tcPr>
                <w:p w14:paraId="0698F1D7">
                  <w:pPr>
                    <w:jc w:val="center"/>
                    <w:rPr>
                      <w:color w:val="auto"/>
                      <w:sz w:val="21"/>
                      <w:szCs w:val="21"/>
                    </w:rPr>
                  </w:pPr>
                  <w:r>
                    <w:rPr>
                      <w:color w:val="auto"/>
                      <w:sz w:val="21"/>
                      <w:szCs w:val="21"/>
                    </w:rPr>
                    <w:t>东</w:t>
                  </w:r>
                </w:p>
              </w:tc>
              <w:tc>
                <w:tcPr>
                  <w:tcW w:w="186" w:type="pct"/>
                  <w:shd w:val="clear" w:color="auto" w:fill="FFFFFF"/>
                  <w:tcMar>
                    <w:top w:w="0" w:type="dxa"/>
                    <w:left w:w="0" w:type="dxa"/>
                    <w:bottom w:w="0" w:type="dxa"/>
                    <w:right w:w="0" w:type="dxa"/>
                  </w:tcMar>
                  <w:vAlign w:val="center"/>
                </w:tcPr>
                <w:p w14:paraId="69D4AD50">
                  <w:pPr>
                    <w:jc w:val="center"/>
                    <w:rPr>
                      <w:color w:val="auto"/>
                      <w:sz w:val="21"/>
                      <w:szCs w:val="21"/>
                    </w:rPr>
                  </w:pPr>
                  <w:r>
                    <w:rPr>
                      <w:color w:val="auto"/>
                      <w:sz w:val="21"/>
                      <w:szCs w:val="21"/>
                    </w:rPr>
                    <w:t>南</w:t>
                  </w:r>
                </w:p>
              </w:tc>
              <w:tc>
                <w:tcPr>
                  <w:tcW w:w="186" w:type="pct"/>
                  <w:shd w:val="clear" w:color="auto" w:fill="FFFFFF"/>
                  <w:tcMar>
                    <w:top w:w="0" w:type="dxa"/>
                    <w:left w:w="0" w:type="dxa"/>
                    <w:bottom w:w="0" w:type="dxa"/>
                    <w:right w:w="0" w:type="dxa"/>
                  </w:tcMar>
                  <w:vAlign w:val="center"/>
                </w:tcPr>
                <w:p w14:paraId="4A2A2EB5">
                  <w:pPr>
                    <w:jc w:val="center"/>
                    <w:rPr>
                      <w:color w:val="auto"/>
                      <w:sz w:val="21"/>
                      <w:szCs w:val="21"/>
                    </w:rPr>
                  </w:pPr>
                  <w:r>
                    <w:rPr>
                      <w:color w:val="auto"/>
                      <w:sz w:val="21"/>
                      <w:szCs w:val="21"/>
                    </w:rPr>
                    <w:t>西</w:t>
                  </w:r>
                </w:p>
              </w:tc>
              <w:tc>
                <w:tcPr>
                  <w:tcW w:w="192" w:type="pct"/>
                  <w:shd w:val="clear" w:color="auto" w:fill="FFFFFF"/>
                  <w:tcMar>
                    <w:top w:w="0" w:type="dxa"/>
                    <w:left w:w="0" w:type="dxa"/>
                    <w:bottom w:w="0" w:type="dxa"/>
                    <w:right w:w="0" w:type="dxa"/>
                  </w:tcMar>
                  <w:vAlign w:val="center"/>
                </w:tcPr>
                <w:p w14:paraId="06D3B21A">
                  <w:pPr>
                    <w:jc w:val="center"/>
                    <w:rPr>
                      <w:color w:val="auto"/>
                      <w:sz w:val="21"/>
                      <w:szCs w:val="21"/>
                    </w:rPr>
                  </w:pPr>
                  <w:r>
                    <w:rPr>
                      <w:color w:val="auto"/>
                      <w:sz w:val="21"/>
                      <w:szCs w:val="21"/>
                    </w:rPr>
                    <w:t>北</w:t>
                  </w:r>
                </w:p>
              </w:tc>
              <w:tc>
                <w:tcPr>
                  <w:tcW w:w="184" w:type="pct"/>
                  <w:shd w:val="clear" w:color="auto" w:fill="FFFFFF"/>
                  <w:tcMar>
                    <w:top w:w="0" w:type="dxa"/>
                    <w:left w:w="0" w:type="dxa"/>
                    <w:bottom w:w="0" w:type="dxa"/>
                    <w:right w:w="0" w:type="dxa"/>
                  </w:tcMar>
                  <w:vAlign w:val="center"/>
                </w:tcPr>
                <w:p w14:paraId="20358DE2">
                  <w:pPr>
                    <w:jc w:val="center"/>
                    <w:rPr>
                      <w:color w:val="auto"/>
                      <w:sz w:val="21"/>
                      <w:szCs w:val="21"/>
                    </w:rPr>
                  </w:pPr>
                  <w:r>
                    <w:rPr>
                      <w:color w:val="auto"/>
                      <w:sz w:val="21"/>
                      <w:szCs w:val="21"/>
                    </w:rPr>
                    <w:t>东</w:t>
                  </w:r>
                </w:p>
              </w:tc>
              <w:tc>
                <w:tcPr>
                  <w:tcW w:w="184" w:type="pct"/>
                  <w:shd w:val="clear" w:color="auto" w:fill="FFFFFF"/>
                  <w:tcMar>
                    <w:top w:w="0" w:type="dxa"/>
                    <w:left w:w="0" w:type="dxa"/>
                    <w:bottom w:w="0" w:type="dxa"/>
                    <w:right w:w="0" w:type="dxa"/>
                  </w:tcMar>
                  <w:vAlign w:val="center"/>
                </w:tcPr>
                <w:p w14:paraId="7ECC1FAB">
                  <w:pPr>
                    <w:jc w:val="center"/>
                    <w:rPr>
                      <w:color w:val="auto"/>
                      <w:sz w:val="21"/>
                      <w:szCs w:val="21"/>
                    </w:rPr>
                  </w:pPr>
                  <w:r>
                    <w:rPr>
                      <w:color w:val="auto"/>
                      <w:sz w:val="21"/>
                      <w:szCs w:val="21"/>
                    </w:rPr>
                    <w:t>南</w:t>
                  </w:r>
                </w:p>
              </w:tc>
              <w:tc>
                <w:tcPr>
                  <w:tcW w:w="184" w:type="pct"/>
                  <w:shd w:val="clear" w:color="auto" w:fill="FFFFFF"/>
                  <w:tcMar>
                    <w:top w:w="0" w:type="dxa"/>
                    <w:left w:w="0" w:type="dxa"/>
                    <w:bottom w:w="0" w:type="dxa"/>
                    <w:right w:w="0" w:type="dxa"/>
                  </w:tcMar>
                  <w:vAlign w:val="center"/>
                </w:tcPr>
                <w:p w14:paraId="6B3D13C3">
                  <w:pPr>
                    <w:jc w:val="center"/>
                    <w:rPr>
                      <w:color w:val="auto"/>
                      <w:sz w:val="21"/>
                      <w:szCs w:val="21"/>
                    </w:rPr>
                  </w:pPr>
                  <w:r>
                    <w:rPr>
                      <w:color w:val="auto"/>
                      <w:sz w:val="21"/>
                      <w:szCs w:val="21"/>
                    </w:rPr>
                    <w:t>西</w:t>
                  </w:r>
                </w:p>
              </w:tc>
              <w:tc>
                <w:tcPr>
                  <w:tcW w:w="189" w:type="pct"/>
                  <w:shd w:val="clear" w:color="auto" w:fill="FFFFFF"/>
                  <w:tcMar>
                    <w:top w:w="0" w:type="dxa"/>
                    <w:left w:w="0" w:type="dxa"/>
                    <w:bottom w:w="0" w:type="dxa"/>
                    <w:right w:w="0" w:type="dxa"/>
                  </w:tcMar>
                  <w:vAlign w:val="center"/>
                </w:tcPr>
                <w:p w14:paraId="2697FDB4">
                  <w:pPr>
                    <w:jc w:val="center"/>
                    <w:rPr>
                      <w:color w:val="auto"/>
                      <w:sz w:val="21"/>
                      <w:szCs w:val="21"/>
                    </w:rPr>
                  </w:pPr>
                  <w:r>
                    <w:rPr>
                      <w:color w:val="auto"/>
                      <w:sz w:val="21"/>
                      <w:szCs w:val="21"/>
                    </w:rPr>
                    <w:t>北</w:t>
                  </w:r>
                </w:p>
              </w:tc>
              <w:tc>
                <w:tcPr>
                  <w:tcW w:w="189" w:type="pct"/>
                  <w:vMerge w:val="continue"/>
                  <w:shd w:val="clear" w:color="auto" w:fill="FFFFFF"/>
                  <w:tcMar>
                    <w:top w:w="0" w:type="dxa"/>
                    <w:left w:w="0" w:type="dxa"/>
                    <w:bottom w:w="0" w:type="dxa"/>
                    <w:right w:w="0" w:type="dxa"/>
                  </w:tcMar>
                  <w:vAlign w:val="center"/>
                </w:tcPr>
                <w:p w14:paraId="614A85B8">
                  <w:pPr>
                    <w:jc w:val="center"/>
                    <w:rPr>
                      <w:color w:val="auto"/>
                      <w:sz w:val="21"/>
                      <w:szCs w:val="21"/>
                    </w:rPr>
                  </w:pPr>
                </w:p>
              </w:tc>
              <w:tc>
                <w:tcPr>
                  <w:tcW w:w="182" w:type="pct"/>
                  <w:shd w:val="clear" w:color="auto" w:fill="FFFFFF"/>
                  <w:tcMar>
                    <w:top w:w="0" w:type="dxa"/>
                    <w:left w:w="0" w:type="dxa"/>
                    <w:bottom w:w="0" w:type="dxa"/>
                    <w:right w:w="0" w:type="dxa"/>
                  </w:tcMar>
                  <w:vAlign w:val="center"/>
                </w:tcPr>
                <w:p w14:paraId="7110E3D2">
                  <w:pPr>
                    <w:jc w:val="center"/>
                    <w:rPr>
                      <w:color w:val="auto"/>
                      <w:sz w:val="21"/>
                      <w:szCs w:val="21"/>
                    </w:rPr>
                  </w:pPr>
                  <w:r>
                    <w:rPr>
                      <w:color w:val="auto"/>
                      <w:sz w:val="21"/>
                      <w:szCs w:val="21"/>
                    </w:rPr>
                    <w:t>东</w:t>
                  </w:r>
                </w:p>
              </w:tc>
              <w:tc>
                <w:tcPr>
                  <w:tcW w:w="182" w:type="pct"/>
                  <w:shd w:val="clear" w:color="auto" w:fill="FFFFFF"/>
                  <w:tcMar>
                    <w:top w:w="0" w:type="dxa"/>
                    <w:left w:w="0" w:type="dxa"/>
                    <w:bottom w:w="0" w:type="dxa"/>
                    <w:right w:w="0" w:type="dxa"/>
                  </w:tcMar>
                  <w:vAlign w:val="center"/>
                </w:tcPr>
                <w:p w14:paraId="066DC9CF">
                  <w:pPr>
                    <w:jc w:val="center"/>
                    <w:rPr>
                      <w:color w:val="auto"/>
                      <w:sz w:val="21"/>
                      <w:szCs w:val="21"/>
                    </w:rPr>
                  </w:pPr>
                  <w:r>
                    <w:rPr>
                      <w:color w:val="auto"/>
                      <w:sz w:val="21"/>
                      <w:szCs w:val="21"/>
                    </w:rPr>
                    <w:t>南</w:t>
                  </w:r>
                </w:p>
              </w:tc>
              <w:tc>
                <w:tcPr>
                  <w:tcW w:w="182" w:type="pct"/>
                  <w:shd w:val="clear" w:color="auto" w:fill="FFFFFF"/>
                  <w:tcMar>
                    <w:top w:w="0" w:type="dxa"/>
                    <w:left w:w="0" w:type="dxa"/>
                    <w:bottom w:w="0" w:type="dxa"/>
                    <w:right w:w="0" w:type="dxa"/>
                  </w:tcMar>
                  <w:vAlign w:val="center"/>
                </w:tcPr>
                <w:p w14:paraId="15CB4294">
                  <w:pPr>
                    <w:jc w:val="center"/>
                    <w:rPr>
                      <w:color w:val="auto"/>
                      <w:sz w:val="21"/>
                      <w:szCs w:val="21"/>
                    </w:rPr>
                  </w:pPr>
                  <w:r>
                    <w:rPr>
                      <w:color w:val="auto"/>
                      <w:sz w:val="21"/>
                      <w:szCs w:val="21"/>
                    </w:rPr>
                    <w:t>西</w:t>
                  </w:r>
                </w:p>
              </w:tc>
              <w:tc>
                <w:tcPr>
                  <w:tcW w:w="186" w:type="pct"/>
                  <w:shd w:val="clear" w:color="auto" w:fill="FFFFFF"/>
                  <w:tcMar>
                    <w:top w:w="0" w:type="dxa"/>
                    <w:left w:w="0" w:type="dxa"/>
                    <w:bottom w:w="0" w:type="dxa"/>
                    <w:right w:w="0" w:type="dxa"/>
                  </w:tcMar>
                  <w:vAlign w:val="center"/>
                </w:tcPr>
                <w:p w14:paraId="53DCA922">
                  <w:pPr>
                    <w:jc w:val="center"/>
                    <w:rPr>
                      <w:color w:val="auto"/>
                      <w:sz w:val="21"/>
                      <w:szCs w:val="21"/>
                    </w:rPr>
                  </w:pPr>
                  <w:r>
                    <w:rPr>
                      <w:color w:val="auto"/>
                      <w:sz w:val="21"/>
                      <w:szCs w:val="21"/>
                    </w:rPr>
                    <w:t>北</w:t>
                  </w:r>
                </w:p>
              </w:tc>
              <w:tc>
                <w:tcPr>
                  <w:tcW w:w="186" w:type="pct"/>
                  <w:shd w:val="clear" w:color="auto" w:fill="FFFFFF"/>
                  <w:tcMar>
                    <w:top w:w="0" w:type="dxa"/>
                    <w:left w:w="0" w:type="dxa"/>
                    <w:bottom w:w="0" w:type="dxa"/>
                    <w:right w:w="0" w:type="dxa"/>
                  </w:tcMar>
                  <w:vAlign w:val="center"/>
                </w:tcPr>
                <w:p w14:paraId="6EE043BB">
                  <w:pPr>
                    <w:jc w:val="center"/>
                    <w:rPr>
                      <w:color w:val="auto"/>
                      <w:sz w:val="21"/>
                      <w:szCs w:val="21"/>
                    </w:rPr>
                  </w:pPr>
                  <w:r>
                    <w:rPr>
                      <w:color w:val="auto"/>
                      <w:sz w:val="21"/>
                      <w:szCs w:val="21"/>
                    </w:rPr>
                    <w:t>东</w:t>
                  </w:r>
                </w:p>
              </w:tc>
              <w:tc>
                <w:tcPr>
                  <w:tcW w:w="186" w:type="pct"/>
                  <w:shd w:val="clear" w:color="auto" w:fill="FFFFFF"/>
                  <w:tcMar>
                    <w:top w:w="0" w:type="dxa"/>
                    <w:left w:w="0" w:type="dxa"/>
                    <w:bottom w:w="0" w:type="dxa"/>
                    <w:right w:w="0" w:type="dxa"/>
                  </w:tcMar>
                  <w:vAlign w:val="center"/>
                </w:tcPr>
                <w:p w14:paraId="3D32D042">
                  <w:pPr>
                    <w:jc w:val="center"/>
                    <w:rPr>
                      <w:color w:val="auto"/>
                      <w:sz w:val="21"/>
                      <w:szCs w:val="21"/>
                    </w:rPr>
                  </w:pPr>
                  <w:r>
                    <w:rPr>
                      <w:color w:val="auto"/>
                      <w:sz w:val="21"/>
                      <w:szCs w:val="21"/>
                    </w:rPr>
                    <w:t>南</w:t>
                  </w:r>
                </w:p>
              </w:tc>
              <w:tc>
                <w:tcPr>
                  <w:tcW w:w="186" w:type="pct"/>
                  <w:shd w:val="clear" w:color="auto" w:fill="FFFFFF"/>
                  <w:tcMar>
                    <w:top w:w="0" w:type="dxa"/>
                    <w:left w:w="0" w:type="dxa"/>
                    <w:bottom w:w="0" w:type="dxa"/>
                    <w:right w:w="0" w:type="dxa"/>
                  </w:tcMar>
                  <w:vAlign w:val="center"/>
                </w:tcPr>
                <w:p w14:paraId="16F6CD3E">
                  <w:pPr>
                    <w:jc w:val="center"/>
                    <w:rPr>
                      <w:color w:val="auto"/>
                      <w:sz w:val="21"/>
                      <w:szCs w:val="21"/>
                    </w:rPr>
                  </w:pPr>
                  <w:r>
                    <w:rPr>
                      <w:color w:val="auto"/>
                      <w:sz w:val="21"/>
                      <w:szCs w:val="21"/>
                    </w:rPr>
                    <w:t>西</w:t>
                  </w:r>
                </w:p>
              </w:tc>
              <w:tc>
                <w:tcPr>
                  <w:tcW w:w="186" w:type="pct"/>
                  <w:shd w:val="clear" w:color="auto" w:fill="FFFFFF"/>
                  <w:tcMar>
                    <w:top w:w="0" w:type="dxa"/>
                    <w:left w:w="0" w:type="dxa"/>
                    <w:bottom w:w="0" w:type="dxa"/>
                    <w:right w:w="0" w:type="dxa"/>
                  </w:tcMar>
                  <w:vAlign w:val="center"/>
                </w:tcPr>
                <w:p w14:paraId="78B94A88">
                  <w:pPr>
                    <w:jc w:val="center"/>
                    <w:rPr>
                      <w:color w:val="auto"/>
                      <w:sz w:val="21"/>
                      <w:szCs w:val="21"/>
                    </w:rPr>
                  </w:pPr>
                  <w:r>
                    <w:rPr>
                      <w:color w:val="auto"/>
                      <w:sz w:val="21"/>
                      <w:szCs w:val="21"/>
                    </w:rPr>
                    <w:t>北</w:t>
                  </w:r>
                </w:p>
              </w:tc>
              <w:tc>
                <w:tcPr>
                  <w:tcW w:w="262" w:type="pct"/>
                  <w:shd w:val="clear" w:color="auto" w:fill="FFFFFF"/>
                  <w:tcMar>
                    <w:top w:w="0" w:type="dxa"/>
                    <w:left w:w="0" w:type="dxa"/>
                    <w:bottom w:w="0" w:type="dxa"/>
                    <w:right w:w="0" w:type="dxa"/>
                  </w:tcMar>
                  <w:vAlign w:val="center"/>
                </w:tcPr>
                <w:p w14:paraId="5662C7DD">
                  <w:pPr>
                    <w:jc w:val="center"/>
                    <w:rPr>
                      <w:color w:val="auto"/>
                      <w:sz w:val="21"/>
                      <w:szCs w:val="21"/>
                    </w:rPr>
                  </w:pPr>
                  <w:r>
                    <w:rPr>
                      <w:color w:val="auto"/>
                      <w:sz w:val="21"/>
                      <w:szCs w:val="21"/>
                    </w:rPr>
                    <w:t>建筑物外距离</w:t>
                  </w:r>
                </w:p>
              </w:tc>
            </w:tr>
            <w:tr w14:paraId="280A1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2" w:type="pct"/>
                  <w:vMerge w:val="restart"/>
                  <w:shd w:val="clear" w:color="auto" w:fill="FFFFFF"/>
                  <w:tcMar>
                    <w:top w:w="0" w:type="dxa"/>
                    <w:left w:w="0" w:type="dxa"/>
                    <w:bottom w:w="0" w:type="dxa"/>
                    <w:right w:w="0" w:type="dxa"/>
                  </w:tcMar>
                  <w:vAlign w:val="center"/>
                </w:tcPr>
                <w:p w14:paraId="678690C8">
                  <w:pPr>
                    <w:jc w:val="center"/>
                    <w:rPr>
                      <w:rFonts w:hint="eastAsia" w:eastAsia="宋体"/>
                      <w:color w:val="auto"/>
                      <w:sz w:val="21"/>
                      <w:szCs w:val="21"/>
                      <w:lang w:eastAsia="zh-CN"/>
                    </w:rPr>
                  </w:pPr>
                  <w:r>
                    <w:rPr>
                      <w:rFonts w:hint="eastAsia"/>
                      <w:color w:val="auto"/>
                      <w:sz w:val="21"/>
                      <w:szCs w:val="21"/>
                      <w:lang w:val="en-US" w:eastAsia="zh-CN"/>
                    </w:rPr>
                    <w:t>车间</w:t>
                  </w:r>
                </w:p>
              </w:tc>
              <w:tc>
                <w:tcPr>
                  <w:tcW w:w="299" w:type="pct"/>
                  <w:shd w:val="clear" w:color="auto" w:fill="FFFFFF"/>
                  <w:tcMar>
                    <w:top w:w="0" w:type="dxa"/>
                    <w:left w:w="0" w:type="dxa"/>
                    <w:bottom w:w="0" w:type="dxa"/>
                    <w:right w:w="0" w:type="dxa"/>
                  </w:tcMar>
                  <w:vAlign w:val="center"/>
                </w:tcPr>
                <w:p w14:paraId="6CF0FB64">
                  <w:pPr>
                    <w:jc w:val="center"/>
                    <w:rPr>
                      <w:color w:val="auto"/>
                      <w:sz w:val="21"/>
                      <w:szCs w:val="21"/>
                    </w:rPr>
                  </w:pPr>
                  <w:r>
                    <w:rPr>
                      <w:rFonts w:hint="eastAsia"/>
                      <w:color w:val="auto"/>
                      <w:sz w:val="21"/>
                      <w:szCs w:val="21"/>
                      <w:lang w:val="en-US" w:eastAsia="zh-CN"/>
                    </w:rPr>
                    <w:t>皮带</w:t>
                  </w:r>
                  <w:r>
                    <w:rPr>
                      <w:rFonts w:hint="eastAsia"/>
                      <w:color w:val="auto"/>
                      <w:sz w:val="21"/>
                      <w:szCs w:val="21"/>
                    </w:rPr>
                    <w:t>机</w:t>
                  </w:r>
                </w:p>
              </w:tc>
              <w:tc>
                <w:tcPr>
                  <w:tcW w:w="271" w:type="pct"/>
                  <w:shd w:val="clear" w:color="auto" w:fill="FFFFFF"/>
                  <w:tcMar>
                    <w:top w:w="0" w:type="dxa"/>
                    <w:left w:w="0" w:type="dxa"/>
                    <w:bottom w:w="0" w:type="dxa"/>
                    <w:right w:w="0" w:type="dxa"/>
                  </w:tcMar>
                  <w:vAlign w:val="center"/>
                </w:tcPr>
                <w:p w14:paraId="1D00491C">
                  <w:pPr>
                    <w:jc w:val="center"/>
                    <w:rPr>
                      <w:color w:val="auto"/>
                      <w:sz w:val="21"/>
                      <w:szCs w:val="21"/>
                    </w:rPr>
                  </w:pPr>
                  <w:r>
                    <w:rPr>
                      <w:rFonts w:hint="eastAsia"/>
                      <w:color w:val="auto"/>
                      <w:sz w:val="21"/>
                      <w:szCs w:val="21"/>
                      <w:lang w:val="en-US" w:eastAsia="zh-CN"/>
                    </w:rPr>
                    <w:t>8</w:t>
                  </w:r>
                  <w:r>
                    <w:rPr>
                      <w:rFonts w:hint="eastAsia"/>
                      <w:color w:val="auto"/>
                      <w:sz w:val="21"/>
                      <w:szCs w:val="21"/>
                    </w:rPr>
                    <w:t>0</w:t>
                  </w:r>
                </w:p>
              </w:tc>
              <w:tc>
                <w:tcPr>
                  <w:tcW w:w="249" w:type="pct"/>
                  <w:shd w:val="clear" w:color="auto" w:fill="FFFFFF"/>
                  <w:tcMar>
                    <w:top w:w="0" w:type="dxa"/>
                    <w:left w:w="0" w:type="dxa"/>
                    <w:bottom w:w="0" w:type="dxa"/>
                    <w:right w:w="0" w:type="dxa"/>
                  </w:tcMar>
                  <w:vAlign w:val="center"/>
                </w:tcPr>
                <w:p w14:paraId="3D360DA7">
                  <w:pPr>
                    <w:jc w:val="center"/>
                    <w:rPr>
                      <w:rFonts w:hint="default" w:eastAsia="宋体"/>
                      <w:color w:val="auto"/>
                      <w:sz w:val="21"/>
                      <w:szCs w:val="21"/>
                      <w:lang w:val="en-US" w:eastAsia="zh-CN"/>
                    </w:rPr>
                  </w:pPr>
                  <w:r>
                    <w:rPr>
                      <w:rFonts w:hint="eastAsia"/>
                      <w:color w:val="auto"/>
                      <w:sz w:val="21"/>
                      <w:szCs w:val="21"/>
                      <w:lang w:val="en-US" w:eastAsia="zh-CN"/>
                    </w:rPr>
                    <w:t>50.41</w:t>
                  </w:r>
                </w:p>
              </w:tc>
              <w:tc>
                <w:tcPr>
                  <w:tcW w:w="232" w:type="pct"/>
                  <w:shd w:val="clear" w:color="auto" w:fill="FFFFFF"/>
                  <w:tcMar>
                    <w:top w:w="0" w:type="dxa"/>
                    <w:left w:w="0" w:type="dxa"/>
                    <w:bottom w:w="0" w:type="dxa"/>
                    <w:right w:w="0" w:type="dxa"/>
                  </w:tcMar>
                  <w:vAlign w:val="center"/>
                </w:tcPr>
                <w:p w14:paraId="65315AB1">
                  <w:pPr>
                    <w:jc w:val="center"/>
                    <w:rPr>
                      <w:rFonts w:hint="default" w:eastAsia="宋体"/>
                      <w:color w:val="auto"/>
                      <w:sz w:val="21"/>
                      <w:szCs w:val="21"/>
                      <w:lang w:val="en-US" w:eastAsia="zh-CN"/>
                    </w:rPr>
                  </w:pPr>
                  <w:r>
                    <w:rPr>
                      <w:rFonts w:hint="eastAsia"/>
                      <w:color w:val="auto"/>
                      <w:sz w:val="21"/>
                      <w:szCs w:val="21"/>
                      <w:lang w:val="en-US" w:eastAsia="zh-CN"/>
                    </w:rPr>
                    <w:t>24.78</w:t>
                  </w:r>
                </w:p>
              </w:tc>
              <w:tc>
                <w:tcPr>
                  <w:tcW w:w="169" w:type="pct"/>
                  <w:shd w:val="clear" w:color="auto" w:fill="FFFFFF"/>
                  <w:tcMar>
                    <w:top w:w="0" w:type="dxa"/>
                    <w:left w:w="0" w:type="dxa"/>
                    <w:bottom w:w="0" w:type="dxa"/>
                    <w:right w:w="0" w:type="dxa"/>
                  </w:tcMar>
                  <w:vAlign w:val="center"/>
                </w:tcPr>
                <w:p w14:paraId="1DF450B9">
                  <w:pPr>
                    <w:jc w:val="center"/>
                    <w:rPr>
                      <w:rFonts w:hint="default" w:eastAsia="宋体"/>
                      <w:color w:val="auto"/>
                      <w:sz w:val="21"/>
                      <w:szCs w:val="21"/>
                      <w:lang w:val="en-US" w:eastAsia="zh-CN"/>
                    </w:rPr>
                  </w:pPr>
                  <w:r>
                    <w:rPr>
                      <w:rFonts w:hint="eastAsia"/>
                      <w:color w:val="auto"/>
                      <w:sz w:val="21"/>
                      <w:szCs w:val="21"/>
                      <w:lang w:val="en-US" w:eastAsia="zh-CN"/>
                    </w:rPr>
                    <w:t>1.2</w:t>
                  </w:r>
                </w:p>
              </w:tc>
              <w:tc>
                <w:tcPr>
                  <w:tcW w:w="186" w:type="pct"/>
                  <w:shd w:val="clear" w:color="auto" w:fill="FFFFFF"/>
                  <w:tcMar>
                    <w:top w:w="0" w:type="dxa"/>
                    <w:left w:w="0" w:type="dxa"/>
                    <w:bottom w:w="0" w:type="dxa"/>
                    <w:right w:w="0" w:type="dxa"/>
                  </w:tcMar>
                  <w:vAlign w:val="center"/>
                </w:tcPr>
                <w:p w14:paraId="0A401C25">
                  <w:pPr>
                    <w:jc w:val="center"/>
                    <w:rPr>
                      <w:rFonts w:hint="default" w:eastAsia="宋体"/>
                      <w:color w:val="auto"/>
                      <w:sz w:val="21"/>
                      <w:szCs w:val="21"/>
                      <w:lang w:val="en-US" w:eastAsia="zh-CN"/>
                    </w:rPr>
                  </w:pPr>
                  <w:r>
                    <w:rPr>
                      <w:rFonts w:hint="eastAsia"/>
                      <w:color w:val="auto"/>
                      <w:sz w:val="21"/>
                      <w:szCs w:val="21"/>
                      <w:lang w:val="en-US" w:eastAsia="zh-CN"/>
                    </w:rPr>
                    <w:t>96</w:t>
                  </w:r>
                </w:p>
              </w:tc>
              <w:tc>
                <w:tcPr>
                  <w:tcW w:w="186" w:type="pct"/>
                  <w:shd w:val="clear" w:color="auto" w:fill="FFFFFF"/>
                  <w:tcMar>
                    <w:top w:w="0" w:type="dxa"/>
                    <w:left w:w="0" w:type="dxa"/>
                    <w:bottom w:w="0" w:type="dxa"/>
                    <w:right w:w="0" w:type="dxa"/>
                  </w:tcMar>
                  <w:vAlign w:val="center"/>
                </w:tcPr>
                <w:p w14:paraId="1E4B574F">
                  <w:pPr>
                    <w:jc w:val="center"/>
                    <w:rPr>
                      <w:rFonts w:hint="default" w:eastAsia="宋体"/>
                      <w:color w:val="auto"/>
                      <w:sz w:val="21"/>
                      <w:szCs w:val="21"/>
                      <w:lang w:val="en-US" w:eastAsia="zh-CN"/>
                    </w:rPr>
                  </w:pPr>
                  <w:r>
                    <w:rPr>
                      <w:rFonts w:hint="eastAsia"/>
                      <w:color w:val="auto"/>
                      <w:sz w:val="21"/>
                      <w:szCs w:val="21"/>
                      <w:lang w:val="en-US" w:eastAsia="zh-CN"/>
                    </w:rPr>
                    <w:t>29</w:t>
                  </w:r>
                </w:p>
              </w:tc>
              <w:tc>
                <w:tcPr>
                  <w:tcW w:w="186" w:type="pct"/>
                  <w:shd w:val="clear" w:color="auto" w:fill="FFFFFF"/>
                  <w:tcMar>
                    <w:top w:w="0" w:type="dxa"/>
                    <w:left w:w="0" w:type="dxa"/>
                    <w:bottom w:w="0" w:type="dxa"/>
                    <w:right w:w="0" w:type="dxa"/>
                  </w:tcMar>
                  <w:vAlign w:val="center"/>
                </w:tcPr>
                <w:p w14:paraId="6EB4067C">
                  <w:pPr>
                    <w:jc w:val="center"/>
                    <w:rPr>
                      <w:rFonts w:hint="default" w:eastAsia="宋体"/>
                      <w:color w:val="auto"/>
                      <w:sz w:val="21"/>
                      <w:szCs w:val="21"/>
                      <w:lang w:val="en-US" w:eastAsia="zh-CN"/>
                    </w:rPr>
                  </w:pPr>
                  <w:r>
                    <w:rPr>
                      <w:rFonts w:hint="eastAsia"/>
                      <w:color w:val="auto"/>
                      <w:sz w:val="21"/>
                      <w:szCs w:val="21"/>
                      <w:lang w:val="en-US" w:eastAsia="zh-CN"/>
                    </w:rPr>
                    <w:t>35</w:t>
                  </w:r>
                </w:p>
              </w:tc>
              <w:tc>
                <w:tcPr>
                  <w:tcW w:w="192" w:type="pct"/>
                  <w:shd w:val="clear" w:color="auto" w:fill="FFFFFF"/>
                  <w:tcMar>
                    <w:top w:w="0" w:type="dxa"/>
                    <w:left w:w="0" w:type="dxa"/>
                    <w:bottom w:w="0" w:type="dxa"/>
                    <w:right w:w="0" w:type="dxa"/>
                  </w:tcMar>
                  <w:vAlign w:val="center"/>
                </w:tcPr>
                <w:p w14:paraId="6E241197">
                  <w:pPr>
                    <w:jc w:val="center"/>
                    <w:rPr>
                      <w:rFonts w:hint="default" w:eastAsia="宋体"/>
                      <w:color w:val="auto"/>
                      <w:sz w:val="21"/>
                      <w:szCs w:val="21"/>
                      <w:lang w:val="en-US" w:eastAsia="zh-CN"/>
                    </w:rPr>
                  </w:pPr>
                  <w:r>
                    <w:rPr>
                      <w:rFonts w:hint="eastAsia"/>
                      <w:color w:val="auto"/>
                      <w:sz w:val="21"/>
                      <w:szCs w:val="21"/>
                      <w:lang w:val="en-US" w:eastAsia="zh-CN"/>
                    </w:rPr>
                    <w:t>68</w:t>
                  </w:r>
                </w:p>
              </w:tc>
              <w:tc>
                <w:tcPr>
                  <w:tcW w:w="184" w:type="pct"/>
                  <w:shd w:val="clear" w:color="auto" w:fill="FFFFFF"/>
                  <w:tcMar>
                    <w:top w:w="0" w:type="dxa"/>
                    <w:left w:w="0" w:type="dxa"/>
                    <w:bottom w:w="0" w:type="dxa"/>
                    <w:right w:w="0" w:type="dxa"/>
                  </w:tcMar>
                  <w:vAlign w:val="center"/>
                </w:tcPr>
                <w:p w14:paraId="5F412ABE">
                  <w:pPr>
                    <w:jc w:val="center"/>
                    <w:rPr>
                      <w:rFonts w:ascii="Times New Roman" w:hAnsi="Times New Roman" w:eastAsia="宋体" w:cs="Times New Roman"/>
                      <w:color w:val="auto"/>
                      <w:sz w:val="21"/>
                      <w:szCs w:val="21"/>
                      <w:lang w:val="en-US" w:eastAsia="zh-CN" w:bidi="ar-SA"/>
                    </w:rPr>
                  </w:pPr>
                  <w:r>
                    <w:rPr>
                      <w:color w:val="auto"/>
                      <w:sz w:val="21"/>
                      <w:szCs w:val="21"/>
                    </w:rPr>
                    <w:t>66.3</w:t>
                  </w:r>
                </w:p>
              </w:tc>
              <w:tc>
                <w:tcPr>
                  <w:tcW w:w="184" w:type="pct"/>
                  <w:shd w:val="clear" w:color="auto" w:fill="FFFFFF"/>
                  <w:tcMar>
                    <w:top w:w="0" w:type="dxa"/>
                    <w:left w:w="0" w:type="dxa"/>
                    <w:bottom w:w="0" w:type="dxa"/>
                    <w:right w:w="0" w:type="dxa"/>
                  </w:tcMar>
                  <w:vAlign w:val="center"/>
                </w:tcPr>
                <w:p w14:paraId="1ACB4D19">
                  <w:pPr>
                    <w:jc w:val="center"/>
                    <w:rPr>
                      <w:rFonts w:ascii="Times New Roman" w:hAnsi="Times New Roman" w:eastAsia="宋体" w:cs="Times New Roman"/>
                      <w:color w:val="auto"/>
                      <w:sz w:val="21"/>
                      <w:szCs w:val="21"/>
                      <w:lang w:val="en-US" w:eastAsia="zh-CN" w:bidi="ar-SA"/>
                    </w:rPr>
                  </w:pPr>
                  <w:r>
                    <w:rPr>
                      <w:color w:val="auto"/>
                      <w:sz w:val="21"/>
                      <w:szCs w:val="21"/>
                    </w:rPr>
                    <w:t>66.2</w:t>
                  </w:r>
                </w:p>
              </w:tc>
              <w:tc>
                <w:tcPr>
                  <w:tcW w:w="184" w:type="pct"/>
                  <w:shd w:val="clear" w:color="auto" w:fill="FFFFFF"/>
                  <w:tcMar>
                    <w:top w:w="0" w:type="dxa"/>
                    <w:left w:w="0" w:type="dxa"/>
                    <w:bottom w:w="0" w:type="dxa"/>
                    <w:right w:w="0" w:type="dxa"/>
                  </w:tcMar>
                  <w:vAlign w:val="center"/>
                </w:tcPr>
                <w:p w14:paraId="77D7DB0B">
                  <w:pPr>
                    <w:jc w:val="center"/>
                    <w:rPr>
                      <w:rFonts w:ascii="Times New Roman" w:hAnsi="Times New Roman" w:eastAsia="宋体" w:cs="Times New Roman"/>
                      <w:color w:val="auto"/>
                      <w:sz w:val="21"/>
                      <w:szCs w:val="21"/>
                      <w:lang w:val="en-US" w:eastAsia="zh-CN" w:bidi="ar-SA"/>
                    </w:rPr>
                  </w:pPr>
                  <w:r>
                    <w:rPr>
                      <w:color w:val="auto"/>
                      <w:sz w:val="21"/>
                      <w:szCs w:val="21"/>
                    </w:rPr>
                    <w:t>66.3</w:t>
                  </w:r>
                </w:p>
              </w:tc>
              <w:tc>
                <w:tcPr>
                  <w:tcW w:w="189" w:type="pct"/>
                  <w:shd w:val="clear" w:color="auto" w:fill="FFFFFF"/>
                  <w:tcMar>
                    <w:top w:w="0" w:type="dxa"/>
                    <w:left w:w="0" w:type="dxa"/>
                    <w:bottom w:w="0" w:type="dxa"/>
                    <w:right w:w="0" w:type="dxa"/>
                  </w:tcMar>
                  <w:vAlign w:val="center"/>
                </w:tcPr>
                <w:p w14:paraId="2266A5B0">
                  <w:pPr>
                    <w:jc w:val="center"/>
                    <w:rPr>
                      <w:rFonts w:ascii="Times New Roman" w:hAnsi="Times New Roman" w:eastAsia="宋体" w:cs="Times New Roman"/>
                      <w:color w:val="auto"/>
                      <w:sz w:val="21"/>
                      <w:szCs w:val="21"/>
                      <w:lang w:val="en-US" w:eastAsia="zh-CN" w:bidi="ar-SA"/>
                    </w:rPr>
                  </w:pPr>
                  <w:r>
                    <w:rPr>
                      <w:color w:val="auto"/>
                      <w:sz w:val="21"/>
                      <w:szCs w:val="21"/>
                    </w:rPr>
                    <w:t>66.8</w:t>
                  </w:r>
                </w:p>
              </w:tc>
              <w:tc>
                <w:tcPr>
                  <w:tcW w:w="189" w:type="pct"/>
                  <w:shd w:val="clear" w:color="auto" w:fill="FFFFFF"/>
                  <w:tcMar>
                    <w:top w:w="0" w:type="dxa"/>
                    <w:left w:w="0" w:type="dxa"/>
                    <w:bottom w:w="0" w:type="dxa"/>
                    <w:right w:w="0" w:type="dxa"/>
                  </w:tcMar>
                  <w:vAlign w:val="center"/>
                </w:tcPr>
                <w:p w14:paraId="3EFAF382">
                  <w:pPr>
                    <w:jc w:val="center"/>
                    <w:rPr>
                      <w:color w:val="auto"/>
                      <w:sz w:val="21"/>
                      <w:szCs w:val="21"/>
                    </w:rPr>
                  </w:pPr>
                  <w:r>
                    <w:rPr>
                      <w:color w:val="auto"/>
                      <w:sz w:val="21"/>
                      <w:szCs w:val="21"/>
                    </w:rPr>
                    <w:t>全天</w:t>
                  </w:r>
                </w:p>
              </w:tc>
              <w:tc>
                <w:tcPr>
                  <w:tcW w:w="182" w:type="pct"/>
                  <w:shd w:val="clear" w:color="auto" w:fill="FFFFFF"/>
                  <w:tcMar>
                    <w:top w:w="0" w:type="dxa"/>
                    <w:left w:w="0" w:type="dxa"/>
                    <w:bottom w:w="0" w:type="dxa"/>
                    <w:right w:w="0" w:type="dxa"/>
                  </w:tcMar>
                  <w:vAlign w:val="center"/>
                </w:tcPr>
                <w:p w14:paraId="392D7B6F">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2" w:type="pct"/>
                  <w:shd w:val="clear" w:color="auto" w:fill="FFFFFF"/>
                  <w:tcMar>
                    <w:top w:w="0" w:type="dxa"/>
                    <w:left w:w="0" w:type="dxa"/>
                    <w:bottom w:w="0" w:type="dxa"/>
                    <w:right w:w="0" w:type="dxa"/>
                  </w:tcMar>
                  <w:vAlign w:val="center"/>
                </w:tcPr>
                <w:p w14:paraId="4BE3D1A6">
                  <w:pPr>
                    <w:jc w:val="center"/>
                    <w:rPr>
                      <w:rFonts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2" w:type="pct"/>
                  <w:shd w:val="clear" w:color="auto" w:fill="FFFFFF"/>
                  <w:tcMar>
                    <w:top w:w="0" w:type="dxa"/>
                    <w:left w:w="0" w:type="dxa"/>
                    <w:bottom w:w="0" w:type="dxa"/>
                    <w:right w:w="0" w:type="dxa"/>
                  </w:tcMar>
                  <w:vAlign w:val="center"/>
                </w:tcPr>
                <w:p w14:paraId="587F3151">
                  <w:pPr>
                    <w:jc w:val="center"/>
                    <w:rPr>
                      <w:rFonts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6" w:type="pct"/>
                  <w:shd w:val="clear" w:color="auto" w:fill="FFFFFF"/>
                  <w:tcMar>
                    <w:top w:w="0" w:type="dxa"/>
                    <w:left w:w="0" w:type="dxa"/>
                    <w:bottom w:w="0" w:type="dxa"/>
                    <w:right w:w="0" w:type="dxa"/>
                  </w:tcMar>
                  <w:vAlign w:val="center"/>
                </w:tcPr>
                <w:p w14:paraId="59D03D8A">
                  <w:pPr>
                    <w:jc w:val="center"/>
                    <w:rPr>
                      <w:rFonts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6" w:type="pct"/>
                  <w:shd w:val="clear" w:color="auto" w:fill="FFFFFF"/>
                  <w:tcMar>
                    <w:top w:w="0" w:type="dxa"/>
                    <w:left w:w="0" w:type="dxa"/>
                    <w:bottom w:w="0" w:type="dxa"/>
                    <w:right w:w="0" w:type="dxa"/>
                  </w:tcMar>
                  <w:vAlign w:val="center"/>
                </w:tcPr>
                <w:p w14:paraId="58F01264">
                  <w:pPr>
                    <w:jc w:val="center"/>
                    <w:rPr>
                      <w:rFonts w:ascii="Times New Roman" w:hAnsi="Times New Roman" w:eastAsia="宋体" w:cs="Times New Roman"/>
                      <w:color w:val="auto"/>
                      <w:sz w:val="21"/>
                      <w:szCs w:val="21"/>
                      <w:lang w:val="en-US" w:eastAsia="zh-CN" w:bidi="ar-SA"/>
                    </w:rPr>
                  </w:pPr>
                  <w:r>
                    <w:rPr>
                      <w:color w:val="auto"/>
                      <w:sz w:val="21"/>
                      <w:szCs w:val="21"/>
                    </w:rPr>
                    <w:t>45.3</w:t>
                  </w:r>
                </w:p>
              </w:tc>
              <w:tc>
                <w:tcPr>
                  <w:tcW w:w="186" w:type="pct"/>
                  <w:shd w:val="clear" w:color="auto" w:fill="FFFFFF"/>
                  <w:tcMar>
                    <w:top w:w="0" w:type="dxa"/>
                    <w:left w:w="0" w:type="dxa"/>
                    <w:bottom w:w="0" w:type="dxa"/>
                    <w:right w:w="0" w:type="dxa"/>
                  </w:tcMar>
                  <w:vAlign w:val="center"/>
                </w:tcPr>
                <w:p w14:paraId="5BA6699D">
                  <w:pPr>
                    <w:jc w:val="center"/>
                    <w:rPr>
                      <w:rFonts w:ascii="Times New Roman" w:hAnsi="Times New Roman" w:eastAsia="宋体" w:cs="Times New Roman"/>
                      <w:color w:val="auto"/>
                      <w:sz w:val="21"/>
                      <w:szCs w:val="21"/>
                      <w:lang w:val="en-US" w:eastAsia="zh-CN" w:bidi="ar-SA"/>
                    </w:rPr>
                  </w:pPr>
                  <w:r>
                    <w:rPr>
                      <w:color w:val="auto"/>
                      <w:sz w:val="21"/>
                      <w:szCs w:val="21"/>
                    </w:rPr>
                    <w:t>45.2</w:t>
                  </w:r>
                </w:p>
              </w:tc>
              <w:tc>
                <w:tcPr>
                  <w:tcW w:w="186" w:type="pct"/>
                  <w:shd w:val="clear" w:color="auto" w:fill="FFFFFF"/>
                  <w:tcMar>
                    <w:top w:w="0" w:type="dxa"/>
                    <w:left w:w="0" w:type="dxa"/>
                    <w:bottom w:w="0" w:type="dxa"/>
                    <w:right w:w="0" w:type="dxa"/>
                  </w:tcMar>
                  <w:vAlign w:val="center"/>
                </w:tcPr>
                <w:p w14:paraId="39E6377B">
                  <w:pPr>
                    <w:jc w:val="center"/>
                    <w:rPr>
                      <w:rFonts w:ascii="Times New Roman" w:hAnsi="Times New Roman" w:eastAsia="宋体" w:cs="Times New Roman"/>
                      <w:color w:val="auto"/>
                      <w:sz w:val="21"/>
                      <w:szCs w:val="21"/>
                      <w:lang w:val="en-US" w:eastAsia="zh-CN" w:bidi="ar-SA"/>
                    </w:rPr>
                  </w:pPr>
                  <w:r>
                    <w:rPr>
                      <w:color w:val="auto"/>
                      <w:sz w:val="21"/>
                      <w:szCs w:val="21"/>
                    </w:rPr>
                    <w:t>45.3</w:t>
                  </w:r>
                </w:p>
              </w:tc>
              <w:tc>
                <w:tcPr>
                  <w:tcW w:w="186" w:type="pct"/>
                  <w:shd w:val="clear" w:color="auto" w:fill="FFFFFF"/>
                  <w:tcMar>
                    <w:top w:w="0" w:type="dxa"/>
                    <w:left w:w="0" w:type="dxa"/>
                    <w:bottom w:w="0" w:type="dxa"/>
                    <w:right w:w="0" w:type="dxa"/>
                  </w:tcMar>
                  <w:vAlign w:val="center"/>
                </w:tcPr>
                <w:p w14:paraId="19F10742">
                  <w:pPr>
                    <w:jc w:val="center"/>
                    <w:rPr>
                      <w:rFonts w:ascii="Times New Roman" w:hAnsi="Times New Roman" w:eastAsia="宋体" w:cs="Times New Roman"/>
                      <w:color w:val="auto"/>
                      <w:sz w:val="21"/>
                      <w:szCs w:val="21"/>
                      <w:lang w:val="en-US" w:eastAsia="zh-CN" w:bidi="ar-SA"/>
                    </w:rPr>
                  </w:pPr>
                  <w:r>
                    <w:rPr>
                      <w:color w:val="auto"/>
                      <w:sz w:val="21"/>
                      <w:szCs w:val="21"/>
                    </w:rPr>
                    <w:t>45.8</w:t>
                  </w:r>
                </w:p>
              </w:tc>
              <w:tc>
                <w:tcPr>
                  <w:tcW w:w="262" w:type="pct"/>
                  <w:shd w:val="clear" w:color="auto" w:fill="FFFFFF"/>
                  <w:tcMar>
                    <w:top w:w="0" w:type="dxa"/>
                    <w:left w:w="0" w:type="dxa"/>
                    <w:bottom w:w="0" w:type="dxa"/>
                    <w:right w:w="0" w:type="dxa"/>
                  </w:tcMar>
                  <w:vAlign w:val="center"/>
                </w:tcPr>
                <w:p w14:paraId="53352C5C">
                  <w:pPr>
                    <w:jc w:val="center"/>
                    <w:rPr>
                      <w:rFonts w:ascii="Times New Roman" w:hAnsi="Times New Roman" w:eastAsia="宋体" w:cs="Times New Roman"/>
                      <w:color w:val="auto"/>
                      <w:sz w:val="21"/>
                      <w:szCs w:val="21"/>
                      <w:lang w:val="en-US" w:eastAsia="zh-CN" w:bidi="ar-SA"/>
                    </w:rPr>
                  </w:pPr>
                  <w:r>
                    <w:rPr>
                      <w:color w:val="auto"/>
                      <w:sz w:val="21"/>
                      <w:szCs w:val="21"/>
                    </w:rPr>
                    <w:t>1</w:t>
                  </w:r>
                </w:p>
              </w:tc>
            </w:tr>
            <w:tr w14:paraId="7CB33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2" w:type="pct"/>
                  <w:vMerge w:val="continue"/>
                  <w:shd w:val="clear" w:color="auto" w:fill="FFFFFF"/>
                  <w:tcMar>
                    <w:top w:w="0" w:type="dxa"/>
                    <w:left w:w="0" w:type="dxa"/>
                    <w:bottom w:w="0" w:type="dxa"/>
                    <w:right w:w="0" w:type="dxa"/>
                  </w:tcMar>
                  <w:vAlign w:val="center"/>
                </w:tcPr>
                <w:p w14:paraId="23ABFB3A">
                  <w:pPr>
                    <w:jc w:val="center"/>
                    <w:rPr>
                      <w:color w:val="auto"/>
                      <w:sz w:val="21"/>
                      <w:szCs w:val="21"/>
                    </w:rPr>
                  </w:pPr>
                </w:p>
              </w:tc>
              <w:tc>
                <w:tcPr>
                  <w:tcW w:w="299" w:type="pct"/>
                  <w:shd w:val="clear" w:color="auto" w:fill="FFFFFF"/>
                  <w:tcMar>
                    <w:top w:w="0" w:type="dxa"/>
                    <w:left w:w="0" w:type="dxa"/>
                    <w:bottom w:w="0" w:type="dxa"/>
                    <w:right w:w="0" w:type="dxa"/>
                  </w:tcMar>
                  <w:vAlign w:val="center"/>
                </w:tcPr>
                <w:p w14:paraId="708532C7">
                  <w:pPr>
                    <w:jc w:val="center"/>
                    <w:rPr>
                      <w:color w:val="auto"/>
                      <w:sz w:val="21"/>
                      <w:szCs w:val="21"/>
                    </w:rPr>
                  </w:pPr>
                  <w:r>
                    <w:rPr>
                      <w:rFonts w:hint="eastAsia"/>
                      <w:color w:val="auto"/>
                      <w:sz w:val="21"/>
                      <w:szCs w:val="21"/>
                      <w:lang w:val="en-US" w:eastAsia="zh-CN"/>
                    </w:rPr>
                    <w:t>筛分</w:t>
                  </w:r>
                  <w:r>
                    <w:rPr>
                      <w:rFonts w:hint="eastAsia"/>
                      <w:color w:val="auto"/>
                      <w:sz w:val="21"/>
                      <w:szCs w:val="21"/>
                    </w:rPr>
                    <w:t>机</w:t>
                  </w:r>
                </w:p>
              </w:tc>
              <w:tc>
                <w:tcPr>
                  <w:tcW w:w="271" w:type="pct"/>
                  <w:shd w:val="clear" w:color="auto" w:fill="FFFFFF"/>
                  <w:tcMar>
                    <w:top w:w="0" w:type="dxa"/>
                    <w:left w:w="0" w:type="dxa"/>
                    <w:bottom w:w="0" w:type="dxa"/>
                    <w:right w:w="0" w:type="dxa"/>
                  </w:tcMar>
                  <w:vAlign w:val="center"/>
                </w:tcPr>
                <w:p w14:paraId="3B9B63B0">
                  <w:pPr>
                    <w:jc w:val="center"/>
                    <w:rPr>
                      <w:color w:val="auto"/>
                      <w:sz w:val="21"/>
                      <w:szCs w:val="21"/>
                    </w:rPr>
                  </w:pPr>
                  <w:r>
                    <w:rPr>
                      <w:rFonts w:hint="eastAsia"/>
                      <w:color w:val="auto"/>
                      <w:sz w:val="21"/>
                      <w:szCs w:val="21"/>
                      <w:lang w:val="en-US" w:eastAsia="zh-CN"/>
                    </w:rPr>
                    <w:t>85</w:t>
                  </w:r>
                </w:p>
              </w:tc>
              <w:tc>
                <w:tcPr>
                  <w:tcW w:w="249" w:type="pct"/>
                  <w:shd w:val="clear" w:color="auto" w:fill="FFFFFF"/>
                  <w:tcMar>
                    <w:top w:w="0" w:type="dxa"/>
                    <w:left w:w="0" w:type="dxa"/>
                    <w:bottom w:w="0" w:type="dxa"/>
                    <w:right w:w="0" w:type="dxa"/>
                  </w:tcMar>
                  <w:vAlign w:val="center"/>
                </w:tcPr>
                <w:p w14:paraId="434C48CB">
                  <w:pPr>
                    <w:jc w:val="center"/>
                    <w:rPr>
                      <w:rFonts w:hint="default" w:eastAsia="宋体"/>
                      <w:color w:val="auto"/>
                      <w:sz w:val="21"/>
                      <w:szCs w:val="21"/>
                      <w:lang w:val="en-US" w:eastAsia="zh-CN"/>
                    </w:rPr>
                  </w:pPr>
                  <w:r>
                    <w:rPr>
                      <w:rFonts w:hint="eastAsia"/>
                      <w:color w:val="auto"/>
                      <w:sz w:val="21"/>
                      <w:szCs w:val="21"/>
                      <w:lang w:val="en-US" w:eastAsia="zh-CN"/>
                    </w:rPr>
                    <w:t>26.36</w:t>
                  </w:r>
                </w:p>
              </w:tc>
              <w:tc>
                <w:tcPr>
                  <w:tcW w:w="232" w:type="pct"/>
                  <w:shd w:val="clear" w:color="auto" w:fill="FFFFFF"/>
                  <w:tcMar>
                    <w:top w:w="0" w:type="dxa"/>
                    <w:left w:w="0" w:type="dxa"/>
                    <w:bottom w:w="0" w:type="dxa"/>
                    <w:right w:w="0" w:type="dxa"/>
                  </w:tcMar>
                  <w:vAlign w:val="center"/>
                </w:tcPr>
                <w:p w14:paraId="6F3C25B1">
                  <w:pPr>
                    <w:jc w:val="center"/>
                    <w:rPr>
                      <w:rFonts w:hint="default" w:eastAsia="宋体"/>
                      <w:color w:val="auto"/>
                      <w:sz w:val="21"/>
                      <w:szCs w:val="21"/>
                      <w:lang w:val="en-US" w:eastAsia="zh-CN"/>
                    </w:rPr>
                  </w:pPr>
                  <w:r>
                    <w:rPr>
                      <w:rFonts w:hint="eastAsia"/>
                      <w:color w:val="auto"/>
                      <w:sz w:val="21"/>
                      <w:szCs w:val="21"/>
                      <w:lang w:val="en-US" w:eastAsia="zh-CN"/>
                    </w:rPr>
                    <w:t>29.99</w:t>
                  </w:r>
                </w:p>
              </w:tc>
              <w:tc>
                <w:tcPr>
                  <w:tcW w:w="169" w:type="pct"/>
                  <w:shd w:val="clear" w:color="auto" w:fill="FFFFFF"/>
                  <w:tcMar>
                    <w:top w:w="0" w:type="dxa"/>
                    <w:left w:w="0" w:type="dxa"/>
                    <w:bottom w:w="0" w:type="dxa"/>
                    <w:right w:w="0" w:type="dxa"/>
                  </w:tcMar>
                  <w:vAlign w:val="center"/>
                </w:tcPr>
                <w:p w14:paraId="6287B0DB">
                  <w:pPr>
                    <w:jc w:val="center"/>
                    <w:rPr>
                      <w:rFonts w:hint="default" w:eastAsia="宋体"/>
                      <w:color w:val="auto"/>
                      <w:sz w:val="21"/>
                      <w:szCs w:val="21"/>
                      <w:lang w:val="en-US" w:eastAsia="zh-CN"/>
                    </w:rPr>
                  </w:pPr>
                  <w:r>
                    <w:rPr>
                      <w:rFonts w:hint="eastAsia"/>
                      <w:color w:val="auto"/>
                      <w:sz w:val="21"/>
                      <w:szCs w:val="21"/>
                      <w:lang w:val="en-US" w:eastAsia="zh-CN"/>
                    </w:rPr>
                    <w:t>1.2</w:t>
                  </w:r>
                </w:p>
              </w:tc>
              <w:tc>
                <w:tcPr>
                  <w:tcW w:w="186" w:type="pct"/>
                  <w:shd w:val="clear" w:color="auto" w:fill="FFFFFF"/>
                  <w:tcMar>
                    <w:top w:w="0" w:type="dxa"/>
                    <w:left w:w="0" w:type="dxa"/>
                    <w:bottom w:w="0" w:type="dxa"/>
                    <w:right w:w="0" w:type="dxa"/>
                  </w:tcMar>
                  <w:vAlign w:val="center"/>
                </w:tcPr>
                <w:p w14:paraId="48E3118B">
                  <w:pPr>
                    <w:jc w:val="center"/>
                    <w:rPr>
                      <w:rFonts w:hint="default" w:eastAsia="宋体"/>
                      <w:color w:val="auto"/>
                      <w:sz w:val="21"/>
                      <w:szCs w:val="21"/>
                      <w:lang w:val="en-US" w:eastAsia="zh-CN"/>
                    </w:rPr>
                  </w:pPr>
                  <w:r>
                    <w:rPr>
                      <w:rFonts w:hint="eastAsia"/>
                      <w:color w:val="auto"/>
                      <w:sz w:val="21"/>
                      <w:szCs w:val="21"/>
                      <w:lang w:val="en-US" w:eastAsia="zh-CN"/>
                    </w:rPr>
                    <w:t>120</w:t>
                  </w:r>
                </w:p>
              </w:tc>
              <w:tc>
                <w:tcPr>
                  <w:tcW w:w="186" w:type="pct"/>
                  <w:shd w:val="clear" w:color="auto" w:fill="FFFFFF"/>
                  <w:tcMar>
                    <w:top w:w="0" w:type="dxa"/>
                    <w:left w:w="0" w:type="dxa"/>
                    <w:bottom w:w="0" w:type="dxa"/>
                    <w:right w:w="0" w:type="dxa"/>
                  </w:tcMar>
                  <w:vAlign w:val="center"/>
                </w:tcPr>
                <w:p w14:paraId="1CB26228">
                  <w:pPr>
                    <w:jc w:val="center"/>
                    <w:rPr>
                      <w:rFonts w:hint="default" w:eastAsia="宋体"/>
                      <w:color w:val="auto"/>
                      <w:sz w:val="21"/>
                      <w:szCs w:val="21"/>
                      <w:lang w:val="en-US" w:eastAsia="zh-CN"/>
                    </w:rPr>
                  </w:pPr>
                  <w:r>
                    <w:rPr>
                      <w:rFonts w:hint="eastAsia"/>
                      <w:color w:val="auto"/>
                      <w:sz w:val="21"/>
                      <w:szCs w:val="21"/>
                      <w:lang w:val="en-US" w:eastAsia="zh-CN"/>
                    </w:rPr>
                    <w:t>37</w:t>
                  </w:r>
                </w:p>
              </w:tc>
              <w:tc>
                <w:tcPr>
                  <w:tcW w:w="186" w:type="pct"/>
                  <w:shd w:val="clear" w:color="auto" w:fill="FFFFFF"/>
                  <w:tcMar>
                    <w:top w:w="0" w:type="dxa"/>
                    <w:left w:w="0" w:type="dxa"/>
                    <w:bottom w:w="0" w:type="dxa"/>
                    <w:right w:w="0" w:type="dxa"/>
                  </w:tcMar>
                  <w:vAlign w:val="center"/>
                </w:tcPr>
                <w:p w14:paraId="309E6254">
                  <w:pPr>
                    <w:jc w:val="center"/>
                    <w:rPr>
                      <w:rFonts w:hint="default" w:eastAsia="宋体"/>
                      <w:color w:val="auto"/>
                      <w:sz w:val="21"/>
                      <w:szCs w:val="21"/>
                      <w:lang w:val="en-US" w:eastAsia="zh-CN"/>
                    </w:rPr>
                  </w:pPr>
                  <w:r>
                    <w:rPr>
                      <w:rFonts w:hint="eastAsia"/>
                      <w:color w:val="auto"/>
                      <w:sz w:val="21"/>
                      <w:szCs w:val="21"/>
                      <w:lang w:val="en-US" w:eastAsia="zh-CN"/>
                    </w:rPr>
                    <w:t>15</w:t>
                  </w:r>
                </w:p>
              </w:tc>
              <w:tc>
                <w:tcPr>
                  <w:tcW w:w="192" w:type="pct"/>
                  <w:shd w:val="clear" w:color="auto" w:fill="FFFFFF"/>
                  <w:tcMar>
                    <w:top w:w="0" w:type="dxa"/>
                    <w:left w:w="0" w:type="dxa"/>
                    <w:bottom w:w="0" w:type="dxa"/>
                    <w:right w:w="0" w:type="dxa"/>
                  </w:tcMar>
                  <w:vAlign w:val="center"/>
                </w:tcPr>
                <w:p w14:paraId="7CBAC2C3">
                  <w:pPr>
                    <w:jc w:val="center"/>
                    <w:rPr>
                      <w:rFonts w:hint="default" w:eastAsia="宋体"/>
                      <w:color w:val="auto"/>
                      <w:sz w:val="21"/>
                      <w:szCs w:val="21"/>
                      <w:lang w:val="en-US" w:eastAsia="zh-CN"/>
                    </w:rPr>
                  </w:pPr>
                  <w:r>
                    <w:rPr>
                      <w:rFonts w:hint="eastAsia"/>
                      <w:color w:val="auto"/>
                      <w:sz w:val="21"/>
                      <w:szCs w:val="21"/>
                      <w:lang w:val="en-US" w:eastAsia="zh-CN"/>
                    </w:rPr>
                    <w:t>67</w:t>
                  </w:r>
                </w:p>
              </w:tc>
              <w:tc>
                <w:tcPr>
                  <w:tcW w:w="184" w:type="pct"/>
                  <w:shd w:val="clear" w:color="auto" w:fill="FFFFFF"/>
                  <w:tcMar>
                    <w:top w:w="0" w:type="dxa"/>
                    <w:left w:w="0" w:type="dxa"/>
                    <w:bottom w:w="0" w:type="dxa"/>
                    <w:right w:w="0" w:type="dxa"/>
                  </w:tcMar>
                  <w:vAlign w:val="center"/>
                </w:tcPr>
                <w:p w14:paraId="23567708">
                  <w:pPr>
                    <w:jc w:val="center"/>
                    <w:rPr>
                      <w:rFonts w:ascii="Times New Roman" w:hAnsi="Times New Roman" w:eastAsia="宋体" w:cs="Times New Roman"/>
                      <w:color w:val="auto"/>
                      <w:sz w:val="21"/>
                      <w:szCs w:val="21"/>
                      <w:lang w:val="en-US" w:eastAsia="zh-CN" w:bidi="ar-SA"/>
                    </w:rPr>
                  </w:pPr>
                  <w:r>
                    <w:rPr>
                      <w:color w:val="auto"/>
                      <w:sz w:val="21"/>
                      <w:szCs w:val="21"/>
                    </w:rPr>
                    <w:t>71.3</w:t>
                  </w:r>
                </w:p>
              </w:tc>
              <w:tc>
                <w:tcPr>
                  <w:tcW w:w="184" w:type="pct"/>
                  <w:shd w:val="clear" w:color="auto" w:fill="FFFFFF"/>
                  <w:tcMar>
                    <w:top w:w="0" w:type="dxa"/>
                    <w:left w:w="0" w:type="dxa"/>
                    <w:bottom w:w="0" w:type="dxa"/>
                    <w:right w:w="0" w:type="dxa"/>
                  </w:tcMar>
                  <w:vAlign w:val="center"/>
                </w:tcPr>
                <w:p w14:paraId="402C6963">
                  <w:pPr>
                    <w:jc w:val="center"/>
                    <w:rPr>
                      <w:rFonts w:ascii="Times New Roman" w:hAnsi="Times New Roman" w:eastAsia="宋体" w:cs="Times New Roman"/>
                      <w:color w:val="auto"/>
                      <w:sz w:val="21"/>
                      <w:szCs w:val="21"/>
                      <w:lang w:val="en-US" w:eastAsia="zh-CN" w:bidi="ar-SA"/>
                    </w:rPr>
                  </w:pPr>
                  <w:r>
                    <w:rPr>
                      <w:color w:val="auto"/>
                      <w:sz w:val="21"/>
                      <w:szCs w:val="21"/>
                    </w:rPr>
                    <w:t>71.3</w:t>
                  </w:r>
                </w:p>
              </w:tc>
              <w:tc>
                <w:tcPr>
                  <w:tcW w:w="184" w:type="pct"/>
                  <w:shd w:val="clear" w:color="auto" w:fill="FFFFFF"/>
                  <w:tcMar>
                    <w:top w:w="0" w:type="dxa"/>
                    <w:left w:w="0" w:type="dxa"/>
                    <w:bottom w:w="0" w:type="dxa"/>
                    <w:right w:w="0" w:type="dxa"/>
                  </w:tcMar>
                  <w:vAlign w:val="center"/>
                </w:tcPr>
                <w:p w14:paraId="04037832">
                  <w:pPr>
                    <w:jc w:val="center"/>
                    <w:rPr>
                      <w:rFonts w:ascii="Times New Roman" w:hAnsi="Times New Roman" w:eastAsia="宋体" w:cs="Times New Roman"/>
                      <w:color w:val="auto"/>
                      <w:sz w:val="21"/>
                      <w:szCs w:val="21"/>
                      <w:lang w:val="en-US" w:eastAsia="zh-CN" w:bidi="ar-SA"/>
                    </w:rPr>
                  </w:pPr>
                  <w:r>
                    <w:rPr>
                      <w:color w:val="auto"/>
                      <w:sz w:val="21"/>
                      <w:szCs w:val="21"/>
                    </w:rPr>
                    <w:t>71.3</w:t>
                  </w:r>
                </w:p>
              </w:tc>
              <w:tc>
                <w:tcPr>
                  <w:tcW w:w="189" w:type="pct"/>
                  <w:shd w:val="clear" w:color="auto" w:fill="FFFFFF"/>
                  <w:tcMar>
                    <w:top w:w="0" w:type="dxa"/>
                    <w:left w:w="0" w:type="dxa"/>
                    <w:bottom w:w="0" w:type="dxa"/>
                    <w:right w:w="0" w:type="dxa"/>
                  </w:tcMar>
                  <w:vAlign w:val="center"/>
                </w:tcPr>
                <w:p w14:paraId="1A47C0BA">
                  <w:pPr>
                    <w:jc w:val="center"/>
                    <w:rPr>
                      <w:rFonts w:ascii="Times New Roman" w:hAnsi="Times New Roman" w:eastAsia="宋体" w:cs="Times New Roman"/>
                      <w:color w:val="auto"/>
                      <w:sz w:val="21"/>
                      <w:szCs w:val="21"/>
                      <w:lang w:val="en-US" w:eastAsia="zh-CN" w:bidi="ar-SA"/>
                    </w:rPr>
                  </w:pPr>
                  <w:r>
                    <w:rPr>
                      <w:color w:val="auto"/>
                      <w:sz w:val="21"/>
                      <w:szCs w:val="21"/>
                    </w:rPr>
                    <w:t>71.3</w:t>
                  </w:r>
                </w:p>
              </w:tc>
              <w:tc>
                <w:tcPr>
                  <w:tcW w:w="189" w:type="pct"/>
                  <w:shd w:val="clear" w:color="auto" w:fill="FFFFFF"/>
                  <w:tcMar>
                    <w:top w:w="0" w:type="dxa"/>
                    <w:left w:w="0" w:type="dxa"/>
                    <w:bottom w:w="0" w:type="dxa"/>
                    <w:right w:w="0" w:type="dxa"/>
                  </w:tcMar>
                  <w:vAlign w:val="center"/>
                </w:tcPr>
                <w:p w14:paraId="625D05D4">
                  <w:pPr>
                    <w:jc w:val="center"/>
                    <w:rPr>
                      <w:color w:val="auto"/>
                      <w:sz w:val="21"/>
                      <w:szCs w:val="21"/>
                    </w:rPr>
                  </w:pPr>
                  <w:r>
                    <w:rPr>
                      <w:color w:val="auto"/>
                      <w:sz w:val="21"/>
                      <w:szCs w:val="21"/>
                    </w:rPr>
                    <w:t>全天</w:t>
                  </w:r>
                </w:p>
              </w:tc>
              <w:tc>
                <w:tcPr>
                  <w:tcW w:w="299" w:type="dxa"/>
                  <w:shd w:val="clear" w:color="auto" w:fill="FFFFFF"/>
                  <w:tcMar>
                    <w:top w:w="0" w:type="dxa"/>
                    <w:left w:w="0" w:type="dxa"/>
                    <w:bottom w:w="0" w:type="dxa"/>
                    <w:right w:w="0" w:type="dxa"/>
                  </w:tcMar>
                  <w:vAlign w:val="center"/>
                </w:tcPr>
                <w:p w14:paraId="1A0F10A6">
                  <w:pPr>
                    <w:jc w:val="center"/>
                    <w:rPr>
                      <w:rFonts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299" w:type="dxa"/>
                  <w:shd w:val="clear" w:color="auto" w:fill="FFFFFF"/>
                  <w:tcMar>
                    <w:top w:w="0" w:type="dxa"/>
                    <w:left w:w="0" w:type="dxa"/>
                    <w:bottom w:w="0" w:type="dxa"/>
                    <w:right w:w="0" w:type="dxa"/>
                  </w:tcMar>
                  <w:vAlign w:val="center"/>
                </w:tcPr>
                <w:p w14:paraId="5C045073">
                  <w:pPr>
                    <w:jc w:val="center"/>
                    <w:rPr>
                      <w:rFonts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299" w:type="dxa"/>
                  <w:shd w:val="clear" w:color="auto" w:fill="FFFFFF"/>
                  <w:tcMar>
                    <w:top w:w="0" w:type="dxa"/>
                    <w:left w:w="0" w:type="dxa"/>
                    <w:bottom w:w="0" w:type="dxa"/>
                    <w:right w:w="0" w:type="dxa"/>
                  </w:tcMar>
                  <w:vAlign w:val="center"/>
                </w:tcPr>
                <w:p w14:paraId="06556C23">
                  <w:pPr>
                    <w:jc w:val="center"/>
                    <w:rPr>
                      <w:rFonts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306" w:type="dxa"/>
                  <w:shd w:val="clear" w:color="auto" w:fill="FFFFFF"/>
                  <w:tcMar>
                    <w:top w:w="0" w:type="dxa"/>
                    <w:left w:w="0" w:type="dxa"/>
                    <w:bottom w:w="0" w:type="dxa"/>
                    <w:right w:w="0" w:type="dxa"/>
                  </w:tcMar>
                  <w:vAlign w:val="center"/>
                </w:tcPr>
                <w:p w14:paraId="6EBDAF97">
                  <w:pPr>
                    <w:jc w:val="center"/>
                    <w:rPr>
                      <w:rFonts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6" w:type="pct"/>
                  <w:shd w:val="clear" w:color="auto" w:fill="FFFFFF"/>
                  <w:tcMar>
                    <w:top w:w="0" w:type="dxa"/>
                    <w:left w:w="0" w:type="dxa"/>
                    <w:bottom w:w="0" w:type="dxa"/>
                    <w:right w:w="0" w:type="dxa"/>
                  </w:tcMar>
                  <w:vAlign w:val="center"/>
                </w:tcPr>
                <w:p w14:paraId="1317DD34">
                  <w:pPr>
                    <w:jc w:val="center"/>
                    <w:rPr>
                      <w:rFonts w:ascii="Times New Roman" w:hAnsi="Times New Roman" w:eastAsia="宋体" w:cs="Times New Roman"/>
                      <w:color w:val="auto"/>
                      <w:sz w:val="21"/>
                      <w:szCs w:val="21"/>
                      <w:lang w:val="en-US" w:eastAsia="zh-CN" w:bidi="ar-SA"/>
                    </w:rPr>
                  </w:pPr>
                  <w:r>
                    <w:rPr>
                      <w:color w:val="auto"/>
                      <w:sz w:val="21"/>
                      <w:szCs w:val="21"/>
                    </w:rPr>
                    <w:t>50.3</w:t>
                  </w:r>
                </w:p>
              </w:tc>
              <w:tc>
                <w:tcPr>
                  <w:tcW w:w="186" w:type="pct"/>
                  <w:shd w:val="clear" w:color="auto" w:fill="FFFFFF"/>
                  <w:tcMar>
                    <w:top w:w="0" w:type="dxa"/>
                    <w:left w:w="0" w:type="dxa"/>
                    <w:bottom w:w="0" w:type="dxa"/>
                    <w:right w:w="0" w:type="dxa"/>
                  </w:tcMar>
                  <w:vAlign w:val="center"/>
                </w:tcPr>
                <w:p w14:paraId="05C0DA58">
                  <w:pPr>
                    <w:jc w:val="center"/>
                    <w:rPr>
                      <w:rFonts w:ascii="Times New Roman" w:hAnsi="Times New Roman" w:eastAsia="宋体" w:cs="Times New Roman"/>
                      <w:color w:val="auto"/>
                      <w:sz w:val="21"/>
                      <w:szCs w:val="21"/>
                      <w:lang w:val="en-US" w:eastAsia="zh-CN" w:bidi="ar-SA"/>
                    </w:rPr>
                  </w:pPr>
                  <w:r>
                    <w:rPr>
                      <w:color w:val="auto"/>
                      <w:sz w:val="21"/>
                      <w:szCs w:val="21"/>
                    </w:rPr>
                    <w:t>50.3</w:t>
                  </w:r>
                </w:p>
              </w:tc>
              <w:tc>
                <w:tcPr>
                  <w:tcW w:w="186" w:type="pct"/>
                  <w:shd w:val="clear" w:color="auto" w:fill="FFFFFF"/>
                  <w:tcMar>
                    <w:top w:w="0" w:type="dxa"/>
                    <w:left w:w="0" w:type="dxa"/>
                    <w:bottom w:w="0" w:type="dxa"/>
                    <w:right w:w="0" w:type="dxa"/>
                  </w:tcMar>
                  <w:vAlign w:val="center"/>
                </w:tcPr>
                <w:p w14:paraId="781E360D">
                  <w:pPr>
                    <w:jc w:val="center"/>
                    <w:rPr>
                      <w:rFonts w:ascii="Times New Roman" w:hAnsi="Times New Roman" w:eastAsia="宋体" w:cs="Times New Roman"/>
                      <w:color w:val="auto"/>
                      <w:sz w:val="21"/>
                      <w:szCs w:val="21"/>
                      <w:lang w:val="en-US" w:eastAsia="zh-CN" w:bidi="ar-SA"/>
                    </w:rPr>
                  </w:pPr>
                  <w:r>
                    <w:rPr>
                      <w:color w:val="auto"/>
                      <w:sz w:val="21"/>
                      <w:szCs w:val="21"/>
                    </w:rPr>
                    <w:t>50.3</w:t>
                  </w:r>
                </w:p>
              </w:tc>
              <w:tc>
                <w:tcPr>
                  <w:tcW w:w="186" w:type="pct"/>
                  <w:shd w:val="clear" w:color="auto" w:fill="FFFFFF"/>
                  <w:tcMar>
                    <w:top w:w="0" w:type="dxa"/>
                    <w:left w:w="0" w:type="dxa"/>
                    <w:bottom w:w="0" w:type="dxa"/>
                    <w:right w:w="0" w:type="dxa"/>
                  </w:tcMar>
                  <w:vAlign w:val="center"/>
                </w:tcPr>
                <w:p w14:paraId="24CDE98A">
                  <w:pPr>
                    <w:jc w:val="center"/>
                    <w:rPr>
                      <w:rFonts w:ascii="Times New Roman" w:hAnsi="Times New Roman" w:eastAsia="宋体" w:cs="Times New Roman"/>
                      <w:color w:val="auto"/>
                      <w:sz w:val="21"/>
                      <w:szCs w:val="21"/>
                      <w:lang w:val="en-US" w:eastAsia="zh-CN" w:bidi="ar-SA"/>
                    </w:rPr>
                  </w:pPr>
                  <w:r>
                    <w:rPr>
                      <w:color w:val="auto"/>
                      <w:sz w:val="21"/>
                      <w:szCs w:val="21"/>
                    </w:rPr>
                    <w:t>50.3</w:t>
                  </w:r>
                </w:p>
              </w:tc>
              <w:tc>
                <w:tcPr>
                  <w:tcW w:w="262" w:type="pct"/>
                  <w:shd w:val="clear" w:color="auto" w:fill="FFFFFF"/>
                  <w:tcMar>
                    <w:top w:w="0" w:type="dxa"/>
                    <w:left w:w="0" w:type="dxa"/>
                    <w:bottom w:w="0" w:type="dxa"/>
                    <w:right w:w="0" w:type="dxa"/>
                  </w:tcMar>
                  <w:vAlign w:val="center"/>
                </w:tcPr>
                <w:p w14:paraId="74179102">
                  <w:pPr>
                    <w:jc w:val="center"/>
                    <w:rPr>
                      <w:rFonts w:ascii="Times New Roman" w:hAnsi="Times New Roman" w:eastAsia="宋体" w:cs="Times New Roman"/>
                      <w:color w:val="auto"/>
                      <w:sz w:val="21"/>
                      <w:szCs w:val="21"/>
                      <w:lang w:val="en-US" w:eastAsia="zh-CN" w:bidi="ar-SA"/>
                    </w:rPr>
                  </w:pPr>
                  <w:r>
                    <w:rPr>
                      <w:color w:val="auto"/>
                      <w:sz w:val="21"/>
                      <w:szCs w:val="21"/>
                    </w:rPr>
                    <w:t>1</w:t>
                  </w:r>
                </w:p>
              </w:tc>
            </w:tr>
            <w:tr w14:paraId="7016F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2" w:type="pct"/>
                  <w:vMerge w:val="continue"/>
                  <w:shd w:val="clear" w:color="auto" w:fill="FFFFFF"/>
                  <w:tcMar>
                    <w:top w:w="0" w:type="dxa"/>
                    <w:left w:w="0" w:type="dxa"/>
                    <w:bottom w:w="0" w:type="dxa"/>
                    <w:right w:w="0" w:type="dxa"/>
                  </w:tcMar>
                  <w:vAlign w:val="center"/>
                </w:tcPr>
                <w:p w14:paraId="025385F4">
                  <w:pPr>
                    <w:jc w:val="center"/>
                    <w:rPr>
                      <w:color w:val="auto"/>
                      <w:sz w:val="21"/>
                      <w:szCs w:val="21"/>
                    </w:rPr>
                  </w:pPr>
                </w:p>
              </w:tc>
              <w:tc>
                <w:tcPr>
                  <w:tcW w:w="299" w:type="pct"/>
                  <w:shd w:val="clear" w:color="auto" w:fill="FFFFFF"/>
                  <w:tcMar>
                    <w:top w:w="0" w:type="dxa"/>
                    <w:left w:w="0" w:type="dxa"/>
                    <w:bottom w:w="0" w:type="dxa"/>
                    <w:right w:w="0" w:type="dxa"/>
                  </w:tcMar>
                  <w:vAlign w:val="center"/>
                </w:tcPr>
                <w:p w14:paraId="469D4450">
                  <w:pPr>
                    <w:jc w:val="center"/>
                    <w:rPr>
                      <w:color w:val="auto"/>
                      <w:sz w:val="21"/>
                      <w:szCs w:val="21"/>
                    </w:rPr>
                  </w:pPr>
                  <w:r>
                    <w:rPr>
                      <w:rFonts w:hint="eastAsia"/>
                      <w:color w:val="auto"/>
                      <w:sz w:val="21"/>
                      <w:szCs w:val="21"/>
                      <w:lang w:val="en-US" w:eastAsia="zh-CN"/>
                    </w:rPr>
                    <w:t>布袋除尘器</w:t>
                  </w:r>
                </w:p>
              </w:tc>
              <w:tc>
                <w:tcPr>
                  <w:tcW w:w="271" w:type="pct"/>
                  <w:shd w:val="clear" w:color="auto" w:fill="FFFFFF"/>
                  <w:tcMar>
                    <w:top w:w="0" w:type="dxa"/>
                    <w:left w:w="0" w:type="dxa"/>
                    <w:bottom w:w="0" w:type="dxa"/>
                    <w:right w:w="0" w:type="dxa"/>
                  </w:tcMar>
                  <w:vAlign w:val="center"/>
                </w:tcPr>
                <w:p w14:paraId="6D4D676F">
                  <w:pPr>
                    <w:jc w:val="center"/>
                    <w:rPr>
                      <w:color w:val="auto"/>
                      <w:sz w:val="21"/>
                      <w:szCs w:val="21"/>
                    </w:rPr>
                  </w:pPr>
                  <w:r>
                    <w:rPr>
                      <w:rFonts w:hint="eastAsia"/>
                      <w:color w:val="auto"/>
                      <w:sz w:val="21"/>
                      <w:szCs w:val="21"/>
                    </w:rPr>
                    <w:t>80</w:t>
                  </w:r>
                </w:p>
              </w:tc>
              <w:tc>
                <w:tcPr>
                  <w:tcW w:w="249" w:type="pct"/>
                  <w:shd w:val="clear" w:color="auto" w:fill="FFFFFF"/>
                  <w:tcMar>
                    <w:top w:w="0" w:type="dxa"/>
                    <w:left w:w="0" w:type="dxa"/>
                    <w:bottom w:w="0" w:type="dxa"/>
                    <w:right w:w="0" w:type="dxa"/>
                  </w:tcMar>
                  <w:vAlign w:val="center"/>
                </w:tcPr>
                <w:p w14:paraId="2D50B488">
                  <w:pPr>
                    <w:jc w:val="center"/>
                    <w:rPr>
                      <w:rFonts w:hint="default" w:eastAsia="宋体"/>
                      <w:color w:val="auto"/>
                      <w:sz w:val="21"/>
                      <w:szCs w:val="21"/>
                      <w:lang w:val="en-US" w:eastAsia="zh-CN"/>
                    </w:rPr>
                  </w:pPr>
                  <w:r>
                    <w:rPr>
                      <w:rFonts w:hint="eastAsia"/>
                      <w:color w:val="auto"/>
                      <w:sz w:val="21"/>
                      <w:szCs w:val="21"/>
                      <w:lang w:val="en-US" w:eastAsia="zh-CN"/>
                    </w:rPr>
                    <w:t>40.87</w:t>
                  </w:r>
                </w:p>
              </w:tc>
              <w:tc>
                <w:tcPr>
                  <w:tcW w:w="232" w:type="pct"/>
                  <w:shd w:val="clear" w:color="auto" w:fill="FFFFFF"/>
                  <w:tcMar>
                    <w:top w:w="0" w:type="dxa"/>
                    <w:left w:w="0" w:type="dxa"/>
                    <w:bottom w:w="0" w:type="dxa"/>
                    <w:right w:w="0" w:type="dxa"/>
                  </w:tcMar>
                  <w:vAlign w:val="center"/>
                </w:tcPr>
                <w:p w14:paraId="5D5A0435">
                  <w:pPr>
                    <w:jc w:val="center"/>
                    <w:rPr>
                      <w:rFonts w:hint="default" w:eastAsia="宋体"/>
                      <w:color w:val="auto"/>
                      <w:sz w:val="21"/>
                      <w:szCs w:val="21"/>
                      <w:lang w:val="en-US" w:eastAsia="zh-CN"/>
                    </w:rPr>
                  </w:pPr>
                  <w:r>
                    <w:rPr>
                      <w:rFonts w:hint="eastAsia"/>
                      <w:color w:val="auto"/>
                      <w:sz w:val="21"/>
                      <w:szCs w:val="21"/>
                      <w:lang w:val="en-US" w:eastAsia="zh-CN"/>
                    </w:rPr>
                    <w:t>35.79</w:t>
                  </w:r>
                </w:p>
              </w:tc>
              <w:tc>
                <w:tcPr>
                  <w:tcW w:w="169" w:type="pct"/>
                  <w:shd w:val="clear" w:color="auto" w:fill="FFFFFF"/>
                  <w:tcMar>
                    <w:top w:w="0" w:type="dxa"/>
                    <w:left w:w="0" w:type="dxa"/>
                    <w:bottom w:w="0" w:type="dxa"/>
                    <w:right w:w="0" w:type="dxa"/>
                  </w:tcMar>
                  <w:vAlign w:val="center"/>
                </w:tcPr>
                <w:p w14:paraId="08BEDD41">
                  <w:pPr>
                    <w:jc w:val="center"/>
                    <w:rPr>
                      <w:rFonts w:hint="default" w:eastAsia="宋体"/>
                      <w:color w:val="auto"/>
                      <w:sz w:val="21"/>
                      <w:szCs w:val="21"/>
                      <w:lang w:val="en-US" w:eastAsia="zh-CN"/>
                    </w:rPr>
                  </w:pPr>
                  <w:r>
                    <w:rPr>
                      <w:rFonts w:hint="eastAsia"/>
                      <w:color w:val="auto"/>
                      <w:sz w:val="21"/>
                      <w:szCs w:val="21"/>
                      <w:lang w:val="en-US" w:eastAsia="zh-CN"/>
                    </w:rPr>
                    <w:t>1.2</w:t>
                  </w:r>
                </w:p>
              </w:tc>
              <w:tc>
                <w:tcPr>
                  <w:tcW w:w="186" w:type="pct"/>
                  <w:shd w:val="clear" w:color="auto" w:fill="FFFFFF"/>
                  <w:tcMar>
                    <w:top w:w="0" w:type="dxa"/>
                    <w:left w:w="0" w:type="dxa"/>
                    <w:bottom w:w="0" w:type="dxa"/>
                    <w:right w:w="0" w:type="dxa"/>
                  </w:tcMar>
                  <w:vAlign w:val="center"/>
                </w:tcPr>
                <w:p w14:paraId="74103194">
                  <w:pPr>
                    <w:jc w:val="center"/>
                    <w:rPr>
                      <w:rFonts w:hint="default" w:eastAsia="宋体"/>
                      <w:color w:val="auto"/>
                      <w:sz w:val="21"/>
                      <w:szCs w:val="21"/>
                      <w:lang w:val="en-US" w:eastAsia="zh-CN"/>
                    </w:rPr>
                  </w:pPr>
                  <w:r>
                    <w:rPr>
                      <w:rFonts w:hint="eastAsia"/>
                      <w:color w:val="auto"/>
                      <w:sz w:val="21"/>
                      <w:szCs w:val="21"/>
                      <w:lang w:val="en-US" w:eastAsia="zh-CN"/>
                    </w:rPr>
                    <w:t>108</w:t>
                  </w:r>
                </w:p>
              </w:tc>
              <w:tc>
                <w:tcPr>
                  <w:tcW w:w="186" w:type="pct"/>
                  <w:shd w:val="clear" w:color="auto" w:fill="FFFFFF"/>
                  <w:tcMar>
                    <w:top w:w="0" w:type="dxa"/>
                    <w:left w:w="0" w:type="dxa"/>
                    <w:bottom w:w="0" w:type="dxa"/>
                    <w:right w:w="0" w:type="dxa"/>
                  </w:tcMar>
                  <w:vAlign w:val="center"/>
                </w:tcPr>
                <w:p w14:paraId="6C8B80A9">
                  <w:pPr>
                    <w:jc w:val="center"/>
                    <w:rPr>
                      <w:rFonts w:hint="default" w:eastAsia="宋体"/>
                      <w:color w:val="auto"/>
                      <w:sz w:val="21"/>
                      <w:szCs w:val="21"/>
                      <w:lang w:val="en-US" w:eastAsia="zh-CN"/>
                    </w:rPr>
                  </w:pPr>
                  <w:r>
                    <w:rPr>
                      <w:rFonts w:hint="eastAsia"/>
                      <w:color w:val="auto"/>
                      <w:sz w:val="21"/>
                      <w:szCs w:val="21"/>
                      <w:lang w:val="en-US" w:eastAsia="zh-CN"/>
                    </w:rPr>
                    <w:t>38</w:t>
                  </w:r>
                </w:p>
              </w:tc>
              <w:tc>
                <w:tcPr>
                  <w:tcW w:w="186" w:type="pct"/>
                  <w:shd w:val="clear" w:color="auto" w:fill="FFFFFF"/>
                  <w:tcMar>
                    <w:top w:w="0" w:type="dxa"/>
                    <w:left w:w="0" w:type="dxa"/>
                    <w:bottom w:w="0" w:type="dxa"/>
                    <w:right w:w="0" w:type="dxa"/>
                  </w:tcMar>
                  <w:vAlign w:val="center"/>
                </w:tcPr>
                <w:p w14:paraId="61A8949C">
                  <w:pPr>
                    <w:jc w:val="center"/>
                    <w:rPr>
                      <w:rFonts w:hint="default" w:eastAsia="宋体"/>
                      <w:color w:val="auto"/>
                      <w:sz w:val="21"/>
                      <w:szCs w:val="21"/>
                      <w:lang w:val="en-US" w:eastAsia="zh-CN"/>
                    </w:rPr>
                  </w:pPr>
                  <w:r>
                    <w:rPr>
                      <w:rFonts w:hint="eastAsia"/>
                      <w:color w:val="auto"/>
                      <w:sz w:val="21"/>
                      <w:szCs w:val="21"/>
                      <w:lang w:val="en-US" w:eastAsia="zh-CN"/>
                    </w:rPr>
                    <w:t>23</w:t>
                  </w:r>
                </w:p>
              </w:tc>
              <w:tc>
                <w:tcPr>
                  <w:tcW w:w="192" w:type="pct"/>
                  <w:shd w:val="clear" w:color="auto" w:fill="FFFFFF"/>
                  <w:tcMar>
                    <w:top w:w="0" w:type="dxa"/>
                    <w:left w:w="0" w:type="dxa"/>
                    <w:bottom w:w="0" w:type="dxa"/>
                    <w:right w:w="0" w:type="dxa"/>
                  </w:tcMar>
                  <w:vAlign w:val="center"/>
                </w:tcPr>
                <w:p w14:paraId="4FBC677D">
                  <w:pPr>
                    <w:jc w:val="center"/>
                    <w:rPr>
                      <w:rFonts w:hint="default" w:eastAsia="宋体"/>
                      <w:color w:val="auto"/>
                      <w:sz w:val="21"/>
                      <w:szCs w:val="21"/>
                      <w:lang w:val="en-US" w:eastAsia="zh-CN"/>
                    </w:rPr>
                  </w:pPr>
                  <w:r>
                    <w:rPr>
                      <w:rFonts w:hint="eastAsia"/>
                      <w:color w:val="auto"/>
                      <w:sz w:val="21"/>
                      <w:szCs w:val="21"/>
                      <w:lang w:val="en-US" w:eastAsia="zh-CN"/>
                    </w:rPr>
                    <w:t>67</w:t>
                  </w:r>
                </w:p>
              </w:tc>
              <w:tc>
                <w:tcPr>
                  <w:tcW w:w="184" w:type="pct"/>
                  <w:shd w:val="clear" w:color="auto" w:fill="FFFFFF"/>
                  <w:tcMar>
                    <w:top w:w="0" w:type="dxa"/>
                    <w:left w:w="0" w:type="dxa"/>
                    <w:bottom w:w="0" w:type="dxa"/>
                    <w:right w:w="0" w:type="dxa"/>
                  </w:tcMar>
                  <w:vAlign w:val="center"/>
                </w:tcPr>
                <w:p w14:paraId="1F6E88BF">
                  <w:pPr>
                    <w:jc w:val="center"/>
                    <w:rPr>
                      <w:rFonts w:ascii="Times New Roman" w:hAnsi="Times New Roman" w:eastAsia="宋体" w:cs="Times New Roman"/>
                      <w:color w:val="auto"/>
                      <w:sz w:val="21"/>
                      <w:szCs w:val="21"/>
                      <w:lang w:val="en-US" w:eastAsia="zh-CN" w:bidi="ar-SA"/>
                    </w:rPr>
                  </w:pPr>
                  <w:r>
                    <w:rPr>
                      <w:color w:val="auto"/>
                      <w:sz w:val="21"/>
                      <w:szCs w:val="21"/>
                    </w:rPr>
                    <w:t>65.3</w:t>
                  </w:r>
                </w:p>
              </w:tc>
              <w:tc>
                <w:tcPr>
                  <w:tcW w:w="184" w:type="pct"/>
                  <w:shd w:val="clear" w:color="auto" w:fill="FFFFFF"/>
                  <w:tcMar>
                    <w:top w:w="0" w:type="dxa"/>
                    <w:left w:w="0" w:type="dxa"/>
                    <w:bottom w:w="0" w:type="dxa"/>
                    <w:right w:w="0" w:type="dxa"/>
                  </w:tcMar>
                  <w:vAlign w:val="center"/>
                </w:tcPr>
                <w:p w14:paraId="3FA26491">
                  <w:pPr>
                    <w:jc w:val="center"/>
                    <w:rPr>
                      <w:rFonts w:ascii="Times New Roman" w:hAnsi="Times New Roman" w:eastAsia="宋体" w:cs="Times New Roman"/>
                      <w:color w:val="auto"/>
                      <w:sz w:val="21"/>
                      <w:szCs w:val="21"/>
                      <w:lang w:val="en-US" w:eastAsia="zh-CN" w:bidi="ar-SA"/>
                    </w:rPr>
                  </w:pPr>
                  <w:r>
                    <w:rPr>
                      <w:color w:val="auto"/>
                      <w:sz w:val="21"/>
                      <w:szCs w:val="21"/>
                    </w:rPr>
                    <w:t>65.3</w:t>
                  </w:r>
                </w:p>
              </w:tc>
              <w:tc>
                <w:tcPr>
                  <w:tcW w:w="184" w:type="pct"/>
                  <w:shd w:val="clear" w:color="auto" w:fill="FFFFFF"/>
                  <w:tcMar>
                    <w:top w:w="0" w:type="dxa"/>
                    <w:left w:w="0" w:type="dxa"/>
                    <w:bottom w:w="0" w:type="dxa"/>
                    <w:right w:w="0" w:type="dxa"/>
                  </w:tcMar>
                  <w:vAlign w:val="center"/>
                </w:tcPr>
                <w:p w14:paraId="5B96DAB2">
                  <w:pPr>
                    <w:jc w:val="center"/>
                    <w:rPr>
                      <w:rFonts w:ascii="Times New Roman" w:hAnsi="Times New Roman" w:eastAsia="宋体" w:cs="Times New Roman"/>
                      <w:color w:val="auto"/>
                      <w:sz w:val="21"/>
                      <w:szCs w:val="21"/>
                      <w:lang w:val="en-US" w:eastAsia="zh-CN" w:bidi="ar-SA"/>
                    </w:rPr>
                  </w:pPr>
                  <w:r>
                    <w:rPr>
                      <w:color w:val="auto"/>
                      <w:sz w:val="21"/>
                      <w:szCs w:val="21"/>
                    </w:rPr>
                    <w:t>65.3</w:t>
                  </w:r>
                </w:p>
              </w:tc>
              <w:tc>
                <w:tcPr>
                  <w:tcW w:w="189" w:type="pct"/>
                  <w:shd w:val="clear" w:color="auto" w:fill="FFFFFF"/>
                  <w:tcMar>
                    <w:top w:w="0" w:type="dxa"/>
                    <w:left w:w="0" w:type="dxa"/>
                    <w:bottom w:w="0" w:type="dxa"/>
                    <w:right w:w="0" w:type="dxa"/>
                  </w:tcMar>
                  <w:vAlign w:val="center"/>
                </w:tcPr>
                <w:p w14:paraId="02C6C3C7">
                  <w:pPr>
                    <w:jc w:val="center"/>
                    <w:rPr>
                      <w:rFonts w:ascii="Times New Roman" w:hAnsi="Times New Roman" w:eastAsia="宋体" w:cs="Times New Roman"/>
                      <w:color w:val="auto"/>
                      <w:sz w:val="21"/>
                      <w:szCs w:val="21"/>
                      <w:lang w:val="en-US" w:eastAsia="zh-CN" w:bidi="ar-SA"/>
                    </w:rPr>
                  </w:pPr>
                  <w:r>
                    <w:rPr>
                      <w:color w:val="auto"/>
                      <w:sz w:val="21"/>
                      <w:szCs w:val="21"/>
                    </w:rPr>
                    <w:t>65.4</w:t>
                  </w:r>
                </w:p>
              </w:tc>
              <w:tc>
                <w:tcPr>
                  <w:tcW w:w="189" w:type="pct"/>
                  <w:shd w:val="clear" w:color="auto" w:fill="FFFFFF"/>
                  <w:tcMar>
                    <w:top w:w="0" w:type="dxa"/>
                    <w:left w:w="0" w:type="dxa"/>
                    <w:bottom w:w="0" w:type="dxa"/>
                    <w:right w:w="0" w:type="dxa"/>
                  </w:tcMar>
                  <w:vAlign w:val="center"/>
                </w:tcPr>
                <w:p w14:paraId="2ECE6E79">
                  <w:pPr>
                    <w:jc w:val="center"/>
                    <w:rPr>
                      <w:color w:val="auto"/>
                      <w:sz w:val="21"/>
                      <w:szCs w:val="21"/>
                    </w:rPr>
                  </w:pPr>
                  <w:r>
                    <w:rPr>
                      <w:color w:val="auto"/>
                      <w:sz w:val="21"/>
                      <w:szCs w:val="21"/>
                    </w:rPr>
                    <w:t>全天</w:t>
                  </w:r>
                </w:p>
              </w:tc>
              <w:tc>
                <w:tcPr>
                  <w:tcW w:w="299" w:type="dxa"/>
                  <w:shd w:val="clear" w:color="auto" w:fill="FFFFFF"/>
                  <w:tcMar>
                    <w:top w:w="0" w:type="dxa"/>
                    <w:left w:w="0" w:type="dxa"/>
                    <w:bottom w:w="0" w:type="dxa"/>
                    <w:right w:w="0" w:type="dxa"/>
                  </w:tcMar>
                  <w:vAlign w:val="center"/>
                </w:tcPr>
                <w:p w14:paraId="3200B57A">
                  <w:pPr>
                    <w:jc w:val="center"/>
                    <w:rPr>
                      <w:rFonts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299" w:type="dxa"/>
                  <w:shd w:val="clear" w:color="auto" w:fill="FFFFFF"/>
                  <w:tcMar>
                    <w:top w:w="0" w:type="dxa"/>
                    <w:left w:w="0" w:type="dxa"/>
                    <w:bottom w:w="0" w:type="dxa"/>
                    <w:right w:w="0" w:type="dxa"/>
                  </w:tcMar>
                  <w:vAlign w:val="center"/>
                </w:tcPr>
                <w:p w14:paraId="4D9B45CD">
                  <w:pPr>
                    <w:jc w:val="center"/>
                    <w:rPr>
                      <w:rFonts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299" w:type="dxa"/>
                  <w:shd w:val="clear" w:color="auto" w:fill="FFFFFF"/>
                  <w:tcMar>
                    <w:top w:w="0" w:type="dxa"/>
                    <w:left w:w="0" w:type="dxa"/>
                    <w:bottom w:w="0" w:type="dxa"/>
                    <w:right w:w="0" w:type="dxa"/>
                  </w:tcMar>
                  <w:vAlign w:val="center"/>
                </w:tcPr>
                <w:p w14:paraId="403BD4F9">
                  <w:pPr>
                    <w:jc w:val="center"/>
                    <w:rPr>
                      <w:rFonts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306" w:type="dxa"/>
                  <w:shd w:val="clear" w:color="auto" w:fill="FFFFFF"/>
                  <w:tcMar>
                    <w:top w:w="0" w:type="dxa"/>
                    <w:left w:w="0" w:type="dxa"/>
                    <w:bottom w:w="0" w:type="dxa"/>
                    <w:right w:w="0" w:type="dxa"/>
                  </w:tcMar>
                  <w:vAlign w:val="center"/>
                </w:tcPr>
                <w:p w14:paraId="591A9C99">
                  <w:pPr>
                    <w:jc w:val="center"/>
                    <w:rPr>
                      <w:rFonts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6" w:type="pct"/>
                  <w:shd w:val="clear" w:color="auto" w:fill="FFFFFF"/>
                  <w:tcMar>
                    <w:top w:w="0" w:type="dxa"/>
                    <w:left w:w="0" w:type="dxa"/>
                    <w:bottom w:w="0" w:type="dxa"/>
                    <w:right w:w="0" w:type="dxa"/>
                  </w:tcMar>
                  <w:vAlign w:val="center"/>
                </w:tcPr>
                <w:p w14:paraId="5E055801">
                  <w:pPr>
                    <w:jc w:val="center"/>
                    <w:rPr>
                      <w:rFonts w:ascii="Times New Roman" w:hAnsi="Times New Roman" w:eastAsia="宋体" w:cs="Times New Roman"/>
                      <w:color w:val="auto"/>
                      <w:sz w:val="21"/>
                      <w:szCs w:val="21"/>
                      <w:lang w:val="en-US" w:eastAsia="zh-CN" w:bidi="ar-SA"/>
                    </w:rPr>
                  </w:pPr>
                  <w:r>
                    <w:rPr>
                      <w:color w:val="auto"/>
                      <w:sz w:val="21"/>
                      <w:szCs w:val="21"/>
                    </w:rPr>
                    <w:t>45.3</w:t>
                  </w:r>
                </w:p>
              </w:tc>
              <w:tc>
                <w:tcPr>
                  <w:tcW w:w="186" w:type="pct"/>
                  <w:shd w:val="clear" w:color="auto" w:fill="FFFFFF"/>
                  <w:tcMar>
                    <w:top w:w="0" w:type="dxa"/>
                    <w:left w:w="0" w:type="dxa"/>
                    <w:bottom w:w="0" w:type="dxa"/>
                    <w:right w:w="0" w:type="dxa"/>
                  </w:tcMar>
                  <w:vAlign w:val="center"/>
                </w:tcPr>
                <w:p w14:paraId="63015679">
                  <w:pPr>
                    <w:jc w:val="center"/>
                    <w:rPr>
                      <w:rFonts w:ascii="Times New Roman" w:hAnsi="Times New Roman" w:eastAsia="宋体" w:cs="Times New Roman"/>
                      <w:color w:val="auto"/>
                      <w:sz w:val="21"/>
                      <w:szCs w:val="21"/>
                      <w:lang w:val="en-US" w:eastAsia="zh-CN" w:bidi="ar-SA"/>
                    </w:rPr>
                  </w:pPr>
                  <w:r>
                    <w:rPr>
                      <w:color w:val="auto"/>
                      <w:sz w:val="21"/>
                      <w:szCs w:val="21"/>
                    </w:rPr>
                    <w:t>45.2</w:t>
                  </w:r>
                </w:p>
              </w:tc>
              <w:tc>
                <w:tcPr>
                  <w:tcW w:w="186" w:type="pct"/>
                  <w:shd w:val="clear" w:color="auto" w:fill="FFFFFF"/>
                  <w:tcMar>
                    <w:top w:w="0" w:type="dxa"/>
                    <w:left w:w="0" w:type="dxa"/>
                    <w:bottom w:w="0" w:type="dxa"/>
                    <w:right w:w="0" w:type="dxa"/>
                  </w:tcMar>
                  <w:vAlign w:val="center"/>
                </w:tcPr>
                <w:p w14:paraId="550C83DB">
                  <w:pPr>
                    <w:jc w:val="center"/>
                    <w:rPr>
                      <w:rFonts w:ascii="Times New Roman" w:hAnsi="Times New Roman" w:eastAsia="宋体" w:cs="Times New Roman"/>
                      <w:color w:val="auto"/>
                      <w:sz w:val="21"/>
                      <w:szCs w:val="21"/>
                      <w:lang w:val="en-US" w:eastAsia="zh-CN" w:bidi="ar-SA"/>
                    </w:rPr>
                  </w:pPr>
                  <w:r>
                    <w:rPr>
                      <w:color w:val="auto"/>
                      <w:sz w:val="21"/>
                      <w:szCs w:val="21"/>
                    </w:rPr>
                    <w:t>45.3</w:t>
                  </w:r>
                </w:p>
              </w:tc>
              <w:tc>
                <w:tcPr>
                  <w:tcW w:w="186" w:type="pct"/>
                  <w:shd w:val="clear" w:color="auto" w:fill="FFFFFF"/>
                  <w:tcMar>
                    <w:top w:w="0" w:type="dxa"/>
                    <w:left w:w="0" w:type="dxa"/>
                    <w:bottom w:w="0" w:type="dxa"/>
                    <w:right w:w="0" w:type="dxa"/>
                  </w:tcMar>
                  <w:vAlign w:val="center"/>
                </w:tcPr>
                <w:p w14:paraId="236854EE">
                  <w:pPr>
                    <w:jc w:val="center"/>
                    <w:rPr>
                      <w:rFonts w:ascii="Times New Roman" w:hAnsi="Times New Roman" w:eastAsia="宋体" w:cs="Times New Roman"/>
                      <w:color w:val="auto"/>
                      <w:sz w:val="21"/>
                      <w:szCs w:val="21"/>
                      <w:lang w:val="en-US" w:eastAsia="zh-CN" w:bidi="ar-SA"/>
                    </w:rPr>
                  </w:pPr>
                  <w:r>
                    <w:rPr>
                      <w:color w:val="auto"/>
                      <w:sz w:val="21"/>
                      <w:szCs w:val="21"/>
                    </w:rPr>
                    <w:t>45.3</w:t>
                  </w:r>
                </w:p>
              </w:tc>
              <w:tc>
                <w:tcPr>
                  <w:tcW w:w="262" w:type="pct"/>
                  <w:shd w:val="clear" w:color="auto" w:fill="FFFFFF"/>
                  <w:tcMar>
                    <w:top w:w="0" w:type="dxa"/>
                    <w:left w:w="0" w:type="dxa"/>
                    <w:bottom w:w="0" w:type="dxa"/>
                    <w:right w:w="0" w:type="dxa"/>
                  </w:tcMar>
                  <w:vAlign w:val="center"/>
                </w:tcPr>
                <w:p w14:paraId="637FB4B4">
                  <w:pPr>
                    <w:jc w:val="center"/>
                    <w:rPr>
                      <w:rFonts w:ascii="Times New Roman" w:hAnsi="Times New Roman" w:eastAsia="宋体" w:cs="Times New Roman"/>
                      <w:color w:val="auto"/>
                      <w:sz w:val="21"/>
                      <w:szCs w:val="21"/>
                      <w:lang w:val="en-US" w:eastAsia="zh-CN" w:bidi="ar-SA"/>
                    </w:rPr>
                  </w:pPr>
                  <w:r>
                    <w:rPr>
                      <w:color w:val="auto"/>
                      <w:sz w:val="21"/>
                      <w:szCs w:val="21"/>
                    </w:rPr>
                    <w:t>1</w:t>
                  </w:r>
                </w:p>
              </w:tc>
            </w:tr>
          </w:tbl>
          <w:p w14:paraId="6884182B">
            <w:pPr>
              <w:rPr>
                <w:rFonts w:hint="eastAsia"/>
                <w:color w:val="auto"/>
              </w:rPr>
            </w:pPr>
          </w:p>
          <w:p w14:paraId="7B7D0F4D">
            <w:pPr>
              <w:spacing w:line="360" w:lineRule="auto"/>
              <w:ind w:firstLine="480" w:firstLineChars="200"/>
              <w:rPr>
                <w:color w:val="auto"/>
                <w:sz w:val="24"/>
              </w:rPr>
            </w:pPr>
            <w:r>
              <w:rPr>
                <w:rFonts w:hint="eastAsia"/>
                <w:color w:val="auto"/>
                <w:sz w:val="24"/>
              </w:rPr>
              <w:t>C、环境数据</w:t>
            </w:r>
          </w:p>
          <w:p w14:paraId="10040DA1">
            <w:pPr>
              <w:spacing w:line="360" w:lineRule="auto"/>
              <w:ind w:firstLine="480" w:firstLineChars="200"/>
              <w:rPr>
                <w:color w:val="auto"/>
                <w:sz w:val="24"/>
              </w:rPr>
            </w:pPr>
            <w:r>
              <w:rPr>
                <w:rFonts w:hint="eastAsia"/>
                <w:color w:val="auto"/>
                <w:sz w:val="24"/>
              </w:rPr>
              <w:t>项目噪声环境影响预测基础数据见表4-</w:t>
            </w:r>
            <w:r>
              <w:rPr>
                <w:rFonts w:hint="eastAsia"/>
                <w:color w:val="auto"/>
                <w:sz w:val="24"/>
                <w:lang w:val="en-US" w:eastAsia="zh-CN"/>
              </w:rPr>
              <w:t>8</w:t>
            </w:r>
            <w:r>
              <w:rPr>
                <w:rFonts w:hint="eastAsia"/>
                <w:color w:val="auto"/>
                <w:sz w:val="24"/>
              </w:rPr>
              <w:t>。</w:t>
            </w:r>
          </w:p>
          <w:p w14:paraId="2B208801">
            <w:pPr>
              <w:jc w:val="center"/>
              <w:rPr>
                <w:b/>
                <w:bCs/>
                <w:color w:val="auto"/>
                <w:sz w:val="24"/>
              </w:rPr>
            </w:pPr>
            <w:r>
              <w:rPr>
                <w:rFonts w:hint="eastAsia"/>
                <w:b/>
                <w:bCs/>
                <w:color w:val="auto"/>
                <w:sz w:val="24"/>
              </w:rPr>
              <w:t>表4-</w:t>
            </w:r>
            <w:r>
              <w:rPr>
                <w:rFonts w:hint="eastAsia"/>
                <w:b/>
                <w:bCs/>
                <w:color w:val="auto"/>
                <w:sz w:val="24"/>
                <w:lang w:val="en-US" w:eastAsia="zh-CN"/>
              </w:rPr>
              <w:t>8</w:t>
            </w:r>
            <w:r>
              <w:rPr>
                <w:rFonts w:hint="eastAsia"/>
                <w:b/>
                <w:bCs/>
                <w:color w:val="auto"/>
                <w:sz w:val="24"/>
              </w:rPr>
              <w:t xml:space="preserve">  项目噪声环境影响预测基础数据表</w:t>
            </w:r>
          </w:p>
          <w:tbl>
            <w:tblPr>
              <w:tblStyle w:val="45"/>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2601"/>
              <w:gridCol w:w="1984"/>
              <w:gridCol w:w="1984"/>
            </w:tblGrid>
            <w:tr w14:paraId="5969A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45" w:type="dxa"/>
                  <w:tcBorders>
                    <w:top w:val="single" w:color="auto" w:sz="4" w:space="0"/>
                    <w:left w:val="single" w:color="auto" w:sz="4" w:space="0"/>
                    <w:bottom w:val="single" w:color="auto" w:sz="4" w:space="0"/>
                    <w:right w:val="single" w:color="auto" w:sz="4" w:space="0"/>
                  </w:tcBorders>
                  <w:vAlign w:val="center"/>
                </w:tcPr>
                <w:p w14:paraId="2C28DE9F">
                  <w:pPr>
                    <w:autoSpaceDE w:val="0"/>
                    <w:autoSpaceDN w:val="0"/>
                    <w:jc w:val="center"/>
                    <w:rPr>
                      <w:color w:val="auto"/>
                      <w:sz w:val="21"/>
                      <w:szCs w:val="21"/>
                    </w:rPr>
                  </w:pPr>
                  <w:r>
                    <w:rPr>
                      <w:b/>
                      <w:color w:val="auto"/>
                      <w:sz w:val="21"/>
                      <w:szCs w:val="21"/>
                    </w:rPr>
                    <w:t>序号</w:t>
                  </w:r>
                </w:p>
              </w:tc>
              <w:tc>
                <w:tcPr>
                  <w:tcW w:w="2177" w:type="dxa"/>
                  <w:tcBorders>
                    <w:top w:val="single" w:color="auto" w:sz="4" w:space="0"/>
                    <w:left w:val="single" w:color="auto" w:sz="4" w:space="0"/>
                    <w:bottom w:val="single" w:color="auto" w:sz="4" w:space="0"/>
                    <w:right w:val="single" w:color="auto" w:sz="4" w:space="0"/>
                  </w:tcBorders>
                  <w:vAlign w:val="center"/>
                </w:tcPr>
                <w:p w14:paraId="2B3AF3C2">
                  <w:pPr>
                    <w:autoSpaceDE w:val="0"/>
                    <w:autoSpaceDN w:val="0"/>
                    <w:jc w:val="center"/>
                    <w:rPr>
                      <w:color w:val="auto"/>
                      <w:sz w:val="21"/>
                      <w:szCs w:val="21"/>
                    </w:rPr>
                  </w:pPr>
                  <w:r>
                    <w:rPr>
                      <w:b/>
                      <w:color w:val="auto"/>
                      <w:sz w:val="21"/>
                      <w:szCs w:val="21"/>
                    </w:rPr>
                    <w:t>名称</w:t>
                  </w:r>
                </w:p>
              </w:tc>
              <w:tc>
                <w:tcPr>
                  <w:tcW w:w="1661" w:type="dxa"/>
                  <w:tcBorders>
                    <w:top w:val="single" w:color="auto" w:sz="4" w:space="0"/>
                    <w:left w:val="single" w:color="auto" w:sz="4" w:space="0"/>
                    <w:bottom w:val="single" w:color="auto" w:sz="4" w:space="0"/>
                    <w:right w:val="single" w:color="auto" w:sz="4" w:space="0"/>
                  </w:tcBorders>
                  <w:vAlign w:val="center"/>
                </w:tcPr>
                <w:p w14:paraId="6A594ADE">
                  <w:pPr>
                    <w:autoSpaceDE w:val="0"/>
                    <w:autoSpaceDN w:val="0"/>
                    <w:jc w:val="center"/>
                    <w:rPr>
                      <w:color w:val="auto"/>
                      <w:sz w:val="21"/>
                      <w:szCs w:val="21"/>
                    </w:rPr>
                  </w:pPr>
                  <w:r>
                    <w:rPr>
                      <w:b/>
                      <w:color w:val="auto"/>
                      <w:sz w:val="21"/>
                      <w:szCs w:val="21"/>
                    </w:rPr>
                    <w:t>单位</w:t>
                  </w:r>
                </w:p>
              </w:tc>
              <w:tc>
                <w:tcPr>
                  <w:tcW w:w="1661" w:type="dxa"/>
                  <w:tcBorders>
                    <w:top w:val="single" w:color="auto" w:sz="4" w:space="0"/>
                    <w:left w:val="single" w:color="auto" w:sz="4" w:space="0"/>
                    <w:bottom w:val="single" w:color="auto" w:sz="4" w:space="0"/>
                    <w:right w:val="single" w:color="auto" w:sz="4" w:space="0"/>
                  </w:tcBorders>
                  <w:vAlign w:val="center"/>
                </w:tcPr>
                <w:p w14:paraId="642223B7">
                  <w:pPr>
                    <w:autoSpaceDE w:val="0"/>
                    <w:autoSpaceDN w:val="0"/>
                    <w:jc w:val="center"/>
                    <w:rPr>
                      <w:color w:val="auto"/>
                      <w:sz w:val="21"/>
                      <w:szCs w:val="21"/>
                    </w:rPr>
                  </w:pPr>
                  <w:r>
                    <w:rPr>
                      <w:b/>
                      <w:color w:val="auto"/>
                      <w:sz w:val="21"/>
                      <w:szCs w:val="21"/>
                    </w:rPr>
                    <w:t>数据</w:t>
                  </w:r>
                </w:p>
              </w:tc>
            </w:tr>
            <w:tr w14:paraId="43650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45" w:type="dxa"/>
                  <w:tcBorders>
                    <w:top w:val="single" w:color="auto" w:sz="4" w:space="0"/>
                    <w:left w:val="single" w:color="auto" w:sz="4" w:space="0"/>
                    <w:bottom w:val="single" w:color="auto" w:sz="4" w:space="0"/>
                    <w:right w:val="single" w:color="auto" w:sz="4" w:space="0"/>
                  </w:tcBorders>
                  <w:shd w:val="clear" w:color="auto" w:fill="FFFFFF"/>
                  <w:vAlign w:val="center"/>
                </w:tcPr>
                <w:p w14:paraId="6790B8B6">
                  <w:pPr>
                    <w:autoSpaceDE w:val="0"/>
                    <w:autoSpaceDN w:val="0"/>
                    <w:jc w:val="center"/>
                    <w:rPr>
                      <w:color w:val="auto"/>
                      <w:sz w:val="21"/>
                      <w:szCs w:val="21"/>
                    </w:rPr>
                  </w:pPr>
                  <w:r>
                    <w:rPr>
                      <w:color w:val="auto"/>
                      <w:sz w:val="21"/>
                      <w:szCs w:val="21"/>
                    </w:rPr>
                    <w:t>1</w:t>
                  </w:r>
                </w:p>
              </w:tc>
              <w:tc>
                <w:tcPr>
                  <w:tcW w:w="2177" w:type="dxa"/>
                  <w:tcBorders>
                    <w:top w:val="single" w:color="auto" w:sz="4" w:space="0"/>
                    <w:left w:val="single" w:color="auto" w:sz="4" w:space="0"/>
                    <w:bottom w:val="single" w:color="auto" w:sz="4" w:space="0"/>
                    <w:right w:val="single" w:color="auto" w:sz="4" w:space="0"/>
                  </w:tcBorders>
                  <w:shd w:val="clear" w:color="auto" w:fill="FFFFFF"/>
                  <w:vAlign w:val="center"/>
                </w:tcPr>
                <w:p w14:paraId="7A2BD17F">
                  <w:pPr>
                    <w:autoSpaceDE w:val="0"/>
                    <w:autoSpaceDN w:val="0"/>
                    <w:jc w:val="center"/>
                    <w:rPr>
                      <w:color w:val="auto"/>
                      <w:sz w:val="21"/>
                      <w:szCs w:val="21"/>
                    </w:rPr>
                  </w:pPr>
                  <w:r>
                    <w:rPr>
                      <w:color w:val="auto"/>
                      <w:sz w:val="21"/>
                      <w:szCs w:val="21"/>
                    </w:rPr>
                    <w:t>年平均风速</w:t>
                  </w:r>
                </w:p>
              </w:tc>
              <w:tc>
                <w:tcPr>
                  <w:tcW w:w="1661" w:type="dxa"/>
                  <w:tcBorders>
                    <w:top w:val="single" w:color="auto" w:sz="4" w:space="0"/>
                    <w:left w:val="single" w:color="auto" w:sz="4" w:space="0"/>
                    <w:bottom w:val="single" w:color="auto" w:sz="4" w:space="0"/>
                    <w:right w:val="single" w:color="auto" w:sz="4" w:space="0"/>
                  </w:tcBorders>
                  <w:shd w:val="clear" w:color="auto" w:fill="FFFFFF"/>
                  <w:vAlign w:val="center"/>
                </w:tcPr>
                <w:p w14:paraId="0A3036B9">
                  <w:pPr>
                    <w:autoSpaceDE w:val="0"/>
                    <w:autoSpaceDN w:val="0"/>
                    <w:jc w:val="center"/>
                    <w:rPr>
                      <w:color w:val="auto"/>
                      <w:sz w:val="21"/>
                      <w:szCs w:val="21"/>
                    </w:rPr>
                  </w:pPr>
                  <w:r>
                    <w:rPr>
                      <w:color w:val="auto"/>
                      <w:sz w:val="21"/>
                      <w:szCs w:val="21"/>
                    </w:rPr>
                    <w:t>m/s</w:t>
                  </w:r>
                </w:p>
              </w:tc>
              <w:tc>
                <w:tcPr>
                  <w:tcW w:w="1661" w:type="dxa"/>
                  <w:tcBorders>
                    <w:top w:val="single" w:color="auto" w:sz="4" w:space="0"/>
                    <w:left w:val="single" w:color="auto" w:sz="4" w:space="0"/>
                    <w:bottom w:val="single" w:color="auto" w:sz="4" w:space="0"/>
                    <w:right w:val="single" w:color="auto" w:sz="4" w:space="0"/>
                  </w:tcBorders>
                  <w:shd w:val="clear" w:color="auto" w:fill="FFFFFF"/>
                  <w:vAlign w:val="center"/>
                </w:tcPr>
                <w:p w14:paraId="0E55A1ED">
                  <w:pPr>
                    <w:autoSpaceDE w:val="0"/>
                    <w:autoSpaceDN w:val="0"/>
                    <w:jc w:val="center"/>
                    <w:rPr>
                      <w:rFonts w:hint="default" w:eastAsia="宋体"/>
                      <w:color w:val="auto"/>
                      <w:sz w:val="21"/>
                      <w:szCs w:val="21"/>
                      <w:lang w:val="en-US" w:eastAsia="zh-CN"/>
                    </w:rPr>
                  </w:pPr>
                  <w:r>
                    <w:rPr>
                      <w:rFonts w:hint="eastAsia"/>
                      <w:color w:val="auto"/>
                      <w:sz w:val="21"/>
                      <w:szCs w:val="21"/>
                      <w:lang w:val="en-US" w:eastAsia="zh-CN"/>
                    </w:rPr>
                    <w:t>2.9</w:t>
                  </w:r>
                </w:p>
              </w:tc>
            </w:tr>
            <w:tr w14:paraId="52476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45" w:type="dxa"/>
                  <w:tcBorders>
                    <w:top w:val="single" w:color="auto" w:sz="4" w:space="0"/>
                    <w:left w:val="single" w:color="auto" w:sz="4" w:space="0"/>
                    <w:bottom w:val="single" w:color="auto" w:sz="4" w:space="0"/>
                    <w:right w:val="single" w:color="auto" w:sz="4" w:space="0"/>
                  </w:tcBorders>
                  <w:shd w:val="clear" w:color="auto" w:fill="FFFFFF"/>
                  <w:vAlign w:val="center"/>
                </w:tcPr>
                <w:p w14:paraId="4BE0D130">
                  <w:pPr>
                    <w:autoSpaceDE w:val="0"/>
                    <w:autoSpaceDN w:val="0"/>
                    <w:jc w:val="center"/>
                    <w:rPr>
                      <w:color w:val="auto"/>
                      <w:sz w:val="21"/>
                      <w:szCs w:val="21"/>
                    </w:rPr>
                  </w:pPr>
                  <w:r>
                    <w:rPr>
                      <w:color w:val="auto"/>
                      <w:sz w:val="21"/>
                      <w:szCs w:val="21"/>
                    </w:rPr>
                    <w:t>2</w:t>
                  </w:r>
                </w:p>
              </w:tc>
              <w:tc>
                <w:tcPr>
                  <w:tcW w:w="2177" w:type="dxa"/>
                  <w:tcBorders>
                    <w:top w:val="single" w:color="auto" w:sz="4" w:space="0"/>
                    <w:left w:val="single" w:color="auto" w:sz="4" w:space="0"/>
                    <w:bottom w:val="single" w:color="auto" w:sz="4" w:space="0"/>
                    <w:right w:val="single" w:color="auto" w:sz="4" w:space="0"/>
                  </w:tcBorders>
                  <w:shd w:val="clear" w:color="auto" w:fill="FFFFFF"/>
                  <w:vAlign w:val="center"/>
                </w:tcPr>
                <w:p w14:paraId="6402996A">
                  <w:pPr>
                    <w:autoSpaceDE w:val="0"/>
                    <w:autoSpaceDN w:val="0"/>
                    <w:jc w:val="center"/>
                    <w:rPr>
                      <w:color w:val="auto"/>
                      <w:sz w:val="21"/>
                      <w:szCs w:val="21"/>
                    </w:rPr>
                  </w:pPr>
                  <w:r>
                    <w:rPr>
                      <w:color w:val="auto"/>
                      <w:sz w:val="21"/>
                      <w:szCs w:val="21"/>
                    </w:rPr>
                    <w:t>主导风向</w:t>
                  </w:r>
                </w:p>
              </w:tc>
              <w:tc>
                <w:tcPr>
                  <w:tcW w:w="1661" w:type="dxa"/>
                  <w:tcBorders>
                    <w:top w:val="single" w:color="auto" w:sz="4" w:space="0"/>
                    <w:left w:val="single" w:color="auto" w:sz="4" w:space="0"/>
                    <w:bottom w:val="single" w:color="auto" w:sz="4" w:space="0"/>
                    <w:right w:val="single" w:color="auto" w:sz="4" w:space="0"/>
                  </w:tcBorders>
                  <w:shd w:val="clear" w:color="auto" w:fill="FFFFFF"/>
                  <w:vAlign w:val="center"/>
                </w:tcPr>
                <w:p w14:paraId="3BD855F4">
                  <w:pPr>
                    <w:autoSpaceDE w:val="0"/>
                    <w:autoSpaceDN w:val="0"/>
                    <w:jc w:val="center"/>
                    <w:rPr>
                      <w:color w:val="auto"/>
                      <w:sz w:val="21"/>
                      <w:szCs w:val="21"/>
                    </w:rPr>
                  </w:pPr>
                  <w:r>
                    <w:rPr>
                      <w:color w:val="auto"/>
                      <w:sz w:val="21"/>
                      <w:szCs w:val="21"/>
                    </w:rPr>
                    <w:t>/</w:t>
                  </w:r>
                </w:p>
              </w:tc>
              <w:tc>
                <w:tcPr>
                  <w:tcW w:w="1661" w:type="dxa"/>
                  <w:tcBorders>
                    <w:top w:val="single" w:color="auto" w:sz="4" w:space="0"/>
                    <w:left w:val="single" w:color="auto" w:sz="4" w:space="0"/>
                    <w:bottom w:val="single" w:color="auto" w:sz="4" w:space="0"/>
                    <w:right w:val="single" w:color="auto" w:sz="4" w:space="0"/>
                  </w:tcBorders>
                  <w:shd w:val="clear" w:color="auto" w:fill="FFFFFF"/>
                  <w:vAlign w:val="center"/>
                </w:tcPr>
                <w:p w14:paraId="0284DDA5">
                  <w:pPr>
                    <w:autoSpaceDE w:val="0"/>
                    <w:autoSpaceDN w:val="0"/>
                    <w:jc w:val="center"/>
                    <w:rPr>
                      <w:color w:val="auto"/>
                      <w:sz w:val="21"/>
                      <w:szCs w:val="21"/>
                    </w:rPr>
                  </w:pPr>
                  <w:r>
                    <w:rPr>
                      <w:color w:val="auto"/>
                      <w:sz w:val="21"/>
                      <w:szCs w:val="21"/>
                    </w:rPr>
                    <w:t>西南风</w:t>
                  </w:r>
                </w:p>
              </w:tc>
            </w:tr>
            <w:tr w14:paraId="02959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45" w:type="dxa"/>
                  <w:tcBorders>
                    <w:top w:val="single" w:color="auto" w:sz="4" w:space="0"/>
                    <w:left w:val="single" w:color="auto" w:sz="4" w:space="0"/>
                    <w:bottom w:val="single" w:color="auto" w:sz="4" w:space="0"/>
                    <w:right w:val="single" w:color="auto" w:sz="4" w:space="0"/>
                  </w:tcBorders>
                  <w:shd w:val="clear" w:color="auto" w:fill="FFFFFF"/>
                  <w:vAlign w:val="center"/>
                </w:tcPr>
                <w:p w14:paraId="0AE1824F">
                  <w:pPr>
                    <w:autoSpaceDE w:val="0"/>
                    <w:autoSpaceDN w:val="0"/>
                    <w:jc w:val="center"/>
                    <w:rPr>
                      <w:color w:val="auto"/>
                      <w:sz w:val="21"/>
                      <w:szCs w:val="21"/>
                    </w:rPr>
                  </w:pPr>
                  <w:r>
                    <w:rPr>
                      <w:color w:val="auto"/>
                      <w:sz w:val="21"/>
                      <w:szCs w:val="21"/>
                    </w:rPr>
                    <w:t>3</w:t>
                  </w:r>
                </w:p>
              </w:tc>
              <w:tc>
                <w:tcPr>
                  <w:tcW w:w="2177" w:type="dxa"/>
                  <w:tcBorders>
                    <w:top w:val="single" w:color="auto" w:sz="4" w:space="0"/>
                    <w:left w:val="single" w:color="auto" w:sz="4" w:space="0"/>
                    <w:bottom w:val="single" w:color="auto" w:sz="4" w:space="0"/>
                    <w:right w:val="single" w:color="auto" w:sz="4" w:space="0"/>
                  </w:tcBorders>
                  <w:shd w:val="clear" w:color="auto" w:fill="FFFFFF"/>
                  <w:vAlign w:val="center"/>
                </w:tcPr>
                <w:p w14:paraId="0E0BC1BE">
                  <w:pPr>
                    <w:autoSpaceDE w:val="0"/>
                    <w:autoSpaceDN w:val="0"/>
                    <w:jc w:val="center"/>
                    <w:rPr>
                      <w:color w:val="auto"/>
                      <w:sz w:val="21"/>
                      <w:szCs w:val="21"/>
                    </w:rPr>
                  </w:pPr>
                  <w:r>
                    <w:rPr>
                      <w:color w:val="auto"/>
                      <w:sz w:val="21"/>
                      <w:szCs w:val="21"/>
                    </w:rPr>
                    <w:t>年平均气温</w:t>
                  </w:r>
                </w:p>
              </w:tc>
              <w:tc>
                <w:tcPr>
                  <w:tcW w:w="1661" w:type="dxa"/>
                  <w:tcBorders>
                    <w:top w:val="single" w:color="auto" w:sz="4" w:space="0"/>
                    <w:left w:val="single" w:color="auto" w:sz="4" w:space="0"/>
                    <w:bottom w:val="single" w:color="auto" w:sz="4" w:space="0"/>
                    <w:right w:val="single" w:color="auto" w:sz="4" w:space="0"/>
                  </w:tcBorders>
                  <w:shd w:val="clear" w:color="auto" w:fill="FFFFFF"/>
                  <w:vAlign w:val="center"/>
                </w:tcPr>
                <w:p w14:paraId="3A3BAEE6">
                  <w:pPr>
                    <w:autoSpaceDE w:val="0"/>
                    <w:autoSpaceDN w:val="0"/>
                    <w:jc w:val="center"/>
                    <w:rPr>
                      <w:color w:val="auto"/>
                      <w:sz w:val="21"/>
                      <w:szCs w:val="21"/>
                    </w:rPr>
                  </w:pPr>
                  <w:r>
                    <w:rPr>
                      <w:color w:val="auto"/>
                      <w:sz w:val="21"/>
                      <w:szCs w:val="21"/>
                    </w:rPr>
                    <w:t>℃</w:t>
                  </w:r>
                </w:p>
              </w:tc>
              <w:tc>
                <w:tcPr>
                  <w:tcW w:w="1661" w:type="dxa"/>
                  <w:tcBorders>
                    <w:top w:val="single" w:color="auto" w:sz="4" w:space="0"/>
                    <w:left w:val="single" w:color="auto" w:sz="4" w:space="0"/>
                    <w:bottom w:val="single" w:color="auto" w:sz="4" w:space="0"/>
                    <w:right w:val="single" w:color="auto" w:sz="4" w:space="0"/>
                  </w:tcBorders>
                  <w:shd w:val="clear" w:color="auto" w:fill="FFFFFF"/>
                  <w:vAlign w:val="center"/>
                </w:tcPr>
                <w:p w14:paraId="0482D9DD">
                  <w:pPr>
                    <w:autoSpaceDE w:val="0"/>
                    <w:autoSpaceDN w:val="0"/>
                    <w:jc w:val="center"/>
                    <w:rPr>
                      <w:color w:val="auto"/>
                      <w:sz w:val="21"/>
                      <w:szCs w:val="21"/>
                    </w:rPr>
                  </w:pPr>
                  <w:r>
                    <w:rPr>
                      <w:color w:val="auto"/>
                      <w:sz w:val="21"/>
                      <w:szCs w:val="21"/>
                    </w:rPr>
                    <w:t>14.4</w:t>
                  </w:r>
                </w:p>
              </w:tc>
            </w:tr>
            <w:tr w14:paraId="336DF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45" w:type="dxa"/>
                  <w:tcBorders>
                    <w:top w:val="single" w:color="auto" w:sz="4" w:space="0"/>
                    <w:left w:val="single" w:color="auto" w:sz="4" w:space="0"/>
                    <w:bottom w:val="single" w:color="auto" w:sz="4" w:space="0"/>
                    <w:right w:val="single" w:color="auto" w:sz="4" w:space="0"/>
                  </w:tcBorders>
                  <w:shd w:val="clear" w:color="auto" w:fill="FFFFFF"/>
                  <w:vAlign w:val="center"/>
                </w:tcPr>
                <w:p w14:paraId="47169D3E">
                  <w:pPr>
                    <w:autoSpaceDE w:val="0"/>
                    <w:autoSpaceDN w:val="0"/>
                    <w:jc w:val="center"/>
                    <w:rPr>
                      <w:color w:val="auto"/>
                      <w:sz w:val="21"/>
                      <w:szCs w:val="21"/>
                    </w:rPr>
                  </w:pPr>
                  <w:r>
                    <w:rPr>
                      <w:color w:val="auto"/>
                      <w:sz w:val="21"/>
                      <w:szCs w:val="21"/>
                    </w:rPr>
                    <w:t>4</w:t>
                  </w:r>
                </w:p>
              </w:tc>
              <w:tc>
                <w:tcPr>
                  <w:tcW w:w="2177" w:type="dxa"/>
                  <w:tcBorders>
                    <w:top w:val="single" w:color="auto" w:sz="4" w:space="0"/>
                    <w:left w:val="single" w:color="auto" w:sz="4" w:space="0"/>
                    <w:bottom w:val="single" w:color="auto" w:sz="4" w:space="0"/>
                    <w:right w:val="single" w:color="auto" w:sz="4" w:space="0"/>
                  </w:tcBorders>
                  <w:shd w:val="clear" w:color="auto" w:fill="FFFFFF"/>
                  <w:vAlign w:val="center"/>
                </w:tcPr>
                <w:p w14:paraId="4DF08EB6">
                  <w:pPr>
                    <w:autoSpaceDE w:val="0"/>
                    <w:autoSpaceDN w:val="0"/>
                    <w:jc w:val="center"/>
                    <w:rPr>
                      <w:color w:val="auto"/>
                      <w:sz w:val="21"/>
                      <w:szCs w:val="21"/>
                    </w:rPr>
                  </w:pPr>
                  <w:r>
                    <w:rPr>
                      <w:color w:val="auto"/>
                      <w:sz w:val="21"/>
                      <w:szCs w:val="21"/>
                    </w:rPr>
                    <w:t>年平均相对湿度</w:t>
                  </w:r>
                </w:p>
              </w:tc>
              <w:tc>
                <w:tcPr>
                  <w:tcW w:w="1661" w:type="dxa"/>
                  <w:tcBorders>
                    <w:top w:val="single" w:color="auto" w:sz="4" w:space="0"/>
                    <w:left w:val="single" w:color="auto" w:sz="4" w:space="0"/>
                    <w:bottom w:val="single" w:color="auto" w:sz="4" w:space="0"/>
                    <w:right w:val="single" w:color="auto" w:sz="4" w:space="0"/>
                  </w:tcBorders>
                  <w:shd w:val="clear" w:color="auto" w:fill="FFFFFF"/>
                  <w:vAlign w:val="center"/>
                </w:tcPr>
                <w:p w14:paraId="476F5B88">
                  <w:pPr>
                    <w:autoSpaceDE w:val="0"/>
                    <w:autoSpaceDN w:val="0"/>
                    <w:jc w:val="center"/>
                    <w:rPr>
                      <w:color w:val="auto"/>
                      <w:sz w:val="21"/>
                      <w:szCs w:val="21"/>
                    </w:rPr>
                  </w:pPr>
                  <w:r>
                    <w:rPr>
                      <w:color w:val="auto"/>
                      <w:sz w:val="21"/>
                      <w:szCs w:val="21"/>
                    </w:rPr>
                    <w:t>%</w:t>
                  </w:r>
                </w:p>
              </w:tc>
              <w:tc>
                <w:tcPr>
                  <w:tcW w:w="1661" w:type="dxa"/>
                  <w:tcBorders>
                    <w:top w:val="single" w:color="auto" w:sz="4" w:space="0"/>
                    <w:left w:val="single" w:color="auto" w:sz="4" w:space="0"/>
                    <w:bottom w:val="single" w:color="auto" w:sz="4" w:space="0"/>
                    <w:right w:val="single" w:color="auto" w:sz="4" w:space="0"/>
                  </w:tcBorders>
                  <w:shd w:val="clear" w:color="auto" w:fill="FFFFFF"/>
                  <w:vAlign w:val="center"/>
                </w:tcPr>
                <w:p w14:paraId="7983DFA9">
                  <w:pPr>
                    <w:autoSpaceDE w:val="0"/>
                    <w:autoSpaceDN w:val="0"/>
                    <w:jc w:val="center"/>
                    <w:rPr>
                      <w:color w:val="auto"/>
                      <w:sz w:val="21"/>
                      <w:szCs w:val="21"/>
                    </w:rPr>
                  </w:pPr>
                  <w:r>
                    <w:rPr>
                      <w:color w:val="auto"/>
                      <w:sz w:val="21"/>
                      <w:szCs w:val="21"/>
                    </w:rPr>
                    <w:t>75</w:t>
                  </w:r>
                </w:p>
              </w:tc>
            </w:tr>
            <w:tr w14:paraId="14635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45" w:type="dxa"/>
                  <w:tcBorders>
                    <w:top w:val="single" w:color="auto" w:sz="4" w:space="0"/>
                    <w:left w:val="single" w:color="auto" w:sz="4" w:space="0"/>
                    <w:bottom w:val="single" w:color="auto" w:sz="4" w:space="0"/>
                    <w:right w:val="single" w:color="auto" w:sz="4" w:space="0"/>
                  </w:tcBorders>
                  <w:shd w:val="clear" w:color="auto" w:fill="FFFFFF"/>
                  <w:vAlign w:val="center"/>
                </w:tcPr>
                <w:p w14:paraId="7D185E74">
                  <w:pPr>
                    <w:autoSpaceDE w:val="0"/>
                    <w:autoSpaceDN w:val="0"/>
                    <w:jc w:val="center"/>
                    <w:rPr>
                      <w:color w:val="auto"/>
                      <w:sz w:val="21"/>
                      <w:szCs w:val="21"/>
                    </w:rPr>
                  </w:pPr>
                  <w:r>
                    <w:rPr>
                      <w:color w:val="auto"/>
                      <w:sz w:val="21"/>
                      <w:szCs w:val="21"/>
                    </w:rPr>
                    <w:t>5</w:t>
                  </w:r>
                </w:p>
              </w:tc>
              <w:tc>
                <w:tcPr>
                  <w:tcW w:w="2177" w:type="dxa"/>
                  <w:tcBorders>
                    <w:top w:val="single" w:color="auto" w:sz="4" w:space="0"/>
                    <w:left w:val="single" w:color="auto" w:sz="4" w:space="0"/>
                    <w:bottom w:val="single" w:color="auto" w:sz="4" w:space="0"/>
                    <w:right w:val="single" w:color="auto" w:sz="4" w:space="0"/>
                  </w:tcBorders>
                  <w:shd w:val="clear" w:color="auto" w:fill="FFFFFF"/>
                  <w:vAlign w:val="center"/>
                </w:tcPr>
                <w:p w14:paraId="77C1F3C0">
                  <w:pPr>
                    <w:autoSpaceDE w:val="0"/>
                    <w:autoSpaceDN w:val="0"/>
                    <w:jc w:val="center"/>
                    <w:rPr>
                      <w:color w:val="auto"/>
                      <w:sz w:val="21"/>
                      <w:szCs w:val="21"/>
                    </w:rPr>
                  </w:pPr>
                  <w:r>
                    <w:rPr>
                      <w:color w:val="auto"/>
                      <w:sz w:val="21"/>
                      <w:szCs w:val="21"/>
                    </w:rPr>
                    <w:t>大气压强</w:t>
                  </w:r>
                </w:p>
              </w:tc>
              <w:tc>
                <w:tcPr>
                  <w:tcW w:w="1661" w:type="dxa"/>
                  <w:tcBorders>
                    <w:top w:val="single" w:color="auto" w:sz="4" w:space="0"/>
                    <w:left w:val="single" w:color="auto" w:sz="4" w:space="0"/>
                    <w:bottom w:val="single" w:color="auto" w:sz="4" w:space="0"/>
                    <w:right w:val="single" w:color="auto" w:sz="4" w:space="0"/>
                  </w:tcBorders>
                  <w:shd w:val="clear" w:color="auto" w:fill="FFFFFF"/>
                  <w:vAlign w:val="center"/>
                </w:tcPr>
                <w:p w14:paraId="5553469A">
                  <w:pPr>
                    <w:autoSpaceDE w:val="0"/>
                    <w:autoSpaceDN w:val="0"/>
                    <w:jc w:val="center"/>
                    <w:rPr>
                      <w:color w:val="auto"/>
                      <w:sz w:val="21"/>
                      <w:szCs w:val="21"/>
                    </w:rPr>
                  </w:pPr>
                  <w:r>
                    <w:rPr>
                      <w:color w:val="auto"/>
                      <w:sz w:val="21"/>
                      <w:szCs w:val="21"/>
                    </w:rPr>
                    <w:t>atm</w:t>
                  </w:r>
                </w:p>
              </w:tc>
              <w:tc>
                <w:tcPr>
                  <w:tcW w:w="1661" w:type="dxa"/>
                  <w:tcBorders>
                    <w:top w:val="single" w:color="auto" w:sz="4" w:space="0"/>
                    <w:left w:val="single" w:color="auto" w:sz="4" w:space="0"/>
                    <w:bottom w:val="single" w:color="auto" w:sz="4" w:space="0"/>
                    <w:right w:val="single" w:color="auto" w:sz="4" w:space="0"/>
                  </w:tcBorders>
                  <w:shd w:val="clear" w:color="auto" w:fill="FFFFFF"/>
                  <w:vAlign w:val="center"/>
                </w:tcPr>
                <w:p w14:paraId="6C79E58A">
                  <w:pPr>
                    <w:autoSpaceDE w:val="0"/>
                    <w:autoSpaceDN w:val="0"/>
                    <w:jc w:val="center"/>
                    <w:rPr>
                      <w:color w:val="auto"/>
                      <w:sz w:val="21"/>
                      <w:szCs w:val="21"/>
                    </w:rPr>
                  </w:pPr>
                  <w:r>
                    <w:rPr>
                      <w:color w:val="auto"/>
                      <w:sz w:val="21"/>
                      <w:szCs w:val="21"/>
                    </w:rPr>
                    <w:t>0.94</w:t>
                  </w:r>
                </w:p>
              </w:tc>
            </w:tr>
          </w:tbl>
          <w:p w14:paraId="2EA8FACA">
            <w:pPr>
              <w:spacing w:line="360" w:lineRule="auto"/>
              <w:ind w:firstLine="480" w:firstLineChars="200"/>
              <w:rPr>
                <w:color w:val="auto"/>
                <w:sz w:val="24"/>
              </w:rPr>
            </w:pPr>
            <w:r>
              <w:rPr>
                <w:rFonts w:hint="eastAsia"/>
                <w:color w:val="auto"/>
                <w:sz w:val="24"/>
              </w:rPr>
              <w:t>D、厂界达标分析</w:t>
            </w:r>
          </w:p>
          <w:p w14:paraId="0FA6D39E">
            <w:pPr>
              <w:spacing w:line="360" w:lineRule="auto"/>
              <w:ind w:firstLine="480" w:firstLineChars="200"/>
              <w:rPr>
                <w:color w:val="auto"/>
                <w:sz w:val="24"/>
              </w:rPr>
            </w:pPr>
            <w:r>
              <w:rPr>
                <w:rFonts w:hint="eastAsia"/>
                <w:color w:val="auto"/>
                <w:sz w:val="24"/>
                <w:lang w:val="en-US" w:eastAsia="zh-CN"/>
              </w:rPr>
              <w:t>采用环安NoiseSystem预测软件，厂界线每隔10m均匀布点的原则，</w:t>
            </w:r>
            <w:r>
              <w:rPr>
                <w:rFonts w:hint="eastAsia"/>
                <w:color w:val="auto"/>
                <w:sz w:val="24"/>
              </w:rPr>
              <w:t>通过预测模型</w:t>
            </w:r>
            <w:r>
              <w:rPr>
                <w:rFonts w:hint="eastAsia"/>
                <w:color w:val="auto"/>
                <w:sz w:val="24"/>
                <w:lang w:val="en-US" w:eastAsia="zh-CN"/>
              </w:rPr>
              <w:t>进行</w:t>
            </w:r>
            <w:r>
              <w:rPr>
                <w:rFonts w:hint="eastAsia"/>
                <w:color w:val="auto"/>
                <w:sz w:val="24"/>
              </w:rPr>
              <w:t>计算，项目厂界噪声的最大值预测结果与达标分析见表</w:t>
            </w:r>
            <w:r>
              <w:rPr>
                <w:color w:val="auto"/>
                <w:sz w:val="24"/>
              </w:rPr>
              <w:t>4-</w:t>
            </w:r>
            <w:r>
              <w:rPr>
                <w:rFonts w:hint="eastAsia"/>
                <w:color w:val="auto"/>
                <w:sz w:val="24"/>
                <w:lang w:val="en-US" w:eastAsia="zh-CN"/>
              </w:rPr>
              <w:t>9</w:t>
            </w:r>
            <w:r>
              <w:rPr>
                <w:rFonts w:hint="eastAsia"/>
                <w:color w:val="auto"/>
                <w:sz w:val="24"/>
              </w:rPr>
              <w:t>。</w:t>
            </w:r>
          </w:p>
          <w:p w14:paraId="71641D02">
            <w:pPr>
              <w:jc w:val="center"/>
              <w:rPr>
                <w:b/>
                <w:bCs/>
                <w:color w:val="auto"/>
                <w:sz w:val="24"/>
              </w:rPr>
            </w:pPr>
            <w:r>
              <w:rPr>
                <w:rFonts w:hint="eastAsia"/>
                <w:b/>
                <w:bCs/>
                <w:color w:val="auto"/>
                <w:sz w:val="24"/>
              </w:rPr>
              <w:t>表4-</w:t>
            </w:r>
            <w:r>
              <w:rPr>
                <w:rFonts w:hint="eastAsia"/>
                <w:b/>
                <w:bCs/>
                <w:color w:val="auto"/>
                <w:sz w:val="24"/>
                <w:lang w:val="en-US" w:eastAsia="zh-CN"/>
              </w:rPr>
              <w:t>9</w:t>
            </w:r>
            <w:r>
              <w:rPr>
                <w:rFonts w:hint="eastAsia"/>
                <w:b/>
                <w:bCs/>
                <w:color w:val="auto"/>
                <w:sz w:val="24"/>
              </w:rPr>
              <w:t xml:space="preserve">  项目厂界噪声预测结果与达标分析一览表</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689"/>
              <w:gridCol w:w="759"/>
              <w:gridCol w:w="526"/>
              <w:gridCol w:w="702"/>
              <w:gridCol w:w="1037"/>
              <w:gridCol w:w="1187"/>
              <w:gridCol w:w="1187"/>
              <w:gridCol w:w="1036"/>
              <w:gridCol w:w="763"/>
            </w:tblGrid>
            <w:tr w14:paraId="146FC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4" w:type="dxa"/>
                  <w:vMerge w:val="restart"/>
                  <w:vAlign w:val="center"/>
                </w:tcPr>
                <w:p w14:paraId="36BC463F">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b/>
                      <w:color w:val="auto"/>
                      <w:sz w:val="21"/>
                      <w:szCs w:val="21"/>
                    </w:rPr>
                    <w:t>预测方位</w:t>
                  </w:r>
                </w:p>
              </w:tc>
              <w:tc>
                <w:tcPr>
                  <w:tcW w:w="1974" w:type="dxa"/>
                  <w:gridSpan w:val="3"/>
                  <w:vAlign w:val="center"/>
                </w:tcPr>
                <w:p w14:paraId="37CF5233">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b/>
                      <w:color w:val="auto"/>
                      <w:sz w:val="21"/>
                      <w:szCs w:val="21"/>
                    </w:rPr>
                    <w:t>最大值点空间相对位置/m</w:t>
                  </w:r>
                </w:p>
              </w:tc>
              <w:tc>
                <w:tcPr>
                  <w:tcW w:w="702" w:type="dxa"/>
                  <w:vMerge w:val="restart"/>
                  <w:vAlign w:val="center"/>
                </w:tcPr>
                <w:p w14:paraId="4D0BD899">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b/>
                      <w:color w:val="auto"/>
                      <w:sz w:val="21"/>
                      <w:szCs w:val="21"/>
                    </w:rPr>
                    <w:t>时段</w:t>
                  </w:r>
                </w:p>
              </w:tc>
              <w:tc>
                <w:tcPr>
                  <w:tcW w:w="1037" w:type="dxa"/>
                  <w:vMerge w:val="restart"/>
                  <w:vAlign w:val="center"/>
                </w:tcPr>
                <w:p w14:paraId="7A4DCCB5">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b/>
                      <w:color w:val="auto"/>
                      <w:sz w:val="21"/>
                      <w:szCs w:val="21"/>
                    </w:rPr>
                    <w:t>贡献值（dB(A)）</w:t>
                  </w:r>
                </w:p>
              </w:tc>
              <w:tc>
                <w:tcPr>
                  <w:tcW w:w="1187" w:type="dxa"/>
                  <w:vMerge w:val="restart"/>
                  <w:vAlign w:val="center"/>
                </w:tcPr>
                <w:p w14:paraId="69D1B452">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
                      <w:color w:val="auto"/>
                      <w:sz w:val="21"/>
                      <w:szCs w:val="21"/>
                      <w:lang w:val="en-US" w:eastAsia="zh-CN"/>
                    </w:rPr>
                  </w:pPr>
                  <w:r>
                    <w:rPr>
                      <w:rFonts w:hint="eastAsia"/>
                      <w:b/>
                      <w:color w:val="auto"/>
                      <w:sz w:val="21"/>
                      <w:szCs w:val="21"/>
                      <w:lang w:val="en-US" w:eastAsia="zh-CN"/>
                    </w:rPr>
                    <w:t>背景值</w:t>
                  </w:r>
                  <w:r>
                    <w:rPr>
                      <w:b/>
                      <w:color w:val="auto"/>
                      <w:sz w:val="21"/>
                      <w:szCs w:val="21"/>
                    </w:rPr>
                    <w:t>（dB(A)）</w:t>
                  </w:r>
                </w:p>
              </w:tc>
              <w:tc>
                <w:tcPr>
                  <w:tcW w:w="1187" w:type="dxa"/>
                  <w:vMerge w:val="restart"/>
                  <w:vAlign w:val="center"/>
                </w:tcPr>
                <w:p w14:paraId="0B64D142">
                  <w:pPr>
                    <w:keepNext w:val="0"/>
                    <w:keepLines w:val="0"/>
                    <w:pageBreakBefore w:val="0"/>
                    <w:widowControl w:val="0"/>
                    <w:kinsoku/>
                    <w:wordWrap/>
                    <w:overflowPunct/>
                    <w:topLinePunct w:val="0"/>
                    <w:autoSpaceDE/>
                    <w:autoSpaceDN/>
                    <w:bidi w:val="0"/>
                    <w:adjustRightInd/>
                    <w:snapToGrid/>
                    <w:jc w:val="center"/>
                    <w:textAlignment w:val="auto"/>
                    <w:rPr>
                      <w:rFonts w:hint="default"/>
                      <w:b/>
                      <w:color w:val="auto"/>
                      <w:sz w:val="21"/>
                      <w:szCs w:val="21"/>
                      <w:lang w:val="en-US" w:eastAsia="zh-CN"/>
                    </w:rPr>
                  </w:pPr>
                  <w:r>
                    <w:rPr>
                      <w:rFonts w:hint="eastAsia"/>
                      <w:b/>
                      <w:color w:val="auto"/>
                      <w:sz w:val="21"/>
                      <w:szCs w:val="21"/>
                      <w:lang w:val="en-US" w:eastAsia="zh-CN"/>
                    </w:rPr>
                    <w:t>预测值</w:t>
                  </w:r>
                  <w:r>
                    <w:rPr>
                      <w:b/>
                      <w:color w:val="auto"/>
                      <w:sz w:val="21"/>
                      <w:szCs w:val="21"/>
                    </w:rPr>
                    <w:t>（dB(A)）</w:t>
                  </w:r>
                </w:p>
              </w:tc>
              <w:tc>
                <w:tcPr>
                  <w:tcW w:w="1036" w:type="dxa"/>
                  <w:vMerge w:val="restart"/>
                  <w:vAlign w:val="center"/>
                </w:tcPr>
                <w:p w14:paraId="73BAE73D">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b/>
                      <w:color w:val="auto"/>
                      <w:sz w:val="21"/>
                      <w:szCs w:val="21"/>
                    </w:rPr>
                    <w:t>标准限值（dB(A)）</w:t>
                  </w:r>
                </w:p>
              </w:tc>
              <w:tc>
                <w:tcPr>
                  <w:tcW w:w="763" w:type="dxa"/>
                  <w:vMerge w:val="restart"/>
                  <w:vAlign w:val="center"/>
                </w:tcPr>
                <w:p w14:paraId="330C69E6">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b/>
                      <w:color w:val="auto"/>
                      <w:sz w:val="21"/>
                      <w:szCs w:val="21"/>
                    </w:rPr>
                    <w:t>达标情况</w:t>
                  </w:r>
                </w:p>
              </w:tc>
            </w:tr>
            <w:tr w14:paraId="61D65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4" w:type="dxa"/>
                  <w:vMerge w:val="continue"/>
                  <w:shd w:val="clear" w:color="auto" w:fill="FFFFFF"/>
                  <w:vAlign w:val="center"/>
                </w:tcPr>
                <w:p w14:paraId="2EAD8D5D">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p>
              </w:tc>
              <w:tc>
                <w:tcPr>
                  <w:tcW w:w="689" w:type="dxa"/>
                  <w:shd w:val="clear" w:color="auto" w:fill="FFFFFF"/>
                  <w:vAlign w:val="center"/>
                </w:tcPr>
                <w:p w14:paraId="01967CEE">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X</w:t>
                  </w:r>
                </w:p>
              </w:tc>
              <w:tc>
                <w:tcPr>
                  <w:tcW w:w="759" w:type="dxa"/>
                  <w:shd w:val="clear" w:color="auto" w:fill="FFFFFF"/>
                  <w:vAlign w:val="center"/>
                </w:tcPr>
                <w:p w14:paraId="49C9DCB2">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Y</w:t>
                  </w:r>
                </w:p>
              </w:tc>
              <w:tc>
                <w:tcPr>
                  <w:tcW w:w="526" w:type="dxa"/>
                  <w:shd w:val="clear" w:color="auto" w:fill="FFFFFF"/>
                  <w:vAlign w:val="center"/>
                </w:tcPr>
                <w:p w14:paraId="095F562B">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Z</w:t>
                  </w:r>
                </w:p>
              </w:tc>
              <w:tc>
                <w:tcPr>
                  <w:tcW w:w="702" w:type="dxa"/>
                  <w:vMerge w:val="continue"/>
                  <w:shd w:val="clear" w:color="auto" w:fill="FFFFFF"/>
                  <w:vAlign w:val="center"/>
                </w:tcPr>
                <w:p w14:paraId="57B3540F">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p>
              </w:tc>
              <w:tc>
                <w:tcPr>
                  <w:tcW w:w="1037" w:type="dxa"/>
                  <w:vMerge w:val="continue"/>
                  <w:shd w:val="clear" w:color="auto" w:fill="FFFFFF"/>
                  <w:vAlign w:val="center"/>
                </w:tcPr>
                <w:p w14:paraId="6C8BB60B">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p>
              </w:tc>
              <w:tc>
                <w:tcPr>
                  <w:tcW w:w="1187" w:type="dxa"/>
                  <w:vMerge w:val="continue"/>
                  <w:shd w:val="clear" w:color="auto" w:fill="FFFFFF"/>
                  <w:vAlign w:val="center"/>
                </w:tcPr>
                <w:p w14:paraId="0D3DBD81">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p>
              </w:tc>
              <w:tc>
                <w:tcPr>
                  <w:tcW w:w="1187" w:type="dxa"/>
                  <w:vMerge w:val="continue"/>
                  <w:shd w:val="clear" w:color="auto" w:fill="FFFFFF"/>
                  <w:vAlign w:val="center"/>
                </w:tcPr>
                <w:p w14:paraId="2E09ADA1">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p>
              </w:tc>
              <w:tc>
                <w:tcPr>
                  <w:tcW w:w="1036" w:type="dxa"/>
                  <w:vMerge w:val="continue"/>
                  <w:shd w:val="clear" w:color="auto" w:fill="FFFFFF"/>
                  <w:vAlign w:val="center"/>
                </w:tcPr>
                <w:p w14:paraId="0FE57045">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p>
              </w:tc>
              <w:tc>
                <w:tcPr>
                  <w:tcW w:w="763" w:type="dxa"/>
                  <w:vMerge w:val="continue"/>
                  <w:shd w:val="clear" w:color="auto" w:fill="FFFFFF"/>
                  <w:vAlign w:val="center"/>
                </w:tcPr>
                <w:p w14:paraId="2581971B">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p>
              </w:tc>
            </w:tr>
            <w:tr w14:paraId="3BA52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atLeast"/>
                <w:jc w:val="center"/>
              </w:trPr>
              <w:tc>
                <w:tcPr>
                  <w:tcW w:w="584" w:type="dxa"/>
                  <w:vMerge w:val="restart"/>
                  <w:shd w:val="clear" w:color="auto" w:fill="FFFFFF"/>
                  <w:vAlign w:val="center"/>
                </w:tcPr>
                <w:p w14:paraId="42EB4EB5">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东侧</w:t>
                  </w:r>
                </w:p>
              </w:tc>
              <w:tc>
                <w:tcPr>
                  <w:tcW w:w="689" w:type="dxa"/>
                  <w:shd w:val="clear" w:color="auto" w:fill="FFFFFF"/>
                  <w:vAlign w:val="center"/>
                </w:tcPr>
                <w:p w14:paraId="1942F96F">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294.74</w:t>
                  </w:r>
                </w:p>
              </w:tc>
              <w:tc>
                <w:tcPr>
                  <w:tcW w:w="759" w:type="dxa"/>
                  <w:shd w:val="clear" w:color="auto" w:fill="FFFFFF"/>
                  <w:vAlign w:val="center"/>
                </w:tcPr>
                <w:p w14:paraId="0DC39036">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28.86</w:t>
                  </w:r>
                </w:p>
              </w:tc>
              <w:tc>
                <w:tcPr>
                  <w:tcW w:w="526" w:type="dxa"/>
                  <w:shd w:val="clear" w:color="auto" w:fill="FFFFFF"/>
                  <w:vAlign w:val="center"/>
                </w:tcPr>
                <w:p w14:paraId="734A26F6">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1.2</w:t>
                  </w:r>
                </w:p>
              </w:tc>
              <w:tc>
                <w:tcPr>
                  <w:tcW w:w="702" w:type="dxa"/>
                  <w:shd w:val="clear" w:color="auto" w:fill="FFFFFF"/>
                  <w:vAlign w:val="center"/>
                </w:tcPr>
                <w:p w14:paraId="5A03DA02">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昼间</w:t>
                  </w:r>
                </w:p>
              </w:tc>
              <w:tc>
                <w:tcPr>
                  <w:tcW w:w="1037" w:type="dxa"/>
                  <w:shd w:val="clear" w:color="auto" w:fill="FFFFFF"/>
                  <w:vAlign w:val="center"/>
                </w:tcPr>
                <w:p w14:paraId="0DC52F8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33.33</w:t>
                  </w:r>
                </w:p>
              </w:tc>
              <w:tc>
                <w:tcPr>
                  <w:tcW w:w="1187" w:type="dxa"/>
                  <w:shd w:val="clear" w:color="auto" w:fill="FFFFFF"/>
                  <w:vAlign w:val="center"/>
                </w:tcPr>
                <w:p w14:paraId="4DCE3F7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57</w:t>
                  </w:r>
                </w:p>
              </w:tc>
              <w:tc>
                <w:tcPr>
                  <w:tcW w:w="1187" w:type="dxa"/>
                  <w:shd w:val="clear" w:color="auto" w:fill="FFFFFF"/>
                  <w:vAlign w:val="center"/>
                </w:tcPr>
                <w:p w14:paraId="77F2E295">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57.02</w:t>
                  </w:r>
                </w:p>
              </w:tc>
              <w:tc>
                <w:tcPr>
                  <w:tcW w:w="1036" w:type="dxa"/>
                  <w:shd w:val="clear" w:color="auto" w:fill="FFFFFF"/>
                  <w:vAlign w:val="center"/>
                </w:tcPr>
                <w:p w14:paraId="04AF75DE">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21"/>
                      <w:szCs w:val="21"/>
                      <w:lang w:val="en-US" w:eastAsia="zh-CN"/>
                    </w:rPr>
                  </w:pPr>
                  <w:r>
                    <w:rPr>
                      <w:rFonts w:hint="eastAsia"/>
                      <w:color w:val="auto"/>
                      <w:sz w:val="21"/>
                      <w:szCs w:val="21"/>
                      <w:lang w:val="en-US" w:eastAsia="zh-CN"/>
                    </w:rPr>
                    <w:t>60</w:t>
                  </w:r>
                </w:p>
              </w:tc>
              <w:tc>
                <w:tcPr>
                  <w:tcW w:w="763" w:type="dxa"/>
                  <w:shd w:val="clear" w:color="auto" w:fill="FFFFFF"/>
                  <w:vAlign w:val="center"/>
                </w:tcPr>
                <w:p w14:paraId="121A5434">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达标</w:t>
                  </w:r>
                </w:p>
              </w:tc>
            </w:tr>
            <w:tr w14:paraId="563D3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atLeast"/>
                <w:jc w:val="center"/>
              </w:trPr>
              <w:tc>
                <w:tcPr>
                  <w:tcW w:w="584" w:type="dxa"/>
                  <w:vMerge w:val="continue"/>
                  <w:shd w:val="clear" w:color="auto" w:fill="FFFFFF"/>
                  <w:vAlign w:val="center"/>
                </w:tcPr>
                <w:p w14:paraId="39EF7E8D">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东侧</w:t>
                  </w:r>
                </w:p>
              </w:tc>
              <w:tc>
                <w:tcPr>
                  <w:tcW w:w="689" w:type="dxa"/>
                  <w:shd w:val="clear" w:color="auto" w:fill="FFFFFF"/>
                  <w:vAlign w:val="center"/>
                </w:tcPr>
                <w:p w14:paraId="6E03E9AC">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rPr>
                    <w:t>294.74</w:t>
                  </w:r>
                </w:p>
              </w:tc>
              <w:tc>
                <w:tcPr>
                  <w:tcW w:w="759" w:type="dxa"/>
                  <w:shd w:val="clear" w:color="auto" w:fill="FFFFFF"/>
                  <w:vAlign w:val="center"/>
                </w:tcPr>
                <w:p w14:paraId="1CDA64CB">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rPr>
                    <w:t>28.86</w:t>
                  </w:r>
                </w:p>
              </w:tc>
              <w:tc>
                <w:tcPr>
                  <w:tcW w:w="526" w:type="dxa"/>
                  <w:shd w:val="clear" w:color="auto" w:fill="FFFFFF"/>
                  <w:vAlign w:val="center"/>
                </w:tcPr>
                <w:p w14:paraId="09C23ECD">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1.2</w:t>
                  </w:r>
                </w:p>
              </w:tc>
              <w:tc>
                <w:tcPr>
                  <w:tcW w:w="702" w:type="dxa"/>
                  <w:shd w:val="clear" w:color="auto" w:fill="FFFFFF"/>
                  <w:vAlign w:val="center"/>
                </w:tcPr>
                <w:p w14:paraId="0CE31930">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夜间</w:t>
                  </w:r>
                </w:p>
              </w:tc>
              <w:tc>
                <w:tcPr>
                  <w:tcW w:w="1037" w:type="dxa"/>
                  <w:shd w:val="clear" w:color="auto" w:fill="FFFFFF"/>
                  <w:vAlign w:val="center"/>
                </w:tcPr>
                <w:p w14:paraId="06AC213F">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33.33</w:t>
                  </w:r>
                </w:p>
              </w:tc>
              <w:tc>
                <w:tcPr>
                  <w:tcW w:w="1187" w:type="dxa"/>
                  <w:shd w:val="clear" w:color="auto" w:fill="FFFFFF"/>
                  <w:vAlign w:val="center"/>
                </w:tcPr>
                <w:p w14:paraId="1110B92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48</w:t>
                  </w:r>
                </w:p>
              </w:tc>
              <w:tc>
                <w:tcPr>
                  <w:tcW w:w="1187" w:type="dxa"/>
                  <w:shd w:val="clear" w:color="auto" w:fill="FFFFFF"/>
                  <w:vAlign w:val="center"/>
                </w:tcPr>
                <w:p w14:paraId="66763B36">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48.15</w:t>
                  </w:r>
                </w:p>
              </w:tc>
              <w:tc>
                <w:tcPr>
                  <w:tcW w:w="1036" w:type="dxa"/>
                  <w:shd w:val="clear" w:color="auto" w:fill="FFFFFF"/>
                  <w:vAlign w:val="center"/>
                </w:tcPr>
                <w:p w14:paraId="5EF9BD91">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21"/>
                      <w:szCs w:val="21"/>
                      <w:lang w:val="en-US" w:eastAsia="zh-CN"/>
                    </w:rPr>
                  </w:pPr>
                  <w:r>
                    <w:rPr>
                      <w:rFonts w:hint="eastAsia"/>
                      <w:color w:val="auto"/>
                      <w:sz w:val="21"/>
                      <w:szCs w:val="21"/>
                      <w:lang w:val="en-US" w:eastAsia="zh-CN"/>
                    </w:rPr>
                    <w:t>50</w:t>
                  </w:r>
                </w:p>
              </w:tc>
              <w:tc>
                <w:tcPr>
                  <w:tcW w:w="763" w:type="dxa"/>
                  <w:shd w:val="clear" w:color="auto" w:fill="FFFFFF"/>
                  <w:vAlign w:val="center"/>
                </w:tcPr>
                <w:p w14:paraId="5CDEAB80">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达标</w:t>
                  </w:r>
                </w:p>
              </w:tc>
            </w:tr>
            <w:tr w14:paraId="066F3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atLeast"/>
                <w:jc w:val="center"/>
              </w:trPr>
              <w:tc>
                <w:tcPr>
                  <w:tcW w:w="584" w:type="dxa"/>
                  <w:vMerge w:val="restart"/>
                  <w:shd w:val="clear" w:color="auto" w:fill="FFFFFF"/>
                  <w:vAlign w:val="center"/>
                </w:tcPr>
                <w:p w14:paraId="290C1C85">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南侧</w:t>
                  </w:r>
                </w:p>
              </w:tc>
              <w:tc>
                <w:tcPr>
                  <w:tcW w:w="689" w:type="dxa"/>
                  <w:shd w:val="clear" w:color="auto" w:fill="FFFFFF"/>
                  <w:vAlign w:val="center"/>
                </w:tcPr>
                <w:p w14:paraId="35431475">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bidi="ar-SA"/>
                    </w:rPr>
                    <w:t>-43.41</w:t>
                  </w:r>
                </w:p>
              </w:tc>
              <w:tc>
                <w:tcPr>
                  <w:tcW w:w="759" w:type="dxa"/>
                  <w:shd w:val="clear" w:color="auto" w:fill="FFFFFF"/>
                  <w:vAlign w:val="center"/>
                </w:tcPr>
                <w:p w14:paraId="21DA737B">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-413.16</w:t>
                  </w:r>
                </w:p>
              </w:tc>
              <w:tc>
                <w:tcPr>
                  <w:tcW w:w="526" w:type="dxa"/>
                  <w:shd w:val="clear" w:color="auto" w:fill="FFFFFF"/>
                  <w:vAlign w:val="center"/>
                </w:tcPr>
                <w:p w14:paraId="65D8E2DD">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1.2</w:t>
                  </w:r>
                </w:p>
              </w:tc>
              <w:tc>
                <w:tcPr>
                  <w:tcW w:w="702" w:type="dxa"/>
                  <w:shd w:val="clear" w:color="auto" w:fill="FFFFFF"/>
                  <w:vAlign w:val="center"/>
                </w:tcPr>
                <w:p w14:paraId="04611ABD">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昼间</w:t>
                  </w:r>
                </w:p>
              </w:tc>
              <w:tc>
                <w:tcPr>
                  <w:tcW w:w="1037" w:type="dxa"/>
                  <w:shd w:val="clear" w:color="auto" w:fill="FFFFFF"/>
                  <w:vAlign w:val="center"/>
                </w:tcPr>
                <w:p w14:paraId="053F13D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22.33</w:t>
                  </w:r>
                </w:p>
              </w:tc>
              <w:tc>
                <w:tcPr>
                  <w:tcW w:w="1187" w:type="dxa"/>
                  <w:shd w:val="clear" w:color="auto" w:fill="FFFFFF"/>
                  <w:vAlign w:val="center"/>
                </w:tcPr>
                <w:p w14:paraId="0850085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w:t>
                  </w:r>
                </w:p>
              </w:tc>
              <w:tc>
                <w:tcPr>
                  <w:tcW w:w="1187" w:type="dxa"/>
                  <w:shd w:val="clear" w:color="auto" w:fill="FFFFFF"/>
                  <w:vAlign w:val="center"/>
                </w:tcPr>
                <w:p w14:paraId="5CE5AD5B">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56.00</w:t>
                  </w:r>
                </w:p>
              </w:tc>
              <w:tc>
                <w:tcPr>
                  <w:tcW w:w="1036" w:type="dxa"/>
                  <w:shd w:val="clear" w:color="auto" w:fill="FFFFFF"/>
                  <w:vAlign w:val="center"/>
                </w:tcPr>
                <w:p w14:paraId="7CD091F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60</w:t>
                  </w:r>
                </w:p>
              </w:tc>
              <w:tc>
                <w:tcPr>
                  <w:tcW w:w="763" w:type="dxa"/>
                  <w:shd w:val="clear" w:color="auto" w:fill="FFFFFF"/>
                  <w:vAlign w:val="center"/>
                </w:tcPr>
                <w:p w14:paraId="7D67DF8D">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达标</w:t>
                  </w:r>
                </w:p>
              </w:tc>
            </w:tr>
            <w:tr w14:paraId="36B42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atLeast"/>
                <w:jc w:val="center"/>
              </w:trPr>
              <w:tc>
                <w:tcPr>
                  <w:tcW w:w="584" w:type="dxa"/>
                  <w:vMerge w:val="continue"/>
                  <w:shd w:val="clear" w:color="auto" w:fill="FFFFFF"/>
                  <w:vAlign w:val="center"/>
                </w:tcPr>
                <w:p w14:paraId="0FA7E19B">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南侧</w:t>
                  </w:r>
                </w:p>
              </w:tc>
              <w:tc>
                <w:tcPr>
                  <w:tcW w:w="689" w:type="dxa"/>
                  <w:shd w:val="clear" w:color="auto" w:fill="FFFFFF"/>
                  <w:vAlign w:val="center"/>
                </w:tcPr>
                <w:p w14:paraId="3B820591">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-43.41</w:t>
                  </w:r>
                </w:p>
              </w:tc>
              <w:tc>
                <w:tcPr>
                  <w:tcW w:w="759" w:type="dxa"/>
                  <w:shd w:val="clear" w:color="auto" w:fill="FFFFFF"/>
                  <w:vAlign w:val="center"/>
                </w:tcPr>
                <w:p w14:paraId="507389B5">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rPr>
                    <w:t>-413.16</w:t>
                  </w:r>
                </w:p>
              </w:tc>
              <w:tc>
                <w:tcPr>
                  <w:tcW w:w="526" w:type="dxa"/>
                  <w:shd w:val="clear" w:color="auto" w:fill="FFFFFF"/>
                  <w:vAlign w:val="center"/>
                </w:tcPr>
                <w:p w14:paraId="7FD8415D">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1.2</w:t>
                  </w:r>
                </w:p>
              </w:tc>
              <w:tc>
                <w:tcPr>
                  <w:tcW w:w="702" w:type="dxa"/>
                  <w:shd w:val="clear" w:color="auto" w:fill="FFFFFF"/>
                  <w:vAlign w:val="center"/>
                </w:tcPr>
                <w:p w14:paraId="4D0D133F">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夜间</w:t>
                  </w:r>
                </w:p>
              </w:tc>
              <w:tc>
                <w:tcPr>
                  <w:tcW w:w="1037" w:type="dxa"/>
                  <w:shd w:val="clear" w:color="auto" w:fill="FFFFFF"/>
                  <w:vAlign w:val="center"/>
                </w:tcPr>
                <w:p w14:paraId="3D17878C">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22.33</w:t>
                  </w:r>
                </w:p>
              </w:tc>
              <w:tc>
                <w:tcPr>
                  <w:tcW w:w="1187" w:type="dxa"/>
                  <w:shd w:val="clear" w:color="auto" w:fill="FFFFFF"/>
                  <w:vAlign w:val="center"/>
                </w:tcPr>
                <w:p w14:paraId="646C194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46</w:t>
                  </w:r>
                </w:p>
              </w:tc>
              <w:tc>
                <w:tcPr>
                  <w:tcW w:w="1187" w:type="dxa"/>
                  <w:shd w:val="clear" w:color="auto" w:fill="FFFFFF"/>
                  <w:vAlign w:val="center"/>
                </w:tcPr>
                <w:p w14:paraId="0D2AC78C">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46.02</w:t>
                  </w:r>
                </w:p>
              </w:tc>
              <w:tc>
                <w:tcPr>
                  <w:tcW w:w="1036" w:type="dxa"/>
                  <w:shd w:val="clear" w:color="auto" w:fill="FFFFFF"/>
                  <w:vAlign w:val="center"/>
                </w:tcPr>
                <w:p w14:paraId="6A943CA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50</w:t>
                  </w:r>
                </w:p>
              </w:tc>
              <w:tc>
                <w:tcPr>
                  <w:tcW w:w="763" w:type="dxa"/>
                  <w:shd w:val="clear" w:color="auto" w:fill="FFFFFF"/>
                  <w:vAlign w:val="center"/>
                </w:tcPr>
                <w:p w14:paraId="5E615740">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达标</w:t>
                  </w:r>
                </w:p>
              </w:tc>
            </w:tr>
            <w:tr w14:paraId="36A9A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atLeast"/>
                <w:jc w:val="center"/>
              </w:trPr>
              <w:tc>
                <w:tcPr>
                  <w:tcW w:w="584" w:type="dxa"/>
                  <w:vMerge w:val="restart"/>
                  <w:shd w:val="clear" w:color="auto" w:fill="FFFFFF"/>
                  <w:vAlign w:val="center"/>
                </w:tcPr>
                <w:p w14:paraId="04F6C90F">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西侧</w:t>
                  </w:r>
                </w:p>
              </w:tc>
              <w:tc>
                <w:tcPr>
                  <w:tcW w:w="689" w:type="dxa"/>
                  <w:shd w:val="clear" w:color="auto" w:fill="FFFFFF"/>
                  <w:vAlign w:val="center"/>
                </w:tcPr>
                <w:p w14:paraId="05AF2527">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-282.77</w:t>
                  </w:r>
                </w:p>
              </w:tc>
              <w:tc>
                <w:tcPr>
                  <w:tcW w:w="759" w:type="dxa"/>
                  <w:shd w:val="clear" w:color="auto" w:fill="FFFFFF"/>
                  <w:vAlign w:val="center"/>
                </w:tcPr>
                <w:p w14:paraId="2B11BA5A">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75.73</w:t>
                  </w:r>
                </w:p>
              </w:tc>
              <w:tc>
                <w:tcPr>
                  <w:tcW w:w="526" w:type="dxa"/>
                  <w:shd w:val="clear" w:color="auto" w:fill="FFFFFF"/>
                  <w:vAlign w:val="center"/>
                </w:tcPr>
                <w:p w14:paraId="3724D046">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1.2</w:t>
                  </w:r>
                </w:p>
              </w:tc>
              <w:tc>
                <w:tcPr>
                  <w:tcW w:w="702" w:type="dxa"/>
                  <w:shd w:val="clear" w:color="auto" w:fill="FFFFFF"/>
                  <w:vAlign w:val="center"/>
                </w:tcPr>
                <w:p w14:paraId="02E6A48E">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昼间</w:t>
                  </w:r>
                </w:p>
              </w:tc>
              <w:tc>
                <w:tcPr>
                  <w:tcW w:w="1037" w:type="dxa"/>
                  <w:shd w:val="clear" w:color="auto" w:fill="FFFFFF"/>
                  <w:vAlign w:val="center"/>
                </w:tcPr>
                <w:p w14:paraId="233EAB7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25.71</w:t>
                  </w:r>
                </w:p>
              </w:tc>
              <w:tc>
                <w:tcPr>
                  <w:tcW w:w="1187" w:type="dxa"/>
                  <w:shd w:val="clear" w:color="auto" w:fill="FFFFFF"/>
                  <w:vAlign w:val="center"/>
                </w:tcPr>
                <w:p w14:paraId="2D4768C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w:t>
                  </w:r>
                </w:p>
              </w:tc>
              <w:tc>
                <w:tcPr>
                  <w:tcW w:w="1187" w:type="dxa"/>
                  <w:shd w:val="clear" w:color="auto" w:fill="FFFFFF"/>
                  <w:vAlign w:val="center"/>
                </w:tcPr>
                <w:p w14:paraId="4F606332">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56.00</w:t>
                  </w:r>
                </w:p>
              </w:tc>
              <w:tc>
                <w:tcPr>
                  <w:tcW w:w="1036" w:type="dxa"/>
                  <w:shd w:val="clear" w:color="auto" w:fill="FFFFFF"/>
                  <w:vAlign w:val="center"/>
                </w:tcPr>
                <w:p w14:paraId="1898B22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60</w:t>
                  </w:r>
                </w:p>
              </w:tc>
              <w:tc>
                <w:tcPr>
                  <w:tcW w:w="763" w:type="dxa"/>
                  <w:shd w:val="clear" w:color="auto" w:fill="FFFFFF"/>
                  <w:vAlign w:val="center"/>
                </w:tcPr>
                <w:p w14:paraId="2DFE1064">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达标</w:t>
                  </w:r>
                </w:p>
              </w:tc>
            </w:tr>
            <w:tr w14:paraId="5EF75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atLeast"/>
                <w:jc w:val="center"/>
              </w:trPr>
              <w:tc>
                <w:tcPr>
                  <w:tcW w:w="584" w:type="dxa"/>
                  <w:vMerge w:val="continue"/>
                  <w:shd w:val="clear" w:color="auto" w:fill="FFFFFF"/>
                  <w:vAlign w:val="center"/>
                </w:tcPr>
                <w:p w14:paraId="4D7FA7D0">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西侧</w:t>
                  </w:r>
                </w:p>
              </w:tc>
              <w:tc>
                <w:tcPr>
                  <w:tcW w:w="689" w:type="dxa"/>
                  <w:shd w:val="clear" w:color="auto" w:fill="FFFFFF"/>
                  <w:vAlign w:val="center"/>
                </w:tcPr>
                <w:p w14:paraId="189E485A">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rPr>
                    <w:t>-282.77</w:t>
                  </w:r>
                </w:p>
              </w:tc>
              <w:tc>
                <w:tcPr>
                  <w:tcW w:w="759" w:type="dxa"/>
                  <w:shd w:val="clear" w:color="auto" w:fill="FFFFFF"/>
                  <w:vAlign w:val="center"/>
                </w:tcPr>
                <w:p w14:paraId="6D61E3CC">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rPr>
                    <w:t>75.73</w:t>
                  </w:r>
                </w:p>
              </w:tc>
              <w:tc>
                <w:tcPr>
                  <w:tcW w:w="526" w:type="dxa"/>
                  <w:shd w:val="clear" w:color="auto" w:fill="FFFFFF"/>
                  <w:vAlign w:val="center"/>
                </w:tcPr>
                <w:p w14:paraId="0758B465">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1.2</w:t>
                  </w:r>
                </w:p>
              </w:tc>
              <w:tc>
                <w:tcPr>
                  <w:tcW w:w="702" w:type="dxa"/>
                  <w:shd w:val="clear" w:color="auto" w:fill="FFFFFF"/>
                  <w:vAlign w:val="center"/>
                </w:tcPr>
                <w:p w14:paraId="2D20A3E7">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夜间</w:t>
                  </w:r>
                </w:p>
              </w:tc>
              <w:tc>
                <w:tcPr>
                  <w:tcW w:w="1037" w:type="dxa"/>
                  <w:shd w:val="clear" w:color="auto" w:fill="FFFFFF"/>
                  <w:vAlign w:val="center"/>
                </w:tcPr>
                <w:p w14:paraId="4F0D739B">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25.71</w:t>
                  </w:r>
                </w:p>
              </w:tc>
              <w:tc>
                <w:tcPr>
                  <w:tcW w:w="1187" w:type="dxa"/>
                  <w:shd w:val="clear" w:color="auto" w:fill="FFFFFF"/>
                  <w:vAlign w:val="center"/>
                </w:tcPr>
                <w:p w14:paraId="17AEA14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w:t>
                  </w:r>
                </w:p>
              </w:tc>
              <w:tc>
                <w:tcPr>
                  <w:tcW w:w="1187" w:type="dxa"/>
                  <w:shd w:val="clear" w:color="auto" w:fill="FFFFFF"/>
                  <w:vAlign w:val="center"/>
                </w:tcPr>
                <w:p w14:paraId="0CC828AF">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47.03</w:t>
                  </w:r>
                </w:p>
              </w:tc>
              <w:tc>
                <w:tcPr>
                  <w:tcW w:w="1036" w:type="dxa"/>
                  <w:shd w:val="clear" w:color="auto" w:fill="FFFFFF"/>
                  <w:vAlign w:val="center"/>
                </w:tcPr>
                <w:p w14:paraId="5E6F1A8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50</w:t>
                  </w:r>
                </w:p>
              </w:tc>
              <w:tc>
                <w:tcPr>
                  <w:tcW w:w="763" w:type="dxa"/>
                  <w:shd w:val="clear" w:color="auto" w:fill="FFFFFF"/>
                  <w:vAlign w:val="center"/>
                </w:tcPr>
                <w:p w14:paraId="3A6936A6">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达标</w:t>
                  </w:r>
                </w:p>
              </w:tc>
            </w:tr>
            <w:tr w14:paraId="75972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atLeast"/>
                <w:jc w:val="center"/>
              </w:trPr>
              <w:tc>
                <w:tcPr>
                  <w:tcW w:w="584" w:type="dxa"/>
                  <w:vMerge w:val="restart"/>
                  <w:shd w:val="clear" w:color="auto" w:fill="FFFFFF"/>
                  <w:vAlign w:val="center"/>
                </w:tcPr>
                <w:p w14:paraId="2585DF2C">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北侧</w:t>
                  </w:r>
                </w:p>
              </w:tc>
              <w:tc>
                <w:tcPr>
                  <w:tcW w:w="689" w:type="dxa"/>
                  <w:shd w:val="clear" w:color="auto" w:fill="FFFFFF"/>
                  <w:vAlign w:val="center"/>
                </w:tcPr>
                <w:p w14:paraId="79F570BB">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57.08</w:t>
                  </w:r>
                </w:p>
              </w:tc>
              <w:tc>
                <w:tcPr>
                  <w:tcW w:w="759" w:type="dxa"/>
                  <w:shd w:val="clear" w:color="auto" w:fill="FFFFFF"/>
                  <w:vAlign w:val="center"/>
                </w:tcPr>
                <w:p w14:paraId="751F2629">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196.55</w:t>
                  </w:r>
                </w:p>
              </w:tc>
              <w:tc>
                <w:tcPr>
                  <w:tcW w:w="526" w:type="dxa"/>
                  <w:shd w:val="clear" w:color="auto" w:fill="FFFFFF"/>
                  <w:vAlign w:val="center"/>
                </w:tcPr>
                <w:p w14:paraId="3863044F">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1.2</w:t>
                  </w:r>
                </w:p>
              </w:tc>
              <w:tc>
                <w:tcPr>
                  <w:tcW w:w="702" w:type="dxa"/>
                  <w:shd w:val="clear" w:color="auto" w:fill="FFFFFF"/>
                  <w:vAlign w:val="center"/>
                </w:tcPr>
                <w:p w14:paraId="0064529E">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昼间</w:t>
                  </w:r>
                </w:p>
              </w:tc>
              <w:tc>
                <w:tcPr>
                  <w:tcW w:w="1037" w:type="dxa"/>
                  <w:shd w:val="clear" w:color="auto" w:fill="FFFFFF"/>
                  <w:vAlign w:val="center"/>
                </w:tcPr>
                <w:p w14:paraId="2048D67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29.08</w:t>
                  </w:r>
                </w:p>
              </w:tc>
              <w:tc>
                <w:tcPr>
                  <w:tcW w:w="1187" w:type="dxa"/>
                  <w:shd w:val="clear" w:color="auto" w:fill="FFFFFF"/>
                  <w:vAlign w:val="center"/>
                </w:tcPr>
                <w:p w14:paraId="4CBA180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57</w:t>
                  </w:r>
                </w:p>
              </w:tc>
              <w:tc>
                <w:tcPr>
                  <w:tcW w:w="1187" w:type="dxa"/>
                  <w:shd w:val="clear" w:color="auto" w:fill="FFFFFF"/>
                  <w:vAlign w:val="center"/>
                </w:tcPr>
                <w:p w14:paraId="568C4C31">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57.01</w:t>
                  </w:r>
                </w:p>
              </w:tc>
              <w:tc>
                <w:tcPr>
                  <w:tcW w:w="1036" w:type="dxa"/>
                  <w:shd w:val="clear" w:color="auto" w:fill="FFFFFF"/>
                  <w:vAlign w:val="center"/>
                </w:tcPr>
                <w:p w14:paraId="334ED94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60</w:t>
                  </w:r>
                </w:p>
              </w:tc>
              <w:tc>
                <w:tcPr>
                  <w:tcW w:w="763" w:type="dxa"/>
                  <w:shd w:val="clear" w:color="auto" w:fill="FFFFFF"/>
                  <w:vAlign w:val="center"/>
                </w:tcPr>
                <w:p w14:paraId="07E2A597">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达标</w:t>
                  </w:r>
                </w:p>
              </w:tc>
            </w:tr>
            <w:tr w14:paraId="57D04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atLeast"/>
                <w:jc w:val="center"/>
              </w:trPr>
              <w:tc>
                <w:tcPr>
                  <w:tcW w:w="584" w:type="dxa"/>
                  <w:vMerge w:val="continue"/>
                  <w:shd w:val="clear" w:color="auto" w:fill="FFFFFF"/>
                  <w:vAlign w:val="center"/>
                </w:tcPr>
                <w:p w14:paraId="7C5458C0">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北侧</w:t>
                  </w:r>
                </w:p>
              </w:tc>
              <w:tc>
                <w:tcPr>
                  <w:tcW w:w="689" w:type="dxa"/>
                  <w:shd w:val="clear" w:color="auto" w:fill="FFFFFF"/>
                  <w:vAlign w:val="center"/>
                </w:tcPr>
                <w:p w14:paraId="6FB297A6">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rPr>
                    <w:t>57.08</w:t>
                  </w:r>
                </w:p>
              </w:tc>
              <w:tc>
                <w:tcPr>
                  <w:tcW w:w="759" w:type="dxa"/>
                  <w:shd w:val="clear" w:color="auto" w:fill="FFFFFF"/>
                  <w:vAlign w:val="center"/>
                </w:tcPr>
                <w:p w14:paraId="35FCC074">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rPr>
                    <w:t>196.55</w:t>
                  </w:r>
                </w:p>
              </w:tc>
              <w:tc>
                <w:tcPr>
                  <w:tcW w:w="526" w:type="dxa"/>
                  <w:shd w:val="clear" w:color="auto" w:fill="FFFFFF"/>
                  <w:vAlign w:val="center"/>
                </w:tcPr>
                <w:p w14:paraId="09AEE6F2">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1.2</w:t>
                  </w:r>
                </w:p>
              </w:tc>
              <w:tc>
                <w:tcPr>
                  <w:tcW w:w="702" w:type="dxa"/>
                  <w:shd w:val="clear" w:color="auto" w:fill="FFFFFF"/>
                  <w:vAlign w:val="center"/>
                </w:tcPr>
                <w:p w14:paraId="46180915">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夜间</w:t>
                  </w:r>
                </w:p>
              </w:tc>
              <w:tc>
                <w:tcPr>
                  <w:tcW w:w="1037" w:type="dxa"/>
                  <w:shd w:val="clear" w:color="auto" w:fill="FFFFFF"/>
                  <w:vAlign w:val="center"/>
                </w:tcPr>
                <w:p w14:paraId="0989831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29.08</w:t>
                  </w:r>
                </w:p>
              </w:tc>
              <w:tc>
                <w:tcPr>
                  <w:tcW w:w="1187" w:type="dxa"/>
                  <w:shd w:val="clear" w:color="auto" w:fill="FFFFFF"/>
                  <w:vAlign w:val="center"/>
                </w:tcPr>
                <w:p w14:paraId="5130243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48</w:t>
                  </w:r>
                </w:p>
              </w:tc>
              <w:tc>
                <w:tcPr>
                  <w:tcW w:w="1187" w:type="dxa"/>
                  <w:shd w:val="clear" w:color="auto" w:fill="FFFFFF"/>
                  <w:vAlign w:val="center"/>
                </w:tcPr>
                <w:p w14:paraId="6AD691AC">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48.06</w:t>
                  </w:r>
                </w:p>
              </w:tc>
              <w:tc>
                <w:tcPr>
                  <w:tcW w:w="1036" w:type="dxa"/>
                  <w:shd w:val="clear" w:color="auto" w:fill="FFFFFF"/>
                  <w:vAlign w:val="center"/>
                </w:tcPr>
                <w:p w14:paraId="2DFCD57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50</w:t>
                  </w:r>
                </w:p>
              </w:tc>
              <w:tc>
                <w:tcPr>
                  <w:tcW w:w="763" w:type="dxa"/>
                  <w:shd w:val="clear" w:color="auto" w:fill="FFFFFF"/>
                  <w:vAlign w:val="center"/>
                </w:tcPr>
                <w:p w14:paraId="150DB718">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达标</w:t>
                  </w:r>
                </w:p>
              </w:tc>
            </w:tr>
          </w:tbl>
          <w:p w14:paraId="7E521175">
            <w:pPr>
              <w:spacing w:line="360" w:lineRule="auto"/>
              <w:ind w:firstLine="480" w:firstLineChars="200"/>
              <w:rPr>
                <w:bCs/>
                <w:color w:val="auto"/>
                <w:sz w:val="24"/>
              </w:rPr>
            </w:pPr>
            <w:r>
              <w:rPr>
                <w:bCs/>
                <w:color w:val="auto"/>
                <w:sz w:val="24"/>
              </w:rPr>
              <w:t>表中坐标以厂界中心（</w:t>
            </w:r>
            <w:r>
              <w:rPr>
                <w:rFonts w:hint="eastAsia"/>
                <w:bCs/>
                <w:color w:val="auto"/>
                <w:sz w:val="24"/>
                <w:lang w:val="en-US" w:eastAsia="zh-CN"/>
              </w:rPr>
              <w:t>103.262826217</w:t>
            </w:r>
            <w:r>
              <w:rPr>
                <w:bCs/>
                <w:color w:val="auto"/>
                <w:sz w:val="24"/>
              </w:rPr>
              <w:t>,25.</w:t>
            </w:r>
            <w:r>
              <w:rPr>
                <w:rFonts w:hint="eastAsia"/>
                <w:bCs/>
                <w:color w:val="auto"/>
                <w:sz w:val="24"/>
                <w:lang w:val="en-US" w:eastAsia="zh-CN"/>
              </w:rPr>
              <w:t>42674967</w:t>
            </w:r>
            <w:r>
              <w:rPr>
                <w:bCs/>
                <w:color w:val="auto"/>
                <w:sz w:val="24"/>
              </w:rPr>
              <w:t>）为坐标原点，正东向为X轴正方向，正北向为Y轴正方向。</w:t>
            </w:r>
          </w:p>
          <w:p w14:paraId="6DEED79F">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 w:val="24"/>
                <w:lang w:eastAsia="zh-CN"/>
              </w:rPr>
            </w:pPr>
            <w:r>
              <w:rPr>
                <w:rFonts w:hint="eastAsia" w:eastAsia="宋体"/>
                <w:color w:val="auto"/>
                <w:sz w:val="24"/>
                <w:lang w:eastAsia="zh-CN"/>
              </w:rPr>
              <w:drawing>
                <wp:inline distT="0" distB="0" distL="114300" distR="114300">
                  <wp:extent cx="5411470" cy="3828415"/>
                  <wp:effectExtent l="0" t="0" r="17780" b="635"/>
                  <wp:docPr id="1" name="图片 1" descr="预测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预测图1"/>
                          <pic:cNvPicPr>
                            <a:picLocks noChangeAspect="1"/>
                          </pic:cNvPicPr>
                        </pic:nvPicPr>
                        <pic:blipFill>
                          <a:blip r:embed="rId21"/>
                          <a:stretch>
                            <a:fillRect/>
                          </a:stretch>
                        </pic:blipFill>
                        <pic:spPr>
                          <a:xfrm>
                            <a:off x="0" y="0"/>
                            <a:ext cx="5411470" cy="3828415"/>
                          </a:xfrm>
                          <a:prstGeom prst="rect">
                            <a:avLst/>
                          </a:prstGeom>
                        </pic:spPr>
                      </pic:pic>
                    </a:graphicData>
                  </a:graphic>
                </wp:inline>
              </w:drawing>
            </w:r>
          </w:p>
          <w:p w14:paraId="2ADCE638">
            <w:pPr>
              <w:jc w:val="center"/>
              <w:rPr>
                <w:b/>
                <w:bCs/>
                <w:color w:val="auto"/>
                <w:sz w:val="24"/>
              </w:rPr>
            </w:pPr>
            <w:r>
              <w:rPr>
                <w:b/>
                <w:bCs/>
                <w:color w:val="auto"/>
                <w:sz w:val="24"/>
              </w:rPr>
              <w:t>图4-</w:t>
            </w:r>
            <w:r>
              <w:rPr>
                <w:rFonts w:hint="eastAsia"/>
                <w:b/>
                <w:bCs/>
                <w:color w:val="auto"/>
                <w:sz w:val="24"/>
              </w:rPr>
              <w:t>1</w:t>
            </w:r>
            <w:r>
              <w:rPr>
                <w:b/>
                <w:bCs/>
                <w:color w:val="auto"/>
                <w:sz w:val="24"/>
              </w:rPr>
              <w:t xml:space="preserve">  </w:t>
            </w:r>
            <w:r>
              <w:rPr>
                <w:rFonts w:hint="eastAsia"/>
                <w:b/>
                <w:bCs/>
                <w:color w:val="auto"/>
                <w:sz w:val="24"/>
              </w:rPr>
              <w:t>项目</w:t>
            </w:r>
            <w:r>
              <w:rPr>
                <w:b/>
                <w:bCs/>
                <w:color w:val="auto"/>
                <w:sz w:val="24"/>
              </w:rPr>
              <w:t>厂区边界噪声预测图</w:t>
            </w:r>
          </w:p>
          <w:p w14:paraId="4775E773">
            <w:pPr>
              <w:spacing w:line="360" w:lineRule="auto"/>
              <w:ind w:firstLine="480" w:firstLineChars="200"/>
              <w:rPr>
                <w:color w:val="auto"/>
                <w:sz w:val="24"/>
              </w:rPr>
            </w:pPr>
            <w:r>
              <w:rPr>
                <w:rFonts w:hint="eastAsia"/>
                <w:color w:val="auto"/>
                <w:sz w:val="24"/>
              </w:rPr>
              <w:t>根据表</w:t>
            </w:r>
            <w:r>
              <w:rPr>
                <w:color w:val="auto"/>
                <w:sz w:val="24"/>
              </w:rPr>
              <w:t>4-</w:t>
            </w:r>
            <w:r>
              <w:rPr>
                <w:rFonts w:hint="eastAsia"/>
                <w:color w:val="auto"/>
                <w:sz w:val="24"/>
                <w:lang w:val="en-US" w:eastAsia="zh-CN"/>
              </w:rPr>
              <w:t>9</w:t>
            </w:r>
            <w:r>
              <w:rPr>
                <w:rFonts w:hint="eastAsia"/>
                <w:color w:val="auto"/>
                <w:sz w:val="24"/>
              </w:rPr>
              <w:t>、图</w:t>
            </w:r>
            <w:r>
              <w:rPr>
                <w:color w:val="auto"/>
                <w:sz w:val="24"/>
              </w:rPr>
              <w:t>4-</w:t>
            </w:r>
            <w:r>
              <w:rPr>
                <w:rFonts w:hint="eastAsia"/>
                <w:color w:val="auto"/>
                <w:sz w:val="24"/>
              </w:rPr>
              <w:t>1可知，项目运营期新增生产设备噪声排放后，</w:t>
            </w:r>
            <w:r>
              <w:rPr>
                <w:rFonts w:hint="eastAsia"/>
                <w:color w:val="auto"/>
                <w:sz w:val="24"/>
                <w:lang w:eastAsia="zh-CN"/>
              </w:rPr>
              <w:t>云南常青树化工有限公司</w:t>
            </w:r>
            <w:r>
              <w:rPr>
                <w:rFonts w:hint="eastAsia"/>
                <w:color w:val="auto"/>
                <w:sz w:val="24"/>
              </w:rPr>
              <w:t>厂界噪声昼间、夜间均能达到《工业企业厂界环境噪声排放标准》（</w:t>
            </w:r>
            <w:r>
              <w:rPr>
                <w:color w:val="auto"/>
                <w:sz w:val="24"/>
              </w:rPr>
              <w:t>GB12348-2008</w:t>
            </w:r>
            <w:r>
              <w:rPr>
                <w:rFonts w:hint="eastAsia"/>
                <w:color w:val="auto"/>
                <w:sz w:val="24"/>
              </w:rPr>
              <w:t>）</w:t>
            </w:r>
            <w:r>
              <w:rPr>
                <w:rFonts w:hint="eastAsia"/>
                <w:color w:val="auto"/>
                <w:sz w:val="24"/>
                <w:lang w:val="en-US" w:eastAsia="zh-CN"/>
              </w:rPr>
              <w:t>2</w:t>
            </w:r>
            <w:r>
              <w:rPr>
                <w:rFonts w:hint="eastAsia"/>
                <w:color w:val="auto"/>
                <w:sz w:val="24"/>
              </w:rPr>
              <w:t>类标准，</w:t>
            </w:r>
            <w:r>
              <w:rPr>
                <w:color w:val="auto"/>
                <w:sz w:val="24"/>
              </w:rPr>
              <w:t>环评提出在安装设备时</w:t>
            </w:r>
            <w:r>
              <w:rPr>
                <w:rFonts w:hint="eastAsia"/>
                <w:color w:val="auto"/>
                <w:sz w:val="24"/>
              </w:rPr>
              <w:t>在设备选型上尽量选用低噪音设备；加强维护、定期检修，保持设备运行正常，避免因设备的非正常运转造成设备噪声增大；对设备采用减震基础、使用柔性管道链接等降噪措施来有效减小噪声声强，使项目噪声对周围环境影响减小。</w:t>
            </w:r>
          </w:p>
          <w:p w14:paraId="39050F25">
            <w:pPr>
              <w:spacing w:line="360" w:lineRule="auto"/>
              <w:ind w:firstLine="480" w:firstLineChars="200"/>
              <w:rPr>
                <w:color w:val="auto"/>
                <w:sz w:val="24"/>
              </w:rPr>
            </w:pPr>
            <w:r>
              <w:rPr>
                <w:rFonts w:hint="eastAsia"/>
                <w:color w:val="auto"/>
                <w:sz w:val="24"/>
              </w:rPr>
              <w:t>E、保护目标影响分析</w:t>
            </w:r>
          </w:p>
          <w:p w14:paraId="1EB96856">
            <w:pPr>
              <w:spacing w:line="360" w:lineRule="auto"/>
              <w:ind w:firstLine="480" w:firstLineChars="200"/>
              <w:rPr>
                <w:color w:val="auto"/>
                <w:sz w:val="24"/>
              </w:rPr>
            </w:pPr>
            <w:r>
              <w:rPr>
                <w:rFonts w:hint="eastAsia" w:ascii="Times New Roman" w:hAnsi="Times New Roman" w:eastAsia="宋体" w:cs="Times New Roman"/>
                <w:color w:val="auto"/>
                <w:sz w:val="24"/>
                <w:szCs w:val="24"/>
                <w:highlight w:val="none"/>
                <w:shd w:val="clear" w:color="auto" w:fill="auto"/>
                <w:lang w:val="en-US" w:eastAsia="zh-CN"/>
              </w:rPr>
              <w:t xml:space="preserve">根据现场勘查，项目厂界外周边 </w:t>
            </w:r>
            <w:r>
              <w:rPr>
                <w:rFonts w:hint="default" w:ascii="Times New Roman" w:hAnsi="Times New Roman" w:eastAsia="宋体" w:cs="Times New Roman"/>
                <w:color w:val="auto"/>
                <w:sz w:val="24"/>
                <w:szCs w:val="24"/>
                <w:highlight w:val="none"/>
                <w:shd w:val="clear" w:color="auto" w:fill="auto"/>
                <w:lang w:val="en-US" w:eastAsia="zh-CN"/>
              </w:rPr>
              <w:t xml:space="preserve">50m </w:t>
            </w:r>
            <w:r>
              <w:rPr>
                <w:rFonts w:hint="eastAsia" w:ascii="Times New Roman" w:hAnsi="Times New Roman" w:eastAsia="宋体" w:cs="Times New Roman"/>
                <w:color w:val="auto"/>
                <w:sz w:val="24"/>
                <w:szCs w:val="24"/>
                <w:highlight w:val="none"/>
                <w:shd w:val="clear" w:color="auto" w:fill="auto"/>
                <w:lang w:val="en-US" w:eastAsia="zh-CN"/>
              </w:rPr>
              <w:t>范围内无声环境保护目标，最近的保护目标是位于项目区</w:t>
            </w:r>
            <w:r>
              <w:rPr>
                <w:rFonts w:hint="eastAsia" w:cs="宋体"/>
                <w:color w:val="auto"/>
                <w:kern w:val="0"/>
                <w:sz w:val="24"/>
                <w:szCs w:val="24"/>
                <w:highlight w:val="none"/>
                <w:shd w:val="clear" w:color="auto" w:fill="auto"/>
                <w:lang w:val="en-US" w:eastAsia="zh-CN"/>
              </w:rPr>
              <w:t>西北侧413m</w:t>
            </w:r>
            <w:r>
              <w:rPr>
                <w:rFonts w:hint="default" w:ascii="Times New Roman" w:hAnsi="Times New Roman" w:eastAsia="宋体" w:cs="Times New Roman"/>
                <w:color w:val="auto"/>
                <w:sz w:val="24"/>
                <w:szCs w:val="24"/>
                <w:highlight w:val="none"/>
                <w:shd w:val="clear" w:color="auto" w:fill="auto"/>
                <w:lang w:val="en-US" w:eastAsia="zh-CN"/>
              </w:rPr>
              <w:t xml:space="preserve"> </w:t>
            </w:r>
            <w:r>
              <w:rPr>
                <w:rFonts w:hint="eastAsia" w:ascii="Times New Roman" w:hAnsi="Times New Roman" w:eastAsia="宋体" w:cs="Times New Roman"/>
                <w:color w:val="auto"/>
                <w:sz w:val="24"/>
                <w:szCs w:val="24"/>
                <w:highlight w:val="none"/>
                <w:shd w:val="clear" w:color="auto" w:fill="auto"/>
                <w:lang w:val="en-US" w:eastAsia="zh-CN"/>
              </w:rPr>
              <w:t>处的云集村，位于常青树化工厂界西侧130m，设备噪声经几何衰减后，厂界噪声昼、夜间均能达标排放，因此噪声对周边敏感点影响较小</w:t>
            </w:r>
            <w:r>
              <w:rPr>
                <w:rFonts w:hint="eastAsia" w:ascii="Times New Roman" w:hAnsi="Times New Roman" w:eastAsia="宋体" w:cs="Times New Roman"/>
                <w:color w:val="auto"/>
                <w:sz w:val="24"/>
                <w:highlight w:val="none"/>
                <w:shd w:val="clear" w:color="auto" w:fill="auto"/>
                <w:lang w:val="en-US" w:eastAsia="zh-CN"/>
              </w:rPr>
              <w:t>。</w:t>
            </w:r>
          </w:p>
          <w:p w14:paraId="51F95DF7">
            <w:pPr>
              <w:spacing w:line="360" w:lineRule="auto"/>
              <w:ind w:firstLine="482" w:firstLineChars="200"/>
              <w:rPr>
                <w:b/>
                <w:bCs/>
                <w:color w:val="auto"/>
                <w:sz w:val="24"/>
              </w:rPr>
            </w:pPr>
            <w:r>
              <w:rPr>
                <w:b/>
                <w:bCs/>
                <w:color w:val="auto"/>
                <w:sz w:val="24"/>
              </w:rPr>
              <w:t>（</w:t>
            </w:r>
            <w:r>
              <w:rPr>
                <w:rFonts w:hint="eastAsia"/>
                <w:b/>
                <w:bCs/>
                <w:color w:val="auto"/>
                <w:sz w:val="24"/>
              </w:rPr>
              <w:t>三</w:t>
            </w:r>
            <w:r>
              <w:rPr>
                <w:b/>
                <w:bCs/>
                <w:color w:val="auto"/>
                <w:sz w:val="24"/>
              </w:rPr>
              <w:t>）噪声防治措施</w:t>
            </w:r>
          </w:p>
          <w:p w14:paraId="4233C8E9">
            <w:pPr>
              <w:spacing w:line="360" w:lineRule="auto"/>
              <w:ind w:firstLine="480" w:firstLineChars="200"/>
              <w:rPr>
                <w:color w:val="auto"/>
                <w:sz w:val="24"/>
              </w:rPr>
            </w:pPr>
            <w:r>
              <w:rPr>
                <w:rFonts w:hint="eastAsia"/>
                <w:color w:val="auto"/>
                <w:sz w:val="24"/>
              </w:rPr>
              <w:t>为进一步减少项目设备噪声对周围环境的影响，环评要求做到以下几点：</w:t>
            </w:r>
          </w:p>
          <w:p w14:paraId="31E38EF1">
            <w:pPr>
              <w:spacing w:line="360" w:lineRule="auto"/>
              <w:ind w:firstLine="480" w:firstLineChars="200"/>
              <w:rPr>
                <w:color w:val="auto"/>
                <w:sz w:val="24"/>
              </w:rPr>
            </w:pPr>
            <w:r>
              <w:rPr>
                <w:rFonts w:hint="eastAsia"/>
                <w:color w:val="auto"/>
                <w:sz w:val="24"/>
              </w:rPr>
              <w:t>①合理安排设备安放位置，尽可能利用距离进行声级衰减；</w:t>
            </w:r>
          </w:p>
          <w:p w14:paraId="707B191A">
            <w:pPr>
              <w:spacing w:line="360" w:lineRule="auto"/>
              <w:ind w:firstLine="480" w:firstLineChars="200"/>
              <w:rPr>
                <w:color w:val="auto"/>
                <w:sz w:val="24"/>
              </w:rPr>
            </w:pPr>
            <w:r>
              <w:rPr>
                <w:rFonts w:hint="eastAsia"/>
                <w:color w:val="auto"/>
                <w:sz w:val="24"/>
              </w:rPr>
              <w:t>②选用低噪声设备，高噪声设备必须安装在加有减振垫的隔振基础上，同时设备之间保持间距，避免噪声叠加影响。</w:t>
            </w:r>
          </w:p>
          <w:p w14:paraId="6A1EA314">
            <w:pPr>
              <w:spacing w:line="360" w:lineRule="auto"/>
              <w:ind w:firstLine="480" w:firstLineChars="200"/>
              <w:rPr>
                <w:color w:val="auto"/>
                <w:sz w:val="24"/>
              </w:rPr>
            </w:pPr>
            <w:r>
              <w:rPr>
                <w:rFonts w:hint="eastAsia"/>
                <w:color w:val="auto"/>
                <w:sz w:val="24"/>
              </w:rPr>
              <w:t>③主要产噪设备均设置于房内，以保证厂界噪声能够达标。</w:t>
            </w:r>
          </w:p>
          <w:p w14:paraId="4466354B">
            <w:pPr>
              <w:spacing w:line="360" w:lineRule="auto"/>
              <w:ind w:firstLine="480" w:firstLineChars="200"/>
              <w:rPr>
                <w:color w:val="auto"/>
                <w:sz w:val="24"/>
              </w:rPr>
            </w:pPr>
            <w:r>
              <w:rPr>
                <w:rFonts w:hint="eastAsia"/>
                <w:color w:val="auto"/>
                <w:sz w:val="24"/>
              </w:rPr>
              <w:t>④加强设备的维护，确保设备处于良好的运转状态，杜绝因设备不正常运转时产生的高噪声现象。</w:t>
            </w:r>
          </w:p>
          <w:p w14:paraId="1010E470">
            <w:pPr>
              <w:spacing w:line="360" w:lineRule="auto"/>
              <w:ind w:firstLine="480" w:firstLineChars="200"/>
              <w:rPr>
                <w:color w:val="auto"/>
                <w:sz w:val="24"/>
              </w:rPr>
            </w:pPr>
            <w:r>
              <w:rPr>
                <w:rFonts w:hint="eastAsia"/>
                <w:color w:val="auto"/>
                <w:sz w:val="24"/>
              </w:rPr>
              <w:t>经采取上述措施后进一步减小本项目噪声对周围环境的影响。</w:t>
            </w:r>
          </w:p>
          <w:p w14:paraId="20BCCF54">
            <w:pPr>
              <w:spacing w:line="360" w:lineRule="auto"/>
              <w:ind w:firstLine="482" w:firstLineChars="200"/>
              <w:rPr>
                <w:b/>
                <w:bCs/>
                <w:color w:val="auto"/>
                <w:sz w:val="24"/>
              </w:rPr>
            </w:pPr>
            <w:r>
              <w:rPr>
                <w:b/>
                <w:bCs/>
                <w:color w:val="auto"/>
                <w:sz w:val="24"/>
              </w:rPr>
              <w:t>（</w:t>
            </w:r>
            <w:r>
              <w:rPr>
                <w:rFonts w:hint="eastAsia"/>
                <w:b/>
                <w:bCs/>
                <w:color w:val="auto"/>
                <w:sz w:val="24"/>
              </w:rPr>
              <w:t>四</w:t>
            </w:r>
            <w:r>
              <w:rPr>
                <w:b/>
                <w:bCs/>
                <w:color w:val="auto"/>
                <w:sz w:val="24"/>
              </w:rPr>
              <w:t>）噪声环境影响分析</w:t>
            </w:r>
          </w:p>
          <w:p w14:paraId="471E7629">
            <w:pPr>
              <w:spacing w:line="360" w:lineRule="auto"/>
              <w:ind w:firstLine="480"/>
              <w:rPr>
                <w:color w:val="auto"/>
                <w:sz w:val="24"/>
              </w:rPr>
            </w:pPr>
            <w:r>
              <w:rPr>
                <w:color w:val="auto"/>
                <w:sz w:val="24"/>
              </w:rPr>
              <w:t>项目运营期采取的噪声防治措施主要是声源上控制措施及噪声隔声措施，在做好措施后，可有效降低噪声值。本次评价厂界噪声排放执行《工业企业厂界环境噪声排放标准》（GB</w:t>
            </w:r>
            <w:r>
              <w:rPr>
                <w:rFonts w:hint="eastAsia"/>
                <w:color w:val="auto"/>
                <w:sz w:val="24"/>
              </w:rPr>
              <w:t xml:space="preserve"> </w:t>
            </w:r>
            <w:r>
              <w:rPr>
                <w:color w:val="auto"/>
                <w:sz w:val="24"/>
              </w:rPr>
              <w:t>12348-2008）中</w:t>
            </w:r>
            <w:r>
              <w:rPr>
                <w:rFonts w:hint="eastAsia"/>
                <w:color w:val="auto"/>
                <w:sz w:val="24"/>
                <w:lang w:val="en-US" w:eastAsia="zh-CN"/>
              </w:rPr>
              <w:t>2</w:t>
            </w:r>
            <w:r>
              <w:rPr>
                <w:color w:val="auto"/>
                <w:sz w:val="24"/>
              </w:rPr>
              <w:t>类标准，</w:t>
            </w:r>
            <w:r>
              <w:rPr>
                <w:rFonts w:hint="eastAsia"/>
                <w:color w:val="auto"/>
                <w:sz w:val="24"/>
              </w:rPr>
              <w:t>项目声环境保护目标噪声执行《声环境质量标准》</w:t>
            </w:r>
            <w:r>
              <w:rPr>
                <w:color w:val="auto"/>
                <w:sz w:val="24"/>
              </w:rPr>
              <w:t>(GB</w:t>
            </w:r>
            <w:r>
              <w:rPr>
                <w:rFonts w:hint="eastAsia"/>
                <w:color w:val="auto"/>
                <w:sz w:val="24"/>
              </w:rPr>
              <w:t xml:space="preserve"> </w:t>
            </w:r>
            <w:r>
              <w:rPr>
                <w:color w:val="auto"/>
                <w:sz w:val="24"/>
              </w:rPr>
              <w:t>3096-2008</w:t>
            </w:r>
            <w:r>
              <w:rPr>
                <w:rFonts w:hint="eastAsia"/>
                <w:color w:val="auto"/>
                <w:sz w:val="24"/>
              </w:rPr>
              <w:t>)2类区标准，</w:t>
            </w:r>
            <w:r>
              <w:rPr>
                <w:color w:val="auto"/>
                <w:sz w:val="24"/>
              </w:rPr>
              <w:t>在采取了本次评价提出噪声防治措施后，项目厂界噪声排放可满足《工业企业厂界环境噪声排放标准》（GB</w:t>
            </w:r>
            <w:r>
              <w:rPr>
                <w:rFonts w:hint="eastAsia"/>
                <w:color w:val="auto"/>
                <w:sz w:val="24"/>
              </w:rPr>
              <w:t xml:space="preserve"> </w:t>
            </w:r>
            <w:r>
              <w:rPr>
                <w:color w:val="auto"/>
                <w:sz w:val="24"/>
              </w:rPr>
              <w:t>12348-2008）中</w:t>
            </w:r>
            <w:r>
              <w:rPr>
                <w:rFonts w:hint="eastAsia"/>
                <w:color w:val="auto"/>
                <w:sz w:val="24"/>
                <w:lang w:val="en-US" w:eastAsia="zh-CN"/>
              </w:rPr>
              <w:t>2</w:t>
            </w:r>
            <w:r>
              <w:rPr>
                <w:color w:val="auto"/>
                <w:sz w:val="24"/>
              </w:rPr>
              <w:t>类标准要求，</w:t>
            </w:r>
            <w:r>
              <w:rPr>
                <w:rFonts w:hint="eastAsia"/>
                <w:color w:val="auto"/>
                <w:sz w:val="24"/>
              </w:rPr>
              <w:t>项目声环境保护目标噪声满足</w:t>
            </w:r>
            <w:r>
              <w:rPr>
                <w:rFonts w:hint="eastAsia"/>
                <w:color w:val="auto"/>
                <w:sz w:val="24"/>
                <w:lang w:eastAsia="zh-CN"/>
              </w:rPr>
              <w:t>《</w:t>
            </w:r>
            <w:r>
              <w:rPr>
                <w:rFonts w:hint="eastAsia"/>
                <w:color w:val="auto"/>
                <w:sz w:val="24"/>
              </w:rPr>
              <w:t>声环境质量标准》</w:t>
            </w:r>
            <w:r>
              <w:rPr>
                <w:color w:val="auto"/>
                <w:sz w:val="24"/>
              </w:rPr>
              <w:t>(GB</w:t>
            </w:r>
            <w:r>
              <w:rPr>
                <w:rFonts w:hint="eastAsia"/>
                <w:color w:val="auto"/>
                <w:sz w:val="24"/>
              </w:rPr>
              <w:t xml:space="preserve"> </w:t>
            </w:r>
            <w:r>
              <w:rPr>
                <w:color w:val="auto"/>
                <w:sz w:val="24"/>
              </w:rPr>
              <w:t>3096-2008)</w:t>
            </w:r>
            <w:r>
              <w:rPr>
                <w:rFonts w:hint="eastAsia"/>
                <w:color w:val="auto"/>
                <w:sz w:val="24"/>
              </w:rPr>
              <w:t>2类区标准。</w:t>
            </w:r>
          </w:p>
          <w:p w14:paraId="4EB6F8B5">
            <w:pPr>
              <w:spacing w:line="360" w:lineRule="auto"/>
              <w:ind w:firstLine="480"/>
              <w:rPr>
                <w:rFonts w:ascii="宋体" w:hAnsi="宋体"/>
                <w:b/>
                <w:color w:val="auto"/>
                <w:sz w:val="24"/>
              </w:rPr>
            </w:pPr>
            <w:r>
              <w:rPr>
                <w:rFonts w:hint="eastAsia" w:ascii="宋体" w:hAnsi="宋体"/>
                <w:b/>
                <w:color w:val="auto"/>
                <w:sz w:val="24"/>
              </w:rPr>
              <w:t>（五）监测计划</w:t>
            </w:r>
          </w:p>
          <w:p w14:paraId="24FFD60A">
            <w:pPr>
              <w:spacing w:line="360" w:lineRule="auto"/>
              <w:ind w:firstLine="480" w:firstLineChars="200"/>
              <w:rPr>
                <w:color w:val="auto"/>
                <w:sz w:val="24"/>
              </w:rPr>
            </w:pPr>
            <w:r>
              <w:rPr>
                <w:color w:val="auto"/>
                <w:sz w:val="24"/>
              </w:rPr>
              <w:t>根据《排污单位自行监测技术指南 总则》（HJ819-2017），本项目噪声自行监测计划如下表所示：</w:t>
            </w:r>
          </w:p>
          <w:p w14:paraId="670F4DDF">
            <w:pPr>
              <w:ind w:firstLine="480"/>
              <w:jc w:val="center"/>
              <w:rPr>
                <w:color w:val="auto"/>
                <w:sz w:val="24"/>
              </w:rPr>
            </w:pPr>
            <w:r>
              <w:rPr>
                <w:b/>
                <w:bCs/>
                <w:color w:val="auto"/>
                <w:sz w:val="24"/>
              </w:rPr>
              <w:t>表4-</w:t>
            </w:r>
            <w:r>
              <w:rPr>
                <w:rFonts w:hint="eastAsia"/>
                <w:b/>
                <w:bCs/>
                <w:color w:val="auto"/>
                <w:sz w:val="24"/>
                <w:lang w:val="en-US" w:eastAsia="zh-CN"/>
              </w:rPr>
              <w:t xml:space="preserve">10  </w:t>
            </w:r>
            <w:r>
              <w:rPr>
                <w:b/>
                <w:bCs/>
                <w:color w:val="auto"/>
                <w:sz w:val="24"/>
              </w:rPr>
              <w:t>本项目噪声监测点位、监测指标及最低监测频次一览表</w:t>
            </w:r>
          </w:p>
          <w:tbl>
            <w:tblPr>
              <w:tblStyle w:val="4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9"/>
              <w:gridCol w:w="2740"/>
              <w:gridCol w:w="2742"/>
            </w:tblGrid>
            <w:tr w14:paraId="79D24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65" w:type="pct"/>
                  <w:shd w:val="clear" w:color="auto" w:fill="auto"/>
                  <w:vAlign w:val="center"/>
                </w:tcPr>
                <w:p w14:paraId="103C402A">
                  <w:pPr>
                    <w:widowControl/>
                    <w:jc w:val="center"/>
                    <w:rPr>
                      <w:color w:val="auto"/>
                      <w:sz w:val="21"/>
                      <w:szCs w:val="21"/>
                    </w:rPr>
                  </w:pPr>
                  <w:r>
                    <w:rPr>
                      <w:color w:val="auto"/>
                      <w:sz w:val="21"/>
                      <w:szCs w:val="21"/>
                    </w:rPr>
                    <w:t>监测点位</w:t>
                  </w:r>
                </w:p>
              </w:tc>
              <w:tc>
                <w:tcPr>
                  <w:tcW w:w="1666" w:type="pct"/>
                  <w:shd w:val="clear" w:color="auto" w:fill="auto"/>
                  <w:vAlign w:val="center"/>
                </w:tcPr>
                <w:p w14:paraId="7A599695">
                  <w:pPr>
                    <w:widowControl/>
                    <w:jc w:val="center"/>
                    <w:rPr>
                      <w:color w:val="auto"/>
                      <w:sz w:val="21"/>
                      <w:szCs w:val="21"/>
                    </w:rPr>
                  </w:pPr>
                  <w:r>
                    <w:rPr>
                      <w:color w:val="auto"/>
                      <w:sz w:val="21"/>
                      <w:szCs w:val="21"/>
                    </w:rPr>
                    <w:t>监测指标</w:t>
                  </w:r>
                </w:p>
              </w:tc>
              <w:tc>
                <w:tcPr>
                  <w:tcW w:w="1667" w:type="pct"/>
                  <w:shd w:val="clear" w:color="auto" w:fill="auto"/>
                  <w:vAlign w:val="center"/>
                </w:tcPr>
                <w:p w14:paraId="3AFB06BB">
                  <w:pPr>
                    <w:widowControl/>
                    <w:jc w:val="center"/>
                    <w:rPr>
                      <w:color w:val="auto"/>
                      <w:sz w:val="21"/>
                      <w:szCs w:val="21"/>
                    </w:rPr>
                  </w:pPr>
                  <w:r>
                    <w:rPr>
                      <w:color w:val="auto"/>
                      <w:sz w:val="21"/>
                      <w:szCs w:val="21"/>
                    </w:rPr>
                    <w:t>最低监测频次</w:t>
                  </w:r>
                </w:p>
              </w:tc>
            </w:tr>
            <w:tr w14:paraId="22C73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65" w:type="pct"/>
                  <w:shd w:val="clear" w:color="auto" w:fill="auto"/>
                  <w:vAlign w:val="center"/>
                </w:tcPr>
                <w:p w14:paraId="2A4174AE">
                  <w:pPr>
                    <w:widowControl/>
                    <w:jc w:val="center"/>
                    <w:rPr>
                      <w:color w:val="auto"/>
                      <w:sz w:val="21"/>
                      <w:szCs w:val="21"/>
                    </w:rPr>
                  </w:pPr>
                  <w:r>
                    <w:rPr>
                      <w:color w:val="auto"/>
                      <w:sz w:val="21"/>
                      <w:szCs w:val="21"/>
                    </w:rPr>
                    <w:t>东、南、西、北</w:t>
                  </w:r>
                  <w:r>
                    <w:rPr>
                      <w:rFonts w:hint="eastAsia"/>
                      <w:color w:val="auto"/>
                      <w:sz w:val="21"/>
                      <w:szCs w:val="21"/>
                      <w:lang w:eastAsia="zh-CN"/>
                    </w:rPr>
                    <w:t>云南常青树化工有限公司</w:t>
                  </w:r>
                  <w:r>
                    <w:rPr>
                      <w:color w:val="auto"/>
                      <w:sz w:val="21"/>
                      <w:szCs w:val="21"/>
                    </w:rPr>
                    <w:t>厂界外1m</w:t>
                  </w:r>
                </w:p>
              </w:tc>
              <w:tc>
                <w:tcPr>
                  <w:tcW w:w="1666" w:type="pct"/>
                  <w:shd w:val="clear" w:color="auto" w:fill="auto"/>
                  <w:vAlign w:val="center"/>
                </w:tcPr>
                <w:p w14:paraId="23898A59">
                  <w:pPr>
                    <w:widowControl/>
                    <w:jc w:val="center"/>
                    <w:rPr>
                      <w:color w:val="auto"/>
                      <w:sz w:val="21"/>
                      <w:szCs w:val="21"/>
                    </w:rPr>
                  </w:pPr>
                  <w:r>
                    <w:rPr>
                      <w:color w:val="auto"/>
                      <w:sz w:val="21"/>
                      <w:szCs w:val="21"/>
                    </w:rPr>
                    <w:t>噪声</w:t>
                  </w:r>
                </w:p>
              </w:tc>
              <w:tc>
                <w:tcPr>
                  <w:tcW w:w="1667" w:type="pct"/>
                  <w:shd w:val="clear" w:color="auto" w:fill="auto"/>
                  <w:vAlign w:val="center"/>
                </w:tcPr>
                <w:p w14:paraId="5B2DDE4F">
                  <w:pPr>
                    <w:widowControl/>
                    <w:jc w:val="center"/>
                    <w:rPr>
                      <w:color w:val="auto"/>
                      <w:sz w:val="21"/>
                      <w:szCs w:val="21"/>
                    </w:rPr>
                  </w:pPr>
                  <w:r>
                    <w:rPr>
                      <w:color w:val="auto"/>
                      <w:sz w:val="21"/>
                      <w:szCs w:val="21"/>
                    </w:rPr>
                    <w:t>1次/季度</w:t>
                  </w:r>
                </w:p>
              </w:tc>
            </w:tr>
          </w:tbl>
          <w:p w14:paraId="07F9FD5E">
            <w:pPr>
              <w:spacing w:before="120" w:beforeLines="50" w:line="360" w:lineRule="auto"/>
              <w:ind w:firstLine="562" w:firstLineChars="200"/>
              <w:rPr>
                <w:b/>
                <w:bCs/>
                <w:color w:val="auto"/>
                <w:sz w:val="28"/>
                <w:szCs w:val="28"/>
              </w:rPr>
            </w:pPr>
          </w:p>
          <w:p w14:paraId="044A7F20">
            <w:pPr>
              <w:spacing w:before="120" w:beforeLines="50" w:line="360" w:lineRule="auto"/>
              <w:ind w:firstLine="562" w:firstLineChars="200"/>
              <w:rPr>
                <w:b/>
                <w:bCs/>
                <w:color w:val="auto"/>
                <w:sz w:val="28"/>
                <w:szCs w:val="28"/>
              </w:rPr>
            </w:pPr>
          </w:p>
          <w:p w14:paraId="5CE4BFDD">
            <w:pPr>
              <w:spacing w:before="120" w:beforeLines="50" w:line="360" w:lineRule="auto"/>
              <w:ind w:firstLine="562" w:firstLineChars="200"/>
              <w:rPr>
                <w:b/>
                <w:bCs/>
                <w:color w:val="auto"/>
                <w:sz w:val="28"/>
                <w:szCs w:val="28"/>
              </w:rPr>
            </w:pPr>
            <w:r>
              <w:rPr>
                <w:b/>
                <w:bCs/>
                <w:color w:val="auto"/>
                <w:sz w:val="28"/>
                <w:szCs w:val="28"/>
              </w:rPr>
              <w:t>4</w:t>
            </w:r>
            <w:r>
              <w:rPr>
                <w:rFonts w:hint="eastAsia"/>
                <w:b/>
                <w:bCs/>
                <w:color w:val="auto"/>
                <w:sz w:val="28"/>
                <w:szCs w:val="28"/>
              </w:rPr>
              <w:t>、固体废物影响和保护措施</w:t>
            </w:r>
          </w:p>
          <w:p w14:paraId="09A950E2">
            <w:pPr>
              <w:spacing w:line="360" w:lineRule="auto"/>
              <w:ind w:firstLine="482" w:firstLineChars="200"/>
              <w:rPr>
                <w:rFonts w:hAnsi="宋体"/>
                <w:b/>
                <w:bCs/>
                <w:color w:val="auto"/>
                <w:sz w:val="24"/>
              </w:rPr>
            </w:pPr>
            <w:r>
              <w:rPr>
                <w:rFonts w:hint="eastAsia" w:hAnsi="宋体"/>
                <w:b/>
                <w:bCs/>
                <w:color w:val="auto"/>
                <w:sz w:val="24"/>
              </w:rPr>
              <w:t>（一）固体废物产排情况</w:t>
            </w:r>
          </w:p>
          <w:p w14:paraId="5C5E2B3F">
            <w:pPr>
              <w:spacing w:line="360" w:lineRule="auto"/>
              <w:ind w:firstLine="480" w:firstLineChars="200"/>
              <w:rPr>
                <w:rFonts w:hAnsi="宋体"/>
                <w:color w:val="auto"/>
                <w:sz w:val="24"/>
              </w:rPr>
            </w:pPr>
            <w:r>
              <w:rPr>
                <w:rFonts w:hint="eastAsia" w:hAnsi="宋体"/>
                <w:color w:val="auto"/>
                <w:sz w:val="24"/>
              </w:rPr>
              <w:t>项目新增固体废物为布袋收尘器收尘、废机油。</w:t>
            </w:r>
          </w:p>
          <w:p w14:paraId="02763A92">
            <w:pPr>
              <w:spacing w:line="360" w:lineRule="auto"/>
              <w:ind w:firstLine="480" w:firstLineChars="200"/>
              <w:rPr>
                <w:rFonts w:hAnsi="宋体"/>
                <w:color w:val="auto"/>
                <w:sz w:val="24"/>
              </w:rPr>
            </w:pPr>
            <w:r>
              <w:rPr>
                <w:rFonts w:hint="eastAsia" w:hAnsi="宋体"/>
                <w:color w:val="auto"/>
                <w:sz w:val="24"/>
              </w:rPr>
              <w:t>（</w:t>
            </w:r>
            <w:r>
              <w:rPr>
                <w:rFonts w:hint="eastAsia" w:hAnsi="宋体"/>
                <w:color w:val="auto"/>
                <w:sz w:val="24"/>
                <w:lang w:val="en-US" w:eastAsia="zh-CN"/>
              </w:rPr>
              <w:t>1</w:t>
            </w:r>
            <w:r>
              <w:rPr>
                <w:rFonts w:hint="eastAsia" w:hAnsi="宋体"/>
                <w:color w:val="auto"/>
                <w:sz w:val="24"/>
              </w:rPr>
              <w:t>）</w:t>
            </w:r>
            <w:r>
              <w:rPr>
                <w:color w:val="auto"/>
                <w:sz w:val="24"/>
                <w:lang w:bidi="ar"/>
              </w:rPr>
              <w:t>布袋除尘器收尘</w:t>
            </w:r>
          </w:p>
          <w:p w14:paraId="42946517">
            <w:pPr>
              <w:spacing w:line="360" w:lineRule="auto"/>
              <w:ind w:firstLine="480" w:firstLineChars="200"/>
              <w:rPr>
                <w:color w:val="auto"/>
                <w:sz w:val="24"/>
              </w:rPr>
            </w:pPr>
            <w:r>
              <w:rPr>
                <w:snapToGrid w:val="0"/>
                <w:color w:val="auto"/>
                <w:sz w:val="24"/>
              </w:rPr>
              <w:t>根据大气污染物源强章节核算，布袋除尘器收集的粉尘量约为</w:t>
            </w:r>
            <w:r>
              <w:rPr>
                <w:rFonts w:hint="eastAsia"/>
                <w:snapToGrid w:val="0"/>
                <w:color w:val="auto"/>
                <w:sz w:val="24"/>
                <w:lang w:val="en-US" w:eastAsia="zh-CN"/>
              </w:rPr>
              <w:t>8.21</w:t>
            </w:r>
            <w:r>
              <w:rPr>
                <w:snapToGrid w:val="0"/>
                <w:color w:val="auto"/>
                <w:sz w:val="24"/>
              </w:rPr>
              <w:t>t/a，为</w:t>
            </w:r>
            <w:r>
              <w:rPr>
                <w:rFonts w:hint="eastAsia"/>
                <w:snapToGrid w:val="0"/>
                <w:color w:val="auto"/>
                <w:sz w:val="24"/>
                <w:lang w:val="en-US" w:eastAsia="zh-CN"/>
              </w:rPr>
              <w:t>筛分、石灰料仓</w:t>
            </w:r>
            <w:r>
              <w:rPr>
                <w:snapToGrid w:val="0"/>
                <w:color w:val="auto"/>
                <w:sz w:val="24"/>
              </w:rPr>
              <w:t>中经集气罩收集</w:t>
            </w:r>
            <w:r>
              <w:rPr>
                <w:rFonts w:hint="eastAsia"/>
                <w:snapToGrid w:val="0"/>
                <w:color w:val="auto"/>
                <w:sz w:val="24"/>
              </w:rPr>
              <w:t>进入石灰仓单体布袋除尘器</w:t>
            </w:r>
            <w:r>
              <w:rPr>
                <w:snapToGrid w:val="0"/>
                <w:color w:val="auto"/>
                <w:sz w:val="24"/>
              </w:rPr>
              <w:t>收尘的粉尘，经收集后回用于生产线。</w:t>
            </w:r>
          </w:p>
          <w:p w14:paraId="5FD60E55">
            <w:pPr>
              <w:spacing w:line="360" w:lineRule="auto"/>
              <w:ind w:firstLine="480" w:firstLineChars="200"/>
              <w:rPr>
                <w:rFonts w:hAnsi="宋体"/>
                <w:color w:val="auto"/>
                <w:sz w:val="24"/>
              </w:rPr>
            </w:pPr>
            <w:r>
              <w:rPr>
                <w:rFonts w:hint="eastAsia" w:hAnsi="宋体"/>
                <w:color w:val="auto"/>
                <w:sz w:val="24"/>
              </w:rPr>
              <w:t>（</w:t>
            </w:r>
            <w:r>
              <w:rPr>
                <w:rFonts w:hint="eastAsia" w:hAnsi="宋体"/>
                <w:color w:val="auto"/>
                <w:sz w:val="24"/>
                <w:lang w:val="en-US" w:eastAsia="zh-CN"/>
              </w:rPr>
              <w:t>2</w:t>
            </w:r>
            <w:r>
              <w:rPr>
                <w:rFonts w:hint="eastAsia" w:hAnsi="宋体"/>
                <w:color w:val="auto"/>
                <w:sz w:val="24"/>
              </w:rPr>
              <w:t>）机修废油</w:t>
            </w:r>
          </w:p>
          <w:p w14:paraId="4586A5F1">
            <w:pPr>
              <w:spacing w:line="360" w:lineRule="auto"/>
              <w:ind w:firstLine="480" w:firstLineChars="200"/>
              <w:rPr>
                <w:rFonts w:hAnsi="宋体"/>
                <w:color w:val="auto"/>
                <w:sz w:val="24"/>
              </w:rPr>
            </w:pPr>
            <w:r>
              <w:rPr>
                <w:rFonts w:hint="eastAsia" w:hAnsi="宋体"/>
                <w:color w:val="auto"/>
                <w:sz w:val="24"/>
              </w:rPr>
              <w:t>项目生产设备在维护保养过程中会产生一定量的机修废油，产生量约为0.0</w:t>
            </w:r>
            <w:r>
              <w:rPr>
                <w:rFonts w:hint="eastAsia" w:hAnsi="宋体"/>
                <w:color w:val="auto"/>
                <w:sz w:val="24"/>
                <w:lang w:val="en-US" w:eastAsia="zh-CN"/>
              </w:rPr>
              <w:t>1</w:t>
            </w:r>
            <w:r>
              <w:rPr>
                <w:rFonts w:hint="eastAsia" w:hAnsi="宋体"/>
                <w:color w:val="auto"/>
                <w:sz w:val="24"/>
              </w:rPr>
              <w:t>t/a。根据《国家危险废物名录（202</w:t>
            </w:r>
            <w:r>
              <w:rPr>
                <w:rFonts w:hint="eastAsia" w:hAnsi="宋体"/>
                <w:color w:val="auto"/>
                <w:sz w:val="24"/>
                <w:lang w:val="en-US" w:eastAsia="zh-CN"/>
              </w:rPr>
              <w:t>5</w:t>
            </w:r>
            <w:r>
              <w:rPr>
                <w:rFonts w:hint="eastAsia" w:hAnsi="宋体"/>
                <w:color w:val="auto"/>
                <w:sz w:val="24"/>
              </w:rPr>
              <w:t>年）》，机修废油油属于HW08类危险废物，废物代码：900-214-08。项目机修废油经收集后暂存于</w:t>
            </w:r>
            <w:r>
              <w:rPr>
                <w:rFonts w:hint="eastAsia" w:hAnsi="宋体"/>
                <w:color w:val="auto"/>
                <w:sz w:val="24"/>
                <w:lang w:eastAsia="zh-CN"/>
              </w:rPr>
              <w:t>云南常青树化工有限公司</w:t>
            </w:r>
            <w:r>
              <w:rPr>
                <w:rFonts w:hint="eastAsia" w:hAnsi="宋体"/>
                <w:color w:val="auto"/>
                <w:sz w:val="24"/>
              </w:rPr>
              <w:t>危废暂存间，并委托已签订危废处置协议的</w:t>
            </w:r>
            <w:r>
              <w:rPr>
                <w:rFonts w:hint="eastAsia" w:hAnsi="宋体"/>
                <w:color w:val="auto"/>
                <w:sz w:val="24"/>
                <w:lang w:eastAsia="zh-CN"/>
              </w:rPr>
              <w:t>云南协快再生资源回收有限公司</w:t>
            </w:r>
            <w:r>
              <w:rPr>
                <w:rFonts w:hint="eastAsia" w:hAnsi="宋体"/>
                <w:color w:val="auto"/>
                <w:sz w:val="24"/>
              </w:rPr>
              <w:t>处理。</w:t>
            </w:r>
          </w:p>
          <w:p w14:paraId="78CF043E">
            <w:pPr>
              <w:spacing w:line="360" w:lineRule="auto"/>
              <w:ind w:firstLine="480" w:firstLineChars="200"/>
              <w:rPr>
                <w:rFonts w:hAnsi="宋体"/>
                <w:color w:val="auto"/>
                <w:sz w:val="24"/>
              </w:rPr>
            </w:pPr>
            <w:r>
              <w:rPr>
                <w:rFonts w:hAnsi="宋体"/>
                <w:color w:val="auto"/>
                <w:sz w:val="24"/>
              </w:rPr>
              <w:t>综上所述，项目运营期产生的所有固体废弃物均得到妥善处置，去向明确，处置率达</w:t>
            </w:r>
            <w:r>
              <w:rPr>
                <w:color w:val="auto"/>
                <w:sz w:val="24"/>
              </w:rPr>
              <w:t>100%</w:t>
            </w:r>
            <w:r>
              <w:rPr>
                <w:rFonts w:hAnsi="宋体"/>
                <w:color w:val="auto"/>
                <w:sz w:val="24"/>
              </w:rPr>
              <w:t>，对周围环境的影响较小。</w:t>
            </w:r>
          </w:p>
          <w:p w14:paraId="60C838C8">
            <w:pPr>
              <w:pStyle w:val="23"/>
              <w:spacing w:line="360" w:lineRule="auto"/>
              <w:ind w:firstLine="480" w:firstLineChars="200"/>
              <w:rPr>
                <w:rFonts w:hint="eastAsia" w:hAnsi="宋体"/>
                <w:bCs/>
                <w:color w:val="auto"/>
                <w:sz w:val="24"/>
              </w:rPr>
            </w:pPr>
            <w:r>
              <w:rPr>
                <w:rFonts w:hint="eastAsia" w:hAnsi="宋体"/>
                <w:bCs/>
                <w:color w:val="auto"/>
                <w:sz w:val="24"/>
              </w:rPr>
              <w:t>本项目固体废物产生情况见下表所示。</w:t>
            </w:r>
          </w:p>
          <w:p w14:paraId="0E46DE43">
            <w:pPr>
              <w:jc w:val="center"/>
              <w:rPr>
                <w:rFonts w:ascii="宋体" w:hAnsi="Calibri" w:cs="宋体"/>
                <w:b/>
                <w:color w:val="auto"/>
                <w:sz w:val="24"/>
              </w:rPr>
            </w:pPr>
            <w:r>
              <w:rPr>
                <w:rFonts w:hint="eastAsia" w:ascii="宋体" w:hAnsi="Calibri" w:cs="宋体"/>
                <w:b/>
                <w:color w:val="auto"/>
                <w:sz w:val="24"/>
              </w:rPr>
              <w:t>表</w:t>
            </w:r>
            <w:r>
              <w:rPr>
                <w:b/>
                <w:bCs/>
                <w:color w:val="auto"/>
                <w:sz w:val="24"/>
              </w:rPr>
              <w:t>4-</w:t>
            </w:r>
            <w:r>
              <w:rPr>
                <w:rFonts w:hint="eastAsia"/>
                <w:b/>
                <w:bCs/>
                <w:color w:val="auto"/>
                <w:sz w:val="24"/>
                <w:lang w:val="en-US" w:eastAsia="zh-CN"/>
              </w:rPr>
              <w:t>11</w:t>
            </w:r>
            <w:r>
              <w:rPr>
                <w:rFonts w:hint="eastAsia"/>
                <w:b/>
                <w:bCs/>
                <w:color w:val="auto"/>
                <w:sz w:val="24"/>
              </w:rPr>
              <w:t xml:space="preserve">  </w:t>
            </w:r>
            <w:r>
              <w:rPr>
                <w:rFonts w:hint="eastAsia" w:ascii="宋体" w:hAnsi="Calibri" w:cs="宋体"/>
                <w:b/>
                <w:color w:val="auto"/>
                <w:sz w:val="24"/>
              </w:rPr>
              <w:t>本项目固废污染源源强核算结果汇总表</w:t>
            </w:r>
          </w:p>
          <w:tbl>
            <w:tblPr>
              <w:tblStyle w:val="4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410"/>
              <w:gridCol w:w="411"/>
              <w:gridCol w:w="411"/>
              <w:gridCol w:w="1512"/>
              <w:gridCol w:w="411"/>
              <w:gridCol w:w="530"/>
              <w:gridCol w:w="610"/>
              <w:gridCol w:w="698"/>
              <w:gridCol w:w="370"/>
              <w:gridCol w:w="1114"/>
              <w:gridCol w:w="382"/>
              <w:gridCol w:w="554"/>
              <w:gridCol w:w="670"/>
            </w:tblGrid>
            <w:tr w14:paraId="43513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38" w:type="dxa"/>
                  <w:tcBorders>
                    <w:top w:val="single" w:color="auto" w:sz="4" w:space="0"/>
                    <w:left w:val="single" w:color="auto" w:sz="4" w:space="0"/>
                    <w:bottom w:val="single" w:color="auto" w:sz="4" w:space="0"/>
                    <w:right w:val="single" w:color="auto" w:sz="4" w:space="0"/>
                  </w:tcBorders>
                  <w:vAlign w:val="center"/>
                </w:tcPr>
                <w:p w14:paraId="38436F8D">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编号</w:t>
                  </w:r>
                </w:p>
              </w:tc>
              <w:tc>
                <w:tcPr>
                  <w:tcW w:w="426" w:type="dxa"/>
                  <w:tcBorders>
                    <w:top w:val="single" w:color="auto" w:sz="4" w:space="0"/>
                    <w:left w:val="single" w:color="auto" w:sz="4" w:space="0"/>
                    <w:bottom w:val="single" w:color="auto" w:sz="4" w:space="0"/>
                    <w:right w:val="single" w:color="auto" w:sz="4" w:space="0"/>
                  </w:tcBorders>
                  <w:vAlign w:val="center"/>
                </w:tcPr>
                <w:p w14:paraId="22D0FB5C">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产生源</w:t>
                  </w:r>
                </w:p>
              </w:tc>
              <w:tc>
                <w:tcPr>
                  <w:tcW w:w="426" w:type="dxa"/>
                  <w:tcBorders>
                    <w:top w:val="single" w:color="auto" w:sz="4" w:space="0"/>
                    <w:left w:val="single" w:color="auto" w:sz="4" w:space="0"/>
                    <w:bottom w:val="single" w:color="auto" w:sz="4" w:space="0"/>
                    <w:right w:val="single" w:color="auto" w:sz="4" w:space="0"/>
                  </w:tcBorders>
                  <w:vAlign w:val="center"/>
                </w:tcPr>
                <w:p w14:paraId="6A233574">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固体废物名称</w:t>
                  </w:r>
                </w:p>
              </w:tc>
              <w:tc>
                <w:tcPr>
                  <w:tcW w:w="426" w:type="dxa"/>
                  <w:tcBorders>
                    <w:top w:val="single" w:color="auto" w:sz="4" w:space="0"/>
                    <w:left w:val="single" w:color="auto" w:sz="4" w:space="0"/>
                    <w:bottom w:val="single" w:color="auto" w:sz="4" w:space="0"/>
                    <w:right w:val="single" w:color="auto" w:sz="4" w:space="0"/>
                  </w:tcBorders>
                  <w:vAlign w:val="center"/>
                </w:tcPr>
                <w:p w14:paraId="298EDD6E">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属性</w:t>
                  </w:r>
                </w:p>
              </w:tc>
              <w:tc>
                <w:tcPr>
                  <w:tcW w:w="1616" w:type="dxa"/>
                  <w:tcBorders>
                    <w:top w:val="single" w:color="auto" w:sz="4" w:space="0"/>
                    <w:left w:val="single" w:color="auto" w:sz="4" w:space="0"/>
                    <w:bottom w:val="single" w:color="auto" w:sz="4" w:space="0"/>
                    <w:right w:val="single" w:color="auto" w:sz="4" w:space="0"/>
                  </w:tcBorders>
                  <w:vAlign w:val="center"/>
                </w:tcPr>
                <w:p w14:paraId="1B1E039A">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类别及编码</w:t>
                  </w:r>
                </w:p>
              </w:tc>
              <w:tc>
                <w:tcPr>
                  <w:tcW w:w="426" w:type="dxa"/>
                  <w:tcBorders>
                    <w:top w:val="single" w:color="auto" w:sz="4" w:space="0"/>
                    <w:left w:val="single" w:color="auto" w:sz="4" w:space="0"/>
                    <w:bottom w:val="single" w:color="auto" w:sz="4" w:space="0"/>
                    <w:right w:val="single" w:color="auto" w:sz="4" w:space="0"/>
                  </w:tcBorders>
                  <w:vAlign w:val="center"/>
                </w:tcPr>
                <w:p w14:paraId="53ED4595">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物理性状</w:t>
                  </w:r>
                </w:p>
              </w:tc>
              <w:tc>
                <w:tcPr>
                  <w:tcW w:w="555" w:type="dxa"/>
                  <w:tcBorders>
                    <w:top w:val="single" w:color="auto" w:sz="4" w:space="0"/>
                    <w:left w:val="single" w:color="auto" w:sz="4" w:space="0"/>
                    <w:bottom w:val="single" w:color="auto" w:sz="4" w:space="0"/>
                    <w:right w:val="single" w:color="auto" w:sz="4" w:space="0"/>
                  </w:tcBorders>
                  <w:vAlign w:val="center"/>
                </w:tcPr>
                <w:p w14:paraId="47336145">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环境危险特性</w:t>
                  </w:r>
                </w:p>
              </w:tc>
              <w:tc>
                <w:tcPr>
                  <w:tcW w:w="641" w:type="dxa"/>
                  <w:tcBorders>
                    <w:top w:val="single" w:color="auto" w:sz="4" w:space="0"/>
                    <w:left w:val="single" w:color="auto" w:sz="4" w:space="0"/>
                    <w:bottom w:val="single" w:color="auto" w:sz="4" w:space="0"/>
                    <w:right w:val="single" w:color="auto" w:sz="4" w:space="0"/>
                  </w:tcBorders>
                  <w:vAlign w:val="center"/>
                </w:tcPr>
                <w:p w14:paraId="0DB534A3">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产生量t/a</w:t>
                  </w:r>
                </w:p>
              </w:tc>
              <w:tc>
                <w:tcPr>
                  <w:tcW w:w="737" w:type="dxa"/>
                  <w:tcBorders>
                    <w:top w:val="single" w:color="auto" w:sz="4" w:space="0"/>
                    <w:left w:val="single" w:color="auto" w:sz="4" w:space="0"/>
                    <w:bottom w:val="single" w:color="auto" w:sz="4" w:space="0"/>
                    <w:right w:val="single" w:color="auto" w:sz="4" w:space="0"/>
                  </w:tcBorders>
                  <w:vAlign w:val="center"/>
                </w:tcPr>
                <w:p w14:paraId="05A13D87">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贮存方式</w:t>
                  </w:r>
                </w:p>
              </w:tc>
              <w:tc>
                <w:tcPr>
                  <w:tcW w:w="382" w:type="dxa"/>
                  <w:tcBorders>
                    <w:top w:val="single" w:color="auto" w:sz="4" w:space="0"/>
                    <w:left w:val="single" w:color="auto" w:sz="4" w:space="0"/>
                    <w:bottom w:val="single" w:color="auto" w:sz="4" w:space="0"/>
                    <w:right w:val="single" w:color="auto" w:sz="4" w:space="0"/>
                  </w:tcBorders>
                  <w:vAlign w:val="center"/>
                </w:tcPr>
                <w:p w14:paraId="741A079A">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用处置方式</w:t>
                  </w:r>
                </w:p>
              </w:tc>
              <w:tc>
                <w:tcPr>
                  <w:tcW w:w="1186" w:type="dxa"/>
                  <w:tcBorders>
                    <w:top w:val="single" w:color="auto" w:sz="4" w:space="0"/>
                    <w:left w:val="single" w:color="auto" w:sz="4" w:space="0"/>
                    <w:bottom w:val="single" w:color="auto" w:sz="4" w:space="0"/>
                    <w:right w:val="single" w:color="auto" w:sz="4" w:space="0"/>
                  </w:tcBorders>
                  <w:vAlign w:val="center"/>
                </w:tcPr>
                <w:p w14:paraId="0D5B0F03">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去向</w:t>
                  </w:r>
                </w:p>
              </w:tc>
              <w:tc>
                <w:tcPr>
                  <w:tcW w:w="395" w:type="dxa"/>
                  <w:tcBorders>
                    <w:top w:val="single" w:color="auto" w:sz="4" w:space="0"/>
                    <w:left w:val="single" w:color="auto" w:sz="4" w:space="0"/>
                    <w:bottom w:val="single" w:color="auto" w:sz="4" w:space="0"/>
                    <w:right w:val="single" w:color="auto" w:sz="4" w:space="0"/>
                  </w:tcBorders>
                  <w:vAlign w:val="center"/>
                </w:tcPr>
                <w:p w14:paraId="74E08922">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利用量t/a</w:t>
                  </w:r>
                </w:p>
              </w:tc>
              <w:tc>
                <w:tcPr>
                  <w:tcW w:w="581" w:type="dxa"/>
                  <w:tcBorders>
                    <w:top w:val="single" w:color="auto" w:sz="4" w:space="0"/>
                    <w:left w:val="single" w:color="auto" w:sz="4" w:space="0"/>
                    <w:bottom w:val="single" w:color="auto" w:sz="4" w:space="0"/>
                    <w:right w:val="single" w:color="auto" w:sz="4" w:space="0"/>
                  </w:tcBorders>
                  <w:vAlign w:val="center"/>
                </w:tcPr>
                <w:p w14:paraId="1F421B9B">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处置量t/a</w:t>
                  </w:r>
                </w:p>
              </w:tc>
              <w:tc>
                <w:tcPr>
                  <w:tcW w:w="706" w:type="dxa"/>
                  <w:tcBorders>
                    <w:top w:val="single" w:color="auto" w:sz="4" w:space="0"/>
                    <w:left w:val="single" w:color="auto" w:sz="4" w:space="0"/>
                    <w:bottom w:val="single" w:color="auto" w:sz="4" w:space="0"/>
                    <w:right w:val="single" w:color="auto" w:sz="4" w:space="0"/>
                  </w:tcBorders>
                  <w:vAlign w:val="center"/>
                </w:tcPr>
                <w:p w14:paraId="40726400">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bCs/>
                      <w:color w:val="auto"/>
                      <w:kern w:val="0"/>
                      <w:szCs w:val="21"/>
                    </w:rPr>
                    <w:t>环境管理要求</w:t>
                  </w:r>
                </w:p>
              </w:tc>
            </w:tr>
            <w:tr w14:paraId="070EE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38" w:type="dxa"/>
                  <w:tcBorders>
                    <w:top w:val="single" w:color="auto" w:sz="4" w:space="0"/>
                    <w:left w:val="single" w:color="auto" w:sz="4" w:space="0"/>
                    <w:bottom w:val="single" w:color="auto" w:sz="4" w:space="0"/>
                    <w:right w:val="single" w:color="auto" w:sz="4" w:space="0"/>
                  </w:tcBorders>
                  <w:vAlign w:val="center"/>
                </w:tcPr>
                <w:p w14:paraId="43C1E8FA">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kern w:val="0"/>
                      <w:szCs w:val="21"/>
                      <w:lang w:eastAsia="zh-CN"/>
                    </w:rPr>
                  </w:pPr>
                  <w:r>
                    <w:rPr>
                      <w:color w:val="auto"/>
                      <w:kern w:val="0"/>
                      <w:szCs w:val="21"/>
                    </w:rPr>
                    <w:t>S</w:t>
                  </w:r>
                  <w:r>
                    <w:rPr>
                      <w:rFonts w:hint="eastAsia"/>
                      <w:color w:val="auto"/>
                      <w:kern w:val="0"/>
                      <w:szCs w:val="21"/>
                      <w:lang w:val="en-US" w:eastAsia="zh-CN"/>
                    </w:rPr>
                    <w:t>1</w:t>
                  </w:r>
                </w:p>
              </w:tc>
              <w:tc>
                <w:tcPr>
                  <w:tcW w:w="426" w:type="dxa"/>
                  <w:tcBorders>
                    <w:top w:val="single" w:color="auto" w:sz="4" w:space="0"/>
                    <w:left w:val="single" w:color="auto" w:sz="4" w:space="0"/>
                    <w:bottom w:val="single" w:color="auto" w:sz="4" w:space="0"/>
                    <w:right w:val="single" w:color="auto" w:sz="4" w:space="0"/>
                  </w:tcBorders>
                  <w:vAlign w:val="center"/>
                </w:tcPr>
                <w:p w14:paraId="0413B760">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布袋除尘器</w:t>
                  </w:r>
                </w:p>
              </w:tc>
              <w:tc>
                <w:tcPr>
                  <w:tcW w:w="426" w:type="dxa"/>
                  <w:tcBorders>
                    <w:top w:val="single" w:color="auto" w:sz="4" w:space="0"/>
                    <w:left w:val="single" w:color="auto" w:sz="4" w:space="0"/>
                    <w:bottom w:val="single" w:color="auto" w:sz="4" w:space="0"/>
                    <w:right w:val="single" w:color="auto" w:sz="4" w:space="0"/>
                  </w:tcBorders>
                  <w:vAlign w:val="center"/>
                </w:tcPr>
                <w:p w14:paraId="16D2386F">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粉尘</w:t>
                  </w:r>
                </w:p>
              </w:tc>
              <w:tc>
                <w:tcPr>
                  <w:tcW w:w="426" w:type="dxa"/>
                  <w:tcBorders>
                    <w:left w:val="single" w:color="auto" w:sz="4" w:space="0"/>
                    <w:right w:val="single" w:color="auto" w:sz="4" w:space="0"/>
                  </w:tcBorders>
                  <w:vAlign w:val="center"/>
                </w:tcPr>
                <w:p w14:paraId="08F4AB36">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一般固体废物</w:t>
                  </w:r>
                </w:p>
              </w:tc>
              <w:tc>
                <w:tcPr>
                  <w:tcW w:w="1616" w:type="dxa"/>
                  <w:tcBorders>
                    <w:top w:val="single" w:color="auto" w:sz="4" w:space="0"/>
                    <w:left w:val="single" w:color="auto" w:sz="4" w:space="0"/>
                    <w:bottom w:val="single" w:color="auto" w:sz="4" w:space="0"/>
                    <w:right w:val="single" w:color="auto" w:sz="4" w:space="0"/>
                  </w:tcBorders>
                  <w:vAlign w:val="center"/>
                </w:tcPr>
                <w:p w14:paraId="11DD5909">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900-999-66</w:t>
                  </w:r>
                </w:p>
              </w:tc>
              <w:tc>
                <w:tcPr>
                  <w:tcW w:w="426" w:type="dxa"/>
                  <w:tcBorders>
                    <w:top w:val="single" w:color="auto" w:sz="4" w:space="0"/>
                    <w:left w:val="single" w:color="auto" w:sz="4" w:space="0"/>
                    <w:bottom w:val="single" w:color="auto" w:sz="4" w:space="0"/>
                    <w:right w:val="single" w:color="auto" w:sz="4" w:space="0"/>
                  </w:tcBorders>
                  <w:vAlign w:val="center"/>
                </w:tcPr>
                <w:p w14:paraId="210FAEDC">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固体</w:t>
                  </w:r>
                </w:p>
              </w:tc>
              <w:tc>
                <w:tcPr>
                  <w:tcW w:w="555" w:type="dxa"/>
                  <w:tcBorders>
                    <w:top w:val="single" w:color="auto" w:sz="4" w:space="0"/>
                    <w:left w:val="single" w:color="auto" w:sz="4" w:space="0"/>
                    <w:bottom w:val="single" w:color="auto" w:sz="4" w:space="0"/>
                    <w:right w:val="single" w:color="auto" w:sz="4" w:space="0"/>
                  </w:tcBorders>
                  <w:vAlign w:val="center"/>
                </w:tcPr>
                <w:p w14:paraId="2CC2B91F">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w:t>
                  </w:r>
                </w:p>
              </w:tc>
              <w:tc>
                <w:tcPr>
                  <w:tcW w:w="641" w:type="dxa"/>
                  <w:tcBorders>
                    <w:top w:val="single" w:color="auto" w:sz="4" w:space="0"/>
                    <w:left w:val="single" w:color="auto" w:sz="4" w:space="0"/>
                    <w:bottom w:val="single" w:color="auto" w:sz="4" w:space="0"/>
                    <w:right w:val="single" w:color="auto" w:sz="4" w:space="0"/>
                  </w:tcBorders>
                  <w:vAlign w:val="center"/>
                </w:tcPr>
                <w:p w14:paraId="4E9555A2">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eastAsia="宋体"/>
                      <w:color w:val="auto"/>
                      <w:kern w:val="0"/>
                      <w:szCs w:val="21"/>
                      <w:lang w:val="en-US" w:eastAsia="zh-CN"/>
                    </w:rPr>
                  </w:pPr>
                  <w:r>
                    <w:rPr>
                      <w:rFonts w:hint="eastAsia"/>
                      <w:color w:val="auto"/>
                      <w:kern w:val="0"/>
                      <w:szCs w:val="21"/>
                      <w:lang w:val="en-US" w:eastAsia="zh-CN"/>
                    </w:rPr>
                    <w:t>8.21</w:t>
                  </w:r>
                </w:p>
              </w:tc>
              <w:tc>
                <w:tcPr>
                  <w:tcW w:w="737" w:type="dxa"/>
                  <w:tcBorders>
                    <w:top w:val="single" w:color="auto" w:sz="4" w:space="0"/>
                    <w:left w:val="single" w:color="auto" w:sz="4" w:space="0"/>
                    <w:right w:val="single" w:color="auto" w:sz="4" w:space="0"/>
                  </w:tcBorders>
                  <w:vAlign w:val="center"/>
                </w:tcPr>
                <w:p w14:paraId="3C95A5E6">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直接回用，不贮存</w:t>
                  </w:r>
                </w:p>
              </w:tc>
              <w:tc>
                <w:tcPr>
                  <w:tcW w:w="382" w:type="dxa"/>
                  <w:tcBorders>
                    <w:top w:val="single" w:color="auto" w:sz="4" w:space="0"/>
                    <w:left w:val="single" w:color="auto" w:sz="4" w:space="0"/>
                    <w:bottom w:val="single" w:color="auto" w:sz="4" w:space="0"/>
                    <w:right w:val="single" w:color="auto" w:sz="4" w:space="0"/>
                  </w:tcBorders>
                  <w:vAlign w:val="center"/>
                </w:tcPr>
                <w:p w14:paraId="0F51B1C8">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回用</w:t>
                  </w:r>
                </w:p>
              </w:tc>
              <w:tc>
                <w:tcPr>
                  <w:tcW w:w="1186" w:type="dxa"/>
                  <w:tcBorders>
                    <w:top w:val="single" w:color="auto" w:sz="4" w:space="0"/>
                    <w:left w:val="single" w:color="auto" w:sz="4" w:space="0"/>
                    <w:bottom w:val="single" w:color="auto" w:sz="4" w:space="0"/>
                    <w:right w:val="single" w:color="auto" w:sz="4" w:space="0"/>
                  </w:tcBorders>
                  <w:vAlign w:val="center"/>
                </w:tcPr>
                <w:p w14:paraId="3EDE2412">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生产</w:t>
                  </w:r>
                </w:p>
              </w:tc>
              <w:tc>
                <w:tcPr>
                  <w:tcW w:w="395" w:type="dxa"/>
                  <w:tcBorders>
                    <w:top w:val="single" w:color="auto" w:sz="4" w:space="0"/>
                    <w:left w:val="single" w:color="auto" w:sz="4" w:space="0"/>
                    <w:bottom w:val="single" w:color="auto" w:sz="4" w:space="0"/>
                    <w:right w:val="single" w:color="auto" w:sz="4" w:space="0"/>
                  </w:tcBorders>
                  <w:vAlign w:val="center"/>
                </w:tcPr>
                <w:p w14:paraId="7367DB4E">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0</w:t>
                  </w:r>
                </w:p>
              </w:tc>
              <w:tc>
                <w:tcPr>
                  <w:tcW w:w="581" w:type="dxa"/>
                  <w:tcBorders>
                    <w:top w:val="single" w:color="auto" w:sz="4" w:space="0"/>
                    <w:left w:val="single" w:color="auto" w:sz="4" w:space="0"/>
                    <w:bottom w:val="single" w:color="auto" w:sz="4" w:space="0"/>
                    <w:right w:val="single" w:color="auto" w:sz="4" w:space="0"/>
                  </w:tcBorders>
                  <w:vAlign w:val="center"/>
                </w:tcPr>
                <w:p w14:paraId="56F28B1F">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eastAsia="宋体"/>
                      <w:color w:val="auto"/>
                      <w:kern w:val="0"/>
                      <w:szCs w:val="21"/>
                      <w:lang w:val="en-US" w:eastAsia="zh-CN"/>
                    </w:rPr>
                  </w:pPr>
                  <w:r>
                    <w:rPr>
                      <w:rFonts w:hint="eastAsia"/>
                      <w:color w:val="auto"/>
                      <w:kern w:val="0"/>
                      <w:szCs w:val="21"/>
                      <w:lang w:val="en-US" w:eastAsia="zh-CN"/>
                    </w:rPr>
                    <w:t>8.21</w:t>
                  </w:r>
                </w:p>
              </w:tc>
              <w:tc>
                <w:tcPr>
                  <w:tcW w:w="706" w:type="dxa"/>
                  <w:tcBorders>
                    <w:left w:val="single" w:color="auto" w:sz="4" w:space="0"/>
                    <w:bottom w:val="single" w:color="auto" w:sz="4" w:space="0"/>
                    <w:right w:val="single" w:color="auto" w:sz="4" w:space="0"/>
                  </w:tcBorders>
                  <w:vAlign w:val="center"/>
                </w:tcPr>
                <w:p w14:paraId="10F9CA42">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highlight w:val="yellow"/>
                    </w:rPr>
                  </w:pPr>
                </w:p>
              </w:tc>
            </w:tr>
            <w:tr w14:paraId="01717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38" w:type="dxa"/>
                  <w:tcBorders>
                    <w:top w:val="single" w:color="auto" w:sz="4" w:space="0"/>
                    <w:left w:val="single" w:color="auto" w:sz="4" w:space="0"/>
                    <w:bottom w:val="single" w:color="auto" w:sz="4" w:space="0"/>
                    <w:right w:val="single" w:color="auto" w:sz="4" w:space="0"/>
                  </w:tcBorders>
                  <w:vAlign w:val="center"/>
                </w:tcPr>
                <w:p w14:paraId="5DF34A9A">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kern w:val="0"/>
                      <w:szCs w:val="21"/>
                      <w:lang w:eastAsia="zh-CN"/>
                    </w:rPr>
                  </w:pPr>
                  <w:r>
                    <w:rPr>
                      <w:rFonts w:hint="eastAsia"/>
                      <w:color w:val="auto"/>
                      <w:kern w:val="0"/>
                      <w:szCs w:val="21"/>
                    </w:rPr>
                    <w:t>S</w:t>
                  </w:r>
                  <w:r>
                    <w:rPr>
                      <w:rFonts w:hint="eastAsia"/>
                      <w:color w:val="auto"/>
                      <w:kern w:val="0"/>
                      <w:szCs w:val="21"/>
                      <w:lang w:val="en-US" w:eastAsia="zh-CN"/>
                    </w:rPr>
                    <w:t>2</w:t>
                  </w:r>
                </w:p>
              </w:tc>
              <w:tc>
                <w:tcPr>
                  <w:tcW w:w="426" w:type="dxa"/>
                  <w:tcBorders>
                    <w:top w:val="single" w:color="auto" w:sz="4" w:space="0"/>
                    <w:left w:val="single" w:color="auto" w:sz="4" w:space="0"/>
                    <w:bottom w:val="single" w:color="auto" w:sz="4" w:space="0"/>
                    <w:right w:val="single" w:color="auto" w:sz="4" w:space="0"/>
                  </w:tcBorders>
                  <w:vAlign w:val="center"/>
                </w:tcPr>
                <w:p w14:paraId="119DF40D">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bCs/>
                      <w:color w:val="auto"/>
                      <w:kern w:val="0"/>
                      <w:szCs w:val="21"/>
                    </w:rPr>
                    <w:t>设备维修保养</w:t>
                  </w:r>
                </w:p>
              </w:tc>
              <w:tc>
                <w:tcPr>
                  <w:tcW w:w="426" w:type="dxa"/>
                  <w:tcBorders>
                    <w:top w:val="single" w:color="auto" w:sz="4" w:space="0"/>
                    <w:left w:val="single" w:color="auto" w:sz="4" w:space="0"/>
                    <w:bottom w:val="single" w:color="auto" w:sz="4" w:space="0"/>
                    <w:right w:val="single" w:color="auto" w:sz="4" w:space="0"/>
                  </w:tcBorders>
                  <w:vAlign w:val="center"/>
                </w:tcPr>
                <w:p w14:paraId="15B80F35">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机修废油</w:t>
                  </w:r>
                </w:p>
              </w:tc>
              <w:tc>
                <w:tcPr>
                  <w:tcW w:w="426" w:type="dxa"/>
                  <w:tcBorders>
                    <w:left w:val="single" w:color="auto" w:sz="4" w:space="0"/>
                    <w:right w:val="single" w:color="auto" w:sz="4" w:space="0"/>
                  </w:tcBorders>
                  <w:vAlign w:val="center"/>
                </w:tcPr>
                <w:p w14:paraId="201CE952">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危险废物</w:t>
                  </w:r>
                </w:p>
              </w:tc>
              <w:tc>
                <w:tcPr>
                  <w:tcW w:w="1616" w:type="dxa"/>
                  <w:tcBorders>
                    <w:top w:val="single" w:color="auto" w:sz="4" w:space="0"/>
                    <w:left w:val="single" w:color="auto" w:sz="4" w:space="0"/>
                    <w:bottom w:val="single" w:color="auto" w:sz="4" w:space="0"/>
                    <w:right w:val="single" w:color="auto" w:sz="4" w:space="0"/>
                  </w:tcBorders>
                  <w:vAlign w:val="center"/>
                </w:tcPr>
                <w:p w14:paraId="1BB02474">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bCs/>
                      <w:color w:val="auto"/>
                      <w:kern w:val="0"/>
                      <w:szCs w:val="21"/>
                    </w:rPr>
                  </w:pPr>
                  <w:r>
                    <w:rPr>
                      <w:bCs/>
                      <w:color w:val="auto"/>
                      <w:kern w:val="0"/>
                      <w:szCs w:val="21"/>
                    </w:rPr>
                    <w:t>HW08废矿物油与含矿物油废物（900-</w:t>
                  </w:r>
                  <w:r>
                    <w:rPr>
                      <w:rFonts w:hint="eastAsia"/>
                      <w:bCs/>
                      <w:color w:val="auto"/>
                      <w:kern w:val="0"/>
                      <w:szCs w:val="21"/>
                    </w:rPr>
                    <w:t>214</w:t>
                  </w:r>
                  <w:r>
                    <w:rPr>
                      <w:bCs/>
                      <w:color w:val="auto"/>
                      <w:kern w:val="0"/>
                      <w:szCs w:val="21"/>
                    </w:rPr>
                    <w:t>-08</w:t>
                  </w:r>
                  <w:r>
                    <w:rPr>
                      <w:rFonts w:hint="eastAsia"/>
                      <w:bCs/>
                      <w:color w:val="auto"/>
                      <w:kern w:val="0"/>
                      <w:szCs w:val="21"/>
                    </w:rPr>
                    <w:t>）</w:t>
                  </w:r>
                </w:p>
              </w:tc>
              <w:tc>
                <w:tcPr>
                  <w:tcW w:w="426" w:type="dxa"/>
                  <w:tcBorders>
                    <w:top w:val="single" w:color="auto" w:sz="4" w:space="0"/>
                    <w:left w:val="single" w:color="auto" w:sz="4" w:space="0"/>
                    <w:bottom w:val="single" w:color="auto" w:sz="4" w:space="0"/>
                    <w:right w:val="single" w:color="auto" w:sz="4" w:space="0"/>
                  </w:tcBorders>
                  <w:vAlign w:val="center"/>
                </w:tcPr>
                <w:p w14:paraId="53B09FDB">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液体</w:t>
                  </w:r>
                </w:p>
              </w:tc>
              <w:tc>
                <w:tcPr>
                  <w:tcW w:w="555" w:type="dxa"/>
                  <w:tcBorders>
                    <w:top w:val="single" w:color="auto" w:sz="4" w:space="0"/>
                    <w:left w:val="single" w:color="auto" w:sz="4" w:space="0"/>
                    <w:bottom w:val="single" w:color="auto" w:sz="4" w:space="0"/>
                    <w:right w:val="single" w:color="auto" w:sz="4" w:space="0"/>
                  </w:tcBorders>
                  <w:vAlign w:val="center"/>
                </w:tcPr>
                <w:p w14:paraId="60A04E82">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T，I</w:t>
                  </w:r>
                </w:p>
              </w:tc>
              <w:tc>
                <w:tcPr>
                  <w:tcW w:w="641" w:type="dxa"/>
                  <w:tcBorders>
                    <w:top w:val="single" w:color="auto" w:sz="4" w:space="0"/>
                    <w:left w:val="single" w:color="auto" w:sz="4" w:space="0"/>
                    <w:bottom w:val="single" w:color="auto" w:sz="4" w:space="0"/>
                    <w:right w:val="single" w:color="auto" w:sz="4" w:space="0"/>
                  </w:tcBorders>
                  <w:vAlign w:val="center"/>
                </w:tcPr>
                <w:p w14:paraId="35115581">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kern w:val="0"/>
                      <w:szCs w:val="21"/>
                      <w:lang w:eastAsia="zh-CN"/>
                    </w:rPr>
                  </w:pPr>
                  <w:r>
                    <w:rPr>
                      <w:rFonts w:hint="eastAsia"/>
                      <w:color w:val="auto"/>
                      <w:kern w:val="0"/>
                      <w:szCs w:val="21"/>
                    </w:rPr>
                    <w:t>0.0</w:t>
                  </w:r>
                  <w:r>
                    <w:rPr>
                      <w:rFonts w:hint="eastAsia"/>
                      <w:color w:val="auto"/>
                      <w:kern w:val="0"/>
                      <w:szCs w:val="21"/>
                      <w:lang w:val="en-US" w:eastAsia="zh-CN"/>
                    </w:rPr>
                    <w:t>1</w:t>
                  </w:r>
                </w:p>
              </w:tc>
              <w:tc>
                <w:tcPr>
                  <w:tcW w:w="737" w:type="dxa"/>
                  <w:tcBorders>
                    <w:top w:val="single" w:color="auto" w:sz="4" w:space="0"/>
                    <w:left w:val="single" w:color="auto" w:sz="4" w:space="0"/>
                    <w:bottom w:val="single" w:color="auto" w:sz="4" w:space="0"/>
                    <w:right w:val="single" w:color="auto" w:sz="4" w:space="0"/>
                  </w:tcBorders>
                  <w:vAlign w:val="center"/>
                </w:tcPr>
                <w:p w14:paraId="367D95B7">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暂存于</w:t>
                  </w:r>
                  <w:r>
                    <w:rPr>
                      <w:rFonts w:hint="eastAsia"/>
                      <w:color w:val="auto"/>
                      <w:szCs w:val="21"/>
                      <w:lang w:eastAsia="zh-CN"/>
                    </w:rPr>
                    <w:t>云南常青树化工有限公司</w:t>
                  </w:r>
                  <w:r>
                    <w:rPr>
                      <w:rFonts w:hint="eastAsia"/>
                      <w:color w:val="auto"/>
                      <w:szCs w:val="21"/>
                    </w:rPr>
                    <w:t>危废暂存间</w:t>
                  </w:r>
                </w:p>
              </w:tc>
              <w:tc>
                <w:tcPr>
                  <w:tcW w:w="382" w:type="dxa"/>
                  <w:tcBorders>
                    <w:top w:val="single" w:color="auto" w:sz="4" w:space="0"/>
                    <w:left w:val="single" w:color="auto" w:sz="4" w:space="0"/>
                    <w:bottom w:val="single" w:color="auto" w:sz="4" w:space="0"/>
                    <w:right w:val="single" w:color="auto" w:sz="4" w:space="0"/>
                  </w:tcBorders>
                  <w:vAlign w:val="center"/>
                </w:tcPr>
                <w:p w14:paraId="26EE4D84">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委托处置</w:t>
                  </w:r>
                </w:p>
              </w:tc>
              <w:tc>
                <w:tcPr>
                  <w:tcW w:w="1186" w:type="dxa"/>
                  <w:tcBorders>
                    <w:top w:val="single" w:color="auto" w:sz="4" w:space="0"/>
                    <w:left w:val="single" w:color="auto" w:sz="4" w:space="0"/>
                    <w:bottom w:val="single" w:color="auto" w:sz="4" w:space="0"/>
                    <w:right w:val="single" w:color="auto" w:sz="4" w:space="0"/>
                  </w:tcBorders>
                  <w:vAlign w:val="center"/>
                </w:tcPr>
                <w:p w14:paraId="7B43C3F6">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Ansi="宋体"/>
                      <w:color w:val="auto"/>
                      <w:szCs w:val="21"/>
                    </w:rPr>
                  </w:pPr>
                  <w:r>
                    <w:rPr>
                      <w:rFonts w:hint="eastAsia" w:hAnsi="宋体"/>
                      <w:color w:val="auto"/>
                      <w:szCs w:val="21"/>
                    </w:rPr>
                    <w:t>经收集后暂存于</w:t>
                  </w:r>
                  <w:r>
                    <w:rPr>
                      <w:rFonts w:hint="eastAsia" w:hAnsi="宋体"/>
                      <w:color w:val="auto"/>
                      <w:szCs w:val="21"/>
                      <w:lang w:eastAsia="zh-CN"/>
                    </w:rPr>
                    <w:t>云南常青树化工有限公司</w:t>
                  </w:r>
                  <w:r>
                    <w:rPr>
                      <w:rFonts w:hint="eastAsia" w:hAnsi="宋体"/>
                      <w:color w:val="auto"/>
                      <w:szCs w:val="21"/>
                    </w:rPr>
                    <w:t>危废暂存间，并委托已签订危废处置协议的</w:t>
                  </w:r>
                  <w:r>
                    <w:rPr>
                      <w:rFonts w:hint="eastAsia" w:hAnsi="宋体"/>
                      <w:color w:val="auto"/>
                      <w:szCs w:val="21"/>
                      <w:lang w:eastAsia="zh-CN"/>
                    </w:rPr>
                    <w:t>云南协快再生资源回收有限公司</w:t>
                  </w:r>
                  <w:r>
                    <w:rPr>
                      <w:rFonts w:hint="eastAsia" w:hAnsi="宋体"/>
                      <w:color w:val="auto"/>
                      <w:szCs w:val="21"/>
                    </w:rPr>
                    <w:t>处理</w:t>
                  </w:r>
                </w:p>
              </w:tc>
              <w:tc>
                <w:tcPr>
                  <w:tcW w:w="395" w:type="dxa"/>
                  <w:tcBorders>
                    <w:top w:val="single" w:color="auto" w:sz="4" w:space="0"/>
                    <w:left w:val="single" w:color="auto" w:sz="4" w:space="0"/>
                    <w:bottom w:val="single" w:color="auto" w:sz="4" w:space="0"/>
                    <w:right w:val="single" w:color="auto" w:sz="4" w:space="0"/>
                  </w:tcBorders>
                  <w:vAlign w:val="center"/>
                </w:tcPr>
                <w:p w14:paraId="65782E64">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0</w:t>
                  </w:r>
                </w:p>
              </w:tc>
              <w:tc>
                <w:tcPr>
                  <w:tcW w:w="581" w:type="dxa"/>
                  <w:tcBorders>
                    <w:top w:val="single" w:color="auto" w:sz="4" w:space="0"/>
                    <w:left w:val="single" w:color="auto" w:sz="4" w:space="0"/>
                    <w:bottom w:val="single" w:color="auto" w:sz="4" w:space="0"/>
                    <w:right w:val="single" w:color="auto" w:sz="4" w:space="0"/>
                  </w:tcBorders>
                  <w:vAlign w:val="center"/>
                </w:tcPr>
                <w:p w14:paraId="6F473230">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kern w:val="0"/>
                      <w:szCs w:val="21"/>
                      <w:lang w:eastAsia="zh-CN"/>
                    </w:rPr>
                  </w:pPr>
                  <w:r>
                    <w:rPr>
                      <w:rFonts w:hint="eastAsia"/>
                      <w:color w:val="auto"/>
                      <w:kern w:val="0"/>
                      <w:szCs w:val="21"/>
                    </w:rPr>
                    <w:t>0.0</w:t>
                  </w:r>
                  <w:r>
                    <w:rPr>
                      <w:rFonts w:hint="eastAsia"/>
                      <w:color w:val="auto"/>
                      <w:kern w:val="0"/>
                      <w:szCs w:val="21"/>
                      <w:lang w:val="en-US" w:eastAsia="zh-CN"/>
                    </w:rPr>
                    <w:t>1</w:t>
                  </w:r>
                </w:p>
              </w:tc>
              <w:tc>
                <w:tcPr>
                  <w:tcW w:w="706" w:type="dxa"/>
                  <w:tcBorders>
                    <w:top w:val="single" w:color="auto" w:sz="4" w:space="0"/>
                    <w:left w:val="single" w:color="auto" w:sz="4" w:space="0"/>
                    <w:right w:val="single" w:color="auto" w:sz="4" w:space="0"/>
                  </w:tcBorders>
                  <w:vAlign w:val="center"/>
                </w:tcPr>
                <w:p w14:paraId="164BE155">
                  <w:pPr>
                    <w:pStyle w:val="9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highlight w:val="yellow"/>
                    </w:rPr>
                  </w:pPr>
                  <w:r>
                    <w:rPr>
                      <w:bCs/>
                      <w:color w:val="auto"/>
                      <w:kern w:val="0"/>
                      <w:szCs w:val="21"/>
                    </w:rPr>
                    <w:t>100%处置，建立转移联单制</w:t>
                  </w:r>
                </w:p>
              </w:tc>
            </w:tr>
          </w:tbl>
          <w:p w14:paraId="10A171F4">
            <w:pPr>
              <w:spacing w:before="120" w:beforeLines="50" w:line="360" w:lineRule="auto"/>
              <w:ind w:firstLine="482" w:firstLineChars="200"/>
              <w:rPr>
                <w:rFonts w:hAnsi="宋体"/>
                <w:color w:val="auto"/>
                <w:sz w:val="24"/>
              </w:rPr>
            </w:pPr>
            <w:r>
              <w:rPr>
                <w:b/>
                <w:bCs/>
                <w:color w:val="auto"/>
                <w:sz w:val="24"/>
              </w:rPr>
              <w:t>4.2</w:t>
            </w:r>
            <w:r>
              <w:rPr>
                <w:rFonts w:hint="eastAsia"/>
                <w:b/>
                <w:bCs/>
                <w:color w:val="auto"/>
                <w:sz w:val="24"/>
              </w:rPr>
              <w:t>项目固体废物贮存场所分析</w:t>
            </w:r>
          </w:p>
          <w:p w14:paraId="752F5317">
            <w:pPr>
              <w:spacing w:line="360" w:lineRule="auto"/>
              <w:ind w:firstLine="480" w:firstLineChars="200"/>
              <w:rPr>
                <w:rFonts w:hAnsi="宋体"/>
                <w:bCs/>
                <w:color w:val="auto"/>
                <w:sz w:val="24"/>
              </w:rPr>
            </w:pPr>
            <w:r>
              <w:rPr>
                <w:rFonts w:hint="eastAsia" w:hAnsi="宋体"/>
                <w:bCs/>
                <w:color w:val="auto"/>
                <w:sz w:val="24"/>
              </w:rPr>
              <w:t>（1）危险废物贮存场所环境影响分析</w:t>
            </w:r>
          </w:p>
          <w:p w14:paraId="272B766D">
            <w:pPr>
              <w:spacing w:line="360" w:lineRule="auto"/>
              <w:ind w:firstLine="480" w:firstLineChars="200"/>
              <w:rPr>
                <w:rFonts w:hAnsi="宋体"/>
                <w:bCs/>
                <w:color w:val="auto"/>
                <w:sz w:val="24"/>
              </w:rPr>
            </w:pPr>
            <w:r>
              <w:rPr>
                <w:rFonts w:hint="eastAsia" w:hAnsi="宋体"/>
                <w:bCs/>
                <w:color w:val="auto"/>
                <w:sz w:val="24"/>
              </w:rPr>
              <w:t>本项目产生的危险废物按照废物类别分类、分区暂存入</w:t>
            </w:r>
            <w:r>
              <w:rPr>
                <w:rFonts w:hint="eastAsia" w:hAnsi="宋体"/>
                <w:bCs/>
                <w:color w:val="auto"/>
                <w:sz w:val="24"/>
                <w:lang w:eastAsia="zh-CN"/>
              </w:rPr>
              <w:t>云南常青树化工有限公司</w:t>
            </w:r>
            <w:r>
              <w:rPr>
                <w:rFonts w:hint="eastAsia" w:hAnsi="宋体"/>
                <w:bCs/>
                <w:color w:val="auto"/>
                <w:sz w:val="24"/>
              </w:rPr>
              <w:t>危废暂存间内，</w:t>
            </w:r>
            <w:r>
              <w:rPr>
                <w:rFonts w:hAnsi="宋体"/>
                <w:bCs/>
                <w:color w:val="auto"/>
                <w:sz w:val="24"/>
              </w:rPr>
              <w:t>根据《危险废物贮存污染控制标准》（GB</w:t>
            </w:r>
            <w:r>
              <w:rPr>
                <w:rFonts w:hint="eastAsia" w:hAnsi="宋体"/>
                <w:bCs/>
                <w:color w:val="auto"/>
                <w:sz w:val="24"/>
              </w:rPr>
              <w:t xml:space="preserve"> </w:t>
            </w:r>
            <w:r>
              <w:rPr>
                <w:rFonts w:hAnsi="宋体"/>
                <w:bCs/>
                <w:color w:val="auto"/>
                <w:sz w:val="24"/>
              </w:rPr>
              <w:t>18597-20</w:t>
            </w:r>
            <w:r>
              <w:rPr>
                <w:rFonts w:hint="eastAsia" w:hAnsi="宋体"/>
                <w:bCs/>
                <w:color w:val="auto"/>
                <w:sz w:val="24"/>
              </w:rPr>
              <w:t>23</w:t>
            </w:r>
            <w:r>
              <w:rPr>
                <w:rFonts w:hAnsi="宋体"/>
                <w:bCs/>
                <w:color w:val="auto"/>
                <w:sz w:val="24"/>
              </w:rPr>
              <w:t>），本项目危险废物储存应满足以下要求：</w:t>
            </w:r>
          </w:p>
          <w:p w14:paraId="00646F31">
            <w:pPr>
              <w:spacing w:line="360" w:lineRule="auto"/>
              <w:ind w:firstLine="480" w:firstLineChars="200"/>
              <w:rPr>
                <w:bCs/>
                <w:color w:val="auto"/>
                <w:sz w:val="24"/>
              </w:rPr>
            </w:pPr>
            <w:r>
              <w:rPr>
                <w:bCs/>
                <w:color w:val="auto"/>
                <w:sz w:val="24"/>
              </w:rPr>
              <w:t xml:space="preserve">1）危险废物暂存间选址要求 </w:t>
            </w:r>
          </w:p>
          <w:p w14:paraId="7094637A">
            <w:pPr>
              <w:spacing w:line="360" w:lineRule="auto"/>
              <w:ind w:firstLine="480" w:firstLineChars="200"/>
              <w:rPr>
                <w:bCs/>
                <w:color w:val="auto"/>
                <w:sz w:val="24"/>
              </w:rPr>
            </w:pPr>
            <w:r>
              <w:rPr>
                <w:rFonts w:hint="eastAsia" w:ascii="宋体" w:hAnsi="宋体" w:cs="宋体"/>
                <w:bCs/>
                <w:color w:val="auto"/>
                <w:sz w:val="24"/>
              </w:rPr>
              <w:t>①</w:t>
            </w:r>
            <w:r>
              <w:rPr>
                <w:bCs/>
                <w:color w:val="auto"/>
                <w:sz w:val="24"/>
              </w:rPr>
              <w:t>贮存设施选址应满足生态环境保护法律法规、规划和“三线一单”生态环境分区管控的要求，建设项目应依法进行环境影响评价。</w:t>
            </w:r>
          </w:p>
          <w:p w14:paraId="2FC28E1A">
            <w:pPr>
              <w:spacing w:line="360" w:lineRule="auto"/>
              <w:ind w:firstLine="480" w:firstLineChars="200"/>
              <w:rPr>
                <w:bCs/>
                <w:color w:val="auto"/>
                <w:sz w:val="24"/>
              </w:rPr>
            </w:pPr>
            <w:r>
              <w:rPr>
                <w:rFonts w:hint="eastAsia" w:ascii="宋体" w:hAnsi="宋体" w:cs="宋体"/>
                <w:bCs/>
                <w:color w:val="auto"/>
                <w:sz w:val="24"/>
              </w:rPr>
              <w:t>②</w:t>
            </w:r>
            <w:r>
              <w:rPr>
                <w:bCs/>
                <w:color w:val="auto"/>
                <w:sz w:val="24"/>
              </w:rPr>
              <w:t>集中贮存设施不应选在生态保护红线区域、永久基本农田和其他需要特别保护的区域内，不应建在溶洞区或易遭受洪水、滑坡、泥石流、潮汐等严重自然灾害影响的地区。</w:t>
            </w:r>
          </w:p>
          <w:p w14:paraId="5700482F">
            <w:pPr>
              <w:spacing w:line="360" w:lineRule="auto"/>
              <w:ind w:firstLine="480" w:firstLineChars="200"/>
              <w:rPr>
                <w:bCs/>
                <w:color w:val="auto"/>
                <w:sz w:val="24"/>
              </w:rPr>
            </w:pPr>
            <w:r>
              <w:rPr>
                <w:rFonts w:hint="eastAsia" w:ascii="宋体" w:hAnsi="宋体" w:cs="宋体"/>
                <w:bCs/>
                <w:color w:val="auto"/>
                <w:sz w:val="24"/>
              </w:rPr>
              <w:t>③</w:t>
            </w:r>
            <w:r>
              <w:rPr>
                <w:bCs/>
                <w:color w:val="auto"/>
                <w:sz w:val="24"/>
              </w:rPr>
              <w:t>贮存设施不应选在江河、湖泊、运河、渠道、水库及其最高水位线以下的滩地和岸坡，以及法律法规规定禁止贮存危险废物的其他地点。</w:t>
            </w:r>
          </w:p>
          <w:p w14:paraId="34937EB0">
            <w:pPr>
              <w:spacing w:line="360" w:lineRule="auto"/>
              <w:ind w:firstLine="480" w:firstLineChars="200"/>
              <w:rPr>
                <w:rFonts w:ascii="宋体" w:hAnsi="宋体" w:cs="宋体"/>
                <w:bCs/>
                <w:color w:val="auto"/>
                <w:sz w:val="24"/>
              </w:rPr>
            </w:pPr>
            <w:r>
              <w:rPr>
                <w:rFonts w:hint="eastAsia" w:ascii="宋体" w:hAnsi="宋体" w:cs="宋体"/>
                <w:bCs/>
                <w:color w:val="auto"/>
                <w:sz w:val="24"/>
              </w:rPr>
              <w:t>④</w:t>
            </w:r>
            <w:r>
              <w:rPr>
                <w:bCs/>
                <w:color w:val="auto"/>
                <w:sz w:val="24"/>
              </w:rPr>
              <w:t>贮存设施场址的位置以及其与周围环境敏感目标的距离应依据环境影响评价文件确定。</w:t>
            </w:r>
          </w:p>
          <w:p w14:paraId="22BF8BE0">
            <w:pPr>
              <w:spacing w:line="360" w:lineRule="auto"/>
              <w:ind w:firstLine="480" w:firstLineChars="200"/>
              <w:rPr>
                <w:bCs/>
                <w:color w:val="auto"/>
                <w:sz w:val="24"/>
              </w:rPr>
            </w:pPr>
            <w:r>
              <w:rPr>
                <w:bCs/>
                <w:color w:val="auto"/>
                <w:sz w:val="24"/>
              </w:rPr>
              <w:t>2）贮存设施污染控制要求</w:t>
            </w:r>
          </w:p>
          <w:p w14:paraId="74F64557">
            <w:pPr>
              <w:spacing w:line="360" w:lineRule="auto"/>
              <w:ind w:firstLine="480" w:firstLineChars="200"/>
              <w:rPr>
                <w:bCs/>
                <w:color w:val="auto"/>
                <w:sz w:val="24"/>
              </w:rPr>
            </w:pPr>
            <w:r>
              <w:rPr>
                <w:rFonts w:hint="eastAsia" w:ascii="宋体" w:hAnsi="宋体" w:cs="宋体"/>
                <w:bCs/>
                <w:color w:val="auto"/>
                <w:sz w:val="24"/>
              </w:rPr>
              <w:t>①</w:t>
            </w:r>
            <w:r>
              <w:rPr>
                <w:bCs/>
                <w:color w:val="auto"/>
                <w:sz w:val="24"/>
              </w:rPr>
              <w:t>贮存设施应根据危险废物的形态、物理化学性质、包装形式和污染物迁移途径，采取必要的防风、防晒、防雨、防漏、防渗、防腐以及其他环境污染防治措施，不应露天堆放危险废物。</w:t>
            </w:r>
          </w:p>
          <w:p w14:paraId="601D4E13">
            <w:pPr>
              <w:spacing w:line="360" w:lineRule="auto"/>
              <w:ind w:firstLine="480" w:firstLineChars="200"/>
              <w:rPr>
                <w:bCs/>
                <w:color w:val="auto"/>
                <w:sz w:val="24"/>
              </w:rPr>
            </w:pPr>
            <w:r>
              <w:rPr>
                <w:rFonts w:hint="eastAsia" w:ascii="宋体" w:hAnsi="宋体" w:cs="宋体"/>
                <w:bCs/>
                <w:color w:val="auto"/>
                <w:sz w:val="24"/>
              </w:rPr>
              <w:t>②</w:t>
            </w:r>
            <w:r>
              <w:rPr>
                <w:bCs/>
                <w:color w:val="auto"/>
                <w:sz w:val="24"/>
              </w:rPr>
              <w:t>贮存设施应根据危险废物的类别、数量、形态、物理化学性质和污染防治等要求设置必要的贮存分区，避免不相容的危险废物接触、混合。</w:t>
            </w:r>
          </w:p>
          <w:p w14:paraId="051F96AD">
            <w:pPr>
              <w:spacing w:line="360" w:lineRule="auto"/>
              <w:ind w:firstLine="480" w:firstLineChars="200"/>
              <w:rPr>
                <w:bCs/>
                <w:color w:val="auto"/>
                <w:sz w:val="24"/>
              </w:rPr>
            </w:pPr>
            <w:r>
              <w:rPr>
                <w:rFonts w:hint="eastAsia" w:ascii="宋体" w:hAnsi="宋体" w:cs="宋体"/>
                <w:bCs/>
                <w:color w:val="auto"/>
                <w:sz w:val="24"/>
              </w:rPr>
              <w:t>③</w:t>
            </w:r>
            <w:r>
              <w:rPr>
                <w:bCs/>
                <w:color w:val="auto"/>
                <w:sz w:val="24"/>
              </w:rPr>
              <w:t>贮存设施或贮存分区内地面、墙面裙脚、堵截泄漏的围堰、接触危险废物的隔板和墙体等应采用坚固的材料建造，表面无裂缝。</w:t>
            </w:r>
          </w:p>
          <w:p w14:paraId="46DDD229">
            <w:pPr>
              <w:spacing w:line="360" w:lineRule="auto"/>
              <w:ind w:firstLine="480" w:firstLineChars="200"/>
              <w:rPr>
                <w:bCs/>
                <w:color w:val="auto"/>
                <w:sz w:val="24"/>
              </w:rPr>
            </w:pPr>
            <w:r>
              <w:rPr>
                <w:rFonts w:hint="eastAsia" w:ascii="宋体" w:hAnsi="宋体" w:cs="宋体"/>
                <w:bCs/>
                <w:color w:val="auto"/>
                <w:sz w:val="24"/>
              </w:rPr>
              <w:t>④</w:t>
            </w:r>
            <w:r>
              <w:rPr>
                <w:bCs/>
                <w:color w:val="auto"/>
                <w:sz w:val="24"/>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bCs/>
                <w:color w:val="auto"/>
                <w:sz w:val="24"/>
                <w:vertAlign w:val="superscript"/>
              </w:rPr>
              <w:t>-7</w:t>
            </w:r>
            <w:r>
              <w:rPr>
                <w:bCs/>
                <w:color w:val="auto"/>
                <w:sz w:val="24"/>
              </w:rPr>
              <w:t>cm/s），或至少2mm厚高密度聚乙烯膜等人工防渗材料（渗透系数不大于10</w:t>
            </w:r>
            <w:r>
              <w:rPr>
                <w:bCs/>
                <w:color w:val="auto"/>
                <w:sz w:val="24"/>
                <w:vertAlign w:val="superscript"/>
              </w:rPr>
              <w:t>-10</w:t>
            </w:r>
            <w:r>
              <w:rPr>
                <w:bCs/>
                <w:color w:val="auto"/>
                <w:sz w:val="24"/>
              </w:rPr>
              <w:t>cm/s），或其他防渗性能等效的材料。</w:t>
            </w:r>
          </w:p>
          <w:p w14:paraId="64ED9088">
            <w:pPr>
              <w:spacing w:line="360" w:lineRule="auto"/>
              <w:ind w:firstLine="480" w:firstLineChars="200"/>
              <w:rPr>
                <w:bCs/>
                <w:color w:val="auto"/>
                <w:sz w:val="24"/>
              </w:rPr>
            </w:pPr>
            <w:r>
              <w:rPr>
                <w:rFonts w:hint="eastAsia" w:ascii="宋体" w:hAnsi="宋体" w:cs="宋体"/>
                <w:bCs/>
                <w:color w:val="auto"/>
                <w:sz w:val="24"/>
              </w:rPr>
              <w:t>⑤</w:t>
            </w:r>
            <w:r>
              <w:rPr>
                <w:bCs/>
                <w:color w:val="auto"/>
                <w:sz w:val="24"/>
              </w:rPr>
              <w:t>同一贮存设施宜采用相同的防渗、防腐工艺（包括防渗、防腐结构或材料），防渗、防腐材料应覆盖所有可能与废物及其渗滤液、渗漏液等接触的构筑物表面；采用不同防渗、防腐工艺应分别建设贮存分区。</w:t>
            </w:r>
          </w:p>
          <w:p w14:paraId="0287308B">
            <w:pPr>
              <w:spacing w:line="360" w:lineRule="auto"/>
              <w:ind w:firstLine="480" w:firstLineChars="200"/>
              <w:rPr>
                <w:bCs/>
                <w:color w:val="auto"/>
                <w:sz w:val="24"/>
              </w:rPr>
            </w:pPr>
            <w:r>
              <w:rPr>
                <w:rFonts w:hint="eastAsia"/>
                <w:bCs/>
                <w:color w:val="auto"/>
                <w:sz w:val="24"/>
              </w:rPr>
              <w:t>⑥</w:t>
            </w:r>
            <w:r>
              <w:rPr>
                <w:bCs/>
                <w:color w:val="auto"/>
                <w:sz w:val="24"/>
              </w:rPr>
              <w:t>贮存设施应采取技术和管理措施防止无关人员进入。</w:t>
            </w:r>
          </w:p>
          <w:p w14:paraId="142ED556">
            <w:pPr>
              <w:spacing w:line="360" w:lineRule="auto"/>
              <w:ind w:firstLine="480" w:firstLineChars="200"/>
              <w:rPr>
                <w:bCs/>
                <w:color w:val="auto"/>
                <w:sz w:val="24"/>
              </w:rPr>
            </w:pPr>
            <w:r>
              <w:rPr>
                <w:bCs/>
                <w:color w:val="auto"/>
                <w:sz w:val="24"/>
              </w:rPr>
              <w:t>3）容器和包装物污染控制要求</w:t>
            </w:r>
          </w:p>
          <w:p w14:paraId="16473C4F">
            <w:pPr>
              <w:spacing w:line="360" w:lineRule="auto"/>
              <w:ind w:firstLine="480" w:firstLineChars="200"/>
              <w:rPr>
                <w:bCs/>
                <w:color w:val="auto"/>
                <w:sz w:val="24"/>
              </w:rPr>
            </w:pPr>
            <w:r>
              <w:rPr>
                <w:rFonts w:hint="eastAsia" w:ascii="宋体" w:hAnsi="宋体" w:cs="宋体"/>
                <w:bCs/>
                <w:color w:val="auto"/>
                <w:sz w:val="24"/>
              </w:rPr>
              <w:t>①</w:t>
            </w:r>
            <w:r>
              <w:rPr>
                <w:bCs/>
                <w:color w:val="auto"/>
                <w:sz w:val="24"/>
              </w:rPr>
              <w:t>容器和包装物材质、内衬应与盛装的危险废物相容。</w:t>
            </w:r>
          </w:p>
          <w:p w14:paraId="0F250E6C">
            <w:pPr>
              <w:spacing w:line="360" w:lineRule="auto"/>
              <w:ind w:firstLine="480" w:firstLineChars="200"/>
              <w:rPr>
                <w:bCs/>
                <w:color w:val="auto"/>
                <w:sz w:val="24"/>
              </w:rPr>
            </w:pPr>
            <w:r>
              <w:rPr>
                <w:rFonts w:hint="eastAsia" w:ascii="宋体" w:hAnsi="宋体" w:cs="宋体"/>
                <w:bCs/>
                <w:color w:val="auto"/>
                <w:sz w:val="24"/>
              </w:rPr>
              <w:t>②</w:t>
            </w:r>
            <w:r>
              <w:rPr>
                <w:bCs/>
                <w:color w:val="auto"/>
                <w:sz w:val="24"/>
              </w:rPr>
              <w:t>针对不同类别、形态、物理化学性质的危险废物，其容器和包装物应满足相应的防渗、防漏、防腐和强度等要求。</w:t>
            </w:r>
          </w:p>
          <w:p w14:paraId="4C7C13BD">
            <w:pPr>
              <w:spacing w:line="360" w:lineRule="auto"/>
              <w:ind w:firstLine="480" w:firstLineChars="200"/>
              <w:rPr>
                <w:bCs/>
                <w:color w:val="auto"/>
                <w:sz w:val="24"/>
              </w:rPr>
            </w:pPr>
            <w:r>
              <w:rPr>
                <w:rFonts w:hint="eastAsia" w:ascii="宋体" w:hAnsi="宋体" w:cs="宋体"/>
                <w:bCs/>
                <w:color w:val="auto"/>
                <w:sz w:val="24"/>
              </w:rPr>
              <w:t>③</w:t>
            </w:r>
            <w:r>
              <w:rPr>
                <w:bCs/>
                <w:color w:val="auto"/>
                <w:sz w:val="24"/>
              </w:rPr>
              <w:t>硬质容器和包装物及其支护结构堆叠码放时不应有明显变形，无破损泄漏。</w:t>
            </w:r>
          </w:p>
          <w:p w14:paraId="27C977D3">
            <w:pPr>
              <w:spacing w:line="360" w:lineRule="auto"/>
              <w:ind w:firstLine="480" w:firstLineChars="200"/>
              <w:rPr>
                <w:bCs/>
                <w:color w:val="auto"/>
                <w:sz w:val="24"/>
              </w:rPr>
            </w:pPr>
            <w:r>
              <w:rPr>
                <w:rFonts w:hint="eastAsia"/>
                <w:bCs/>
                <w:color w:val="auto"/>
                <w:sz w:val="24"/>
              </w:rPr>
              <w:t>④</w:t>
            </w:r>
            <w:r>
              <w:rPr>
                <w:bCs/>
                <w:color w:val="auto"/>
                <w:sz w:val="24"/>
              </w:rPr>
              <w:t>柔性容器和包装物堆叠码放时应封口严密，无破损泄漏。</w:t>
            </w:r>
          </w:p>
          <w:p w14:paraId="26297CD6">
            <w:pPr>
              <w:spacing w:line="360" w:lineRule="auto"/>
              <w:ind w:firstLine="480" w:firstLineChars="200"/>
              <w:rPr>
                <w:bCs/>
                <w:color w:val="auto"/>
                <w:sz w:val="24"/>
              </w:rPr>
            </w:pPr>
            <w:r>
              <w:rPr>
                <w:rFonts w:hint="eastAsia"/>
                <w:bCs/>
                <w:color w:val="auto"/>
                <w:sz w:val="24"/>
              </w:rPr>
              <w:t>⑤</w:t>
            </w:r>
            <w:r>
              <w:rPr>
                <w:bCs/>
                <w:color w:val="auto"/>
                <w:sz w:val="24"/>
              </w:rPr>
              <w:t>使用容器盛装液态、半固态危险废物时，容器内部应留有适当的空间，以适应因温度变化等可能引发的收缩和膨胀，防止其导致容器渗漏或永久变形。</w:t>
            </w:r>
          </w:p>
          <w:p w14:paraId="3B6BDC01">
            <w:pPr>
              <w:spacing w:line="360" w:lineRule="auto"/>
              <w:ind w:firstLine="480" w:firstLineChars="200"/>
              <w:rPr>
                <w:bCs/>
                <w:color w:val="auto"/>
                <w:sz w:val="24"/>
              </w:rPr>
            </w:pPr>
            <w:r>
              <w:rPr>
                <w:rFonts w:hint="eastAsia"/>
                <w:bCs/>
                <w:color w:val="auto"/>
                <w:sz w:val="24"/>
              </w:rPr>
              <w:t>⑥</w:t>
            </w:r>
            <w:r>
              <w:rPr>
                <w:bCs/>
                <w:color w:val="auto"/>
                <w:sz w:val="24"/>
              </w:rPr>
              <w:t>容器和包装物外表面应保持清洁。</w:t>
            </w:r>
          </w:p>
          <w:p w14:paraId="6D57DEF1">
            <w:pPr>
              <w:spacing w:line="360" w:lineRule="auto"/>
              <w:ind w:firstLine="480" w:firstLineChars="200"/>
              <w:rPr>
                <w:bCs/>
                <w:color w:val="auto"/>
                <w:sz w:val="24"/>
              </w:rPr>
            </w:pPr>
            <w:r>
              <w:rPr>
                <w:rFonts w:hint="eastAsia"/>
                <w:bCs/>
                <w:color w:val="auto"/>
                <w:sz w:val="24"/>
              </w:rPr>
              <w:t>4</w:t>
            </w:r>
            <w:r>
              <w:rPr>
                <w:bCs/>
                <w:color w:val="auto"/>
                <w:sz w:val="24"/>
              </w:rPr>
              <w:t>）贮存设施运行环境管理要求</w:t>
            </w:r>
          </w:p>
          <w:p w14:paraId="297B7975">
            <w:pPr>
              <w:spacing w:line="360" w:lineRule="auto"/>
              <w:ind w:firstLine="480" w:firstLineChars="200"/>
              <w:rPr>
                <w:bCs/>
                <w:color w:val="auto"/>
                <w:sz w:val="24"/>
              </w:rPr>
            </w:pPr>
            <w:r>
              <w:rPr>
                <w:rFonts w:hint="eastAsia" w:ascii="宋体" w:hAnsi="宋体" w:cs="宋体"/>
                <w:bCs/>
                <w:color w:val="auto"/>
                <w:sz w:val="24"/>
              </w:rPr>
              <w:t>①</w:t>
            </w:r>
            <w:r>
              <w:rPr>
                <w:bCs/>
                <w:color w:val="auto"/>
                <w:sz w:val="24"/>
              </w:rPr>
              <w:t>危险废物存入贮存设施前应对危险废物类别和特性与危险废物标签等危险废物识别标志的一致性进行核验，不一致的或类别、特性不明的不应存入。</w:t>
            </w:r>
          </w:p>
          <w:p w14:paraId="64238952">
            <w:pPr>
              <w:spacing w:line="360" w:lineRule="auto"/>
              <w:ind w:firstLine="480" w:firstLineChars="200"/>
              <w:rPr>
                <w:bCs/>
                <w:color w:val="auto"/>
                <w:sz w:val="24"/>
              </w:rPr>
            </w:pPr>
            <w:r>
              <w:rPr>
                <w:rFonts w:hint="eastAsia" w:ascii="宋体" w:hAnsi="宋体" w:cs="宋体"/>
                <w:bCs/>
                <w:color w:val="auto"/>
                <w:sz w:val="24"/>
              </w:rPr>
              <w:t>②</w:t>
            </w:r>
            <w:r>
              <w:rPr>
                <w:bCs/>
                <w:color w:val="auto"/>
                <w:sz w:val="24"/>
              </w:rPr>
              <w:t>应定期检查危险废物的贮存状况，及时清理贮存设施地面，更换破损泄漏的危险废物贮存容器和包装物，保证堆存危险废物的防雨、防风、防扬尘等设施功能完好。</w:t>
            </w:r>
          </w:p>
          <w:p w14:paraId="2A945840">
            <w:pPr>
              <w:spacing w:line="360" w:lineRule="auto"/>
              <w:ind w:firstLine="480" w:firstLineChars="200"/>
              <w:rPr>
                <w:bCs/>
                <w:color w:val="auto"/>
                <w:sz w:val="24"/>
              </w:rPr>
            </w:pPr>
            <w:r>
              <w:rPr>
                <w:rFonts w:hint="eastAsia" w:ascii="宋体" w:hAnsi="宋体" w:cs="宋体"/>
                <w:bCs/>
                <w:color w:val="auto"/>
                <w:sz w:val="24"/>
              </w:rPr>
              <w:t>③</w:t>
            </w:r>
            <w:r>
              <w:rPr>
                <w:bCs/>
                <w:color w:val="auto"/>
                <w:sz w:val="24"/>
              </w:rPr>
              <w:t>作业设备及车辆等结束作业离开贮存设施时，应对其残留的危险废物进行清理，清理的废物或清洗废水应收集处理。</w:t>
            </w:r>
          </w:p>
          <w:p w14:paraId="125C3EB1">
            <w:pPr>
              <w:spacing w:line="360" w:lineRule="auto"/>
              <w:ind w:firstLine="480" w:firstLineChars="200"/>
              <w:rPr>
                <w:bCs/>
                <w:color w:val="auto"/>
                <w:sz w:val="24"/>
              </w:rPr>
            </w:pPr>
            <w:r>
              <w:rPr>
                <w:rFonts w:hint="eastAsia"/>
                <w:bCs/>
                <w:color w:val="auto"/>
                <w:sz w:val="24"/>
              </w:rPr>
              <w:t>④</w:t>
            </w:r>
            <w:r>
              <w:rPr>
                <w:bCs/>
                <w:color w:val="auto"/>
                <w:sz w:val="24"/>
              </w:rPr>
              <w:t>贮存设施运行期间，应按国家有关标准和规定建立危险废物管理台账并保存。</w:t>
            </w:r>
          </w:p>
          <w:p w14:paraId="121A149A">
            <w:pPr>
              <w:spacing w:line="360" w:lineRule="auto"/>
              <w:ind w:firstLine="480" w:firstLineChars="200"/>
              <w:rPr>
                <w:bCs/>
                <w:color w:val="auto"/>
                <w:sz w:val="24"/>
              </w:rPr>
            </w:pPr>
            <w:r>
              <w:rPr>
                <w:rFonts w:hint="eastAsia"/>
                <w:bCs/>
                <w:color w:val="auto"/>
                <w:sz w:val="24"/>
              </w:rPr>
              <w:t>⑤</w:t>
            </w:r>
            <w:r>
              <w:rPr>
                <w:bCs/>
                <w:color w:val="auto"/>
                <w:sz w:val="24"/>
              </w:rPr>
              <w:t>贮存设施所有者或运营者应建立贮存设施环境管理制度、管理人员岗位职责制度、设施运行操作制度、人员岗位培训制度等。</w:t>
            </w:r>
          </w:p>
          <w:p w14:paraId="6727955B">
            <w:pPr>
              <w:spacing w:line="360" w:lineRule="auto"/>
              <w:ind w:firstLine="480" w:firstLineChars="200"/>
              <w:rPr>
                <w:bCs/>
                <w:color w:val="auto"/>
                <w:sz w:val="24"/>
              </w:rPr>
            </w:pPr>
            <w:r>
              <w:rPr>
                <w:rFonts w:hint="eastAsia"/>
                <w:bCs/>
                <w:color w:val="auto"/>
                <w:sz w:val="24"/>
              </w:rPr>
              <w:t>⑥</w:t>
            </w:r>
            <w:r>
              <w:rPr>
                <w:bCs/>
                <w:color w:val="auto"/>
                <w:sz w:val="24"/>
              </w:rPr>
              <w:t>贮存设施所有者或运营者应依据国家土壤和地下水污染防治的有关规定，结合贮存设施特点建立土壤和地下水污染隐患排查制度，并定期开展隐患排查；发现隐患应及时采取措施消除隐患，并建立档案。</w:t>
            </w:r>
          </w:p>
          <w:p w14:paraId="06C9615E">
            <w:pPr>
              <w:spacing w:line="360" w:lineRule="auto"/>
              <w:ind w:firstLine="480" w:firstLineChars="200"/>
              <w:rPr>
                <w:bCs/>
                <w:color w:val="auto"/>
                <w:sz w:val="24"/>
              </w:rPr>
            </w:pPr>
            <w:r>
              <w:rPr>
                <w:rFonts w:hint="eastAsia"/>
                <w:bCs/>
                <w:color w:val="auto"/>
                <w:sz w:val="24"/>
              </w:rPr>
              <w:t>⑦</w:t>
            </w:r>
            <w:r>
              <w:rPr>
                <w:bCs/>
                <w:color w:val="auto"/>
                <w:sz w:val="24"/>
              </w:rPr>
              <w:t>贮存设施所有者或运营者应建立贮存设施全部档案，包括设计、施工、验收、运行、监测和环境应急等，应按国家有关档案管理的法律法规进行整理和归档。</w:t>
            </w:r>
          </w:p>
          <w:p w14:paraId="23D008CA">
            <w:pPr>
              <w:spacing w:line="360" w:lineRule="auto"/>
              <w:ind w:firstLine="480" w:firstLineChars="200"/>
              <w:rPr>
                <w:bCs/>
                <w:color w:val="auto"/>
                <w:sz w:val="24"/>
              </w:rPr>
            </w:pPr>
            <w:r>
              <w:rPr>
                <w:rFonts w:hint="eastAsia"/>
                <w:bCs/>
                <w:color w:val="auto"/>
                <w:sz w:val="24"/>
              </w:rPr>
              <w:t>5</w:t>
            </w:r>
            <w:r>
              <w:rPr>
                <w:bCs/>
                <w:color w:val="auto"/>
                <w:sz w:val="24"/>
              </w:rPr>
              <w:t>）贮存点环境管理要求</w:t>
            </w:r>
          </w:p>
          <w:p w14:paraId="3666EFBC">
            <w:pPr>
              <w:spacing w:line="360" w:lineRule="auto"/>
              <w:ind w:firstLine="480" w:firstLineChars="200"/>
              <w:rPr>
                <w:bCs/>
                <w:color w:val="auto"/>
                <w:sz w:val="24"/>
              </w:rPr>
            </w:pPr>
            <w:r>
              <w:rPr>
                <w:rFonts w:hint="eastAsia" w:ascii="宋体" w:hAnsi="宋体" w:cs="宋体"/>
                <w:bCs/>
                <w:color w:val="auto"/>
                <w:sz w:val="24"/>
              </w:rPr>
              <w:t>①</w:t>
            </w:r>
            <w:r>
              <w:rPr>
                <w:bCs/>
                <w:color w:val="auto"/>
                <w:sz w:val="24"/>
              </w:rPr>
              <w:t>贮存点应具有固定的区域边界，并应采取与其他区域进行隔离的措施。</w:t>
            </w:r>
          </w:p>
          <w:p w14:paraId="56CC4A56">
            <w:pPr>
              <w:spacing w:line="360" w:lineRule="auto"/>
              <w:ind w:firstLine="480" w:firstLineChars="200"/>
              <w:rPr>
                <w:bCs/>
                <w:color w:val="auto"/>
                <w:sz w:val="24"/>
              </w:rPr>
            </w:pPr>
            <w:r>
              <w:rPr>
                <w:rFonts w:hint="eastAsia" w:ascii="宋体" w:hAnsi="宋体" w:cs="宋体"/>
                <w:bCs/>
                <w:color w:val="auto"/>
                <w:sz w:val="24"/>
              </w:rPr>
              <w:t>②</w:t>
            </w:r>
            <w:r>
              <w:rPr>
                <w:bCs/>
                <w:color w:val="auto"/>
                <w:sz w:val="24"/>
              </w:rPr>
              <w:t>贮存点应采取防风、防雨、防晒和防止危险废物流失、扬散等措施。</w:t>
            </w:r>
          </w:p>
          <w:p w14:paraId="31EAB735">
            <w:pPr>
              <w:spacing w:line="360" w:lineRule="auto"/>
              <w:ind w:firstLine="480" w:firstLineChars="200"/>
              <w:rPr>
                <w:bCs/>
                <w:color w:val="auto"/>
                <w:sz w:val="24"/>
              </w:rPr>
            </w:pPr>
            <w:r>
              <w:rPr>
                <w:rFonts w:hint="eastAsia" w:ascii="宋体" w:hAnsi="宋体" w:cs="宋体"/>
                <w:bCs/>
                <w:color w:val="auto"/>
                <w:sz w:val="24"/>
              </w:rPr>
              <w:t>③</w:t>
            </w:r>
            <w:r>
              <w:rPr>
                <w:bCs/>
                <w:color w:val="auto"/>
                <w:sz w:val="24"/>
              </w:rPr>
              <w:t>贮存点贮存的危险废物应置于容器或包装物中，不应直接散堆。</w:t>
            </w:r>
          </w:p>
          <w:p w14:paraId="5A2C7A4D">
            <w:pPr>
              <w:spacing w:line="360" w:lineRule="auto"/>
              <w:ind w:firstLine="480" w:firstLineChars="200"/>
              <w:rPr>
                <w:bCs/>
                <w:color w:val="auto"/>
                <w:sz w:val="24"/>
              </w:rPr>
            </w:pPr>
            <w:r>
              <w:rPr>
                <w:rFonts w:hint="eastAsia" w:ascii="宋体" w:hAnsi="宋体" w:cs="宋体"/>
                <w:bCs/>
                <w:color w:val="auto"/>
                <w:sz w:val="24"/>
              </w:rPr>
              <w:t>④</w:t>
            </w:r>
            <w:r>
              <w:rPr>
                <w:bCs/>
                <w:color w:val="auto"/>
                <w:sz w:val="24"/>
              </w:rPr>
              <w:t>贮存点应根据危险废物的形态、物理化学性质、包装形式等，采取防渗、防漏等污染防治措施或采用具有相应功能的装置。</w:t>
            </w:r>
          </w:p>
          <w:p w14:paraId="7DAA858C">
            <w:pPr>
              <w:spacing w:line="360" w:lineRule="auto"/>
              <w:ind w:firstLine="480" w:firstLineChars="200"/>
              <w:rPr>
                <w:bCs/>
                <w:color w:val="auto"/>
                <w:sz w:val="24"/>
              </w:rPr>
            </w:pPr>
            <w:r>
              <w:rPr>
                <w:rFonts w:hint="eastAsia" w:ascii="宋体" w:hAnsi="宋体" w:cs="宋体"/>
                <w:bCs/>
                <w:color w:val="auto"/>
                <w:sz w:val="24"/>
              </w:rPr>
              <w:t>⑤</w:t>
            </w:r>
            <w:r>
              <w:rPr>
                <w:bCs/>
                <w:color w:val="auto"/>
                <w:sz w:val="24"/>
              </w:rPr>
              <w:t>贮存点应及时清运贮存的危险废物，实时贮存量不应超过3吨。</w:t>
            </w:r>
          </w:p>
          <w:p w14:paraId="5A3D97AE">
            <w:pPr>
              <w:spacing w:line="360" w:lineRule="auto"/>
              <w:ind w:firstLine="480" w:firstLineChars="200"/>
              <w:rPr>
                <w:bCs/>
                <w:color w:val="auto"/>
                <w:sz w:val="24"/>
              </w:rPr>
            </w:pPr>
            <w:r>
              <w:rPr>
                <w:rFonts w:hint="eastAsia"/>
                <w:color w:val="auto"/>
                <w:sz w:val="24"/>
              </w:rPr>
              <w:t>根据项目危险废物处置要求，项目依托</w:t>
            </w:r>
            <w:r>
              <w:rPr>
                <w:rFonts w:hint="eastAsia"/>
                <w:color w:val="auto"/>
                <w:sz w:val="24"/>
                <w:lang w:eastAsia="zh-CN"/>
              </w:rPr>
              <w:t>云南常青树化工有限公司</w:t>
            </w:r>
            <w:r>
              <w:rPr>
                <w:rFonts w:hint="eastAsia"/>
                <w:color w:val="auto"/>
                <w:sz w:val="24"/>
              </w:rPr>
              <w:t>危废暂存间。产生的机修废油暂存于</w:t>
            </w:r>
            <w:r>
              <w:rPr>
                <w:rFonts w:hint="eastAsia"/>
                <w:color w:val="auto"/>
                <w:sz w:val="24"/>
                <w:lang w:eastAsia="zh-CN"/>
              </w:rPr>
              <w:t>云南常青树化工有限公司</w:t>
            </w:r>
            <w:r>
              <w:rPr>
                <w:rFonts w:hint="eastAsia"/>
                <w:color w:val="auto"/>
                <w:sz w:val="24"/>
              </w:rPr>
              <w:t>危废暂存间内，分类贮存，收集后同</w:t>
            </w:r>
            <w:r>
              <w:rPr>
                <w:rFonts w:hint="eastAsia"/>
                <w:color w:val="auto"/>
                <w:sz w:val="24"/>
                <w:lang w:eastAsia="zh-CN"/>
              </w:rPr>
              <w:t>云南常青树化工有限公司</w:t>
            </w:r>
            <w:r>
              <w:rPr>
                <w:rFonts w:hint="eastAsia"/>
                <w:color w:val="auto"/>
                <w:sz w:val="24"/>
              </w:rPr>
              <w:t>其他项目产生的机修废油一同定期交由</w:t>
            </w:r>
            <w:r>
              <w:rPr>
                <w:rFonts w:hint="eastAsia" w:hAnsi="宋体"/>
                <w:color w:val="auto"/>
                <w:sz w:val="24"/>
              </w:rPr>
              <w:t>委托</w:t>
            </w:r>
            <w:r>
              <w:rPr>
                <w:rFonts w:hint="eastAsia" w:hAnsi="宋体"/>
                <w:color w:val="auto"/>
                <w:sz w:val="24"/>
                <w:lang w:eastAsia="zh-CN"/>
              </w:rPr>
              <w:t>云南协快再生资源回收有限公司</w:t>
            </w:r>
            <w:r>
              <w:rPr>
                <w:rFonts w:hint="eastAsia" w:hAnsi="宋体"/>
                <w:color w:val="auto"/>
                <w:sz w:val="24"/>
              </w:rPr>
              <w:t>处理</w:t>
            </w:r>
            <w:r>
              <w:rPr>
                <w:rFonts w:hint="eastAsia"/>
                <w:color w:val="auto"/>
                <w:sz w:val="24"/>
              </w:rPr>
              <w:t>。</w:t>
            </w:r>
            <w:r>
              <w:rPr>
                <w:rFonts w:hint="eastAsia"/>
                <w:color w:val="auto"/>
                <w:sz w:val="24"/>
                <w:lang w:eastAsia="zh-CN"/>
              </w:rPr>
              <w:t>云南常青树化工有限公司</w:t>
            </w:r>
            <w:r>
              <w:rPr>
                <w:color w:val="auto"/>
                <w:sz w:val="24"/>
              </w:rPr>
              <w:t>危废暂存间、容器和包装物HJ 1276要求设置危险废物贮存设施或场所标志、危险废物贮存分区标志和危险废物标签等危险废物识别标志。</w:t>
            </w:r>
            <w:r>
              <w:rPr>
                <w:rFonts w:hint="eastAsia"/>
                <w:color w:val="auto"/>
                <w:sz w:val="24"/>
              </w:rPr>
              <w:t>此外，</w:t>
            </w:r>
            <w:r>
              <w:rPr>
                <w:rFonts w:hint="eastAsia" w:hAnsi="宋体"/>
                <w:bCs/>
                <w:color w:val="auto"/>
                <w:sz w:val="24"/>
              </w:rPr>
              <w:t>本项目产生的液体危废均贮存于密闭容器内，容器顶部和液体废物表面之间保留100mm以上的空间，置于防渗托盘上。因此，贮存过程中对环境空气、地表水、地下</w:t>
            </w:r>
            <w:r>
              <w:rPr>
                <w:bCs/>
                <w:color w:val="auto"/>
                <w:sz w:val="24"/>
              </w:rPr>
              <w:t>水、土壤等环境基本无影响。</w:t>
            </w:r>
          </w:p>
          <w:p w14:paraId="5CD71CFC">
            <w:pPr>
              <w:pStyle w:val="41"/>
              <w:spacing w:before="0" w:beforeAutospacing="0" w:after="0" w:afterAutospacing="0" w:line="360" w:lineRule="auto"/>
              <w:ind w:firstLine="540"/>
              <w:textAlignment w:val="baseline"/>
              <w:rPr>
                <w:rFonts w:ascii="Times New Roman" w:hAnsi="Times New Roman"/>
                <w:bCs/>
                <w:color w:val="auto"/>
              </w:rPr>
            </w:pPr>
            <w:r>
              <w:rPr>
                <w:rFonts w:ascii="Times New Roman" w:hAnsi="Times New Roman"/>
                <w:bCs/>
                <w:color w:val="auto"/>
              </w:rPr>
              <w:t>综上所述，本项目在日常运营中，应制定固废管理计划，将固废产生、贮存、利用、处置等情况纳入生产记录，建立固废管理台账和企业内部产生和收集贮存部门危险废物交接制度。加强对危险废物包装、贮存的管理，严格执行危险废物转移联单制度，禁止将危险废物提供或委托给无危险废物经营许可证的单位从事收集、贮存、利用、处置等经营活动。</w:t>
            </w:r>
          </w:p>
          <w:p w14:paraId="566BC101">
            <w:pPr>
              <w:pStyle w:val="41"/>
              <w:spacing w:before="0" w:beforeAutospacing="0" w:after="0" w:afterAutospacing="0" w:line="360" w:lineRule="auto"/>
              <w:ind w:firstLine="540"/>
              <w:textAlignment w:val="baseline"/>
              <w:rPr>
                <w:rFonts w:ascii="Times New Roman" w:hAnsi="Times New Roman"/>
                <w:color w:val="auto"/>
                <w:szCs w:val="24"/>
              </w:rPr>
            </w:pPr>
            <w:r>
              <w:rPr>
                <w:rFonts w:hint="eastAsia" w:ascii="Times New Roman" w:hAnsi="Times New Roman"/>
                <w:color w:val="auto"/>
                <w:kern w:val="2"/>
                <w:szCs w:val="24"/>
                <w:lang w:val="en-US" w:eastAsia="zh-CN"/>
              </w:rPr>
              <w:t>项目现有球状水泥缓凝剂库房和原料库</w:t>
            </w:r>
            <w:r>
              <w:rPr>
                <w:rFonts w:ascii="Times New Roman" w:hAnsi="Times New Roman"/>
                <w:color w:val="auto"/>
                <w:kern w:val="2"/>
                <w:szCs w:val="24"/>
              </w:rPr>
              <w:t>已通过验收，扩建项目</w:t>
            </w:r>
            <w:r>
              <w:rPr>
                <w:rFonts w:hint="eastAsia" w:ascii="Times New Roman" w:hAnsi="Times New Roman"/>
                <w:color w:val="auto"/>
                <w:kern w:val="2"/>
                <w:szCs w:val="24"/>
                <w:lang w:val="en-US" w:eastAsia="zh-CN"/>
              </w:rPr>
              <w:t>新增的</w:t>
            </w:r>
            <w:r>
              <w:rPr>
                <w:rFonts w:ascii="Times New Roman" w:hAnsi="Times New Roman"/>
                <w:color w:val="auto"/>
                <w:kern w:val="2"/>
                <w:szCs w:val="24"/>
              </w:rPr>
              <w:t>三个</w:t>
            </w:r>
            <w:r>
              <w:rPr>
                <w:rFonts w:hint="eastAsia" w:ascii="Times New Roman" w:hAnsi="Times New Roman"/>
                <w:color w:val="auto"/>
                <w:kern w:val="2"/>
                <w:szCs w:val="24"/>
                <w:lang w:val="en-US" w:eastAsia="zh-CN"/>
              </w:rPr>
              <w:t>熟化及成品堆场主要堆放混合后的生态修复材料、路基材料、土壤改良剂</w:t>
            </w:r>
            <w:r>
              <w:rPr>
                <w:rFonts w:ascii="Times New Roman" w:hAnsi="Times New Roman"/>
                <w:color w:val="auto"/>
                <w:kern w:val="2"/>
                <w:szCs w:val="24"/>
              </w:rPr>
              <w:t>，</w:t>
            </w:r>
            <w:r>
              <w:rPr>
                <w:rFonts w:hint="eastAsia" w:ascii="Times New Roman" w:hAnsi="Times New Roman"/>
                <w:color w:val="auto"/>
                <w:kern w:val="2"/>
                <w:szCs w:val="24"/>
                <w:lang w:val="en-US" w:eastAsia="zh-CN"/>
              </w:rPr>
              <w:t>未完全熟化之前</w:t>
            </w:r>
            <w:r>
              <w:rPr>
                <w:rFonts w:ascii="Times New Roman" w:hAnsi="Times New Roman"/>
                <w:color w:val="auto"/>
                <w:kern w:val="2"/>
                <w:szCs w:val="24"/>
              </w:rPr>
              <w:t>为II类固废，</w:t>
            </w:r>
            <w:r>
              <w:rPr>
                <w:rFonts w:ascii="Times New Roman" w:hAnsi="Times New Roman"/>
                <w:color w:val="auto"/>
                <w:szCs w:val="24"/>
              </w:rPr>
              <w:t>根据</w:t>
            </w:r>
            <w:r>
              <w:rPr>
                <w:rFonts w:ascii="Times New Roman" w:hAnsi="Times New Roman"/>
                <w:color w:val="auto"/>
                <w:kern w:val="2"/>
                <w:szCs w:val="24"/>
              </w:rPr>
              <w:t>《一般工业固体废物贮存和填埋污染控制标准》（GB 18599-2020），本次环评将对</w:t>
            </w:r>
            <w:r>
              <w:rPr>
                <w:rFonts w:hint="eastAsia" w:ascii="Times New Roman" w:hAnsi="Times New Roman"/>
                <w:color w:val="auto"/>
                <w:kern w:val="2"/>
                <w:szCs w:val="24"/>
                <w:lang w:val="en-US" w:eastAsia="zh-CN"/>
              </w:rPr>
              <w:t>熟化及成品堆场</w:t>
            </w:r>
            <w:r>
              <w:rPr>
                <w:rFonts w:ascii="Times New Roman" w:hAnsi="Times New Roman"/>
                <w:color w:val="auto"/>
                <w:kern w:val="2"/>
                <w:szCs w:val="24"/>
              </w:rPr>
              <w:t>提出如下</w:t>
            </w:r>
            <w:r>
              <w:rPr>
                <w:rFonts w:ascii="Times New Roman" w:hAnsi="Times New Roman"/>
                <w:color w:val="auto"/>
                <w:szCs w:val="24"/>
              </w:rPr>
              <w:t>环保管理要求：</w:t>
            </w:r>
          </w:p>
          <w:p w14:paraId="4A529160">
            <w:pPr>
              <w:pStyle w:val="41"/>
              <w:spacing w:before="0" w:beforeAutospacing="0" w:after="0" w:afterAutospacing="0" w:line="360" w:lineRule="auto"/>
              <w:ind w:firstLine="540"/>
              <w:textAlignment w:val="baseline"/>
              <w:rPr>
                <w:rFonts w:ascii="Times New Roman" w:hAnsi="Times New Roman"/>
                <w:color w:val="auto"/>
                <w:szCs w:val="24"/>
              </w:rPr>
            </w:pPr>
            <w:r>
              <w:rPr>
                <w:rFonts w:ascii="Times New Roman" w:hAnsi="Times New Roman"/>
                <w:color w:val="auto"/>
                <w:szCs w:val="24"/>
              </w:rPr>
              <w:t>（1）危险废物和生活垃圾不得进入</w:t>
            </w:r>
            <w:r>
              <w:rPr>
                <w:rFonts w:hint="eastAsia" w:ascii="Times New Roman" w:hAnsi="Times New Roman"/>
                <w:color w:val="auto"/>
                <w:kern w:val="2"/>
                <w:szCs w:val="24"/>
                <w:lang w:val="en-US" w:eastAsia="zh-CN"/>
              </w:rPr>
              <w:t>熟化及成品堆场</w:t>
            </w:r>
            <w:r>
              <w:rPr>
                <w:rFonts w:ascii="Times New Roman" w:hAnsi="Times New Roman"/>
                <w:color w:val="auto"/>
                <w:szCs w:val="24"/>
              </w:rPr>
              <w:t>。</w:t>
            </w:r>
          </w:p>
          <w:p w14:paraId="02C93C59">
            <w:pPr>
              <w:spacing w:line="360" w:lineRule="auto"/>
              <w:ind w:firstLine="480" w:firstLineChars="200"/>
              <w:rPr>
                <w:color w:val="auto"/>
                <w:sz w:val="24"/>
              </w:rPr>
            </w:pPr>
            <w:r>
              <w:rPr>
                <w:color w:val="auto"/>
                <w:sz w:val="24"/>
              </w:rPr>
              <w:t>（2）</w:t>
            </w:r>
            <w:r>
              <w:rPr>
                <w:rFonts w:hint="eastAsia" w:ascii="Times New Roman" w:hAnsi="Times New Roman" w:eastAsia="宋体" w:cs="Times New Roman"/>
                <w:color w:val="auto"/>
                <w:sz w:val="24"/>
                <w:lang w:val="en-US" w:eastAsia="zh-CN"/>
              </w:rPr>
              <w:t>熟化及成品堆场</w:t>
            </w:r>
            <w:r>
              <w:rPr>
                <w:rFonts w:ascii="Times New Roman" w:hAnsi="Times New Roman" w:eastAsia="宋体" w:cs="Times New Roman"/>
                <w:color w:val="auto"/>
                <w:sz w:val="24"/>
              </w:rPr>
              <w:t>应制</w:t>
            </w:r>
            <w:r>
              <w:rPr>
                <w:color w:val="auto"/>
                <w:sz w:val="24"/>
              </w:rPr>
              <w:t>定运行计划，运行管理人员应定期参加企业的岗位培训。</w:t>
            </w:r>
          </w:p>
          <w:p w14:paraId="196B2366">
            <w:pPr>
              <w:spacing w:line="360" w:lineRule="auto"/>
              <w:ind w:firstLine="480" w:firstLineChars="200"/>
              <w:rPr>
                <w:color w:val="auto"/>
                <w:sz w:val="24"/>
              </w:rPr>
            </w:pPr>
            <w:r>
              <w:rPr>
                <w:color w:val="auto"/>
                <w:sz w:val="24"/>
              </w:rPr>
              <w:t>（3）</w:t>
            </w:r>
            <w:r>
              <w:rPr>
                <w:rFonts w:hint="eastAsia" w:ascii="Times New Roman" w:hAnsi="Times New Roman" w:eastAsia="宋体" w:cs="Times New Roman"/>
                <w:color w:val="auto"/>
                <w:sz w:val="24"/>
                <w:lang w:val="en-US" w:eastAsia="zh-CN"/>
              </w:rPr>
              <w:t>熟化及成品堆场</w:t>
            </w:r>
            <w:r>
              <w:rPr>
                <w:color w:val="auto"/>
                <w:sz w:val="24"/>
              </w:rPr>
              <w:t>运行企业应建立档案管理制度，并按照国家档案管理等法律法规进行整理与归档，永久保存。档案资料主要包括但不限于以下内容：</w:t>
            </w:r>
          </w:p>
          <w:p w14:paraId="42A460B0">
            <w:pPr>
              <w:spacing w:line="360" w:lineRule="auto"/>
              <w:ind w:firstLine="480" w:firstLineChars="200"/>
              <w:rPr>
                <w:color w:val="auto"/>
                <w:sz w:val="24"/>
              </w:rPr>
            </w:pPr>
            <w:r>
              <w:rPr>
                <w:color w:val="auto"/>
                <w:sz w:val="24"/>
              </w:rPr>
              <w:t>a）场址选择、勘察、征地、设计、施工、环评、验收资料；</w:t>
            </w:r>
          </w:p>
          <w:p w14:paraId="4E12D085">
            <w:pPr>
              <w:spacing w:line="360" w:lineRule="auto"/>
              <w:ind w:firstLine="480" w:firstLineChars="200"/>
              <w:rPr>
                <w:color w:val="auto"/>
                <w:sz w:val="24"/>
              </w:rPr>
            </w:pPr>
            <w:r>
              <w:rPr>
                <w:color w:val="auto"/>
                <w:sz w:val="24"/>
              </w:rPr>
              <w:t>b）废物的来源、种类、污染特性、数量、贮存或填埋位置等资料；</w:t>
            </w:r>
          </w:p>
          <w:p w14:paraId="7835E3D4">
            <w:pPr>
              <w:widowControl/>
              <w:spacing w:line="360" w:lineRule="auto"/>
              <w:ind w:firstLine="540"/>
              <w:jc w:val="left"/>
              <w:textAlignment w:val="baseline"/>
              <w:rPr>
                <w:rFonts w:hint="eastAsia" w:eastAsia="宋体"/>
                <w:color w:val="auto"/>
                <w:sz w:val="24"/>
                <w:lang w:eastAsia="zh-CN"/>
              </w:rPr>
            </w:pPr>
            <w:r>
              <w:rPr>
                <w:color w:val="auto"/>
                <w:sz w:val="24"/>
              </w:rPr>
              <w:t>c）各种污染防治设施的检查维护资料</w:t>
            </w:r>
            <w:r>
              <w:rPr>
                <w:rFonts w:hint="eastAsia"/>
                <w:color w:val="auto"/>
                <w:sz w:val="24"/>
                <w:lang w:eastAsia="zh-CN"/>
              </w:rPr>
              <w:t>。</w:t>
            </w:r>
          </w:p>
          <w:p w14:paraId="65113C89">
            <w:pPr>
              <w:spacing w:line="360" w:lineRule="auto"/>
              <w:ind w:firstLine="480" w:firstLineChars="200"/>
              <w:rPr>
                <w:color w:val="auto"/>
                <w:sz w:val="24"/>
              </w:rPr>
            </w:pPr>
            <w:r>
              <w:rPr>
                <w:color w:val="auto"/>
                <w:sz w:val="24"/>
              </w:rPr>
              <w:t>d）环境监测及应急处置资料。</w:t>
            </w:r>
          </w:p>
          <w:p w14:paraId="2FD5B13D">
            <w:pPr>
              <w:spacing w:line="360" w:lineRule="auto"/>
              <w:ind w:firstLine="480" w:firstLineChars="200"/>
              <w:rPr>
                <w:color w:val="auto"/>
                <w:sz w:val="24"/>
              </w:rPr>
            </w:pPr>
            <w:r>
              <w:rPr>
                <w:color w:val="auto"/>
                <w:sz w:val="24"/>
              </w:rPr>
              <w:t>（5）</w:t>
            </w:r>
            <w:r>
              <w:rPr>
                <w:rFonts w:hint="eastAsia" w:ascii="Times New Roman" w:hAnsi="Times New Roman" w:eastAsia="宋体" w:cs="Times New Roman"/>
                <w:color w:val="auto"/>
                <w:sz w:val="24"/>
                <w:lang w:val="en-US" w:eastAsia="zh-CN"/>
              </w:rPr>
              <w:t>熟化及成品堆场</w:t>
            </w:r>
            <w:r>
              <w:rPr>
                <w:color w:val="auto"/>
                <w:sz w:val="24"/>
              </w:rPr>
              <w:t>的环境保护图形标志应符合GB 15562.2的规定，并应定期检查和维护。</w:t>
            </w:r>
          </w:p>
          <w:p w14:paraId="58D74323">
            <w:pPr>
              <w:spacing w:line="360" w:lineRule="auto"/>
              <w:ind w:firstLine="562" w:firstLineChars="200"/>
              <w:rPr>
                <w:b/>
                <w:bCs/>
                <w:color w:val="auto"/>
                <w:sz w:val="28"/>
                <w:szCs w:val="28"/>
              </w:rPr>
            </w:pPr>
            <w:r>
              <w:rPr>
                <w:b/>
                <w:bCs/>
                <w:color w:val="auto"/>
                <w:sz w:val="28"/>
                <w:szCs w:val="28"/>
              </w:rPr>
              <w:t>5</w:t>
            </w:r>
            <w:r>
              <w:rPr>
                <w:rFonts w:hint="eastAsia"/>
                <w:b/>
                <w:bCs/>
                <w:color w:val="auto"/>
                <w:sz w:val="28"/>
                <w:szCs w:val="28"/>
              </w:rPr>
              <w:t>、地下水、土壤影响和保护措施</w:t>
            </w:r>
          </w:p>
          <w:p w14:paraId="50AC89DA">
            <w:pPr>
              <w:spacing w:line="360" w:lineRule="auto"/>
              <w:ind w:firstLine="482" w:firstLineChars="200"/>
              <w:rPr>
                <w:b/>
                <w:bCs/>
                <w:color w:val="auto"/>
                <w:sz w:val="24"/>
              </w:rPr>
            </w:pPr>
            <w:r>
              <w:rPr>
                <w:rFonts w:hint="eastAsia"/>
                <w:b/>
                <w:bCs/>
                <w:color w:val="auto"/>
                <w:sz w:val="24"/>
              </w:rPr>
              <w:t>（1）地下水、土壤影响途径</w:t>
            </w:r>
          </w:p>
          <w:p w14:paraId="4A23E585">
            <w:pPr>
              <w:spacing w:line="360" w:lineRule="auto"/>
              <w:ind w:firstLine="480" w:firstLineChars="200"/>
              <w:rPr>
                <w:color w:val="auto"/>
                <w:sz w:val="24"/>
              </w:rPr>
            </w:pPr>
            <w:r>
              <w:rPr>
                <w:rFonts w:hint="eastAsia"/>
                <w:color w:val="auto"/>
                <w:sz w:val="24"/>
              </w:rPr>
              <w:t>根据《建设</w:t>
            </w:r>
            <w:r>
              <w:rPr>
                <w:rFonts w:hint="eastAsia" w:hAnsi="宋体"/>
                <w:bCs/>
                <w:color w:val="auto"/>
                <w:sz w:val="24"/>
              </w:rPr>
              <w:t>项目</w:t>
            </w:r>
            <w:r>
              <w:rPr>
                <w:rFonts w:hint="eastAsia"/>
                <w:color w:val="auto"/>
                <w:sz w:val="24"/>
              </w:rPr>
              <w:t>环境影响报告编制技术指南》（污染影响类）（试行），土壤和地下水不设置专项评价，</w:t>
            </w:r>
            <w:r>
              <w:rPr>
                <w:color w:val="auto"/>
                <w:sz w:val="24"/>
              </w:rPr>
              <w:t>本项目对</w:t>
            </w:r>
            <w:r>
              <w:rPr>
                <w:rFonts w:hint="eastAsia"/>
                <w:color w:val="auto"/>
                <w:sz w:val="24"/>
              </w:rPr>
              <w:t>周边土壤环境和地下水环境影响的类型与影响途径见表4-</w:t>
            </w:r>
            <w:r>
              <w:rPr>
                <w:rFonts w:hint="eastAsia"/>
                <w:color w:val="auto"/>
                <w:sz w:val="24"/>
                <w:lang w:val="en-US" w:eastAsia="zh-CN"/>
              </w:rPr>
              <w:t>12</w:t>
            </w:r>
            <w:r>
              <w:rPr>
                <w:rFonts w:hint="eastAsia"/>
                <w:color w:val="auto"/>
                <w:sz w:val="24"/>
              </w:rPr>
              <w:t>。</w:t>
            </w:r>
          </w:p>
          <w:p w14:paraId="5DFE59B3">
            <w:pPr>
              <w:tabs>
                <w:tab w:val="left" w:pos="540"/>
                <w:tab w:val="left" w:pos="851"/>
                <w:tab w:val="left" w:pos="994"/>
                <w:tab w:val="left" w:pos="1260"/>
                <w:tab w:val="left" w:pos="3108"/>
                <w:tab w:val="left" w:pos="3150"/>
              </w:tabs>
              <w:jc w:val="center"/>
              <w:rPr>
                <w:b/>
                <w:bCs/>
                <w:color w:val="auto"/>
                <w:sz w:val="24"/>
                <w:szCs w:val="32"/>
              </w:rPr>
            </w:pPr>
            <w:r>
              <w:rPr>
                <w:rFonts w:hint="eastAsia"/>
                <w:b/>
                <w:bCs/>
                <w:color w:val="auto"/>
                <w:sz w:val="24"/>
                <w:szCs w:val="32"/>
              </w:rPr>
              <w:t>表4-</w:t>
            </w:r>
            <w:r>
              <w:rPr>
                <w:rFonts w:hint="eastAsia"/>
                <w:b/>
                <w:bCs/>
                <w:color w:val="auto"/>
                <w:sz w:val="24"/>
                <w:szCs w:val="32"/>
                <w:lang w:val="en-US" w:eastAsia="zh-CN"/>
              </w:rPr>
              <w:t>12</w:t>
            </w:r>
            <w:r>
              <w:rPr>
                <w:rFonts w:hint="eastAsia"/>
                <w:b/>
                <w:bCs/>
                <w:color w:val="auto"/>
                <w:sz w:val="24"/>
                <w:szCs w:val="32"/>
              </w:rPr>
              <w:t xml:space="preserve">   项目土壤、地下水环境影响类型与影响途径识别表</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2"/>
              <w:gridCol w:w="1592"/>
              <w:gridCol w:w="1592"/>
              <w:gridCol w:w="1592"/>
              <w:gridCol w:w="1592"/>
            </w:tblGrid>
            <w:tr w14:paraId="6D20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592" w:type="dxa"/>
                  <w:vMerge w:val="restart"/>
                  <w:vAlign w:val="center"/>
                </w:tcPr>
                <w:p w14:paraId="09BBB7A2">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时段</w:t>
                  </w:r>
                </w:p>
              </w:tc>
              <w:tc>
                <w:tcPr>
                  <w:tcW w:w="6368" w:type="dxa"/>
                  <w:gridSpan w:val="4"/>
                  <w:vAlign w:val="center"/>
                </w:tcPr>
                <w:p w14:paraId="0B9BCCD2">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污染影响型</w:t>
                  </w:r>
                </w:p>
              </w:tc>
            </w:tr>
            <w:tr w14:paraId="4CBC8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592" w:type="dxa"/>
                  <w:vMerge w:val="continue"/>
                  <w:vAlign w:val="center"/>
                </w:tcPr>
                <w:p w14:paraId="4C23800E">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p>
              </w:tc>
              <w:tc>
                <w:tcPr>
                  <w:tcW w:w="1592" w:type="dxa"/>
                  <w:vAlign w:val="center"/>
                </w:tcPr>
                <w:p w14:paraId="499DCDC4">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大气沉降</w:t>
                  </w:r>
                </w:p>
              </w:tc>
              <w:tc>
                <w:tcPr>
                  <w:tcW w:w="1592" w:type="dxa"/>
                  <w:vAlign w:val="center"/>
                </w:tcPr>
                <w:p w14:paraId="572A2A58">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地面漫流</w:t>
                  </w:r>
                </w:p>
              </w:tc>
              <w:tc>
                <w:tcPr>
                  <w:tcW w:w="1592" w:type="dxa"/>
                  <w:vAlign w:val="center"/>
                </w:tcPr>
                <w:p w14:paraId="5CACFD5D">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垂直入渗</w:t>
                  </w:r>
                </w:p>
              </w:tc>
              <w:tc>
                <w:tcPr>
                  <w:tcW w:w="1592" w:type="dxa"/>
                  <w:vAlign w:val="center"/>
                </w:tcPr>
                <w:p w14:paraId="01AB5128">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其他</w:t>
                  </w:r>
                </w:p>
              </w:tc>
            </w:tr>
            <w:tr w14:paraId="658F7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592" w:type="dxa"/>
                  <w:vAlign w:val="center"/>
                </w:tcPr>
                <w:p w14:paraId="0FFA03BC">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运营期</w:t>
                  </w:r>
                </w:p>
              </w:tc>
              <w:tc>
                <w:tcPr>
                  <w:tcW w:w="1592" w:type="dxa"/>
                  <w:vAlign w:val="center"/>
                </w:tcPr>
                <w:p w14:paraId="7FE3530D">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w:t>
                  </w:r>
                </w:p>
              </w:tc>
              <w:tc>
                <w:tcPr>
                  <w:tcW w:w="1592" w:type="dxa"/>
                  <w:vAlign w:val="center"/>
                </w:tcPr>
                <w:p w14:paraId="64EE01FF">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w:t>
                  </w:r>
                </w:p>
              </w:tc>
              <w:tc>
                <w:tcPr>
                  <w:tcW w:w="1592" w:type="dxa"/>
                  <w:vAlign w:val="center"/>
                </w:tcPr>
                <w:p w14:paraId="472A2193">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w:t>
                  </w:r>
                </w:p>
              </w:tc>
              <w:tc>
                <w:tcPr>
                  <w:tcW w:w="1592" w:type="dxa"/>
                  <w:vAlign w:val="center"/>
                </w:tcPr>
                <w:p w14:paraId="35D238F5">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w:t>
                  </w:r>
                </w:p>
              </w:tc>
            </w:tr>
          </w:tbl>
          <w:p w14:paraId="38EF6428">
            <w:pPr>
              <w:spacing w:line="360" w:lineRule="auto"/>
              <w:ind w:firstLine="482" w:firstLineChars="200"/>
              <w:rPr>
                <w:b/>
                <w:bCs/>
                <w:color w:val="auto"/>
                <w:sz w:val="24"/>
              </w:rPr>
            </w:pPr>
            <w:r>
              <w:rPr>
                <w:rFonts w:hint="eastAsia"/>
                <w:b/>
                <w:bCs/>
                <w:color w:val="auto"/>
                <w:sz w:val="24"/>
              </w:rPr>
              <w:t>（2）地下水、土壤环境影响源及影响因子</w:t>
            </w:r>
          </w:p>
          <w:p w14:paraId="49485EEC">
            <w:pPr>
              <w:spacing w:line="360" w:lineRule="auto"/>
              <w:ind w:firstLine="480" w:firstLineChars="200"/>
              <w:rPr>
                <w:color w:val="auto"/>
                <w:sz w:val="24"/>
              </w:rPr>
            </w:pPr>
            <w:r>
              <w:rPr>
                <w:rFonts w:hint="eastAsia"/>
                <w:color w:val="auto"/>
                <w:sz w:val="24"/>
              </w:rPr>
              <w:t>本项目对土壤、地下水环境的影响源及影响因子见表4-</w:t>
            </w:r>
            <w:r>
              <w:rPr>
                <w:rFonts w:hint="eastAsia"/>
                <w:color w:val="auto"/>
                <w:sz w:val="24"/>
                <w:lang w:val="en-US" w:eastAsia="zh-CN"/>
              </w:rPr>
              <w:t>13</w:t>
            </w:r>
            <w:r>
              <w:rPr>
                <w:rFonts w:hint="eastAsia"/>
                <w:color w:val="auto"/>
                <w:sz w:val="24"/>
              </w:rPr>
              <w:t>。</w:t>
            </w:r>
          </w:p>
          <w:p w14:paraId="7F944110">
            <w:pPr>
              <w:tabs>
                <w:tab w:val="left" w:pos="540"/>
                <w:tab w:val="left" w:pos="851"/>
                <w:tab w:val="left" w:pos="994"/>
                <w:tab w:val="left" w:pos="1260"/>
                <w:tab w:val="left" w:pos="3108"/>
                <w:tab w:val="left" w:pos="3150"/>
              </w:tabs>
              <w:jc w:val="center"/>
              <w:rPr>
                <w:b/>
                <w:bCs/>
                <w:color w:val="auto"/>
                <w:sz w:val="24"/>
                <w:szCs w:val="32"/>
              </w:rPr>
            </w:pPr>
            <w:r>
              <w:rPr>
                <w:rFonts w:hint="eastAsia"/>
                <w:b/>
                <w:bCs/>
                <w:color w:val="auto"/>
                <w:sz w:val="24"/>
                <w:szCs w:val="32"/>
              </w:rPr>
              <w:t>表4-</w:t>
            </w:r>
            <w:r>
              <w:rPr>
                <w:rFonts w:hint="eastAsia"/>
                <w:b/>
                <w:bCs/>
                <w:color w:val="auto"/>
                <w:sz w:val="24"/>
                <w:szCs w:val="32"/>
                <w:lang w:val="en-US" w:eastAsia="zh-CN"/>
              </w:rPr>
              <w:t xml:space="preserve">13 </w:t>
            </w:r>
            <w:r>
              <w:rPr>
                <w:rFonts w:hint="eastAsia"/>
                <w:b/>
                <w:bCs/>
                <w:color w:val="auto"/>
                <w:sz w:val="24"/>
                <w:szCs w:val="32"/>
              </w:rPr>
              <w:t xml:space="preserve"> 建设项目土壤、地下水环境影响源及影响因子识别表</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1562"/>
              <w:gridCol w:w="1179"/>
              <w:gridCol w:w="3117"/>
              <w:gridCol w:w="1155"/>
            </w:tblGrid>
            <w:tr w14:paraId="09595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7" w:type="dxa"/>
                  <w:vAlign w:val="center"/>
                </w:tcPr>
                <w:p w14:paraId="0DD1658E">
                  <w:pPr>
                    <w:keepNext/>
                    <w:keepLines/>
                    <w:tabs>
                      <w:tab w:val="left" w:pos="540"/>
                      <w:tab w:val="left" w:pos="851"/>
                      <w:tab w:val="left" w:pos="994"/>
                      <w:tab w:val="left" w:pos="1260"/>
                      <w:tab w:val="left" w:pos="3108"/>
                      <w:tab w:val="left" w:pos="3150"/>
                    </w:tabs>
                    <w:adjustRightInd w:val="0"/>
                    <w:snapToGrid w:val="0"/>
                    <w:jc w:val="center"/>
                    <w:rPr>
                      <w:b/>
                      <w:color w:val="auto"/>
                      <w:sz w:val="21"/>
                      <w:szCs w:val="21"/>
                    </w:rPr>
                  </w:pPr>
                  <w:r>
                    <w:rPr>
                      <w:rFonts w:hint="eastAsia"/>
                      <w:b/>
                      <w:color w:val="auto"/>
                      <w:sz w:val="21"/>
                      <w:szCs w:val="21"/>
                    </w:rPr>
                    <w:t>污染源</w:t>
                  </w:r>
                </w:p>
              </w:tc>
              <w:tc>
                <w:tcPr>
                  <w:tcW w:w="1562" w:type="dxa"/>
                  <w:vAlign w:val="center"/>
                </w:tcPr>
                <w:p w14:paraId="6A0569AB">
                  <w:pPr>
                    <w:keepNext/>
                    <w:keepLines/>
                    <w:tabs>
                      <w:tab w:val="left" w:pos="540"/>
                      <w:tab w:val="left" w:pos="851"/>
                      <w:tab w:val="left" w:pos="994"/>
                      <w:tab w:val="left" w:pos="1260"/>
                      <w:tab w:val="left" w:pos="3108"/>
                      <w:tab w:val="left" w:pos="3150"/>
                    </w:tabs>
                    <w:adjustRightInd w:val="0"/>
                    <w:snapToGrid w:val="0"/>
                    <w:jc w:val="center"/>
                    <w:rPr>
                      <w:b/>
                      <w:color w:val="auto"/>
                      <w:sz w:val="21"/>
                      <w:szCs w:val="21"/>
                    </w:rPr>
                  </w:pPr>
                  <w:r>
                    <w:rPr>
                      <w:rFonts w:hint="eastAsia"/>
                      <w:b/>
                      <w:color w:val="auto"/>
                      <w:sz w:val="21"/>
                      <w:szCs w:val="21"/>
                    </w:rPr>
                    <w:t>工艺流程/节点</w:t>
                  </w:r>
                </w:p>
              </w:tc>
              <w:tc>
                <w:tcPr>
                  <w:tcW w:w="1179" w:type="dxa"/>
                  <w:vAlign w:val="center"/>
                </w:tcPr>
                <w:p w14:paraId="4B3C148A">
                  <w:pPr>
                    <w:keepNext/>
                    <w:keepLines/>
                    <w:tabs>
                      <w:tab w:val="left" w:pos="540"/>
                      <w:tab w:val="left" w:pos="851"/>
                      <w:tab w:val="left" w:pos="994"/>
                      <w:tab w:val="left" w:pos="1260"/>
                      <w:tab w:val="left" w:pos="3108"/>
                      <w:tab w:val="left" w:pos="3150"/>
                    </w:tabs>
                    <w:adjustRightInd w:val="0"/>
                    <w:snapToGrid w:val="0"/>
                    <w:jc w:val="center"/>
                    <w:rPr>
                      <w:b/>
                      <w:color w:val="auto"/>
                      <w:sz w:val="21"/>
                      <w:szCs w:val="21"/>
                    </w:rPr>
                  </w:pPr>
                  <w:r>
                    <w:rPr>
                      <w:rFonts w:hint="eastAsia"/>
                      <w:b/>
                      <w:color w:val="auto"/>
                      <w:sz w:val="21"/>
                      <w:szCs w:val="21"/>
                    </w:rPr>
                    <w:t>污染途径</w:t>
                  </w:r>
                </w:p>
              </w:tc>
              <w:tc>
                <w:tcPr>
                  <w:tcW w:w="3117" w:type="dxa"/>
                  <w:vAlign w:val="center"/>
                </w:tcPr>
                <w:p w14:paraId="1FD0D8C3">
                  <w:pPr>
                    <w:keepNext/>
                    <w:keepLines/>
                    <w:tabs>
                      <w:tab w:val="left" w:pos="540"/>
                      <w:tab w:val="left" w:pos="851"/>
                      <w:tab w:val="left" w:pos="994"/>
                      <w:tab w:val="left" w:pos="1260"/>
                      <w:tab w:val="left" w:pos="3108"/>
                      <w:tab w:val="left" w:pos="3150"/>
                    </w:tabs>
                    <w:adjustRightInd w:val="0"/>
                    <w:snapToGrid w:val="0"/>
                    <w:jc w:val="center"/>
                    <w:rPr>
                      <w:b/>
                      <w:color w:val="auto"/>
                      <w:sz w:val="21"/>
                      <w:szCs w:val="21"/>
                    </w:rPr>
                  </w:pPr>
                  <w:r>
                    <w:rPr>
                      <w:rFonts w:hint="eastAsia"/>
                      <w:b/>
                      <w:color w:val="auto"/>
                      <w:sz w:val="21"/>
                      <w:szCs w:val="21"/>
                    </w:rPr>
                    <w:t>污染物</w:t>
                  </w:r>
                </w:p>
              </w:tc>
              <w:tc>
                <w:tcPr>
                  <w:tcW w:w="1155" w:type="dxa"/>
                  <w:vAlign w:val="center"/>
                </w:tcPr>
                <w:p w14:paraId="60CEE304">
                  <w:pPr>
                    <w:keepNext/>
                    <w:keepLines/>
                    <w:tabs>
                      <w:tab w:val="left" w:pos="540"/>
                      <w:tab w:val="left" w:pos="851"/>
                      <w:tab w:val="left" w:pos="994"/>
                      <w:tab w:val="left" w:pos="1260"/>
                      <w:tab w:val="left" w:pos="3108"/>
                      <w:tab w:val="left" w:pos="3150"/>
                    </w:tabs>
                    <w:adjustRightInd w:val="0"/>
                    <w:snapToGrid w:val="0"/>
                    <w:jc w:val="center"/>
                    <w:rPr>
                      <w:b/>
                      <w:color w:val="auto"/>
                      <w:sz w:val="21"/>
                      <w:szCs w:val="21"/>
                    </w:rPr>
                  </w:pPr>
                  <w:r>
                    <w:rPr>
                      <w:rFonts w:hint="eastAsia"/>
                      <w:b/>
                      <w:color w:val="auto"/>
                      <w:sz w:val="21"/>
                      <w:szCs w:val="21"/>
                    </w:rPr>
                    <w:t>备注</w:t>
                  </w:r>
                </w:p>
              </w:tc>
            </w:tr>
            <w:tr w14:paraId="3554F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7" w:type="dxa"/>
                  <w:vMerge w:val="restart"/>
                  <w:vAlign w:val="center"/>
                </w:tcPr>
                <w:p w14:paraId="4B48B1D7">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厂房</w:t>
                  </w:r>
                </w:p>
              </w:tc>
              <w:tc>
                <w:tcPr>
                  <w:tcW w:w="1562" w:type="dxa"/>
                  <w:vAlign w:val="center"/>
                </w:tcPr>
                <w:p w14:paraId="05B374BA">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生产过程</w:t>
                  </w:r>
                </w:p>
              </w:tc>
              <w:tc>
                <w:tcPr>
                  <w:tcW w:w="1179" w:type="dxa"/>
                  <w:vAlign w:val="center"/>
                </w:tcPr>
                <w:p w14:paraId="5F8AA87E">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大气沉降</w:t>
                  </w:r>
                </w:p>
              </w:tc>
              <w:tc>
                <w:tcPr>
                  <w:tcW w:w="3117" w:type="dxa"/>
                  <w:vAlign w:val="center"/>
                </w:tcPr>
                <w:p w14:paraId="774F6898">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颗粒物</w:t>
                  </w:r>
                </w:p>
              </w:tc>
              <w:tc>
                <w:tcPr>
                  <w:tcW w:w="1155" w:type="dxa"/>
                  <w:vAlign w:val="center"/>
                </w:tcPr>
                <w:p w14:paraId="162EDA71">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正常状态</w:t>
                  </w:r>
                </w:p>
              </w:tc>
            </w:tr>
            <w:tr w14:paraId="22AD3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7" w:type="dxa"/>
                  <w:vMerge w:val="continue"/>
                  <w:vAlign w:val="center"/>
                </w:tcPr>
                <w:p w14:paraId="04FCE5D7">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p>
              </w:tc>
              <w:tc>
                <w:tcPr>
                  <w:tcW w:w="1562" w:type="dxa"/>
                  <w:vAlign w:val="center"/>
                </w:tcPr>
                <w:p w14:paraId="7F6DBA4B">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熟化及成品堆存</w:t>
                  </w:r>
                </w:p>
              </w:tc>
              <w:tc>
                <w:tcPr>
                  <w:tcW w:w="1179" w:type="dxa"/>
                  <w:vAlign w:val="center"/>
                </w:tcPr>
                <w:p w14:paraId="58736F5A">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垂直入渗</w:t>
                  </w:r>
                </w:p>
              </w:tc>
              <w:tc>
                <w:tcPr>
                  <w:tcW w:w="3117" w:type="dxa"/>
                  <w:vAlign w:val="center"/>
                </w:tcPr>
                <w:p w14:paraId="35546D1C">
                  <w:pPr>
                    <w:keepNext/>
                    <w:keepLines/>
                    <w:tabs>
                      <w:tab w:val="left" w:pos="540"/>
                      <w:tab w:val="left" w:pos="851"/>
                      <w:tab w:val="left" w:pos="994"/>
                      <w:tab w:val="left" w:pos="1260"/>
                      <w:tab w:val="left" w:pos="3108"/>
                      <w:tab w:val="left" w:pos="3150"/>
                    </w:tabs>
                    <w:adjustRightInd w:val="0"/>
                    <w:snapToGrid w:val="0"/>
                    <w:jc w:val="center"/>
                    <w:rPr>
                      <w:color w:val="auto"/>
                      <w:sz w:val="21"/>
                      <w:szCs w:val="21"/>
                    </w:rPr>
                  </w:pPr>
                  <w:r>
                    <w:rPr>
                      <w:color w:val="auto"/>
                      <w:sz w:val="21"/>
                      <w:szCs w:val="21"/>
                    </w:rPr>
                    <w:t>pH值、高锰酸盐指数、</w:t>
                  </w:r>
                  <w:r>
                    <w:rPr>
                      <w:rFonts w:hint="eastAsia"/>
                      <w:color w:val="auto"/>
                      <w:sz w:val="21"/>
                      <w:szCs w:val="21"/>
                    </w:rPr>
                    <w:t>硫酸盐、</w:t>
                  </w:r>
                  <w:r>
                    <w:rPr>
                      <w:color w:val="auto"/>
                      <w:sz w:val="21"/>
                      <w:szCs w:val="21"/>
                    </w:rPr>
                    <w:t>氨氮、氟化物、砷和总磷</w:t>
                  </w:r>
                </w:p>
              </w:tc>
              <w:tc>
                <w:tcPr>
                  <w:tcW w:w="1155" w:type="dxa"/>
                  <w:vAlign w:val="center"/>
                </w:tcPr>
                <w:p w14:paraId="67949509">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事故状态</w:t>
                  </w:r>
                </w:p>
              </w:tc>
            </w:tr>
          </w:tbl>
          <w:p w14:paraId="655C5CEC">
            <w:pPr>
              <w:spacing w:before="120" w:beforeLines="50" w:line="360" w:lineRule="auto"/>
              <w:ind w:firstLine="482" w:firstLineChars="200"/>
              <w:rPr>
                <w:b/>
                <w:bCs/>
                <w:color w:val="auto"/>
                <w:sz w:val="24"/>
              </w:rPr>
            </w:pPr>
            <w:r>
              <w:rPr>
                <w:rFonts w:hint="eastAsia"/>
                <w:b/>
                <w:bCs/>
                <w:color w:val="auto"/>
                <w:sz w:val="24"/>
              </w:rPr>
              <w:t>（3）项目对土壤</w:t>
            </w:r>
            <w:r>
              <w:rPr>
                <w:rFonts w:hint="eastAsia"/>
                <w:b/>
                <w:bCs/>
                <w:color w:val="auto"/>
                <w:sz w:val="24"/>
                <w:lang w:eastAsia="zh-CN"/>
              </w:rPr>
              <w:t>、</w:t>
            </w:r>
            <w:r>
              <w:rPr>
                <w:rFonts w:hint="eastAsia"/>
                <w:b/>
                <w:bCs/>
                <w:color w:val="auto"/>
                <w:sz w:val="24"/>
              </w:rPr>
              <w:t>地下水的影响分析</w:t>
            </w:r>
          </w:p>
          <w:p w14:paraId="2AED4D11">
            <w:pPr>
              <w:autoSpaceDE w:val="0"/>
              <w:autoSpaceDN w:val="0"/>
              <w:spacing w:line="360" w:lineRule="auto"/>
              <w:ind w:firstLine="480" w:firstLineChars="200"/>
              <w:rPr>
                <w:rFonts w:hint="default" w:eastAsia="宋体"/>
                <w:color w:val="auto"/>
                <w:sz w:val="24"/>
                <w:lang w:val="en-US" w:eastAsia="zh-CN"/>
              </w:rPr>
            </w:pPr>
            <w:r>
              <w:rPr>
                <w:rFonts w:hint="eastAsia"/>
                <w:color w:val="auto"/>
                <w:sz w:val="24"/>
                <w:lang w:val="en-US" w:eastAsia="zh-CN"/>
              </w:rPr>
              <w:t>公司磷石膏渣场于2007年建成运行，本次改扩建工程使用磷石膏来源于公司磷石膏渣场；项目现有工程于2021年建设完成，磷石膏原料库、电石渣库等依托现有工程，此次改扩建工程成品堆场利用现状闲置库房。根据2023年公司对1#上游监测井（位于厂区上游东侧263m）、2#下游监测井（位于厂区下游西侧约51m）、3#渣场监测井（位于项目内，渣场东侧约180m）的监测结果可知，</w:t>
            </w:r>
            <w:r>
              <w:rPr>
                <w:rFonts w:hint="eastAsia" w:ascii="Times New Roman" w:hAnsi="Times New Roman" w:eastAsia="宋体" w:cs="Times New Roman"/>
                <w:color w:val="auto"/>
                <w:sz w:val="24"/>
                <w:lang w:val="en-US" w:eastAsia="zh-CN"/>
              </w:rPr>
              <w:t>根据对比项目区上游对照井水质与下游跟踪监测井水质可看出：与本项目相关连的pH值、高锰酸盐指数、硫酸盐、氨氮、氟化物、砷和总磷污染物没有增加，上游对照井和下游跟踪监测井水质没有发生变化，</w:t>
            </w:r>
            <w:r>
              <w:rPr>
                <w:rFonts w:hint="eastAsia"/>
                <w:color w:val="auto"/>
                <w:sz w:val="24"/>
                <w:lang w:val="en-US" w:eastAsia="zh-CN"/>
              </w:rPr>
              <w:t>项目产生污染物无下渗，且各污染指标均能满足</w:t>
            </w:r>
            <w:r>
              <w:rPr>
                <w:color w:val="auto"/>
                <w:sz w:val="24"/>
              </w:rPr>
              <w:t>《地下水环境质量标准》（GB/T 14848-2017）III类标准要求</w:t>
            </w:r>
            <w:r>
              <w:rPr>
                <w:rFonts w:hint="eastAsia"/>
                <w:color w:val="auto"/>
                <w:sz w:val="24"/>
                <w:lang w:eastAsia="zh-CN"/>
              </w:rPr>
              <w:t>，</w:t>
            </w:r>
            <w:r>
              <w:rPr>
                <w:rFonts w:hint="eastAsia"/>
                <w:color w:val="auto"/>
                <w:sz w:val="24"/>
                <w:lang w:val="en-US" w:eastAsia="zh-CN"/>
              </w:rPr>
              <w:t>厂内现有防渗措施有效，对周边地下水影响较小。</w:t>
            </w:r>
          </w:p>
          <w:p w14:paraId="62535B25">
            <w:pPr>
              <w:autoSpaceDE w:val="0"/>
              <w:autoSpaceDN w:val="0"/>
              <w:spacing w:line="360" w:lineRule="auto"/>
              <w:ind w:firstLine="480" w:firstLineChars="200"/>
              <w:rPr>
                <w:color w:val="auto"/>
                <w:sz w:val="24"/>
              </w:rPr>
            </w:pPr>
            <w:r>
              <w:rPr>
                <w:color w:val="auto"/>
                <w:sz w:val="24"/>
              </w:rPr>
              <w:t>本项目对地下水的影响，主要是项目</w:t>
            </w:r>
            <w:r>
              <w:rPr>
                <w:rFonts w:hint="eastAsia"/>
                <w:color w:val="auto"/>
                <w:sz w:val="24"/>
              </w:rPr>
              <w:t>熟化</w:t>
            </w:r>
            <w:r>
              <w:rPr>
                <w:color w:val="auto"/>
                <w:sz w:val="24"/>
              </w:rPr>
              <w:t>及成品堆场pH值、高锰酸盐指数、硫酸盐、氨氮、氟化物、砷和总磷通过垂直下渗进</w:t>
            </w:r>
            <w:r>
              <w:rPr>
                <w:color w:val="auto"/>
                <w:sz w:val="24"/>
                <w:szCs w:val="24"/>
              </w:rPr>
              <w:t>入</w:t>
            </w:r>
            <w:r>
              <w:rPr>
                <w:rFonts w:hint="eastAsia"/>
                <w:color w:val="auto"/>
                <w:sz w:val="24"/>
                <w:szCs w:val="24"/>
              </w:rPr>
              <w:t>土壤和</w:t>
            </w:r>
            <w:r>
              <w:rPr>
                <w:color w:val="auto"/>
                <w:sz w:val="24"/>
                <w:szCs w:val="24"/>
              </w:rPr>
              <w:t>地下水</w:t>
            </w:r>
            <w:r>
              <w:rPr>
                <w:color w:val="auto"/>
                <w:sz w:val="24"/>
              </w:rPr>
              <w:t>，污染地下水水质</w:t>
            </w:r>
            <w:r>
              <w:rPr>
                <w:rFonts w:hint="eastAsia"/>
                <w:color w:val="auto"/>
                <w:sz w:val="24"/>
              </w:rPr>
              <w:t>；</w:t>
            </w:r>
            <w:r>
              <w:rPr>
                <w:color w:val="auto"/>
                <w:sz w:val="24"/>
                <w:szCs w:val="24"/>
              </w:rPr>
              <w:t>生产过程产生的颗粒物通过大气沉降进入地下水，</w:t>
            </w:r>
            <w:r>
              <w:rPr>
                <w:rFonts w:hint="eastAsia"/>
                <w:color w:val="auto"/>
                <w:sz w:val="24"/>
                <w:szCs w:val="24"/>
              </w:rPr>
              <w:t>生产粉尘中的</w:t>
            </w:r>
            <w:r>
              <w:rPr>
                <w:rFonts w:hint="eastAsia" w:ascii="仿宋_GB2312"/>
                <w:color w:val="auto"/>
                <w:sz w:val="24"/>
                <w:szCs w:val="24"/>
              </w:rPr>
              <w:t>氟化物</w:t>
            </w:r>
            <w:r>
              <w:rPr>
                <w:rFonts w:hint="eastAsia"/>
                <w:color w:val="auto"/>
                <w:sz w:val="24"/>
                <w:szCs w:val="24"/>
              </w:rPr>
              <w:t>等污染物通过大气沉降影响土壤环境质量，</w:t>
            </w:r>
            <w:r>
              <w:rPr>
                <w:color w:val="auto"/>
                <w:sz w:val="24"/>
                <w:szCs w:val="24"/>
              </w:rPr>
              <w:t>污染地下水水质</w:t>
            </w:r>
            <w:r>
              <w:rPr>
                <w:rFonts w:hint="eastAsia"/>
                <w:color w:val="auto"/>
                <w:sz w:val="24"/>
                <w:szCs w:val="24"/>
              </w:rPr>
              <w:t>和土壤环境</w:t>
            </w:r>
            <w:r>
              <w:rPr>
                <w:color w:val="auto"/>
                <w:sz w:val="24"/>
                <w:szCs w:val="24"/>
              </w:rPr>
              <w:t>。</w:t>
            </w:r>
            <w:r>
              <w:rPr>
                <w:color w:val="auto"/>
                <w:sz w:val="24"/>
              </w:rPr>
              <w:t>针对以上问题，本项目采取分区防渗措施熟化及成品堆场一般防渗，其他区域为简单防渗，现状闲置库房内场地</w:t>
            </w:r>
            <w:r>
              <w:rPr>
                <w:color w:val="auto"/>
                <w:sz w:val="24"/>
                <w:szCs w:val="24"/>
              </w:rPr>
              <w:t>为</w:t>
            </w:r>
            <w:r>
              <w:rPr>
                <w:rFonts w:hint="eastAsia"/>
                <w:color w:val="auto"/>
                <w:sz w:val="24"/>
                <w:szCs w:val="24"/>
                <w:lang w:val="en-US" w:eastAsia="zh-CN"/>
              </w:rPr>
              <w:t>粘土铺地压实（</w:t>
            </w:r>
            <w:r>
              <w:rPr>
                <w:color w:val="auto"/>
                <w:sz w:val="24"/>
                <w:szCs w:val="24"/>
              </w:rPr>
              <w:t>厚度</w:t>
            </w:r>
            <w:r>
              <w:rPr>
                <w:rFonts w:hint="eastAsia"/>
                <w:color w:val="auto"/>
                <w:sz w:val="24"/>
                <w:szCs w:val="24"/>
              </w:rPr>
              <w:t>0.75</w:t>
            </w:r>
            <w:r>
              <w:rPr>
                <w:color w:val="auto"/>
                <w:sz w:val="24"/>
                <w:szCs w:val="24"/>
              </w:rPr>
              <w:t>m，K≤1×10</w:t>
            </w:r>
            <w:r>
              <w:rPr>
                <w:color w:val="auto"/>
                <w:sz w:val="24"/>
                <w:szCs w:val="24"/>
                <w:vertAlign w:val="superscript"/>
              </w:rPr>
              <w:t>-7</w:t>
            </w:r>
            <w:r>
              <w:rPr>
                <w:color w:val="auto"/>
                <w:sz w:val="24"/>
                <w:szCs w:val="24"/>
              </w:rPr>
              <w:t>cm/s</w:t>
            </w:r>
            <w:r>
              <w:rPr>
                <w:rFonts w:hint="eastAsia"/>
                <w:color w:val="auto"/>
                <w:sz w:val="24"/>
                <w:szCs w:val="24"/>
                <w:lang w:val="en-US" w:eastAsia="zh-CN"/>
              </w:rPr>
              <w:t>）、再在上层铺设</w:t>
            </w:r>
            <w:r>
              <w:rPr>
                <w:rFonts w:hint="eastAsia"/>
                <w:color w:val="auto"/>
                <w:sz w:val="24"/>
                <w:szCs w:val="24"/>
              </w:rPr>
              <w:t>C</w:t>
            </w:r>
            <w:r>
              <w:rPr>
                <w:rFonts w:hint="eastAsia"/>
                <w:color w:val="auto"/>
                <w:sz w:val="24"/>
                <w:szCs w:val="24"/>
                <w:lang w:val="en-US" w:eastAsia="zh-CN"/>
              </w:rPr>
              <w:t>3</w:t>
            </w:r>
            <w:r>
              <w:rPr>
                <w:rFonts w:hint="eastAsia"/>
                <w:color w:val="auto"/>
                <w:sz w:val="24"/>
                <w:szCs w:val="24"/>
              </w:rPr>
              <w:t>0</w:t>
            </w:r>
            <w:r>
              <w:rPr>
                <w:color w:val="auto"/>
                <w:sz w:val="24"/>
                <w:szCs w:val="24"/>
              </w:rPr>
              <w:t>混凝土（厚度</w:t>
            </w:r>
            <w:r>
              <w:rPr>
                <w:rFonts w:hint="eastAsia"/>
                <w:color w:val="auto"/>
                <w:sz w:val="24"/>
                <w:szCs w:val="24"/>
                <w:lang w:val="en-US" w:eastAsia="zh-CN"/>
              </w:rPr>
              <w:t>300</w:t>
            </w:r>
            <w:r>
              <w:rPr>
                <w:rFonts w:hint="eastAsia"/>
                <w:color w:val="auto"/>
                <w:sz w:val="24"/>
                <w:szCs w:val="24"/>
              </w:rPr>
              <w:t>mm</w:t>
            </w:r>
            <w:r>
              <w:rPr>
                <w:rFonts w:hint="eastAsia"/>
                <w:color w:val="auto"/>
                <w:sz w:val="24"/>
                <w:szCs w:val="24"/>
                <w:lang w:eastAsia="zh-CN"/>
              </w:rPr>
              <w:t>、</w:t>
            </w:r>
            <w:r>
              <w:rPr>
                <w:rFonts w:hint="eastAsia"/>
                <w:color w:val="auto"/>
                <w:sz w:val="24"/>
                <w:szCs w:val="24"/>
                <w:lang w:val="en-US" w:eastAsia="zh-CN"/>
              </w:rPr>
              <w:t>抗渗等级为P8</w:t>
            </w:r>
            <w:r>
              <w:rPr>
                <w:color w:val="auto"/>
                <w:sz w:val="24"/>
                <w:szCs w:val="24"/>
              </w:rPr>
              <w:t>），</w:t>
            </w:r>
            <w:r>
              <w:rPr>
                <w:rFonts w:hint="eastAsia"/>
                <w:color w:val="auto"/>
                <w:sz w:val="24"/>
                <w:szCs w:val="24"/>
                <w:lang w:val="en-US" w:eastAsia="zh-CN"/>
              </w:rPr>
              <w:t>可</w:t>
            </w:r>
            <w:r>
              <w:rPr>
                <w:color w:val="auto"/>
                <w:sz w:val="24"/>
              </w:rPr>
              <w:t>满足《一般工业固体废物贮存和填埋污染控制标准》（GB 18599-2020）II类的防渗技术要求；同时，根据《环境影响技术评价导则 地下水环境》HJ 610-2016中分区防渗要求，熟化及成品堆场为一般防渗区，根据导则，一般防渗区的防渗技术要求为：等效黏土防渗Mb≥1.5m，K≤1</w:t>
            </w:r>
            <w:r>
              <w:rPr>
                <w:rFonts w:hint="eastAsia" w:cs="宋体"/>
                <w:color w:val="auto"/>
                <w:sz w:val="24"/>
              </w:rPr>
              <w:t>×</w:t>
            </w:r>
            <w:r>
              <w:rPr>
                <w:color w:val="auto"/>
                <w:sz w:val="24"/>
              </w:rPr>
              <w:t>10</w:t>
            </w:r>
            <w:r>
              <w:rPr>
                <w:color w:val="auto"/>
                <w:sz w:val="24"/>
                <w:vertAlign w:val="superscript"/>
              </w:rPr>
              <w:t>-7</w:t>
            </w:r>
            <w:r>
              <w:rPr>
                <w:color w:val="auto"/>
                <w:sz w:val="24"/>
              </w:rPr>
              <w:t>cm/s，综上对照分析，熟化及成品堆场防渗措施能够满足一般防渗区的防渗技术要求，即等效黏土防渗Mb≥1.5m，K≤1</w:t>
            </w:r>
            <w:r>
              <w:rPr>
                <w:rFonts w:hint="eastAsia" w:cs="宋体"/>
                <w:color w:val="auto"/>
                <w:sz w:val="24"/>
              </w:rPr>
              <w:t>×</w:t>
            </w:r>
            <w:r>
              <w:rPr>
                <w:color w:val="auto"/>
                <w:sz w:val="24"/>
              </w:rPr>
              <w:t>10</w:t>
            </w:r>
            <w:r>
              <w:rPr>
                <w:color w:val="auto"/>
                <w:sz w:val="24"/>
                <w:vertAlign w:val="superscript"/>
              </w:rPr>
              <w:t>-7</w:t>
            </w:r>
            <w:r>
              <w:rPr>
                <w:color w:val="auto"/>
                <w:sz w:val="24"/>
              </w:rPr>
              <w:t>cm/s。</w:t>
            </w:r>
          </w:p>
          <w:p w14:paraId="769A790B">
            <w:pPr>
              <w:autoSpaceDE w:val="0"/>
              <w:autoSpaceDN w:val="0"/>
              <w:spacing w:line="360" w:lineRule="auto"/>
              <w:ind w:firstLine="480" w:firstLineChars="200"/>
              <w:rPr>
                <w:color w:val="auto"/>
                <w:sz w:val="24"/>
              </w:rPr>
            </w:pPr>
            <w:r>
              <w:rPr>
                <w:color w:val="auto"/>
                <w:sz w:val="24"/>
              </w:rPr>
              <w:t>在项目建设过程中，严格按照设计施工，确保熟化及成品堆场防渗系统正常运行，</w:t>
            </w:r>
            <w:r>
              <w:rPr>
                <w:rFonts w:hint="eastAsia" w:cs="宋体"/>
                <w:color w:val="auto"/>
                <w:sz w:val="24"/>
              </w:rPr>
              <w:t>项目</w:t>
            </w:r>
            <w:r>
              <w:rPr>
                <w:rFonts w:hint="eastAsia"/>
                <w:color w:val="auto"/>
                <w:sz w:val="24"/>
              </w:rPr>
              <w:t>正常工况下</w:t>
            </w:r>
            <w:r>
              <w:rPr>
                <w:color w:val="auto"/>
                <w:sz w:val="24"/>
              </w:rPr>
              <w:t>熟化及成品堆场</w:t>
            </w:r>
            <w:r>
              <w:rPr>
                <w:rFonts w:hint="eastAsia"/>
                <w:color w:val="auto"/>
                <w:sz w:val="24"/>
              </w:rPr>
              <w:t>对区域地下水和土壤影响较小。</w:t>
            </w:r>
            <w:r>
              <w:rPr>
                <w:rFonts w:hint="eastAsia"/>
                <w:bCs/>
                <w:color w:val="auto"/>
                <w:sz w:val="24"/>
              </w:rPr>
              <w:t>土壤</w:t>
            </w:r>
            <w:r>
              <w:rPr>
                <w:rFonts w:hint="eastAsia" w:ascii="Times New Roman" w:hAnsi="Times New Roman"/>
                <w:color w:val="auto"/>
                <w:kern w:val="2"/>
                <w:sz w:val="24"/>
                <w:szCs w:val="24"/>
                <w:lang w:val="en-US" w:eastAsia="zh-CN"/>
              </w:rPr>
              <w:t>改良</w:t>
            </w:r>
            <w:r>
              <w:rPr>
                <w:rFonts w:hint="eastAsia"/>
                <w:bCs/>
                <w:color w:val="auto"/>
                <w:sz w:val="24"/>
              </w:rPr>
              <w:t>剂</w:t>
            </w:r>
            <w:r>
              <w:rPr>
                <w:bCs/>
                <w:color w:val="auto"/>
                <w:sz w:val="24"/>
              </w:rPr>
              <w:t>、生态修复材料使用过程中，</w:t>
            </w:r>
            <w:r>
              <w:rPr>
                <w:rFonts w:hint="eastAsia"/>
                <w:bCs/>
                <w:color w:val="auto"/>
                <w:sz w:val="24"/>
              </w:rPr>
              <w:t>因</w:t>
            </w:r>
            <w:r>
              <w:rPr>
                <w:bCs/>
                <w:color w:val="auto"/>
                <w:sz w:val="24"/>
              </w:rPr>
              <w:t>土壤</w:t>
            </w:r>
            <w:r>
              <w:rPr>
                <w:rFonts w:hint="eastAsia" w:ascii="Times New Roman" w:hAnsi="Times New Roman"/>
                <w:color w:val="auto"/>
                <w:kern w:val="2"/>
                <w:sz w:val="24"/>
                <w:szCs w:val="24"/>
                <w:lang w:val="en-US" w:eastAsia="zh-CN"/>
              </w:rPr>
              <w:t>改良</w:t>
            </w:r>
            <w:r>
              <w:rPr>
                <w:bCs/>
                <w:color w:val="auto"/>
                <w:sz w:val="24"/>
              </w:rPr>
              <w:t>剂和生态修复材料的产品质量达到产品质量标准，对环境影响较小。环评提出，每批次产品必须经过厂家检测，检测结果达到产品质量标准后方可出厂，若产品质量不合格则重新返回生产，生产合格后才可以出售。</w:t>
            </w:r>
          </w:p>
          <w:p w14:paraId="5042B367">
            <w:pPr>
              <w:adjustRightInd w:val="0"/>
              <w:snapToGrid w:val="0"/>
              <w:spacing w:line="360" w:lineRule="auto"/>
              <w:ind w:firstLine="482" w:firstLineChars="200"/>
              <w:rPr>
                <w:b/>
                <w:bCs/>
                <w:color w:val="auto"/>
                <w:sz w:val="24"/>
              </w:rPr>
            </w:pPr>
            <w:r>
              <w:rPr>
                <w:rFonts w:hint="eastAsia"/>
                <w:b/>
                <w:bCs/>
                <w:color w:val="auto"/>
                <w:sz w:val="24"/>
              </w:rPr>
              <w:t>（4）跟踪检测</w:t>
            </w:r>
          </w:p>
          <w:p w14:paraId="16C3AB2F">
            <w:pPr>
              <w:spacing w:line="360" w:lineRule="auto"/>
              <w:ind w:firstLine="480" w:firstLineChars="200"/>
              <w:rPr>
                <w:color w:val="auto"/>
                <w:sz w:val="24"/>
              </w:rPr>
            </w:pPr>
            <w:r>
              <w:rPr>
                <w:color w:val="auto"/>
                <w:sz w:val="24"/>
              </w:rPr>
              <w:t>根据项目所在区的地下水水文地质图及地下水流向，本评价建议将</w:t>
            </w:r>
            <w:r>
              <w:rPr>
                <w:rFonts w:hint="eastAsia"/>
                <w:color w:val="auto"/>
                <w:sz w:val="24"/>
                <w:lang w:eastAsia="zh-CN"/>
              </w:rPr>
              <w:t>云南常青树化工有限公司</w:t>
            </w:r>
            <w:r>
              <w:rPr>
                <w:color w:val="auto"/>
                <w:sz w:val="24"/>
              </w:rPr>
              <w:t>现在有的</w:t>
            </w:r>
            <w:r>
              <w:rPr>
                <w:rFonts w:hint="eastAsia"/>
                <w:color w:val="auto"/>
                <w:sz w:val="24"/>
                <w:lang w:val="en-US" w:eastAsia="zh-CN"/>
              </w:rPr>
              <w:t>1#上游监测井（位于厂区上游东侧263m）、2#下游监测井（位于厂区下游西侧约51m）</w:t>
            </w:r>
            <w:r>
              <w:rPr>
                <w:color w:val="auto"/>
                <w:sz w:val="24"/>
              </w:rPr>
              <w:t>作为对照井和污染监观测井，以便掌控本项目建设对地下水造成的影响。</w:t>
            </w:r>
          </w:p>
          <w:p w14:paraId="7FA41E17">
            <w:pPr>
              <w:autoSpaceDE w:val="0"/>
              <w:autoSpaceDN w:val="0"/>
              <w:adjustRightInd w:val="0"/>
              <w:spacing w:line="360" w:lineRule="auto"/>
              <w:ind w:firstLine="480" w:firstLineChars="200"/>
              <w:rPr>
                <w:color w:val="auto"/>
                <w:sz w:val="24"/>
              </w:rPr>
            </w:pPr>
            <w:r>
              <w:rPr>
                <w:color w:val="auto"/>
                <w:sz w:val="24"/>
              </w:rPr>
              <w:t>根据《一般工业固体废物贮存和填埋污染控制标准》（GB18599-2020），本项目地下水监测频次应符合以下要求：</w:t>
            </w:r>
          </w:p>
          <w:p w14:paraId="17AB8CE8">
            <w:pPr>
              <w:autoSpaceDE w:val="0"/>
              <w:autoSpaceDN w:val="0"/>
              <w:adjustRightInd w:val="0"/>
              <w:spacing w:line="360" w:lineRule="auto"/>
              <w:ind w:firstLine="480" w:firstLineChars="200"/>
              <w:rPr>
                <w:color w:val="auto"/>
                <w:sz w:val="24"/>
              </w:rPr>
            </w:pPr>
            <w:r>
              <w:rPr>
                <w:color w:val="auto"/>
                <w:sz w:val="24"/>
              </w:rPr>
              <w:t>a）运行期间，企业自行监测频次至少每季度1次；</w:t>
            </w:r>
          </w:p>
          <w:p w14:paraId="5FFDF0B7">
            <w:pPr>
              <w:autoSpaceDE w:val="0"/>
              <w:autoSpaceDN w:val="0"/>
              <w:adjustRightInd w:val="0"/>
              <w:spacing w:line="360" w:lineRule="auto"/>
              <w:ind w:firstLine="480" w:firstLineChars="200"/>
              <w:rPr>
                <w:color w:val="auto"/>
                <w:sz w:val="24"/>
              </w:rPr>
            </w:pPr>
            <w:r>
              <w:rPr>
                <w:color w:val="auto"/>
                <w:sz w:val="24"/>
              </w:rPr>
              <w:t>b）地下水监测因子包括：浑浊度、pH、溶解性总固体、氯化物、硝酸盐（以N 计）、亚硝酸盐（以N计）、氟化物、砷和总磷。</w:t>
            </w:r>
          </w:p>
          <w:p w14:paraId="43056B2E">
            <w:pPr>
              <w:spacing w:line="360" w:lineRule="auto"/>
              <w:ind w:firstLine="562" w:firstLineChars="200"/>
              <w:rPr>
                <w:b/>
                <w:bCs/>
                <w:color w:val="auto"/>
                <w:sz w:val="28"/>
                <w:szCs w:val="28"/>
              </w:rPr>
            </w:pPr>
            <w:r>
              <w:rPr>
                <w:rFonts w:hint="eastAsia"/>
                <w:b/>
                <w:bCs/>
                <w:color w:val="auto"/>
                <w:sz w:val="28"/>
                <w:szCs w:val="28"/>
              </w:rPr>
              <w:t>6、生态环境影响分析</w:t>
            </w:r>
          </w:p>
          <w:p w14:paraId="49E00AF3">
            <w:pPr>
              <w:pStyle w:val="23"/>
              <w:spacing w:line="360" w:lineRule="auto"/>
              <w:ind w:firstLine="480" w:firstLineChars="200"/>
              <w:rPr>
                <w:rFonts w:ascii="Times New Roman" w:hAnsi="Times New Roman"/>
                <w:bCs/>
                <w:color w:val="auto"/>
                <w:sz w:val="24"/>
              </w:rPr>
            </w:pPr>
            <w:r>
              <w:rPr>
                <w:color w:val="auto"/>
                <w:sz w:val="24"/>
              </w:rPr>
              <w:t>本项目位于</w:t>
            </w:r>
            <w:r>
              <w:rPr>
                <w:rFonts w:hint="eastAsia"/>
                <w:color w:val="auto"/>
                <w:sz w:val="24"/>
                <w:lang w:val="en-US" w:eastAsia="zh-CN"/>
              </w:rPr>
              <w:t>寻甸塘子镇</w:t>
            </w:r>
            <w:r>
              <w:rPr>
                <w:rFonts w:hint="eastAsia"/>
                <w:color w:val="auto"/>
                <w:sz w:val="24"/>
                <w:lang w:eastAsia="zh-CN"/>
              </w:rPr>
              <w:t>云南常青树化工有限公司</w:t>
            </w:r>
            <w:r>
              <w:rPr>
                <w:color w:val="auto"/>
                <w:sz w:val="24"/>
              </w:rPr>
              <w:t>内。主要利用</w:t>
            </w:r>
            <w:r>
              <w:rPr>
                <w:rFonts w:hint="eastAsia"/>
                <w:color w:val="auto"/>
                <w:sz w:val="24"/>
                <w:lang w:eastAsia="zh-CN"/>
              </w:rPr>
              <w:t>云南常青树化工有限公司</w:t>
            </w:r>
            <w:r>
              <w:rPr>
                <w:color w:val="auto"/>
                <w:sz w:val="24"/>
              </w:rPr>
              <w:t>现有</w:t>
            </w:r>
            <w:r>
              <w:rPr>
                <w:rFonts w:hint="eastAsia"/>
                <w:color w:val="auto"/>
                <w:sz w:val="24"/>
                <w:lang w:val="en-US" w:eastAsia="zh-CN"/>
              </w:rPr>
              <w:t>50万吨/年球状水泥缓凝剂生产线</w:t>
            </w:r>
            <w:r>
              <w:rPr>
                <w:rFonts w:hint="eastAsia"/>
                <w:color w:val="auto"/>
                <w:sz w:val="24"/>
              </w:rPr>
              <w:t>安装</w:t>
            </w:r>
            <w:r>
              <w:rPr>
                <w:rFonts w:hint="eastAsia"/>
                <w:color w:val="auto"/>
                <w:sz w:val="24"/>
                <w:lang w:val="en-US" w:eastAsia="zh-CN"/>
              </w:rPr>
              <w:t>出料</w:t>
            </w:r>
            <w:r>
              <w:rPr>
                <w:rFonts w:hint="eastAsia"/>
                <w:color w:val="auto"/>
                <w:sz w:val="24"/>
              </w:rPr>
              <w:t>设备进行建设</w:t>
            </w:r>
            <w:r>
              <w:rPr>
                <w:color w:val="auto"/>
                <w:sz w:val="24"/>
              </w:rPr>
              <w:t>。</w:t>
            </w:r>
            <w:r>
              <w:rPr>
                <w:rFonts w:ascii="Times New Roman" w:hAnsi="Times New Roman"/>
                <w:bCs/>
                <w:color w:val="auto"/>
                <w:sz w:val="24"/>
                <w:szCs w:val="24"/>
              </w:rPr>
              <w:t>用地性质为工业用地</w:t>
            </w:r>
            <w:r>
              <w:rPr>
                <w:rFonts w:hint="eastAsia" w:ascii="Times New Roman" w:hAnsi="Times New Roman"/>
                <w:bCs/>
                <w:color w:val="auto"/>
                <w:sz w:val="24"/>
                <w:szCs w:val="24"/>
              </w:rPr>
              <w:t>，且</w:t>
            </w:r>
            <w:r>
              <w:rPr>
                <w:rFonts w:ascii="Times New Roman" w:hAnsi="Times New Roman"/>
                <w:bCs/>
                <w:color w:val="auto"/>
                <w:sz w:val="24"/>
                <w:szCs w:val="24"/>
              </w:rPr>
              <w:t>周边无生态环境保护目标，本项目不开展生态环境影响分析</w:t>
            </w:r>
            <w:r>
              <w:rPr>
                <w:rFonts w:ascii="Times New Roman" w:hAnsi="Times New Roman"/>
                <w:snapToGrid w:val="0"/>
                <w:color w:val="auto"/>
                <w:sz w:val="24"/>
              </w:rPr>
              <w:t>。</w:t>
            </w:r>
          </w:p>
          <w:p w14:paraId="15273D73">
            <w:pPr>
              <w:spacing w:line="360" w:lineRule="auto"/>
              <w:ind w:firstLine="562" w:firstLineChars="200"/>
              <w:rPr>
                <w:b/>
                <w:bCs/>
                <w:color w:val="auto"/>
                <w:sz w:val="28"/>
                <w:szCs w:val="28"/>
              </w:rPr>
            </w:pPr>
            <w:r>
              <w:rPr>
                <w:rFonts w:hint="eastAsia"/>
                <w:b/>
                <w:bCs/>
                <w:color w:val="auto"/>
                <w:sz w:val="28"/>
                <w:szCs w:val="28"/>
              </w:rPr>
              <w:t>7、环境风险</w:t>
            </w:r>
          </w:p>
          <w:p w14:paraId="1D12B71F">
            <w:pPr>
              <w:spacing w:line="360" w:lineRule="auto"/>
              <w:ind w:firstLine="482" w:firstLineChars="200"/>
              <w:rPr>
                <w:b/>
                <w:bCs/>
                <w:color w:val="auto"/>
                <w:sz w:val="24"/>
              </w:rPr>
            </w:pPr>
            <w:r>
              <w:rPr>
                <w:rFonts w:hint="eastAsia"/>
                <w:b/>
                <w:bCs/>
                <w:color w:val="auto"/>
                <w:sz w:val="24"/>
              </w:rPr>
              <w:t>（一）风险源调查</w:t>
            </w:r>
          </w:p>
          <w:p w14:paraId="4BDAE29F">
            <w:pPr>
              <w:adjustRightInd w:val="0"/>
              <w:snapToGrid w:val="0"/>
              <w:spacing w:line="360" w:lineRule="auto"/>
              <w:ind w:firstLine="480" w:firstLineChars="200"/>
              <w:rPr>
                <w:rStyle w:val="123"/>
                <w:b/>
                <w:snapToGrid w:val="0"/>
                <w:color w:val="auto"/>
                <w:sz w:val="24"/>
                <w:lang w:val="zh-CN"/>
              </w:rPr>
            </w:pPr>
            <w:r>
              <w:rPr>
                <w:rFonts w:hint="eastAsia" w:hAnsi="宋体"/>
                <w:color w:val="auto"/>
                <w:sz w:val="24"/>
              </w:rPr>
              <w:t>根据《建设项目环境风险评价技术导则》（</w:t>
            </w:r>
            <w:r>
              <w:rPr>
                <w:rFonts w:hAnsi="宋体"/>
                <w:color w:val="auto"/>
                <w:sz w:val="24"/>
              </w:rPr>
              <w:t>HJ/T</w:t>
            </w:r>
            <w:r>
              <w:rPr>
                <w:rFonts w:hint="eastAsia" w:hAnsi="宋体"/>
                <w:color w:val="auto"/>
                <w:sz w:val="24"/>
              </w:rPr>
              <w:t xml:space="preserve"> </w:t>
            </w:r>
            <w:r>
              <w:rPr>
                <w:rFonts w:hAnsi="宋体"/>
                <w:color w:val="auto"/>
                <w:sz w:val="24"/>
              </w:rPr>
              <w:t>169-2018</w:t>
            </w:r>
            <w:r>
              <w:rPr>
                <w:rFonts w:hint="eastAsia" w:hAnsi="宋体"/>
                <w:color w:val="auto"/>
                <w:sz w:val="24"/>
              </w:rPr>
              <w:t xml:space="preserve">）附录 </w:t>
            </w:r>
            <w:r>
              <w:rPr>
                <w:rFonts w:hAnsi="宋体"/>
                <w:color w:val="auto"/>
                <w:sz w:val="24"/>
              </w:rPr>
              <w:t>B</w:t>
            </w:r>
            <w:r>
              <w:rPr>
                <w:rFonts w:hint="eastAsia" w:hAnsi="宋体"/>
                <w:color w:val="auto"/>
                <w:sz w:val="24"/>
              </w:rPr>
              <w:t>《重点关注的危险物质及临界量》、</w:t>
            </w:r>
            <w:r>
              <w:rPr>
                <w:color w:val="auto"/>
                <w:sz w:val="24"/>
                <w:lang w:val="zh-CN"/>
              </w:rPr>
              <w:t>《危险化学品重大危险源辨识》（GB</w:t>
            </w:r>
            <w:r>
              <w:rPr>
                <w:rFonts w:hint="eastAsia"/>
                <w:color w:val="auto"/>
                <w:sz w:val="24"/>
                <w:lang w:val="zh-CN"/>
              </w:rPr>
              <w:t xml:space="preserve"> </w:t>
            </w:r>
            <w:r>
              <w:rPr>
                <w:color w:val="auto"/>
                <w:sz w:val="24"/>
                <w:lang w:val="zh-CN"/>
              </w:rPr>
              <w:t>18218-20</w:t>
            </w:r>
            <w:r>
              <w:rPr>
                <w:rFonts w:hint="eastAsia"/>
                <w:color w:val="auto"/>
                <w:sz w:val="24"/>
                <w:lang w:val="zh-CN"/>
              </w:rPr>
              <w:t>18</w:t>
            </w:r>
            <w:r>
              <w:rPr>
                <w:color w:val="auto"/>
                <w:sz w:val="24"/>
                <w:lang w:val="zh-CN"/>
              </w:rPr>
              <w:t>）</w:t>
            </w:r>
            <w:r>
              <w:rPr>
                <w:rFonts w:hint="eastAsia" w:hAnsi="宋体"/>
                <w:color w:val="auto"/>
                <w:sz w:val="24"/>
              </w:rPr>
              <w:t>，项目涉及的风险物质主要为机修废油等油类物质。项目在机械维修、设备运行中产生机修废油</w:t>
            </w:r>
            <w:r>
              <w:rPr>
                <w:rFonts w:hint="eastAsia" w:hAnsi="宋体"/>
                <w:color w:val="auto"/>
                <w:sz w:val="24"/>
                <w:lang w:val="en-US" w:eastAsia="zh-CN"/>
              </w:rPr>
              <w:t>0.01</w:t>
            </w:r>
            <w:r>
              <w:rPr>
                <w:rFonts w:hAnsi="宋体"/>
                <w:color w:val="auto"/>
                <w:sz w:val="24"/>
              </w:rPr>
              <w:t>t/a</w:t>
            </w:r>
            <w:r>
              <w:rPr>
                <w:rFonts w:hint="eastAsia" w:hAnsi="宋体"/>
                <w:color w:val="auto"/>
                <w:sz w:val="24"/>
                <w:lang w:eastAsia="zh-CN"/>
              </w:rPr>
              <w:t>，</w:t>
            </w:r>
            <w:r>
              <w:rPr>
                <w:rFonts w:hint="eastAsia" w:hAnsi="宋体"/>
                <w:color w:val="auto"/>
                <w:sz w:val="24"/>
              </w:rPr>
              <w:t>机修废油暂存于</w:t>
            </w:r>
            <w:r>
              <w:rPr>
                <w:rFonts w:hint="eastAsia" w:hAnsi="宋体"/>
                <w:color w:val="auto"/>
                <w:sz w:val="24"/>
                <w:lang w:eastAsia="zh-CN"/>
              </w:rPr>
              <w:t>云南常青树化工有限公司</w:t>
            </w:r>
            <w:r>
              <w:rPr>
                <w:rFonts w:hint="eastAsia" w:hAnsi="宋体"/>
                <w:color w:val="auto"/>
                <w:sz w:val="24"/>
              </w:rPr>
              <w:t>现有危险废物暂存间，定期委托已签订危废处置协议的</w:t>
            </w:r>
            <w:r>
              <w:rPr>
                <w:rFonts w:hint="eastAsia" w:hAnsi="宋体"/>
                <w:color w:val="auto"/>
                <w:sz w:val="24"/>
                <w:lang w:eastAsia="zh-CN"/>
              </w:rPr>
              <w:t>云南协快再生资源回收有限公司</w:t>
            </w:r>
            <w:r>
              <w:rPr>
                <w:rFonts w:hint="eastAsia" w:hAnsi="宋体"/>
                <w:color w:val="auto"/>
                <w:sz w:val="24"/>
              </w:rPr>
              <w:t>处理。</w:t>
            </w:r>
            <w:r>
              <w:rPr>
                <w:color w:val="auto"/>
                <w:sz w:val="24"/>
                <w:lang w:val="zh-CN"/>
              </w:rPr>
              <w:t>油类物质理化性质及危险性见表</w:t>
            </w:r>
            <w:r>
              <w:rPr>
                <w:color w:val="auto"/>
                <w:sz w:val="24"/>
              </w:rPr>
              <w:t>4-</w:t>
            </w:r>
            <w:r>
              <w:rPr>
                <w:rFonts w:hint="eastAsia"/>
                <w:color w:val="auto"/>
                <w:sz w:val="24"/>
                <w:lang w:val="en-US" w:eastAsia="zh-CN"/>
              </w:rPr>
              <w:t>14</w:t>
            </w:r>
            <w:r>
              <w:rPr>
                <w:color w:val="auto"/>
                <w:sz w:val="24"/>
              </w:rPr>
              <w:t>。</w:t>
            </w:r>
          </w:p>
          <w:p w14:paraId="4B02D1D5">
            <w:pPr>
              <w:adjustRightInd w:val="0"/>
              <w:snapToGrid w:val="0"/>
              <w:jc w:val="center"/>
              <w:rPr>
                <w:rStyle w:val="123"/>
                <w:b/>
                <w:snapToGrid w:val="0"/>
                <w:color w:val="auto"/>
                <w:sz w:val="24"/>
              </w:rPr>
            </w:pPr>
            <w:r>
              <w:rPr>
                <w:rStyle w:val="123"/>
                <w:b/>
                <w:snapToGrid w:val="0"/>
                <w:color w:val="auto"/>
                <w:sz w:val="24"/>
              </w:rPr>
              <w:t>表4-</w:t>
            </w:r>
            <w:r>
              <w:rPr>
                <w:rStyle w:val="123"/>
                <w:rFonts w:hint="eastAsia"/>
                <w:b/>
                <w:snapToGrid w:val="0"/>
                <w:color w:val="auto"/>
                <w:sz w:val="24"/>
                <w:lang w:val="en-US" w:eastAsia="zh-CN"/>
              </w:rPr>
              <w:t>14</w:t>
            </w:r>
            <w:r>
              <w:rPr>
                <w:rStyle w:val="123"/>
                <w:b/>
                <w:snapToGrid w:val="0"/>
                <w:color w:val="auto"/>
                <w:sz w:val="24"/>
              </w:rPr>
              <w:t xml:space="preserve">  矿物油理化性质及危险特性表</w:t>
            </w:r>
          </w:p>
          <w:tbl>
            <w:tblPr>
              <w:tblStyle w:val="45"/>
              <w:tblW w:w="838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19"/>
              <w:gridCol w:w="797"/>
              <w:gridCol w:w="2485"/>
              <w:gridCol w:w="4388"/>
            </w:tblGrid>
            <w:tr w14:paraId="0277E6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96" w:hRule="atLeast"/>
                <w:jc w:val="center"/>
              </w:trPr>
              <w:tc>
                <w:tcPr>
                  <w:tcW w:w="719" w:type="dxa"/>
                  <w:vMerge w:val="restart"/>
                  <w:vAlign w:val="center"/>
                </w:tcPr>
                <w:p w14:paraId="2E1F5F9D">
                  <w:pPr>
                    <w:spacing w:line="280" w:lineRule="exact"/>
                    <w:jc w:val="center"/>
                    <w:rPr>
                      <w:color w:val="auto"/>
                      <w:sz w:val="21"/>
                      <w:szCs w:val="21"/>
                    </w:rPr>
                  </w:pPr>
                  <w:r>
                    <w:rPr>
                      <w:color w:val="auto"/>
                      <w:sz w:val="21"/>
                      <w:szCs w:val="21"/>
                    </w:rPr>
                    <w:t>标识</w:t>
                  </w:r>
                </w:p>
              </w:tc>
              <w:tc>
                <w:tcPr>
                  <w:tcW w:w="7670" w:type="dxa"/>
                  <w:gridSpan w:val="3"/>
                  <w:vAlign w:val="center"/>
                </w:tcPr>
                <w:p w14:paraId="71B3DC9C">
                  <w:pPr>
                    <w:spacing w:line="280" w:lineRule="exact"/>
                    <w:jc w:val="center"/>
                    <w:rPr>
                      <w:color w:val="auto"/>
                      <w:sz w:val="21"/>
                      <w:szCs w:val="21"/>
                    </w:rPr>
                  </w:pPr>
                  <w:r>
                    <w:rPr>
                      <w:color w:val="auto"/>
                      <w:sz w:val="21"/>
                      <w:szCs w:val="21"/>
                    </w:rPr>
                    <w:t>中文名：矿物油</w:t>
                  </w:r>
                </w:p>
              </w:tc>
            </w:tr>
            <w:tr w14:paraId="155CAF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82" w:hRule="atLeast"/>
                <w:jc w:val="center"/>
              </w:trPr>
              <w:tc>
                <w:tcPr>
                  <w:tcW w:w="719" w:type="dxa"/>
                  <w:vMerge w:val="continue"/>
                  <w:vAlign w:val="center"/>
                </w:tcPr>
                <w:p w14:paraId="439881BC">
                  <w:pPr>
                    <w:spacing w:line="280" w:lineRule="exact"/>
                    <w:jc w:val="center"/>
                    <w:rPr>
                      <w:color w:val="auto"/>
                      <w:sz w:val="21"/>
                      <w:szCs w:val="21"/>
                    </w:rPr>
                  </w:pPr>
                </w:p>
              </w:tc>
              <w:tc>
                <w:tcPr>
                  <w:tcW w:w="7670" w:type="dxa"/>
                  <w:gridSpan w:val="3"/>
                  <w:vAlign w:val="center"/>
                </w:tcPr>
                <w:p w14:paraId="550FB8EF">
                  <w:pPr>
                    <w:spacing w:line="280" w:lineRule="exact"/>
                    <w:jc w:val="center"/>
                    <w:rPr>
                      <w:color w:val="auto"/>
                      <w:sz w:val="21"/>
                      <w:szCs w:val="21"/>
                    </w:rPr>
                  </w:pPr>
                  <w:r>
                    <w:rPr>
                      <w:color w:val="auto"/>
                      <w:sz w:val="21"/>
                      <w:szCs w:val="21"/>
                    </w:rPr>
                    <w:t>英文名：paraffin</w:t>
                  </w:r>
                </w:p>
              </w:tc>
            </w:tr>
            <w:tr w14:paraId="2F5BED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53" w:hRule="atLeast"/>
                <w:jc w:val="center"/>
              </w:trPr>
              <w:tc>
                <w:tcPr>
                  <w:tcW w:w="719" w:type="dxa"/>
                  <w:vMerge w:val="continue"/>
                  <w:vAlign w:val="center"/>
                </w:tcPr>
                <w:p w14:paraId="08D2B5AE">
                  <w:pPr>
                    <w:spacing w:line="280" w:lineRule="exact"/>
                    <w:jc w:val="center"/>
                    <w:rPr>
                      <w:color w:val="auto"/>
                      <w:sz w:val="21"/>
                      <w:szCs w:val="21"/>
                    </w:rPr>
                  </w:pPr>
                </w:p>
              </w:tc>
              <w:tc>
                <w:tcPr>
                  <w:tcW w:w="7670" w:type="dxa"/>
                  <w:gridSpan w:val="3"/>
                  <w:vAlign w:val="center"/>
                </w:tcPr>
                <w:p w14:paraId="59A7F493">
                  <w:pPr>
                    <w:spacing w:line="280" w:lineRule="exact"/>
                    <w:jc w:val="center"/>
                    <w:rPr>
                      <w:color w:val="auto"/>
                      <w:sz w:val="21"/>
                      <w:szCs w:val="21"/>
                    </w:rPr>
                  </w:pPr>
                  <w:r>
                    <w:rPr>
                      <w:color w:val="auto"/>
                      <w:sz w:val="21"/>
                      <w:szCs w:val="21"/>
                    </w:rPr>
                    <w:t>危险性类别：可燃液体</w:t>
                  </w:r>
                </w:p>
              </w:tc>
            </w:tr>
            <w:tr w14:paraId="4714A2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9" w:hRule="atLeast"/>
                <w:jc w:val="center"/>
              </w:trPr>
              <w:tc>
                <w:tcPr>
                  <w:tcW w:w="719" w:type="dxa"/>
                  <w:vMerge w:val="restart"/>
                  <w:vAlign w:val="center"/>
                </w:tcPr>
                <w:p w14:paraId="761FBDC7">
                  <w:pPr>
                    <w:spacing w:line="280" w:lineRule="exact"/>
                    <w:jc w:val="center"/>
                    <w:rPr>
                      <w:color w:val="auto"/>
                      <w:sz w:val="21"/>
                      <w:szCs w:val="21"/>
                    </w:rPr>
                  </w:pPr>
                  <w:r>
                    <w:rPr>
                      <w:color w:val="auto"/>
                      <w:sz w:val="21"/>
                      <w:szCs w:val="21"/>
                    </w:rPr>
                    <w:t>理化</w:t>
                  </w:r>
                </w:p>
                <w:p w14:paraId="01C47D47">
                  <w:pPr>
                    <w:spacing w:line="280" w:lineRule="exact"/>
                    <w:jc w:val="center"/>
                    <w:rPr>
                      <w:color w:val="auto"/>
                      <w:sz w:val="21"/>
                      <w:szCs w:val="21"/>
                    </w:rPr>
                  </w:pPr>
                  <w:r>
                    <w:rPr>
                      <w:color w:val="auto"/>
                      <w:sz w:val="21"/>
                      <w:szCs w:val="21"/>
                    </w:rPr>
                    <w:t>性质</w:t>
                  </w:r>
                </w:p>
              </w:tc>
              <w:tc>
                <w:tcPr>
                  <w:tcW w:w="7670" w:type="dxa"/>
                  <w:gridSpan w:val="3"/>
                  <w:vAlign w:val="center"/>
                </w:tcPr>
                <w:p w14:paraId="214D35E4">
                  <w:pPr>
                    <w:spacing w:line="280" w:lineRule="exact"/>
                    <w:jc w:val="center"/>
                    <w:rPr>
                      <w:color w:val="auto"/>
                      <w:sz w:val="21"/>
                      <w:szCs w:val="21"/>
                    </w:rPr>
                  </w:pPr>
                  <w:r>
                    <w:rPr>
                      <w:color w:val="auto"/>
                      <w:sz w:val="21"/>
                      <w:szCs w:val="21"/>
                    </w:rPr>
                    <w:t>外观与性状：</w:t>
                  </w:r>
                  <w:r>
                    <w:rPr>
                      <w:rFonts w:hint="eastAsia"/>
                      <w:color w:val="auto"/>
                      <w:sz w:val="21"/>
                      <w:szCs w:val="21"/>
                    </w:rPr>
                    <w:t>无色透明油状黏性液体，室温下无嗅无味或略带异味，对酸、热、光都很稳定。</w:t>
                  </w:r>
                </w:p>
              </w:tc>
            </w:tr>
            <w:tr w14:paraId="207B5B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19" w:type="dxa"/>
                  <w:vMerge w:val="continue"/>
                  <w:vAlign w:val="center"/>
                </w:tcPr>
                <w:p w14:paraId="4A40A0C3">
                  <w:pPr>
                    <w:spacing w:line="280" w:lineRule="exact"/>
                    <w:jc w:val="center"/>
                    <w:rPr>
                      <w:color w:val="auto"/>
                      <w:sz w:val="21"/>
                      <w:szCs w:val="21"/>
                    </w:rPr>
                  </w:pPr>
                </w:p>
              </w:tc>
              <w:tc>
                <w:tcPr>
                  <w:tcW w:w="3282" w:type="dxa"/>
                  <w:gridSpan w:val="2"/>
                  <w:vAlign w:val="center"/>
                </w:tcPr>
                <w:p w14:paraId="23684BAD">
                  <w:pPr>
                    <w:spacing w:line="280" w:lineRule="exact"/>
                    <w:jc w:val="center"/>
                    <w:rPr>
                      <w:color w:val="auto"/>
                      <w:sz w:val="21"/>
                      <w:szCs w:val="21"/>
                    </w:rPr>
                  </w:pPr>
                  <w:r>
                    <w:rPr>
                      <w:color w:val="auto"/>
                      <w:sz w:val="21"/>
                      <w:szCs w:val="21"/>
                    </w:rPr>
                    <w:t>熔点（℃）：-</w:t>
                  </w:r>
                </w:p>
              </w:tc>
              <w:tc>
                <w:tcPr>
                  <w:tcW w:w="4388" w:type="dxa"/>
                  <w:vAlign w:val="center"/>
                </w:tcPr>
                <w:p w14:paraId="09EF11A5">
                  <w:pPr>
                    <w:spacing w:line="280" w:lineRule="exact"/>
                    <w:jc w:val="center"/>
                    <w:rPr>
                      <w:color w:val="auto"/>
                      <w:sz w:val="21"/>
                      <w:szCs w:val="21"/>
                    </w:rPr>
                  </w:pPr>
                  <w:r>
                    <w:rPr>
                      <w:color w:val="auto"/>
                      <w:sz w:val="21"/>
                      <w:szCs w:val="21"/>
                    </w:rPr>
                    <w:t>沸点（℃）：-</w:t>
                  </w:r>
                </w:p>
              </w:tc>
            </w:tr>
            <w:tr w14:paraId="3ECCF8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82" w:hRule="atLeast"/>
                <w:jc w:val="center"/>
              </w:trPr>
              <w:tc>
                <w:tcPr>
                  <w:tcW w:w="719" w:type="dxa"/>
                  <w:vMerge w:val="continue"/>
                  <w:vAlign w:val="center"/>
                </w:tcPr>
                <w:p w14:paraId="494D36EA">
                  <w:pPr>
                    <w:spacing w:line="280" w:lineRule="exact"/>
                    <w:jc w:val="center"/>
                    <w:rPr>
                      <w:color w:val="auto"/>
                      <w:sz w:val="21"/>
                      <w:szCs w:val="21"/>
                    </w:rPr>
                  </w:pPr>
                </w:p>
              </w:tc>
              <w:tc>
                <w:tcPr>
                  <w:tcW w:w="3282" w:type="dxa"/>
                  <w:gridSpan w:val="2"/>
                  <w:vAlign w:val="center"/>
                </w:tcPr>
                <w:p w14:paraId="689E9D27">
                  <w:pPr>
                    <w:spacing w:line="280" w:lineRule="exact"/>
                    <w:jc w:val="center"/>
                    <w:rPr>
                      <w:color w:val="auto"/>
                      <w:sz w:val="21"/>
                      <w:szCs w:val="21"/>
                    </w:rPr>
                  </w:pPr>
                  <w:r>
                    <w:rPr>
                      <w:color w:val="auto"/>
                      <w:sz w:val="21"/>
                      <w:szCs w:val="21"/>
                    </w:rPr>
                    <w:t>临界温度（℃）：-</w:t>
                  </w:r>
                </w:p>
              </w:tc>
              <w:tc>
                <w:tcPr>
                  <w:tcW w:w="4388" w:type="dxa"/>
                  <w:vAlign w:val="center"/>
                </w:tcPr>
                <w:p w14:paraId="39EF183C">
                  <w:pPr>
                    <w:spacing w:line="280" w:lineRule="exact"/>
                    <w:jc w:val="center"/>
                    <w:rPr>
                      <w:color w:val="auto"/>
                      <w:sz w:val="21"/>
                      <w:szCs w:val="21"/>
                    </w:rPr>
                  </w:pPr>
                  <w:r>
                    <w:rPr>
                      <w:color w:val="auto"/>
                      <w:sz w:val="21"/>
                      <w:szCs w:val="21"/>
                    </w:rPr>
                    <w:t>临界压力（MPa）：-</w:t>
                  </w:r>
                </w:p>
              </w:tc>
            </w:tr>
            <w:tr w14:paraId="391B3F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82" w:hRule="atLeast"/>
                <w:jc w:val="center"/>
              </w:trPr>
              <w:tc>
                <w:tcPr>
                  <w:tcW w:w="719" w:type="dxa"/>
                  <w:vMerge w:val="continue"/>
                  <w:vAlign w:val="center"/>
                </w:tcPr>
                <w:p w14:paraId="14865A93">
                  <w:pPr>
                    <w:spacing w:line="280" w:lineRule="exact"/>
                    <w:jc w:val="center"/>
                    <w:rPr>
                      <w:color w:val="auto"/>
                      <w:sz w:val="21"/>
                      <w:szCs w:val="21"/>
                    </w:rPr>
                  </w:pPr>
                </w:p>
              </w:tc>
              <w:tc>
                <w:tcPr>
                  <w:tcW w:w="3282" w:type="dxa"/>
                  <w:gridSpan w:val="2"/>
                  <w:vAlign w:val="center"/>
                </w:tcPr>
                <w:p w14:paraId="0350E793">
                  <w:pPr>
                    <w:spacing w:line="280" w:lineRule="exact"/>
                    <w:jc w:val="center"/>
                    <w:rPr>
                      <w:color w:val="auto"/>
                      <w:sz w:val="21"/>
                      <w:szCs w:val="21"/>
                    </w:rPr>
                  </w:pPr>
                  <w:r>
                    <w:rPr>
                      <w:color w:val="auto"/>
                      <w:sz w:val="21"/>
                      <w:szCs w:val="21"/>
                    </w:rPr>
                    <w:t>饱和蒸气压（KPa）：-</w:t>
                  </w:r>
                </w:p>
              </w:tc>
              <w:tc>
                <w:tcPr>
                  <w:tcW w:w="4388" w:type="dxa"/>
                  <w:vAlign w:val="center"/>
                </w:tcPr>
                <w:p w14:paraId="78EF311F">
                  <w:pPr>
                    <w:spacing w:line="280" w:lineRule="exact"/>
                    <w:jc w:val="center"/>
                    <w:rPr>
                      <w:color w:val="auto"/>
                      <w:sz w:val="21"/>
                      <w:szCs w:val="21"/>
                    </w:rPr>
                  </w:pPr>
                  <w:r>
                    <w:rPr>
                      <w:color w:val="auto"/>
                      <w:sz w:val="21"/>
                      <w:szCs w:val="21"/>
                    </w:rPr>
                    <w:t>燃烧热 （KJ／mol）：-</w:t>
                  </w:r>
                </w:p>
              </w:tc>
            </w:tr>
            <w:tr w14:paraId="4F911A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97" w:hRule="atLeast"/>
                <w:jc w:val="center"/>
              </w:trPr>
              <w:tc>
                <w:tcPr>
                  <w:tcW w:w="719" w:type="dxa"/>
                  <w:vMerge w:val="continue"/>
                  <w:vAlign w:val="center"/>
                </w:tcPr>
                <w:p w14:paraId="7E308540">
                  <w:pPr>
                    <w:spacing w:line="280" w:lineRule="exact"/>
                    <w:jc w:val="center"/>
                    <w:rPr>
                      <w:color w:val="auto"/>
                      <w:sz w:val="21"/>
                      <w:szCs w:val="21"/>
                    </w:rPr>
                  </w:pPr>
                </w:p>
              </w:tc>
              <w:tc>
                <w:tcPr>
                  <w:tcW w:w="7670" w:type="dxa"/>
                  <w:gridSpan w:val="3"/>
                  <w:vAlign w:val="center"/>
                </w:tcPr>
                <w:p w14:paraId="7B35CD0D">
                  <w:pPr>
                    <w:spacing w:line="280" w:lineRule="exact"/>
                    <w:jc w:val="center"/>
                    <w:rPr>
                      <w:color w:val="auto"/>
                      <w:sz w:val="21"/>
                      <w:szCs w:val="21"/>
                    </w:rPr>
                  </w:pPr>
                  <w:r>
                    <w:rPr>
                      <w:color w:val="auto"/>
                      <w:sz w:val="21"/>
                      <w:szCs w:val="21"/>
                    </w:rPr>
                    <w:t>密度：0.85 g/mL at 20 °C</w:t>
                  </w:r>
                </w:p>
              </w:tc>
            </w:tr>
            <w:tr w14:paraId="271634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74" w:hRule="atLeast"/>
                <w:jc w:val="center"/>
              </w:trPr>
              <w:tc>
                <w:tcPr>
                  <w:tcW w:w="719" w:type="dxa"/>
                  <w:vMerge w:val="continue"/>
                  <w:vAlign w:val="center"/>
                </w:tcPr>
                <w:p w14:paraId="56CD1EF9">
                  <w:pPr>
                    <w:spacing w:line="280" w:lineRule="exact"/>
                    <w:jc w:val="center"/>
                    <w:rPr>
                      <w:color w:val="auto"/>
                      <w:sz w:val="21"/>
                      <w:szCs w:val="21"/>
                    </w:rPr>
                  </w:pPr>
                </w:p>
              </w:tc>
              <w:tc>
                <w:tcPr>
                  <w:tcW w:w="7670" w:type="dxa"/>
                  <w:gridSpan w:val="3"/>
                  <w:vAlign w:val="center"/>
                </w:tcPr>
                <w:p w14:paraId="4DD56DB0">
                  <w:pPr>
                    <w:spacing w:line="280" w:lineRule="exact"/>
                    <w:jc w:val="center"/>
                    <w:rPr>
                      <w:color w:val="auto"/>
                      <w:sz w:val="21"/>
                      <w:szCs w:val="21"/>
                    </w:rPr>
                  </w:pPr>
                  <w:r>
                    <w:rPr>
                      <w:color w:val="auto"/>
                      <w:sz w:val="21"/>
                      <w:szCs w:val="21"/>
                    </w:rPr>
                    <w:t>溶解性：</w:t>
                  </w:r>
                  <w:r>
                    <w:rPr>
                      <w:rFonts w:hint="eastAsia"/>
                      <w:color w:val="auto"/>
                      <w:sz w:val="21"/>
                      <w:szCs w:val="21"/>
                    </w:rPr>
                    <w:t>不溶于水、甘油、冷乙醇。溶于热乙醇、二硫化碳、乙醚、酯、氯仿、苯、石油醚。除蓖麻油外，与许多油脂和蜡都能混合</w:t>
                  </w:r>
                </w:p>
              </w:tc>
            </w:tr>
            <w:tr w14:paraId="44F48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1" w:hRule="atLeast"/>
                <w:jc w:val="center"/>
              </w:trPr>
              <w:tc>
                <w:tcPr>
                  <w:tcW w:w="719" w:type="dxa"/>
                  <w:vMerge w:val="restart"/>
                  <w:vAlign w:val="center"/>
                </w:tcPr>
                <w:p w14:paraId="5CCCEE8F">
                  <w:pPr>
                    <w:spacing w:line="280" w:lineRule="exact"/>
                    <w:jc w:val="center"/>
                    <w:rPr>
                      <w:color w:val="auto"/>
                      <w:sz w:val="21"/>
                      <w:szCs w:val="21"/>
                    </w:rPr>
                  </w:pPr>
                  <w:r>
                    <w:rPr>
                      <w:color w:val="auto"/>
                      <w:sz w:val="21"/>
                      <w:szCs w:val="21"/>
                    </w:rPr>
                    <w:t>燃烧爆炸危险性</w:t>
                  </w:r>
                </w:p>
              </w:tc>
              <w:tc>
                <w:tcPr>
                  <w:tcW w:w="7670" w:type="dxa"/>
                  <w:gridSpan w:val="3"/>
                  <w:vAlign w:val="center"/>
                </w:tcPr>
                <w:p w14:paraId="46FDFE6A">
                  <w:pPr>
                    <w:spacing w:line="280" w:lineRule="exact"/>
                    <w:jc w:val="center"/>
                    <w:rPr>
                      <w:color w:val="auto"/>
                      <w:sz w:val="21"/>
                      <w:szCs w:val="21"/>
                    </w:rPr>
                  </w:pPr>
                  <w:r>
                    <w:rPr>
                      <w:color w:val="auto"/>
                      <w:sz w:val="21"/>
                      <w:szCs w:val="21"/>
                    </w:rPr>
                    <w:t>燃烧性：本品可燃，具窒息性。</w:t>
                  </w:r>
                </w:p>
              </w:tc>
            </w:tr>
            <w:tr w14:paraId="7004D1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10" w:hRule="atLeast"/>
                <w:jc w:val="center"/>
              </w:trPr>
              <w:tc>
                <w:tcPr>
                  <w:tcW w:w="719" w:type="dxa"/>
                  <w:vMerge w:val="continue"/>
                  <w:vAlign w:val="center"/>
                </w:tcPr>
                <w:p w14:paraId="7137A93D">
                  <w:pPr>
                    <w:spacing w:line="280" w:lineRule="exact"/>
                    <w:jc w:val="center"/>
                    <w:rPr>
                      <w:color w:val="auto"/>
                      <w:sz w:val="21"/>
                      <w:szCs w:val="21"/>
                    </w:rPr>
                  </w:pPr>
                </w:p>
              </w:tc>
              <w:tc>
                <w:tcPr>
                  <w:tcW w:w="3282" w:type="dxa"/>
                  <w:gridSpan w:val="2"/>
                  <w:vAlign w:val="center"/>
                </w:tcPr>
                <w:p w14:paraId="238E545C">
                  <w:pPr>
                    <w:spacing w:line="280" w:lineRule="exact"/>
                    <w:jc w:val="center"/>
                    <w:rPr>
                      <w:color w:val="auto"/>
                      <w:sz w:val="21"/>
                      <w:szCs w:val="21"/>
                    </w:rPr>
                  </w:pPr>
                  <w:r>
                    <w:rPr>
                      <w:color w:val="auto"/>
                      <w:sz w:val="21"/>
                      <w:szCs w:val="21"/>
                    </w:rPr>
                    <w:t>引燃温度（℃）：300</w:t>
                  </w:r>
                </w:p>
              </w:tc>
              <w:tc>
                <w:tcPr>
                  <w:tcW w:w="4388" w:type="dxa"/>
                  <w:vAlign w:val="center"/>
                </w:tcPr>
                <w:p w14:paraId="5E09C1DC">
                  <w:pPr>
                    <w:spacing w:line="280" w:lineRule="exact"/>
                    <w:jc w:val="center"/>
                    <w:rPr>
                      <w:color w:val="auto"/>
                      <w:sz w:val="21"/>
                      <w:szCs w:val="21"/>
                    </w:rPr>
                  </w:pPr>
                  <w:r>
                    <w:rPr>
                      <w:color w:val="auto"/>
                      <w:sz w:val="21"/>
                      <w:szCs w:val="21"/>
                    </w:rPr>
                    <w:t>闪点（℃）：220</w:t>
                  </w:r>
                </w:p>
              </w:tc>
            </w:tr>
            <w:tr w14:paraId="60664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68" w:hRule="atLeast"/>
                <w:jc w:val="center"/>
              </w:trPr>
              <w:tc>
                <w:tcPr>
                  <w:tcW w:w="719" w:type="dxa"/>
                  <w:vMerge w:val="continue"/>
                  <w:vAlign w:val="center"/>
                </w:tcPr>
                <w:p w14:paraId="2C23CACE">
                  <w:pPr>
                    <w:spacing w:line="280" w:lineRule="exact"/>
                    <w:jc w:val="center"/>
                    <w:rPr>
                      <w:color w:val="auto"/>
                      <w:sz w:val="21"/>
                      <w:szCs w:val="21"/>
                    </w:rPr>
                  </w:pPr>
                </w:p>
              </w:tc>
              <w:tc>
                <w:tcPr>
                  <w:tcW w:w="3282" w:type="dxa"/>
                  <w:gridSpan w:val="2"/>
                  <w:vAlign w:val="center"/>
                </w:tcPr>
                <w:p w14:paraId="3DB3F5D9">
                  <w:pPr>
                    <w:spacing w:line="280" w:lineRule="exact"/>
                    <w:jc w:val="center"/>
                    <w:rPr>
                      <w:color w:val="auto"/>
                      <w:sz w:val="21"/>
                      <w:szCs w:val="21"/>
                    </w:rPr>
                  </w:pPr>
                  <w:r>
                    <w:rPr>
                      <w:color w:val="auto"/>
                      <w:sz w:val="21"/>
                      <w:szCs w:val="21"/>
                    </w:rPr>
                    <w:t>爆炸下限（%）：-</w:t>
                  </w:r>
                </w:p>
              </w:tc>
              <w:tc>
                <w:tcPr>
                  <w:tcW w:w="4388" w:type="dxa"/>
                  <w:vAlign w:val="center"/>
                </w:tcPr>
                <w:p w14:paraId="6ED68AB1">
                  <w:pPr>
                    <w:spacing w:line="280" w:lineRule="exact"/>
                    <w:jc w:val="center"/>
                    <w:rPr>
                      <w:color w:val="auto"/>
                      <w:sz w:val="21"/>
                      <w:szCs w:val="21"/>
                    </w:rPr>
                  </w:pPr>
                  <w:r>
                    <w:rPr>
                      <w:color w:val="auto"/>
                      <w:sz w:val="21"/>
                      <w:szCs w:val="21"/>
                    </w:rPr>
                    <w:t>爆炸上限（%）：-</w:t>
                  </w:r>
                </w:p>
              </w:tc>
            </w:tr>
            <w:tr w14:paraId="46018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39" w:hRule="atLeast"/>
                <w:jc w:val="center"/>
              </w:trPr>
              <w:tc>
                <w:tcPr>
                  <w:tcW w:w="719" w:type="dxa"/>
                  <w:vMerge w:val="continue"/>
                  <w:vAlign w:val="center"/>
                </w:tcPr>
                <w:p w14:paraId="45CA134C">
                  <w:pPr>
                    <w:spacing w:line="280" w:lineRule="exact"/>
                    <w:jc w:val="center"/>
                    <w:rPr>
                      <w:color w:val="auto"/>
                      <w:sz w:val="21"/>
                      <w:szCs w:val="21"/>
                    </w:rPr>
                  </w:pPr>
                </w:p>
              </w:tc>
              <w:tc>
                <w:tcPr>
                  <w:tcW w:w="3282" w:type="dxa"/>
                  <w:gridSpan w:val="2"/>
                  <w:vAlign w:val="center"/>
                </w:tcPr>
                <w:p w14:paraId="584F9602">
                  <w:pPr>
                    <w:spacing w:line="280" w:lineRule="exact"/>
                    <w:jc w:val="center"/>
                    <w:rPr>
                      <w:color w:val="auto"/>
                      <w:sz w:val="21"/>
                      <w:szCs w:val="21"/>
                    </w:rPr>
                  </w:pPr>
                  <w:r>
                    <w:rPr>
                      <w:color w:val="auto"/>
                      <w:sz w:val="21"/>
                      <w:szCs w:val="21"/>
                    </w:rPr>
                    <w:t>最小点火能（mj）：-</w:t>
                  </w:r>
                </w:p>
              </w:tc>
              <w:tc>
                <w:tcPr>
                  <w:tcW w:w="4388" w:type="dxa"/>
                  <w:vAlign w:val="center"/>
                </w:tcPr>
                <w:p w14:paraId="6223913A">
                  <w:pPr>
                    <w:spacing w:line="280" w:lineRule="exact"/>
                    <w:jc w:val="center"/>
                    <w:rPr>
                      <w:color w:val="auto"/>
                      <w:sz w:val="21"/>
                      <w:szCs w:val="21"/>
                    </w:rPr>
                  </w:pPr>
                  <w:r>
                    <w:rPr>
                      <w:color w:val="auto"/>
                      <w:sz w:val="21"/>
                      <w:szCs w:val="21"/>
                    </w:rPr>
                    <w:t>最大爆炸压力(MPa)：-</w:t>
                  </w:r>
                </w:p>
              </w:tc>
            </w:tr>
            <w:tr w14:paraId="5B57B3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3" w:hRule="atLeast"/>
                <w:jc w:val="center"/>
              </w:trPr>
              <w:tc>
                <w:tcPr>
                  <w:tcW w:w="719" w:type="dxa"/>
                  <w:vMerge w:val="continue"/>
                  <w:vAlign w:val="center"/>
                </w:tcPr>
                <w:p w14:paraId="6DE709EA">
                  <w:pPr>
                    <w:spacing w:line="280" w:lineRule="exact"/>
                    <w:jc w:val="center"/>
                    <w:rPr>
                      <w:color w:val="auto"/>
                      <w:sz w:val="21"/>
                      <w:szCs w:val="21"/>
                    </w:rPr>
                  </w:pPr>
                </w:p>
              </w:tc>
              <w:tc>
                <w:tcPr>
                  <w:tcW w:w="797" w:type="dxa"/>
                  <w:vAlign w:val="center"/>
                </w:tcPr>
                <w:p w14:paraId="32EAECF0">
                  <w:pPr>
                    <w:spacing w:line="280" w:lineRule="exact"/>
                    <w:jc w:val="center"/>
                    <w:rPr>
                      <w:color w:val="auto"/>
                      <w:sz w:val="21"/>
                      <w:szCs w:val="21"/>
                    </w:rPr>
                  </w:pPr>
                  <w:r>
                    <w:rPr>
                      <w:color w:val="auto"/>
                      <w:sz w:val="21"/>
                      <w:szCs w:val="21"/>
                    </w:rPr>
                    <w:t>危险</w:t>
                  </w:r>
                </w:p>
                <w:p w14:paraId="6D30D84B">
                  <w:pPr>
                    <w:spacing w:line="280" w:lineRule="exact"/>
                    <w:jc w:val="center"/>
                    <w:rPr>
                      <w:color w:val="auto"/>
                      <w:sz w:val="21"/>
                      <w:szCs w:val="21"/>
                    </w:rPr>
                  </w:pPr>
                  <w:r>
                    <w:rPr>
                      <w:color w:val="auto"/>
                      <w:sz w:val="21"/>
                      <w:szCs w:val="21"/>
                    </w:rPr>
                    <w:t>特性</w:t>
                  </w:r>
                </w:p>
              </w:tc>
              <w:tc>
                <w:tcPr>
                  <w:tcW w:w="6873" w:type="dxa"/>
                  <w:gridSpan w:val="2"/>
                  <w:vAlign w:val="center"/>
                </w:tcPr>
                <w:p w14:paraId="0C5967BA">
                  <w:pPr>
                    <w:spacing w:line="280" w:lineRule="exact"/>
                    <w:jc w:val="center"/>
                    <w:rPr>
                      <w:color w:val="auto"/>
                      <w:sz w:val="21"/>
                      <w:szCs w:val="21"/>
                    </w:rPr>
                  </w:pPr>
                  <w:r>
                    <w:rPr>
                      <w:color w:val="auto"/>
                      <w:sz w:val="21"/>
                      <w:szCs w:val="21"/>
                    </w:rPr>
                    <w:t>遇明火、高热可燃</w:t>
                  </w:r>
                </w:p>
              </w:tc>
            </w:tr>
            <w:tr w14:paraId="10FB69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719" w:type="dxa"/>
                  <w:vMerge w:val="continue"/>
                  <w:vAlign w:val="center"/>
                </w:tcPr>
                <w:p w14:paraId="57940B36">
                  <w:pPr>
                    <w:spacing w:line="280" w:lineRule="exact"/>
                    <w:jc w:val="center"/>
                    <w:rPr>
                      <w:color w:val="auto"/>
                      <w:sz w:val="21"/>
                      <w:szCs w:val="21"/>
                    </w:rPr>
                  </w:pPr>
                </w:p>
              </w:tc>
              <w:tc>
                <w:tcPr>
                  <w:tcW w:w="797" w:type="dxa"/>
                  <w:vAlign w:val="center"/>
                </w:tcPr>
                <w:p w14:paraId="3F7D7B21">
                  <w:pPr>
                    <w:spacing w:line="280" w:lineRule="exact"/>
                    <w:jc w:val="center"/>
                    <w:rPr>
                      <w:color w:val="auto"/>
                      <w:sz w:val="21"/>
                      <w:szCs w:val="21"/>
                    </w:rPr>
                  </w:pPr>
                  <w:r>
                    <w:rPr>
                      <w:color w:val="auto"/>
                      <w:sz w:val="21"/>
                      <w:szCs w:val="21"/>
                    </w:rPr>
                    <w:t>禁配物</w:t>
                  </w:r>
                </w:p>
              </w:tc>
              <w:tc>
                <w:tcPr>
                  <w:tcW w:w="6873" w:type="dxa"/>
                  <w:gridSpan w:val="2"/>
                  <w:vAlign w:val="center"/>
                </w:tcPr>
                <w:p w14:paraId="1162885C">
                  <w:pPr>
                    <w:spacing w:line="280" w:lineRule="exact"/>
                    <w:jc w:val="center"/>
                    <w:rPr>
                      <w:color w:val="auto"/>
                      <w:sz w:val="21"/>
                      <w:szCs w:val="21"/>
                    </w:rPr>
                  </w:pPr>
                  <w:r>
                    <w:rPr>
                      <w:color w:val="auto"/>
                      <w:sz w:val="21"/>
                      <w:szCs w:val="21"/>
                    </w:rPr>
                    <w:t>/</w:t>
                  </w:r>
                </w:p>
              </w:tc>
            </w:tr>
            <w:tr w14:paraId="2E7FC1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46" w:hRule="atLeast"/>
                <w:jc w:val="center"/>
              </w:trPr>
              <w:tc>
                <w:tcPr>
                  <w:tcW w:w="719" w:type="dxa"/>
                  <w:vMerge w:val="continue"/>
                  <w:vAlign w:val="center"/>
                </w:tcPr>
                <w:p w14:paraId="17B2E065">
                  <w:pPr>
                    <w:spacing w:line="280" w:lineRule="exact"/>
                    <w:jc w:val="center"/>
                    <w:rPr>
                      <w:color w:val="auto"/>
                      <w:sz w:val="21"/>
                      <w:szCs w:val="21"/>
                    </w:rPr>
                  </w:pPr>
                </w:p>
              </w:tc>
              <w:tc>
                <w:tcPr>
                  <w:tcW w:w="797" w:type="dxa"/>
                  <w:vAlign w:val="center"/>
                </w:tcPr>
                <w:p w14:paraId="31B071D0">
                  <w:pPr>
                    <w:spacing w:line="280" w:lineRule="exact"/>
                    <w:jc w:val="center"/>
                    <w:rPr>
                      <w:color w:val="auto"/>
                      <w:sz w:val="21"/>
                      <w:szCs w:val="21"/>
                    </w:rPr>
                  </w:pPr>
                  <w:r>
                    <w:rPr>
                      <w:color w:val="auto"/>
                      <w:sz w:val="21"/>
                      <w:szCs w:val="21"/>
                    </w:rPr>
                    <w:t>消防</w:t>
                  </w:r>
                </w:p>
                <w:p w14:paraId="09A16949">
                  <w:pPr>
                    <w:spacing w:line="280" w:lineRule="exact"/>
                    <w:jc w:val="center"/>
                    <w:rPr>
                      <w:color w:val="auto"/>
                      <w:sz w:val="21"/>
                      <w:szCs w:val="21"/>
                    </w:rPr>
                  </w:pPr>
                  <w:r>
                    <w:rPr>
                      <w:color w:val="auto"/>
                      <w:sz w:val="21"/>
                      <w:szCs w:val="21"/>
                    </w:rPr>
                    <w:t>措施</w:t>
                  </w:r>
                </w:p>
              </w:tc>
              <w:tc>
                <w:tcPr>
                  <w:tcW w:w="6873" w:type="dxa"/>
                  <w:gridSpan w:val="2"/>
                  <w:vAlign w:val="center"/>
                </w:tcPr>
                <w:p w14:paraId="1D40FAA9">
                  <w:pPr>
                    <w:spacing w:line="280" w:lineRule="exact"/>
                    <w:jc w:val="center"/>
                    <w:rPr>
                      <w:color w:val="auto"/>
                      <w:sz w:val="21"/>
                      <w:szCs w:val="21"/>
                    </w:rPr>
                  </w:pPr>
                  <w:r>
                    <w:rPr>
                      <w:color w:val="auto"/>
                      <w:sz w:val="21"/>
                      <w:szCs w:val="21"/>
                    </w:rPr>
                    <w:t>消防人员须佩戴防毒面具、身穿全身消防服，在上风险灭活。尽可能将容器从火场移至空旷处。喷水保持火场容器冷却，直至灭活结束。处在火场中的容器若已变色或从安全泄压装置中产生声音，必须马上撤离。</w:t>
                  </w:r>
                </w:p>
                <w:p w14:paraId="0E38BE22">
                  <w:pPr>
                    <w:pStyle w:val="23"/>
                    <w:rPr>
                      <w:rFonts w:ascii="Times New Roman" w:hAnsi="Times New Roman"/>
                      <w:color w:val="auto"/>
                      <w:sz w:val="21"/>
                    </w:rPr>
                  </w:pPr>
                  <w:r>
                    <w:rPr>
                      <w:rFonts w:ascii="Times New Roman" w:hAnsi="Times New Roman"/>
                      <w:color w:val="auto"/>
                      <w:sz w:val="21"/>
                    </w:rPr>
                    <w:t>灭火剂：雾状水、泡沫、干粉、二氧化碳、砂土。</w:t>
                  </w:r>
                </w:p>
              </w:tc>
            </w:tr>
            <w:tr w14:paraId="39B0B6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42" w:hRule="atLeast"/>
                <w:jc w:val="center"/>
              </w:trPr>
              <w:tc>
                <w:tcPr>
                  <w:tcW w:w="719" w:type="dxa"/>
                  <w:vMerge w:val="restart"/>
                  <w:vAlign w:val="center"/>
                </w:tcPr>
                <w:p w14:paraId="271660A9">
                  <w:pPr>
                    <w:spacing w:line="280" w:lineRule="exact"/>
                    <w:jc w:val="center"/>
                    <w:rPr>
                      <w:color w:val="auto"/>
                      <w:sz w:val="21"/>
                      <w:szCs w:val="21"/>
                    </w:rPr>
                  </w:pPr>
                  <w:r>
                    <w:rPr>
                      <w:color w:val="auto"/>
                      <w:sz w:val="21"/>
                      <w:szCs w:val="21"/>
                    </w:rPr>
                    <w:t>毒性</w:t>
                  </w:r>
                </w:p>
              </w:tc>
              <w:tc>
                <w:tcPr>
                  <w:tcW w:w="797" w:type="dxa"/>
                  <w:vAlign w:val="center"/>
                </w:tcPr>
                <w:p w14:paraId="0AF892D2">
                  <w:pPr>
                    <w:spacing w:line="280" w:lineRule="exact"/>
                    <w:jc w:val="center"/>
                    <w:rPr>
                      <w:color w:val="auto"/>
                      <w:sz w:val="21"/>
                      <w:szCs w:val="21"/>
                    </w:rPr>
                  </w:pPr>
                  <w:r>
                    <w:rPr>
                      <w:color w:val="auto"/>
                      <w:sz w:val="21"/>
                      <w:szCs w:val="21"/>
                    </w:rPr>
                    <w:t>急性</w:t>
                  </w:r>
                </w:p>
                <w:p w14:paraId="50605914">
                  <w:pPr>
                    <w:spacing w:line="280" w:lineRule="exact"/>
                    <w:jc w:val="center"/>
                    <w:rPr>
                      <w:color w:val="auto"/>
                      <w:sz w:val="21"/>
                      <w:szCs w:val="21"/>
                    </w:rPr>
                  </w:pPr>
                  <w:r>
                    <w:rPr>
                      <w:color w:val="auto"/>
                      <w:sz w:val="21"/>
                      <w:szCs w:val="21"/>
                    </w:rPr>
                    <w:t>毒性</w:t>
                  </w:r>
                </w:p>
              </w:tc>
              <w:tc>
                <w:tcPr>
                  <w:tcW w:w="6873" w:type="dxa"/>
                  <w:gridSpan w:val="2"/>
                  <w:vAlign w:val="center"/>
                </w:tcPr>
                <w:p w14:paraId="5C685E8F">
                  <w:pPr>
                    <w:spacing w:line="280" w:lineRule="exact"/>
                    <w:jc w:val="center"/>
                    <w:rPr>
                      <w:color w:val="auto"/>
                      <w:sz w:val="21"/>
                      <w:szCs w:val="21"/>
                    </w:rPr>
                  </w:pPr>
                  <w:r>
                    <w:rPr>
                      <w:color w:val="auto"/>
                      <w:sz w:val="21"/>
                      <w:szCs w:val="21"/>
                    </w:rPr>
                    <w:t>LD50：无资料。</w:t>
                  </w:r>
                </w:p>
                <w:p w14:paraId="0BF539BA">
                  <w:pPr>
                    <w:spacing w:line="280" w:lineRule="exact"/>
                    <w:jc w:val="center"/>
                    <w:rPr>
                      <w:color w:val="auto"/>
                      <w:sz w:val="21"/>
                      <w:szCs w:val="21"/>
                    </w:rPr>
                  </w:pPr>
                  <w:r>
                    <w:rPr>
                      <w:color w:val="auto"/>
                      <w:sz w:val="21"/>
                      <w:szCs w:val="21"/>
                    </w:rPr>
                    <w:t>LC50：无资料</w:t>
                  </w:r>
                </w:p>
              </w:tc>
            </w:tr>
            <w:tr w14:paraId="59989A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90" w:hRule="atLeast"/>
                <w:jc w:val="center"/>
              </w:trPr>
              <w:tc>
                <w:tcPr>
                  <w:tcW w:w="719" w:type="dxa"/>
                  <w:vMerge w:val="continue"/>
                  <w:vAlign w:val="center"/>
                </w:tcPr>
                <w:p w14:paraId="260911F4">
                  <w:pPr>
                    <w:spacing w:line="280" w:lineRule="exact"/>
                    <w:jc w:val="center"/>
                    <w:rPr>
                      <w:color w:val="auto"/>
                      <w:sz w:val="21"/>
                      <w:szCs w:val="21"/>
                    </w:rPr>
                  </w:pPr>
                </w:p>
              </w:tc>
              <w:tc>
                <w:tcPr>
                  <w:tcW w:w="797" w:type="dxa"/>
                  <w:vAlign w:val="center"/>
                </w:tcPr>
                <w:p w14:paraId="7383C730">
                  <w:pPr>
                    <w:spacing w:line="280" w:lineRule="exact"/>
                    <w:jc w:val="center"/>
                    <w:rPr>
                      <w:color w:val="auto"/>
                      <w:sz w:val="21"/>
                      <w:szCs w:val="21"/>
                    </w:rPr>
                  </w:pPr>
                  <w:r>
                    <w:rPr>
                      <w:color w:val="auto"/>
                      <w:sz w:val="21"/>
                      <w:szCs w:val="21"/>
                    </w:rPr>
                    <w:t>毒性</w:t>
                  </w:r>
                </w:p>
              </w:tc>
              <w:tc>
                <w:tcPr>
                  <w:tcW w:w="6873" w:type="dxa"/>
                  <w:gridSpan w:val="2"/>
                  <w:vAlign w:val="center"/>
                </w:tcPr>
                <w:p w14:paraId="25E78EE9">
                  <w:pPr>
                    <w:spacing w:line="280" w:lineRule="exact"/>
                    <w:jc w:val="center"/>
                    <w:rPr>
                      <w:color w:val="auto"/>
                      <w:sz w:val="21"/>
                      <w:szCs w:val="21"/>
                    </w:rPr>
                  </w:pPr>
                  <w:r>
                    <w:rPr>
                      <w:color w:val="auto"/>
                      <w:sz w:val="21"/>
                      <w:szCs w:val="21"/>
                    </w:rPr>
                    <w:t>无资料</w:t>
                  </w:r>
                </w:p>
              </w:tc>
            </w:tr>
            <w:tr w14:paraId="497036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60" w:hRule="atLeast"/>
                <w:jc w:val="center"/>
              </w:trPr>
              <w:tc>
                <w:tcPr>
                  <w:tcW w:w="719" w:type="dxa"/>
                  <w:vMerge w:val="continue"/>
                  <w:vAlign w:val="center"/>
                </w:tcPr>
                <w:p w14:paraId="5994C778">
                  <w:pPr>
                    <w:spacing w:line="280" w:lineRule="exact"/>
                    <w:jc w:val="center"/>
                    <w:rPr>
                      <w:color w:val="auto"/>
                      <w:sz w:val="21"/>
                      <w:szCs w:val="21"/>
                    </w:rPr>
                  </w:pPr>
                </w:p>
              </w:tc>
              <w:tc>
                <w:tcPr>
                  <w:tcW w:w="797" w:type="dxa"/>
                  <w:vAlign w:val="center"/>
                </w:tcPr>
                <w:p w14:paraId="05FB7E8A">
                  <w:pPr>
                    <w:spacing w:line="280" w:lineRule="exact"/>
                    <w:jc w:val="center"/>
                    <w:rPr>
                      <w:color w:val="auto"/>
                      <w:sz w:val="21"/>
                      <w:szCs w:val="21"/>
                    </w:rPr>
                  </w:pPr>
                  <w:r>
                    <w:rPr>
                      <w:color w:val="auto"/>
                      <w:sz w:val="21"/>
                      <w:szCs w:val="21"/>
                    </w:rPr>
                    <w:t>健康</w:t>
                  </w:r>
                </w:p>
                <w:p w14:paraId="70A62E03">
                  <w:pPr>
                    <w:spacing w:line="280" w:lineRule="exact"/>
                    <w:jc w:val="center"/>
                    <w:rPr>
                      <w:color w:val="auto"/>
                      <w:sz w:val="21"/>
                      <w:szCs w:val="21"/>
                    </w:rPr>
                  </w:pPr>
                  <w:r>
                    <w:rPr>
                      <w:color w:val="auto"/>
                      <w:sz w:val="21"/>
                      <w:szCs w:val="21"/>
                    </w:rPr>
                    <w:t>危害</w:t>
                  </w:r>
                </w:p>
              </w:tc>
              <w:tc>
                <w:tcPr>
                  <w:tcW w:w="6873" w:type="dxa"/>
                  <w:gridSpan w:val="2"/>
                  <w:vAlign w:val="center"/>
                </w:tcPr>
                <w:p w14:paraId="5773B3F7">
                  <w:pPr>
                    <w:spacing w:line="280" w:lineRule="exact"/>
                    <w:rPr>
                      <w:color w:val="auto"/>
                      <w:sz w:val="21"/>
                      <w:szCs w:val="21"/>
                    </w:rPr>
                  </w:pPr>
                  <w:r>
                    <w:rPr>
                      <w:color w:val="auto"/>
                      <w:sz w:val="21"/>
                      <w:szCs w:val="21"/>
                    </w:rPr>
                    <w:t>侵入途径：吸入、食入；</w:t>
                  </w:r>
                </w:p>
                <w:p w14:paraId="2F18AD40">
                  <w:pPr>
                    <w:pStyle w:val="23"/>
                    <w:rPr>
                      <w:rFonts w:ascii="Times New Roman" w:hAnsi="Times New Roman"/>
                      <w:color w:val="auto"/>
                      <w:sz w:val="21"/>
                    </w:rPr>
                  </w:pPr>
                  <w:r>
                    <w:rPr>
                      <w:rFonts w:ascii="Times New Roman" w:hAnsi="Times New Roman"/>
                      <w:color w:val="auto"/>
                      <w:sz w:val="21"/>
                    </w:rPr>
                    <w:t>急性吸入，可出现乏力、头晕、头痛、恶心，严重者可引起油脂性肺炎。慢接触者，暴露部位可发生油性痤疮和接触性皮炎。可引起神经衰弱综合症，呼吸道和眼刺激症状及慢性油脂性肺炎。有资料报告，接触石油润滑油类的工人，有致癌的病例报告。</w:t>
                  </w:r>
                </w:p>
              </w:tc>
            </w:tr>
            <w:tr w14:paraId="7EDBC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510" w:hRule="atLeast"/>
                <w:jc w:val="center"/>
              </w:trPr>
              <w:tc>
                <w:tcPr>
                  <w:tcW w:w="719" w:type="dxa"/>
                  <w:vMerge w:val="continue"/>
                  <w:vAlign w:val="center"/>
                </w:tcPr>
                <w:p w14:paraId="42329547">
                  <w:pPr>
                    <w:spacing w:line="280" w:lineRule="exact"/>
                    <w:jc w:val="center"/>
                    <w:rPr>
                      <w:color w:val="auto"/>
                      <w:sz w:val="21"/>
                      <w:szCs w:val="21"/>
                    </w:rPr>
                  </w:pPr>
                </w:p>
              </w:tc>
              <w:tc>
                <w:tcPr>
                  <w:tcW w:w="797" w:type="dxa"/>
                  <w:vAlign w:val="center"/>
                </w:tcPr>
                <w:p w14:paraId="563F5F5C">
                  <w:pPr>
                    <w:spacing w:line="280" w:lineRule="exact"/>
                    <w:jc w:val="center"/>
                    <w:rPr>
                      <w:color w:val="auto"/>
                      <w:sz w:val="21"/>
                      <w:szCs w:val="21"/>
                    </w:rPr>
                  </w:pPr>
                  <w:r>
                    <w:rPr>
                      <w:color w:val="auto"/>
                      <w:sz w:val="21"/>
                      <w:szCs w:val="21"/>
                    </w:rPr>
                    <w:t>防护</w:t>
                  </w:r>
                </w:p>
              </w:tc>
              <w:tc>
                <w:tcPr>
                  <w:tcW w:w="6873" w:type="dxa"/>
                  <w:gridSpan w:val="2"/>
                  <w:vAlign w:val="center"/>
                </w:tcPr>
                <w:p w14:paraId="755DAE03">
                  <w:pPr>
                    <w:pStyle w:val="23"/>
                    <w:rPr>
                      <w:rFonts w:ascii="Times New Roman" w:hAnsi="Times New Roman"/>
                      <w:color w:val="auto"/>
                      <w:sz w:val="21"/>
                    </w:rPr>
                  </w:pPr>
                  <w:r>
                    <w:rPr>
                      <w:rFonts w:ascii="Times New Roman" w:hAnsi="Times New Roman"/>
                      <w:color w:val="auto"/>
                      <w:sz w:val="21"/>
                    </w:rPr>
                    <w:t>工程控制：密闭操作，注意通风；</w:t>
                  </w:r>
                </w:p>
                <w:p w14:paraId="40F38886">
                  <w:pPr>
                    <w:pStyle w:val="23"/>
                    <w:rPr>
                      <w:rFonts w:ascii="Times New Roman" w:hAnsi="Times New Roman"/>
                      <w:color w:val="auto"/>
                      <w:sz w:val="21"/>
                    </w:rPr>
                  </w:pPr>
                  <w:r>
                    <w:rPr>
                      <w:rFonts w:ascii="Times New Roman" w:hAnsi="Times New Roman"/>
                      <w:color w:val="auto"/>
                      <w:sz w:val="21"/>
                    </w:rPr>
                    <w:t>呼吸系统防护：空气中浓度超标时，建议佩戴自吸过滤式防毒面具（半面罩）。紧急事态抢救或撤离时，应该佩戴空气呼吸器。</w:t>
                  </w:r>
                </w:p>
                <w:p w14:paraId="5135C723">
                  <w:pPr>
                    <w:pStyle w:val="23"/>
                    <w:rPr>
                      <w:rFonts w:ascii="Times New Roman" w:hAnsi="Times New Roman"/>
                      <w:color w:val="auto"/>
                      <w:sz w:val="21"/>
                    </w:rPr>
                  </w:pPr>
                  <w:r>
                    <w:rPr>
                      <w:rFonts w:ascii="Times New Roman" w:hAnsi="Times New Roman"/>
                      <w:color w:val="auto"/>
                      <w:sz w:val="21"/>
                    </w:rPr>
                    <w:t>眼睛防护：戴化学安全防护眼镜。</w:t>
                  </w:r>
                </w:p>
                <w:p w14:paraId="42DC3B5B">
                  <w:pPr>
                    <w:pStyle w:val="23"/>
                    <w:rPr>
                      <w:rFonts w:ascii="Times New Roman" w:hAnsi="Times New Roman"/>
                      <w:color w:val="auto"/>
                      <w:sz w:val="21"/>
                    </w:rPr>
                  </w:pPr>
                  <w:r>
                    <w:rPr>
                      <w:rFonts w:ascii="Times New Roman" w:hAnsi="Times New Roman"/>
                      <w:color w:val="auto"/>
                      <w:sz w:val="21"/>
                    </w:rPr>
                    <w:t>身体防护：穿防毒物渗透工作服；</w:t>
                  </w:r>
                </w:p>
                <w:p w14:paraId="02FCEB4F">
                  <w:pPr>
                    <w:pStyle w:val="23"/>
                    <w:rPr>
                      <w:rFonts w:ascii="Times New Roman" w:hAnsi="Times New Roman"/>
                      <w:color w:val="auto"/>
                      <w:sz w:val="21"/>
                    </w:rPr>
                  </w:pPr>
                  <w:r>
                    <w:rPr>
                      <w:rFonts w:ascii="Times New Roman" w:hAnsi="Times New Roman"/>
                      <w:color w:val="auto"/>
                      <w:sz w:val="21"/>
                    </w:rPr>
                    <w:t>手防护：戴橡胶耐油手套；</w:t>
                  </w:r>
                </w:p>
                <w:p w14:paraId="0B09436C">
                  <w:pPr>
                    <w:pStyle w:val="23"/>
                    <w:rPr>
                      <w:rFonts w:ascii="Times New Roman" w:hAnsi="Times New Roman"/>
                      <w:color w:val="auto"/>
                      <w:sz w:val="21"/>
                    </w:rPr>
                  </w:pPr>
                  <w:r>
                    <w:rPr>
                      <w:rFonts w:ascii="Times New Roman" w:hAnsi="Times New Roman"/>
                      <w:color w:val="auto"/>
                      <w:sz w:val="21"/>
                    </w:rPr>
                    <w:t>其他：工作现场禁止吸烟。避免长期反复接触。</w:t>
                  </w:r>
                </w:p>
              </w:tc>
            </w:tr>
            <w:tr w14:paraId="0B99C4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96" w:hRule="atLeast"/>
                <w:jc w:val="center"/>
              </w:trPr>
              <w:tc>
                <w:tcPr>
                  <w:tcW w:w="719" w:type="dxa"/>
                  <w:vMerge w:val="continue"/>
                  <w:vAlign w:val="center"/>
                </w:tcPr>
                <w:p w14:paraId="01DCBD0A">
                  <w:pPr>
                    <w:spacing w:line="280" w:lineRule="exact"/>
                    <w:jc w:val="center"/>
                    <w:rPr>
                      <w:color w:val="auto"/>
                      <w:sz w:val="21"/>
                      <w:szCs w:val="21"/>
                    </w:rPr>
                  </w:pPr>
                </w:p>
              </w:tc>
              <w:tc>
                <w:tcPr>
                  <w:tcW w:w="797" w:type="dxa"/>
                  <w:vAlign w:val="center"/>
                </w:tcPr>
                <w:p w14:paraId="09D2D111">
                  <w:pPr>
                    <w:spacing w:line="280" w:lineRule="exact"/>
                    <w:jc w:val="center"/>
                    <w:rPr>
                      <w:color w:val="auto"/>
                      <w:sz w:val="21"/>
                      <w:szCs w:val="21"/>
                    </w:rPr>
                  </w:pPr>
                  <w:r>
                    <w:rPr>
                      <w:color w:val="auto"/>
                      <w:sz w:val="21"/>
                      <w:szCs w:val="21"/>
                    </w:rPr>
                    <w:t>急救</w:t>
                  </w:r>
                </w:p>
                <w:p w14:paraId="6C00E85A">
                  <w:pPr>
                    <w:spacing w:line="280" w:lineRule="exact"/>
                    <w:jc w:val="center"/>
                    <w:rPr>
                      <w:color w:val="auto"/>
                      <w:sz w:val="21"/>
                      <w:szCs w:val="21"/>
                    </w:rPr>
                  </w:pPr>
                  <w:r>
                    <w:rPr>
                      <w:color w:val="auto"/>
                      <w:sz w:val="21"/>
                      <w:szCs w:val="21"/>
                    </w:rPr>
                    <w:t>措施</w:t>
                  </w:r>
                </w:p>
              </w:tc>
              <w:tc>
                <w:tcPr>
                  <w:tcW w:w="6873" w:type="dxa"/>
                  <w:gridSpan w:val="2"/>
                  <w:vAlign w:val="center"/>
                </w:tcPr>
                <w:p w14:paraId="1C9A74C5">
                  <w:pPr>
                    <w:spacing w:line="280" w:lineRule="exact"/>
                    <w:rPr>
                      <w:color w:val="auto"/>
                      <w:sz w:val="21"/>
                      <w:szCs w:val="21"/>
                    </w:rPr>
                  </w:pPr>
                  <w:r>
                    <w:rPr>
                      <w:color w:val="auto"/>
                      <w:sz w:val="21"/>
                      <w:szCs w:val="21"/>
                    </w:rPr>
                    <w:t>皮肤接触：立即脱去被污染的衣着，用大量清水冲洗；</w:t>
                  </w:r>
                </w:p>
                <w:p w14:paraId="1582F7A1">
                  <w:pPr>
                    <w:pStyle w:val="23"/>
                    <w:rPr>
                      <w:rFonts w:ascii="Times New Roman" w:hAnsi="Times New Roman"/>
                      <w:color w:val="auto"/>
                      <w:sz w:val="21"/>
                    </w:rPr>
                  </w:pPr>
                  <w:r>
                    <w:rPr>
                      <w:rFonts w:ascii="Times New Roman" w:hAnsi="Times New Roman"/>
                      <w:color w:val="auto"/>
                      <w:sz w:val="21"/>
                    </w:rPr>
                    <w:t>眼镜接触：立即提起眼睑，用大量流动清水或生理盐水冲洗，就医；</w:t>
                  </w:r>
                </w:p>
                <w:p w14:paraId="3B99486E">
                  <w:pPr>
                    <w:pStyle w:val="23"/>
                    <w:rPr>
                      <w:rFonts w:ascii="Times New Roman" w:hAnsi="Times New Roman"/>
                      <w:color w:val="auto"/>
                      <w:sz w:val="21"/>
                    </w:rPr>
                  </w:pPr>
                  <w:r>
                    <w:rPr>
                      <w:rFonts w:ascii="Times New Roman" w:hAnsi="Times New Roman"/>
                      <w:color w:val="auto"/>
                      <w:sz w:val="21"/>
                    </w:rPr>
                    <w:t>吸入：迅速脱离现场至空气新鲜处，保持呼吸道通畅，如呼吸困难，给输氧；如呼吸停止，立即进行人工呼吸，就医；</w:t>
                  </w:r>
                </w:p>
                <w:p w14:paraId="2CB55F61">
                  <w:pPr>
                    <w:pStyle w:val="23"/>
                    <w:rPr>
                      <w:rFonts w:ascii="Times New Roman" w:hAnsi="Times New Roman"/>
                      <w:color w:val="auto"/>
                      <w:sz w:val="21"/>
                    </w:rPr>
                  </w:pPr>
                  <w:r>
                    <w:rPr>
                      <w:rFonts w:ascii="Times New Roman" w:hAnsi="Times New Roman"/>
                      <w:color w:val="auto"/>
                      <w:sz w:val="21"/>
                    </w:rPr>
                    <w:t>食入：饮足量温水，催吐，就医。</w:t>
                  </w:r>
                </w:p>
              </w:tc>
            </w:tr>
            <w:tr w14:paraId="66A24B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487" w:hRule="atLeast"/>
                <w:jc w:val="center"/>
              </w:trPr>
              <w:tc>
                <w:tcPr>
                  <w:tcW w:w="719" w:type="dxa"/>
                  <w:vAlign w:val="center"/>
                </w:tcPr>
                <w:p w14:paraId="0DD5D78B">
                  <w:pPr>
                    <w:spacing w:line="280" w:lineRule="exact"/>
                    <w:jc w:val="center"/>
                    <w:rPr>
                      <w:color w:val="auto"/>
                      <w:sz w:val="21"/>
                      <w:szCs w:val="21"/>
                    </w:rPr>
                  </w:pPr>
                  <w:r>
                    <w:rPr>
                      <w:color w:val="auto"/>
                      <w:sz w:val="21"/>
                      <w:szCs w:val="21"/>
                    </w:rPr>
                    <w:t>贮运条件</w:t>
                  </w:r>
                </w:p>
              </w:tc>
              <w:tc>
                <w:tcPr>
                  <w:tcW w:w="7670" w:type="dxa"/>
                  <w:gridSpan w:val="3"/>
                  <w:vAlign w:val="center"/>
                </w:tcPr>
                <w:p w14:paraId="0FCDE64C">
                  <w:pPr>
                    <w:spacing w:line="280" w:lineRule="exact"/>
                    <w:rPr>
                      <w:color w:val="auto"/>
                      <w:sz w:val="21"/>
                      <w:szCs w:val="21"/>
                    </w:rPr>
                  </w:pPr>
                  <w:r>
                    <w:rPr>
                      <w:color w:val="auto"/>
                      <w:sz w:val="21"/>
                      <w:szCs w:val="21"/>
                    </w:rPr>
                    <w:t>储存于阴凉、通风的库房。远离火种、热源。应与氧化剂分开存放，切记混储。配备相应品种和数量的消防器材。出去应备有泄漏应急处理设备和合适的收容材料。</w:t>
                  </w:r>
                </w:p>
                <w:p w14:paraId="1ADE8C43">
                  <w:pPr>
                    <w:pStyle w:val="23"/>
                    <w:rPr>
                      <w:rFonts w:ascii="Times New Roman" w:hAnsi="Times New Roman"/>
                      <w:color w:val="auto"/>
                      <w:sz w:val="21"/>
                    </w:rPr>
                  </w:pPr>
                  <w:r>
                    <w:rPr>
                      <w:rFonts w:ascii="Times New Roman" w:hAnsi="Times New Roman"/>
                      <w:color w:val="auto"/>
                      <w:sz w:val="21"/>
                    </w:rPr>
                    <w:t>运输前应先检查包装容器是否完整、密封，运输过程中要确保容器不泄露、不倒塌、不坠落、不损坏。严禁与氧化剂、食用化学品等混装混运。运输车船必须彻底清洗、消毒，否则不得装运其他物品。船运时，配装位置应远离卧室、厨房，并与电源、火源等部位隔离。公路运输时要按规定路线行驶</w:t>
                  </w:r>
                </w:p>
              </w:tc>
            </w:tr>
            <w:tr w14:paraId="7EABB3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863" w:hRule="atLeast"/>
                <w:jc w:val="center"/>
              </w:trPr>
              <w:tc>
                <w:tcPr>
                  <w:tcW w:w="719" w:type="dxa"/>
                  <w:vAlign w:val="center"/>
                </w:tcPr>
                <w:p w14:paraId="14059CE9">
                  <w:pPr>
                    <w:spacing w:line="280" w:lineRule="exact"/>
                    <w:jc w:val="center"/>
                    <w:rPr>
                      <w:color w:val="auto"/>
                      <w:sz w:val="21"/>
                      <w:szCs w:val="21"/>
                    </w:rPr>
                  </w:pPr>
                  <w:r>
                    <w:rPr>
                      <w:color w:val="auto"/>
                      <w:sz w:val="21"/>
                      <w:szCs w:val="21"/>
                    </w:rPr>
                    <w:t>泄漏应急处理</w:t>
                  </w:r>
                </w:p>
              </w:tc>
              <w:tc>
                <w:tcPr>
                  <w:tcW w:w="7670" w:type="dxa"/>
                  <w:gridSpan w:val="3"/>
                  <w:vAlign w:val="center"/>
                </w:tcPr>
                <w:p w14:paraId="23D33BA0">
                  <w:pPr>
                    <w:spacing w:line="280" w:lineRule="exact"/>
                    <w:rPr>
                      <w:color w:val="auto"/>
                      <w:sz w:val="21"/>
                      <w:szCs w:val="21"/>
                    </w:rPr>
                  </w:pPr>
                  <w:r>
                    <w:rPr>
                      <w:color w:val="auto"/>
                      <w:sz w:val="21"/>
                      <w:szCs w:val="21"/>
                    </w:rPr>
                    <w:t>迅速撤离泄漏污染区人员至安全区，并进行隔离，严格限制出入。切断火源。建议应急处理人员戴自给正压式呼吸器，穿防毒服。尽可能切断泄漏源。防治流入下水道、排洪沟等限制性空间。</w:t>
                  </w:r>
                </w:p>
                <w:p w14:paraId="7885818F">
                  <w:pPr>
                    <w:pStyle w:val="23"/>
                    <w:rPr>
                      <w:rFonts w:ascii="Times New Roman" w:hAnsi="Times New Roman"/>
                      <w:color w:val="auto"/>
                      <w:sz w:val="21"/>
                    </w:rPr>
                  </w:pPr>
                  <w:r>
                    <w:rPr>
                      <w:rFonts w:ascii="Times New Roman" w:hAnsi="Times New Roman"/>
                      <w:color w:val="auto"/>
                      <w:sz w:val="21"/>
                    </w:rPr>
                    <w:t>小量泄漏：用砂土或其他不燃材料吸附或吸收。</w:t>
                  </w:r>
                </w:p>
                <w:p w14:paraId="7B315661">
                  <w:pPr>
                    <w:pStyle w:val="23"/>
                    <w:rPr>
                      <w:rFonts w:ascii="Times New Roman" w:hAnsi="Times New Roman"/>
                      <w:color w:val="auto"/>
                      <w:sz w:val="21"/>
                    </w:rPr>
                  </w:pPr>
                  <w:r>
                    <w:rPr>
                      <w:rFonts w:ascii="Times New Roman" w:hAnsi="Times New Roman"/>
                      <w:color w:val="auto"/>
                      <w:sz w:val="21"/>
                    </w:rPr>
                    <w:t>大量泄漏：构筑位堤或挖坑收容。用泵转移至槽车或专用收集器内，回收或运至废物处理场所处置</w:t>
                  </w:r>
                </w:p>
              </w:tc>
            </w:tr>
          </w:tbl>
          <w:p w14:paraId="693A8346">
            <w:pPr>
              <w:topLinePunct/>
              <w:spacing w:before="120" w:beforeLines="50" w:line="360" w:lineRule="auto"/>
              <w:ind w:firstLine="482" w:firstLineChars="200"/>
              <w:jc w:val="left"/>
              <w:rPr>
                <w:b/>
                <w:color w:val="auto"/>
                <w:sz w:val="24"/>
              </w:rPr>
            </w:pPr>
            <w:r>
              <w:rPr>
                <w:rFonts w:hint="eastAsia" w:hAnsi="宋体"/>
                <w:b/>
                <w:color w:val="auto"/>
                <w:sz w:val="24"/>
              </w:rPr>
              <w:t>（二）环境风险Q值判断</w:t>
            </w:r>
          </w:p>
          <w:p w14:paraId="1EC44706">
            <w:pPr>
              <w:pStyle w:val="43"/>
              <w:topLinePunct/>
              <w:spacing w:after="0" w:line="360" w:lineRule="auto"/>
              <w:ind w:firstLine="444" w:firstLineChars="185"/>
              <w:rPr>
                <w:rFonts w:hAnsi="宋体"/>
                <w:bCs/>
                <w:color w:val="auto"/>
                <w:sz w:val="24"/>
              </w:rPr>
            </w:pPr>
            <w:r>
              <w:rPr>
                <w:rFonts w:hAnsi="宋体"/>
                <w:color w:val="auto"/>
                <w:sz w:val="24"/>
              </w:rPr>
              <w:t>根据《建设项目环境风险评价技术导则》（</w:t>
            </w:r>
            <w:r>
              <w:rPr>
                <w:color w:val="auto"/>
                <w:sz w:val="24"/>
              </w:rPr>
              <w:t>HJ169-2018</w:t>
            </w:r>
            <w:r>
              <w:rPr>
                <w:rFonts w:hAnsi="宋体"/>
                <w:color w:val="auto"/>
                <w:sz w:val="24"/>
              </w:rPr>
              <w:t>）</w:t>
            </w:r>
            <w:r>
              <w:rPr>
                <w:rFonts w:hAnsi="宋体"/>
                <w:bCs/>
                <w:color w:val="auto"/>
                <w:sz w:val="24"/>
              </w:rPr>
              <w:t>附录</w:t>
            </w:r>
            <w:r>
              <w:rPr>
                <w:bCs/>
                <w:color w:val="auto"/>
                <w:sz w:val="24"/>
              </w:rPr>
              <w:t>B</w:t>
            </w:r>
            <w:r>
              <w:rPr>
                <w:rFonts w:hAnsi="宋体"/>
                <w:bCs/>
                <w:color w:val="auto"/>
                <w:sz w:val="24"/>
              </w:rPr>
              <w:t>，确定本次项目涉及的危险物质，并且以危险物质使用情况通过和贮存情况为基础，根据导则附录</w:t>
            </w:r>
            <w:r>
              <w:rPr>
                <w:bCs/>
                <w:color w:val="auto"/>
                <w:sz w:val="24"/>
              </w:rPr>
              <w:t>C</w:t>
            </w:r>
            <w:r>
              <w:rPr>
                <w:rFonts w:hAnsi="宋体"/>
                <w:bCs/>
                <w:color w:val="auto"/>
                <w:sz w:val="24"/>
              </w:rPr>
              <w:t>进行危险物质存在量（如存在量呈动态变化，则按年度内最大存在量计算）与临界量比值（</w:t>
            </w:r>
            <w:r>
              <w:rPr>
                <w:bCs/>
                <w:color w:val="auto"/>
                <w:sz w:val="24"/>
              </w:rPr>
              <w:t>Q</w:t>
            </w:r>
            <w:r>
              <w:rPr>
                <w:rFonts w:hAnsi="宋体"/>
                <w:bCs/>
                <w:color w:val="auto"/>
                <w:sz w:val="24"/>
              </w:rPr>
              <w:t>）的定量估算。</w:t>
            </w:r>
          </w:p>
          <w:p w14:paraId="4A33599D">
            <w:pPr>
              <w:topLinePunct/>
              <w:spacing w:line="360" w:lineRule="auto"/>
              <w:ind w:firstLine="480" w:firstLineChars="200"/>
              <w:rPr>
                <w:color w:val="auto"/>
                <w:sz w:val="24"/>
              </w:rPr>
            </w:pPr>
            <w:r>
              <w:rPr>
                <w:rFonts w:hAnsi="宋体"/>
                <w:color w:val="auto"/>
                <w:sz w:val="24"/>
              </w:rPr>
              <w:t>当只涉及一种危险物质时，计算该物质的总量与其临界量比值，当存在多种危险物质时，按下列公式计算</w:t>
            </w:r>
            <w:r>
              <w:rPr>
                <w:color w:val="auto"/>
                <w:sz w:val="24"/>
              </w:rPr>
              <w:t>Q</w:t>
            </w:r>
            <w:r>
              <w:rPr>
                <w:rFonts w:hAnsi="宋体"/>
                <w:color w:val="auto"/>
                <w:sz w:val="24"/>
              </w:rPr>
              <w:t>值：</w:t>
            </w:r>
          </w:p>
          <w:p w14:paraId="69D014D7">
            <w:pPr>
              <w:topLinePunct/>
              <w:spacing w:line="360" w:lineRule="auto"/>
              <w:jc w:val="center"/>
              <w:rPr>
                <w:color w:val="auto"/>
                <w:sz w:val="24"/>
              </w:rPr>
            </w:pPr>
            <w:r>
              <w:rPr>
                <w:color w:val="auto"/>
                <w:position w:val="-16"/>
                <w:sz w:val="28"/>
              </w:rPr>
              <w:object>
                <v:shape id="_x0000_i1029" o:spt="75" type="#_x0000_t75" style="height:36.75pt;width:105pt;" o:ole="t" filled="f" o:preferrelative="t" stroked="f" coordsize="21600,21600">
                  <v:path/>
                  <v:fill on="f" focussize="0,0"/>
                  <v:stroke on="f" joinstyle="miter"/>
                  <v:imagedata r:id="rId23" o:title=""/>
                  <o:lock v:ext="edit" aspectratio="t"/>
                  <w10:wrap type="none"/>
                  <w10:anchorlock/>
                </v:shape>
                <o:OLEObject Type="Embed" ProgID="Equation.KSEE3" ShapeID="_x0000_i1029" DrawAspect="Content" ObjectID="_1468075729" r:id="rId22">
                  <o:LockedField>false</o:LockedField>
                </o:OLEObject>
              </w:object>
            </w:r>
          </w:p>
          <w:p w14:paraId="16FA2ED5">
            <w:pPr>
              <w:topLinePunct/>
              <w:spacing w:line="360" w:lineRule="auto"/>
              <w:ind w:firstLine="480" w:firstLineChars="200"/>
              <w:rPr>
                <w:color w:val="auto"/>
                <w:sz w:val="24"/>
              </w:rPr>
            </w:pPr>
            <w:r>
              <w:rPr>
                <w:rFonts w:hAnsi="宋体"/>
                <w:color w:val="auto"/>
                <w:sz w:val="24"/>
              </w:rPr>
              <w:t>式中：</w:t>
            </w:r>
            <w:r>
              <w:rPr>
                <w:color w:val="auto"/>
                <w:sz w:val="24"/>
              </w:rPr>
              <w:t>q</w:t>
            </w:r>
            <w:r>
              <w:rPr>
                <w:color w:val="auto"/>
                <w:sz w:val="24"/>
                <w:vertAlign w:val="subscript"/>
              </w:rPr>
              <w:t>1</w:t>
            </w:r>
            <w:r>
              <w:rPr>
                <w:rFonts w:hAnsi="宋体"/>
                <w:color w:val="auto"/>
                <w:sz w:val="24"/>
              </w:rPr>
              <w:t>，</w:t>
            </w:r>
            <w:r>
              <w:rPr>
                <w:color w:val="auto"/>
                <w:sz w:val="24"/>
              </w:rPr>
              <w:t>q</w:t>
            </w:r>
            <w:r>
              <w:rPr>
                <w:color w:val="auto"/>
                <w:sz w:val="24"/>
                <w:vertAlign w:val="subscript"/>
              </w:rPr>
              <w:t>2</w:t>
            </w:r>
            <w:r>
              <w:rPr>
                <w:rFonts w:hAnsi="宋体"/>
                <w:color w:val="auto"/>
                <w:sz w:val="24"/>
              </w:rPr>
              <w:t>，</w:t>
            </w:r>
            <w:r>
              <w:rPr>
                <w:color w:val="auto"/>
                <w:sz w:val="24"/>
              </w:rPr>
              <w:t>…q</w:t>
            </w:r>
            <w:r>
              <w:rPr>
                <w:color w:val="auto"/>
                <w:sz w:val="24"/>
                <w:vertAlign w:val="subscript"/>
              </w:rPr>
              <w:t>n</w:t>
            </w:r>
            <w:r>
              <w:rPr>
                <w:color w:val="auto"/>
                <w:sz w:val="24"/>
              </w:rPr>
              <w:t>—</w:t>
            </w:r>
            <w:r>
              <w:rPr>
                <w:rFonts w:hAnsi="宋体"/>
                <w:color w:val="auto"/>
                <w:sz w:val="24"/>
              </w:rPr>
              <w:t>每种危险物质的最大存在总量，</w:t>
            </w:r>
            <w:r>
              <w:rPr>
                <w:color w:val="auto"/>
                <w:sz w:val="24"/>
              </w:rPr>
              <w:t>t</w:t>
            </w:r>
            <w:r>
              <w:rPr>
                <w:rFonts w:hAnsi="宋体"/>
                <w:color w:val="auto"/>
                <w:sz w:val="24"/>
              </w:rPr>
              <w:t>；</w:t>
            </w:r>
          </w:p>
          <w:p w14:paraId="22AA0535">
            <w:pPr>
              <w:topLinePunct/>
              <w:spacing w:line="360" w:lineRule="auto"/>
              <w:ind w:firstLine="1200" w:firstLineChars="500"/>
              <w:rPr>
                <w:color w:val="auto"/>
                <w:sz w:val="24"/>
              </w:rPr>
            </w:pPr>
            <w:r>
              <w:rPr>
                <w:color w:val="auto"/>
                <w:sz w:val="24"/>
              </w:rPr>
              <w:t>Q</w:t>
            </w:r>
            <w:r>
              <w:rPr>
                <w:color w:val="auto"/>
                <w:sz w:val="24"/>
                <w:vertAlign w:val="subscript"/>
              </w:rPr>
              <w:t>1</w:t>
            </w:r>
            <w:r>
              <w:rPr>
                <w:rFonts w:hAnsi="宋体"/>
                <w:color w:val="auto"/>
                <w:sz w:val="24"/>
              </w:rPr>
              <w:t>，</w:t>
            </w:r>
            <w:r>
              <w:rPr>
                <w:color w:val="auto"/>
                <w:sz w:val="24"/>
              </w:rPr>
              <w:t>Q</w:t>
            </w:r>
            <w:r>
              <w:rPr>
                <w:color w:val="auto"/>
                <w:sz w:val="24"/>
                <w:vertAlign w:val="subscript"/>
              </w:rPr>
              <w:t>2</w:t>
            </w:r>
            <w:r>
              <w:rPr>
                <w:rFonts w:hAnsi="宋体"/>
                <w:color w:val="auto"/>
                <w:sz w:val="24"/>
              </w:rPr>
              <w:t>，</w:t>
            </w:r>
            <w:r>
              <w:rPr>
                <w:color w:val="auto"/>
                <w:sz w:val="24"/>
              </w:rPr>
              <w:t>…Q</w:t>
            </w:r>
            <w:r>
              <w:rPr>
                <w:color w:val="auto"/>
                <w:sz w:val="24"/>
                <w:vertAlign w:val="subscript"/>
              </w:rPr>
              <w:t>n</w:t>
            </w:r>
            <w:r>
              <w:rPr>
                <w:color w:val="auto"/>
                <w:sz w:val="24"/>
              </w:rPr>
              <w:t>—</w:t>
            </w:r>
            <w:r>
              <w:rPr>
                <w:rFonts w:hAnsi="宋体"/>
                <w:color w:val="auto"/>
                <w:sz w:val="24"/>
              </w:rPr>
              <w:t>每种物质的临界量，</w:t>
            </w:r>
            <w:r>
              <w:rPr>
                <w:color w:val="auto"/>
                <w:sz w:val="24"/>
              </w:rPr>
              <w:t>t</w:t>
            </w:r>
            <w:r>
              <w:rPr>
                <w:rFonts w:hAnsi="宋体"/>
                <w:color w:val="auto"/>
                <w:sz w:val="24"/>
              </w:rPr>
              <w:t>。可在</w:t>
            </w:r>
            <w:r>
              <w:rPr>
                <w:color w:val="auto"/>
                <w:sz w:val="24"/>
              </w:rPr>
              <w:t>HJ169-2018</w:t>
            </w:r>
            <w:r>
              <w:rPr>
                <w:rFonts w:hAnsi="宋体"/>
                <w:color w:val="auto"/>
                <w:sz w:val="24"/>
              </w:rPr>
              <w:t>中附录</w:t>
            </w:r>
            <w:r>
              <w:rPr>
                <w:color w:val="auto"/>
                <w:sz w:val="24"/>
              </w:rPr>
              <w:t>B</w:t>
            </w:r>
            <w:r>
              <w:rPr>
                <w:rFonts w:hAnsi="宋体"/>
                <w:color w:val="auto"/>
                <w:sz w:val="24"/>
              </w:rPr>
              <w:t>中查询。</w:t>
            </w:r>
          </w:p>
          <w:p w14:paraId="1810E77F">
            <w:pPr>
              <w:topLinePunct/>
              <w:spacing w:line="360" w:lineRule="auto"/>
              <w:ind w:firstLine="480" w:firstLineChars="200"/>
              <w:rPr>
                <w:color w:val="auto"/>
                <w:sz w:val="24"/>
              </w:rPr>
            </w:pPr>
            <w:r>
              <w:rPr>
                <w:rFonts w:hAnsi="宋体"/>
                <w:color w:val="auto"/>
                <w:sz w:val="24"/>
              </w:rPr>
              <w:t>当</w:t>
            </w:r>
            <w:r>
              <w:rPr>
                <w:color w:val="auto"/>
                <w:sz w:val="24"/>
              </w:rPr>
              <w:t>Q</w:t>
            </w:r>
            <w:r>
              <w:rPr>
                <w:rFonts w:hAnsi="宋体"/>
                <w:color w:val="auto"/>
                <w:sz w:val="24"/>
              </w:rPr>
              <w:t>＜</w:t>
            </w:r>
            <w:r>
              <w:rPr>
                <w:color w:val="auto"/>
                <w:sz w:val="24"/>
              </w:rPr>
              <w:t>1</w:t>
            </w:r>
            <w:r>
              <w:rPr>
                <w:rFonts w:hAnsi="宋体"/>
                <w:color w:val="auto"/>
                <w:sz w:val="24"/>
              </w:rPr>
              <w:t>时，该项目环境风险潜势为</w:t>
            </w:r>
            <w:r>
              <w:rPr>
                <w:color w:val="auto"/>
                <w:sz w:val="24"/>
              </w:rPr>
              <w:t>Ⅰ</w:t>
            </w:r>
            <w:r>
              <w:rPr>
                <w:rFonts w:hAnsi="宋体"/>
                <w:color w:val="auto"/>
                <w:sz w:val="24"/>
              </w:rPr>
              <w:t>。</w:t>
            </w:r>
          </w:p>
          <w:p w14:paraId="491B825B">
            <w:pPr>
              <w:topLinePunct/>
              <w:spacing w:line="360" w:lineRule="auto"/>
              <w:ind w:firstLine="480" w:firstLineChars="200"/>
              <w:rPr>
                <w:color w:val="auto"/>
                <w:sz w:val="24"/>
              </w:rPr>
            </w:pPr>
            <w:r>
              <w:rPr>
                <w:bCs/>
                <w:color w:val="auto"/>
                <w:sz w:val="24"/>
              </w:rPr>
              <w:t>当Q≥</w:t>
            </w:r>
            <w:r>
              <w:rPr>
                <w:rFonts w:hint="eastAsia"/>
                <w:bCs/>
                <w:color w:val="auto"/>
                <w:sz w:val="24"/>
              </w:rPr>
              <w:t>1</w:t>
            </w:r>
            <w:r>
              <w:rPr>
                <w:bCs/>
                <w:color w:val="auto"/>
                <w:sz w:val="24"/>
              </w:rPr>
              <w:t>时，将Q值划分为：1≤Q＜10，10≤Q＜100，Q≥100三类；并进一步结合项目行业及生产工艺（M）、危险物质及工艺系统危险性（P）、环境敏感程度（E）对项目</w:t>
            </w:r>
            <w:r>
              <w:rPr>
                <w:color w:val="auto"/>
                <w:sz w:val="24"/>
              </w:rPr>
              <w:t>环境风险潜势进行判断。</w:t>
            </w:r>
          </w:p>
          <w:p w14:paraId="1665ABDC">
            <w:pPr>
              <w:jc w:val="center"/>
              <w:rPr>
                <w:b/>
                <w:color w:val="auto"/>
                <w:sz w:val="24"/>
              </w:rPr>
            </w:pPr>
            <w:r>
              <w:rPr>
                <w:rFonts w:hAnsi="宋体"/>
                <w:b/>
                <w:color w:val="auto"/>
                <w:sz w:val="24"/>
              </w:rPr>
              <w:t>表</w:t>
            </w:r>
            <w:r>
              <w:rPr>
                <w:b/>
                <w:color w:val="auto"/>
                <w:sz w:val="24"/>
              </w:rPr>
              <w:t>4</w:t>
            </w:r>
            <w:r>
              <w:rPr>
                <w:rFonts w:hint="eastAsia"/>
                <w:b/>
                <w:color w:val="auto"/>
                <w:sz w:val="24"/>
              </w:rPr>
              <w:t>-</w:t>
            </w:r>
            <w:r>
              <w:rPr>
                <w:rFonts w:hint="eastAsia"/>
                <w:b/>
                <w:color w:val="auto"/>
                <w:sz w:val="24"/>
                <w:lang w:val="en-US" w:eastAsia="zh-CN"/>
              </w:rPr>
              <w:t>15</w:t>
            </w:r>
            <w:r>
              <w:rPr>
                <w:rFonts w:hint="eastAsia"/>
                <w:b/>
                <w:color w:val="auto"/>
                <w:sz w:val="24"/>
              </w:rPr>
              <w:t xml:space="preserve">  </w:t>
            </w:r>
            <w:r>
              <w:rPr>
                <w:rFonts w:hAnsi="宋体"/>
                <w:b/>
                <w:color w:val="auto"/>
                <w:sz w:val="24"/>
              </w:rPr>
              <w:t>项目环境风险物质总量与临界量比值（</w:t>
            </w:r>
            <w:r>
              <w:rPr>
                <w:b/>
                <w:color w:val="auto"/>
                <w:sz w:val="24"/>
              </w:rPr>
              <w:t>Q</w:t>
            </w:r>
            <w:r>
              <w:rPr>
                <w:rFonts w:hAnsi="宋体"/>
                <w:b/>
                <w:color w:val="auto"/>
                <w:sz w:val="24"/>
              </w:rPr>
              <w:t>）结果</w:t>
            </w:r>
          </w:p>
          <w:tbl>
            <w:tblPr>
              <w:tblStyle w:val="45"/>
              <w:tblW w:w="81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7"/>
              <w:gridCol w:w="1686"/>
              <w:gridCol w:w="2274"/>
              <w:gridCol w:w="1140"/>
              <w:gridCol w:w="1360"/>
            </w:tblGrid>
            <w:tr w14:paraId="798DE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7" w:type="dxa"/>
                  <w:vAlign w:val="center"/>
                </w:tcPr>
                <w:p w14:paraId="19ADDAB6">
                  <w:pPr>
                    <w:jc w:val="center"/>
                    <w:rPr>
                      <w:color w:val="auto"/>
                      <w:sz w:val="21"/>
                      <w:szCs w:val="21"/>
                    </w:rPr>
                  </w:pPr>
                  <w:r>
                    <w:rPr>
                      <w:rFonts w:hAnsi="宋体"/>
                      <w:bCs/>
                      <w:color w:val="auto"/>
                      <w:sz w:val="21"/>
                      <w:szCs w:val="21"/>
                    </w:rPr>
                    <w:t>危险物质名称</w:t>
                  </w:r>
                </w:p>
              </w:tc>
              <w:tc>
                <w:tcPr>
                  <w:tcW w:w="1686" w:type="dxa"/>
                  <w:vAlign w:val="center"/>
                </w:tcPr>
                <w:p w14:paraId="13789A63">
                  <w:pPr>
                    <w:jc w:val="center"/>
                    <w:rPr>
                      <w:rFonts w:hAnsi="宋体"/>
                      <w:color w:val="auto"/>
                      <w:sz w:val="21"/>
                      <w:szCs w:val="21"/>
                    </w:rPr>
                  </w:pPr>
                  <w:r>
                    <w:rPr>
                      <w:rFonts w:hAnsi="宋体"/>
                      <w:bCs/>
                      <w:color w:val="auto"/>
                      <w:sz w:val="21"/>
                      <w:szCs w:val="21"/>
                    </w:rPr>
                    <w:t>危险物质类别</w:t>
                  </w:r>
                </w:p>
              </w:tc>
              <w:tc>
                <w:tcPr>
                  <w:tcW w:w="2274" w:type="dxa"/>
                  <w:vAlign w:val="center"/>
                </w:tcPr>
                <w:p w14:paraId="017A18C3">
                  <w:pPr>
                    <w:jc w:val="center"/>
                    <w:rPr>
                      <w:color w:val="auto"/>
                      <w:sz w:val="21"/>
                      <w:szCs w:val="21"/>
                    </w:rPr>
                  </w:pPr>
                  <w:r>
                    <w:rPr>
                      <w:rFonts w:hAnsi="宋体"/>
                      <w:color w:val="auto"/>
                      <w:sz w:val="21"/>
                      <w:szCs w:val="21"/>
                    </w:rPr>
                    <w:t>项目内最大存放量（</w:t>
                  </w:r>
                  <w:r>
                    <w:rPr>
                      <w:color w:val="auto"/>
                      <w:sz w:val="21"/>
                      <w:szCs w:val="21"/>
                    </w:rPr>
                    <w:t>t</w:t>
                  </w:r>
                  <w:r>
                    <w:rPr>
                      <w:rFonts w:hAnsi="宋体"/>
                      <w:color w:val="auto"/>
                      <w:sz w:val="21"/>
                      <w:szCs w:val="21"/>
                    </w:rPr>
                    <w:t>）</w:t>
                  </w:r>
                </w:p>
              </w:tc>
              <w:tc>
                <w:tcPr>
                  <w:tcW w:w="1140" w:type="dxa"/>
                  <w:vAlign w:val="center"/>
                </w:tcPr>
                <w:p w14:paraId="6DE0F7C7">
                  <w:pPr>
                    <w:jc w:val="center"/>
                    <w:rPr>
                      <w:color w:val="auto"/>
                      <w:sz w:val="21"/>
                      <w:szCs w:val="21"/>
                    </w:rPr>
                  </w:pPr>
                  <w:r>
                    <w:rPr>
                      <w:rFonts w:hAnsi="宋体"/>
                      <w:color w:val="auto"/>
                      <w:sz w:val="21"/>
                      <w:szCs w:val="21"/>
                    </w:rPr>
                    <w:t>临界量（</w:t>
                  </w:r>
                  <w:r>
                    <w:rPr>
                      <w:color w:val="auto"/>
                      <w:sz w:val="21"/>
                      <w:szCs w:val="21"/>
                    </w:rPr>
                    <w:t>t</w:t>
                  </w:r>
                  <w:r>
                    <w:rPr>
                      <w:rFonts w:hAnsi="宋体"/>
                      <w:color w:val="auto"/>
                      <w:sz w:val="21"/>
                      <w:szCs w:val="21"/>
                    </w:rPr>
                    <w:t>）</w:t>
                  </w:r>
                </w:p>
              </w:tc>
              <w:tc>
                <w:tcPr>
                  <w:tcW w:w="1360" w:type="dxa"/>
                  <w:vAlign w:val="center"/>
                </w:tcPr>
                <w:p w14:paraId="4F5BFEE2">
                  <w:pPr>
                    <w:jc w:val="center"/>
                    <w:rPr>
                      <w:color w:val="auto"/>
                      <w:sz w:val="21"/>
                      <w:szCs w:val="21"/>
                    </w:rPr>
                  </w:pPr>
                  <w:r>
                    <w:rPr>
                      <w:bCs/>
                      <w:color w:val="auto"/>
                      <w:sz w:val="21"/>
                      <w:szCs w:val="21"/>
                    </w:rPr>
                    <w:t>Q</w:t>
                  </w:r>
                </w:p>
              </w:tc>
            </w:tr>
            <w:tr w14:paraId="75B51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7" w:type="dxa"/>
                  <w:vAlign w:val="center"/>
                </w:tcPr>
                <w:p w14:paraId="7F6291E4">
                  <w:pPr>
                    <w:jc w:val="center"/>
                    <w:rPr>
                      <w:rFonts w:hAnsi="宋体"/>
                      <w:color w:val="auto"/>
                      <w:sz w:val="21"/>
                      <w:szCs w:val="21"/>
                    </w:rPr>
                  </w:pPr>
                  <w:r>
                    <w:rPr>
                      <w:rFonts w:hint="eastAsia" w:hAnsi="宋体"/>
                      <w:color w:val="auto"/>
                      <w:sz w:val="21"/>
                      <w:szCs w:val="21"/>
                    </w:rPr>
                    <w:t>废机油</w:t>
                  </w:r>
                </w:p>
              </w:tc>
              <w:tc>
                <w:tcPr>
                  <w:tcW w:w="1686" w:type="dxa"/>
                  <w:vAlign w:val="center"/>
                </w:tcPr>
                <w:p w14:paraId="77F6D784">
                  <w:pPr>
                    <w:jc w:val="center"/>
                    <w:rPr>
                      <w:color w:val="auto"/>
                      <w:sz w:val="21"/>
                      <w:szCs w:val="21"/>
                    </w:rPr>
                  </w:pPr>
                  <w:r>
                    <w:rPr>
                      <w:bCs/>
                      <w:color w:val="auto"/>
                      <w:sz w:val="21"/>
                      <w:szCs w:val="21"/>
                    </w:rPr>
                    <w:t>可燃液体</w:t>
                  </w:r>
                </w:p>
              </w:tc>
              <w:tc>
                <w:tcPr>
                  <w:tcW w:w="2274" w:type="dxa"/>
                  <w:vAlign w:val="center"/>
                </w:tcPr>
                <w:p w14:paraId="44FD7E3E">
                  <w:pPr>
                    <w:jc w:val="center"/>
                    <w:rPr>
                      <w:rFonts w:hint="eastAsia" w:eastAsia="宋体"/>
                      <w:color w:val="auto"/>
                      <w:sz w:val="21"/>
                      <w:szCs w:val="21"/>
                      <w:lang w:val="en-US" w:eastAsia="zh-CN"/>
                    </w:rPr>
                  </w:pPr>
                  <w:r>
                    <w:rPr>
                      <w:rFonts w:hint="eastAsia"/>
                      <w:color w:val="auto"/>
                      <w:sz w:val="21"/>
                      <w:szCs w:val="21"/>
                    </w:rPr>
                    <w:t>0.0</w:t>
                  </w:r>
                  <w:r>
                    <w:rPr>
                      <w:rFonts w:hint="eastAsia"/>
                      <w:color w:val="auto"/>
                      <w:sz w:val="21"/>
                      <w:szCs w:val="21"/>
                      <w:lang w:val="en-US" w:eastAsia="zh-CN"/>
                    </w:rPr>
                    <w:t>1</w:t>
                  </w:r>
                </w:p>
              </w:tc>
              <w:tc>
                <w:tcPr>
                  <w:tcW w:w="1140" w:type="dxa"/>
                  <w:vAlign w:val="center"/>
                </w:tcPr>
                <w:p w14:paraId="65412416">
                  <w:pPr>
                    <w:jc w:val="center"/>
                    <w:rPr>
                      <w:color w:val="auto"/>
                      <w:sz w:val="21"/>
                      <w:szCs w:val="21"/>
                    </w:rPr>
                  </w:pPr>
                  <w:r>
                    <w:rPr>
                      <w:rFonts w:hint="eastAsia"/>
                      <w:color w:val="auto"/>
                      <w:sz w:val="21"/>
                      <w:szCs w:val="21"/>
                    </w:rPr>
                    <w:t>2500</w:t>
                  </w:r>
                </w:p>
              </w:tc>
              <w:tc>
                <w:tcPr>
                  <w:tcW w:w="1360" w:type="dxa"/>
                  <w:vAlign w:val="center"/>
                </w:tcPr>
                <w:p w14:paraId="6F61CC49">
                  <w:pPr>
                    <w:widowControl/>
                    <w:jc w:val="center"/>
                    <w:textAlignment w:val="center"/>
                    <w:rPr>
                      <w:rFonts w:hint="default" w:eastAsia="宋体"/>
                      <w:color w:val="auto"/>
                      <w:sz w:val="21"/>
                      <w:szCs w:val="21"/>
                      <w:lang w:val="en-US" w:eastAsia="zh-CN"/>
                    </w:rPr>
                  </w:pPr>
                  <w:r>
                    <w:rPr>
                      <w:rFonts w:hint="eastAsia"/>
                      <w:color w:val="auto"/>
                      <w:szCs w:val="21"/>
                      <w:lang w:val="en-US" w:eastAsia="zh-CN"/>
                    </w:rPr>
                    <w:t>0.000004</w:t>
                  </w:r>
                </w:p>
              </w:tc>
            </w:tr>
            <w:tr w14:paraId="5BC94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7" w:type="dxa"/>
                  <w:vAlign w:val="center"/>
                </w:tcPr>
                <w:p w14:paraId="55F9F0F2">
                  <w:pPr>
                    <w:jc w:val="center"/>
                    <w:rPr>
                      <w:color w:val="auto"/>
                      <w:sz w:val="21"/>
                      <w:szCs w:val="21"/>
                    </w:rPr>
                  </w:pPr>
                  <w:r>
                    <w:rPr>
                      <w:rFonts w:hAnsi="宋体"/>
                      <w:color w:val="auto"/>
                      <w:sz w:val="21"/>
                      <w:szCs w:val="21"/>
                    </w:rPr>
                    <w:t>合计</w:t>
                  </w:r>
                </w:p>
              </w:tc>
              <w:tc>
                <w:tcPr>
                  <w:tcW w:w="1686" w:type="dxa"/>
                  <w:vAlign w:val="center"/>
                </w:tcPr>
                <w:p w14:paraId="12CA07CC">
                  <w:pPr>
                    <w:jc w:val="center"/>
                    <w:rPr>
                      <w:color w:val="auto"/>
                      <w:sz w:val="21"/>
                      <w:szCs w:val="21"/>
                    </w:rPr>
                  </w:pPr>
                  <w:r>
                    <w:rPr>
                      <w:color w:val="auto"/>
                      <w:sz w:val="21"/>
                      <w:szCs w:val="21"/>
                    </w:rPr>
                    <w:t>/</w:t>
                  </w:r>
                </w:p>
              </w:tc>
              <w:tc>
                <w:tcPr>
                  <w:tcW w:w="2274" w:type="dxa"/>
                  <w:vAlign w:val="center"/>
                </w:tcPr>
                <w:p w14:paraId="261264A2">
                  <w:pPr>
                    <w:jc w:val="center"/>
                    <w:rPr>
                      <w:color w:val="auto"/>
                      <w:sz w:val="21"/>
                      <w:szCs w:val="21"/>
                    </w:rPr>
                  </w:pPr>
                  <w:r>
                    <w:rPr>
                      <w:color w:val="auto"/>
                      <w:sz w:val="21"/>
                      <w:szCs w:val="21"/>
                    </w:rPr>
                    <w:t>/</w:t>
                  </w:r>
                </w:p>
              </w:tc>
              <w:tc>
                <w:tcPr>
                  <w:tcW w:w="1140" w:type="dxa"/>
                  <w:vAlign w:val="center"/>
                </w:tcPr>
                <w:p w14:paraId="3288AEAA">
                  <w:pPr>
                    <w:jc w:val="center"/>
                    <w:rPr>
                      <w:color w:val="auto"/>
                      <w:sz w:val="21"/>
                      <w:szCs w:val="21"/>
                    </w:rPr>
                  </w:pPr>
                  <w:r>
                    <w:rPr>
                      <w:color w:val="auto"/>
                      <w:sz w:val="21"/>
                      <w:szCs w:val="21"/>
                    </w:rPr>
                    <w:t>/</w:t>
                  </w:r>
                </w:p>
              </w:tc>
              <w:tc>
                <w:tcPr>
                  <w:tcW w:w="1360" w:type="dxa"/>
                  <w:vAlign w:val="center"/>
                </w:tcPr>
                <w:p w14:paraId="7790DBEA">
                  <w:pPr>
                    <w:widowControl/>
                    <w:jc w:val="center"/>
                    <w:textAlignment w:val="center"/>
                    <w:rPr>
                      <w:color w:val="auto"/>
                      <w:sz w:val="21"/>
                      <w:szCs w:val="21"/>
                    </w:rPr>
                  </w:pPr>
                  <w:r>
                    <w:rPr>
                      <w:rFonts w:hint="eastAsia"/>
                      <w:color w:val="auto"/>
                      <w:szCs w:val="21"/>
                      <w:lang w:val="en-US" w:eastAsia="zh-CN"/>
                    </w:rPr>
                    <w:t>0.000004</w:t>
                  </w:r>
                </w:p>
              </w:tc>
            </w:tr>
          </w:tbl>
          <w:p w14:paraId="53F56FB0">
            <w:pPr>
              <w:spacing w:before="120" w:beforeLines="50" w:line="360" w:lineRule="auto"/>
              <w:ind w:firstLine="480" w:firstLineChars="200"/>
              <w:rPr>
                <w:b/>
                <w:color w:val="auto"/>
                <w:sz w:val="24"/>
              </w:rPr>
            </w:pPr>
            <w:r>
              <w:rPr>
                <w:rFonts w:hAnsi="宋体"/>
                <w:color w:val="auto"/>
                <w:sz w:val="24"/>
              </w:rPr>
              <w:t>根据上表可知，项目危险物质数量与临界量比值</w:t>
            </w:r>
            <w:r>
              <w:rPr>
                <w:color w:val="auto"/>
                <w:sz w:val="24"/>
              </w:rPr>
              <w:t>Q</w:t>
            </w:r>
            <w:r>
              <w:rPr>
                <w:rFonts w:hAnsi="宋体"/>
                <w:color w:val="auto"/>
                <w:sz w:val="24"/>
                <w:szCs w:val="24"/>
              </w:rPr>
              <w:t>为</w:t>
            </w:r>
            <w:r>
              <w:rPr>
                <w:rFonts w:hint="eastAsia"/>
                <w:color w:val="auto"/>
                <w:sz w:val="24"/>
                <w:szCs w:val="24"/>
                <w:lang w:val="en-US" w:eastAsia="zh-CN"/>
              </w:rPr>
              <w:t>0.000004</w:t>
            </w:r>
            <w:r>
              <w:rPr>
                <w:rFonts w:hAnsi="宋体"/>
                <w:color w:val="auto"/>
                <w:sz w:val="24"/>
              </w:rPr>
              <w:t>，即</w:t>
            </w:r>
            <w:r>
              <w:rPr>
                <w:color w:val="auto"/>
                <w:sz w:val="24"/>
              </w:rPr>
              <w:t>Q</w:t>
            </w:r>
            <w:r>
              <w:rPr>
                <w:rFonts w:hAnsi="宋体"/>
                <w:color w:val="auto"/>
                <w:sz w:val="24"/>
              </w:rPr>
              <w:t>＜</w:t>
            </w:r>
            <w:r>
              <w:rPr>
                <w:color w:val="auto"/>
                <w:sz w:val="24"/>
              </w:rPr>
              <w:t>1</w:t>
            </w:r>
            <w:r>
              <w:rPr>
                <w:rFonts w:hAnsi="宋体"/>
                <w:color w:val="auto"/>
                <w:sz w:val="24"/>
              </w:rPr>
              <w:t>，</w:t>
            </w:r>
            <w:r>
              <w:rPr>
                <w:rFonts w:hint="eastAsia" w:hAnsi="宋体"/>
                <w:color w:val="auto"/>
                <w:sz w:val="24"/>
              </w:rPr>
              <w:t>环境风险物质存储量未超过临界量，</w:t>
            </w:r>
            <w:r>
              <w:rPr>
                <w:bCs/>
                <w:color w:val="auto"/>
                <w:sz w:val="24"/>
              </w:rPr>
              <w:t>可直接判断本项目</w:t>
            </w:r>
            <w:r>
              <w:rPr>
                <w:color w:val="auto"/>
                <w:sz w:val="24"/>
              </w:rPr>
              <w:t>环境风险潜势为</w:t>
            </w:r>
            <w:r>
              <w:rPr>
                <w:color w:val="auto"/>
                <w:sz w:val="24"/>
              </w:rPr>
              <w:fldChar w:fldCharType="begin"/>
            </w:r>
            <w:r>
              <w:rPr>
                <w:color w:val="auto"/>
                <w:sz w:val="24"/>
              </w:rPr>
              <w:instrText xml:space="preserve"> = 1 \* ROMAN </w:instrText>
            </w:r>
            <w:r>
              <w:rPr>
                <w:color w:val="auto"/>
                <w:sz w:val="24"/>
              </w:rPr>
              <w:fldChar w:fldCharType="separate"/>
            </w:r>
            <w:r>
              <w:rPr>
                <w:color w:val="auto"/>
                <w:sz w:val="24"/>
              </w:rPr>
              <w:t>I</w:t>
            </w:r>
            <w:r>
              <w:rPr>
                <w:color w:val="auto"/>
                <w:sz w:val="24"/>
              </w:rPr>
              <w:fldChar w:fldCharType="end"/>
            </w:r>
            <w:r>
              <w:rPr>
                <w:color w:val="auto"/>
                <w:sz w:val="24"/>
              </w:rPr>
              <w:t>。</w:t>
            </w:r>
          </w:p>
          <w:p w14:paraId="20E3F7B1">
            <w:pPr>
              <w:adjustRightInd w:val="0"/>
              <w:snapToGrid w:val="0"/>
              <w:spacing w:line="360" w:lineRule="auto"/>
              <w:ind w:firstLine="482" w:firstLineChars="200"/>
              <w:rPr>
                <w:b/>
                <w:color w:val="auto"/>
                <w:sz w:val="24"/>
              </w:rPr>
            </w:pPr>
            <w:r>
              <w:rPr>
                <w:b/>
                <w:color w:val="auto"/>
                <w:sz w:val="24"/>
              </w:rPr>
              <w:t>（</w:t>
            </w:r>
            <w:r>
              <w:rPr>
                <w:rFonts w:hint="eastAsia"/>
                <w:b/>
                <w:color w:val="auto"/>
                <w:sz w:val="24"/>
              </w:rPr>
              <w:t>三</w:t>
            </w:r>
            <w:r>
              <w:rPr>
                <w:b/>
                <w:color w:val="auto"/>
                <w:sz w:val="24"/>
              </w:rPr>
              <w:t>）</w:t>
            </w:r>
            <w:r>
              <w:rPr>
                <w:rFonts w:hint="eastAsia"/>
                <w:b/>
                <w:color w:val="auto"/>
                <w:sz w:val="24"/>
              </w:rPr>
              <w:t>评价工作等级划分</w:t>
            </w:r>
          </w:p>
          <w:p w14:paraId="54F3BB96">
            <w:pPr>
              <w:spacing w:line="360" w:lineRule="auto"/>
              <w:ind w:firstLine="480" w:firstLineChars="200"/>
              <w:rPr>
                <w:color w:val="auto"/>
                <w:sz w:val="24"/>
                <w:lang w:bidi="zh-CN"/>
              </w:rPr>
            </w:pPr>
            <w:r>
              <w:rPr>
                <w:rFonts w:hint="eastAsia"/>
                <w:color w:val="auto"/>
                <w:sz w:val="24"/>
                <w:lang w:bidi="zh-CN"/>
              </w:rPr>
              <w:t>环境风险评价工作等级划分为一级、二级、三级。根据建设项目涉及的物质及工艺系统</w:t>
            </w:r>
            <w:r>
              <w:rPr>
                <w:color w:val="auto"/>
                <w:sz w:val="24"/>
                <w:lang w:bidi="zh-CN"/>
              </w:rPr>
              <w:t>危险性和所在地的环境敏感性确定环境风险潜势，按照表</w:t>
            </w:r>
            <w:r>
              <w:rPr>
                <w:rFonts w:hint="eastAsia"/>
                <w:color w:val="auto"/>
                <w:sz w:val="24"/>
                <w:lang w:bidi="zh-CN"/>
              </w:rPr>
              <w:t>4-27</w:t>
            </w:r>
            <w:r>
              <w:rPr>
                <w:color w:val="auto"/>
                <w:sz w:val="24"/>
                <w:lang w:bidi="zh-CN"/>
              </w:rPr>
              <w:t>确定评价工作等级。风险潜势为Ⅳ及以上，进行一级评价；风险潜势为Ⅲ，进行二级评价；风险潜势为Ⅱ，进行三级评价；风险潜势为Ⅰ，可开展简单分析。</w:t>
            </w:r>
          </w:p>
          <w:p w14:paraId="4D64CD79">
            <w:pPr>
              <w:adjustRightInd w:val="0"/>
              <w:snapToGrid w:val="0"/>
              <w:jc w:val="center"/>
              <w:rPr>
                <w:b/>
                <w:color w:val="auto"/>
                <w:sz w:val="24"/>
              </w:rPr>
            </w:pPr>
            <w:r>
              <w:rPr>
                <w:rFonts w:hint="eastAsia"/>
                <w:b/>
                <w:color w:val="auto"/>
                <w:sz w:val="24"/>
              </w:rPr>
              <w:t>表4-</w:t>
            </w:r>
            <w:r>
              <w:rPr>
                <w:rFonts w:hint="eastAsia"/>
                <w:b/>
                <w:color w:val="auto"/>
                <w:sz w:val="24"/>
                <w:lang w:val="en-US" w:eastAsia="zh-CN"/>
              </w:rPr>
              <w:t>16</w:t>
            </w:r>
            <w:r>
              <w:rPr>
                <w:rFonts w:hint="eastAsia"/>
                <w:b/>
                <w:color w:val="auto"/>
                <w:sz w:val="24"/>
              </w:rPr>
              <w:t xml:space="preserve">  评价工作等级划分</w:t>
            </w:r>
          </w:p>
          <w:tbl>
            <w:tblPr>
              <w:tblStyle w:val="4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5"/>
              <w:gridCol w:w="1342"/>
              <w:gridCol w:w="1644"/>
              <w:gridCol w:w="1644"/>
              <w:gridCol w:w="1647"/>
            </w:tblGrid>
            <w:tr w14:paraId="26902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3" w:type="pct"/>
                  <w:vAlign w:val="center"/>
                </w:tcPr>
                <w:p w14:paraId="0C4CC5D0">
                  <w:pPr>
                    <w:pStyle w:val="124"/>
                    <w:adjustRightInd w:val="0"/>
                    <w:snapToGrid w:val="0"/>
                    <w:spacing w:before="120" w:line="240" w:lineRule="auto"/>
                    <w:ind w:firstLine="412"/>
                    <w:rPr>
                      <w:color w:val="auto"/>
                      <w:sz w:val="21"/>
                    </w:rPr>
                  </w:pPr>
                  <w:r>
                    <w:rPr>
                      <w:rFonts w:hint="eastAsia"/>
                      <w:color w:val="auto"/>
                      <w:sz w:val="21"/>
                    </w:rPr>
                    <w:t>环境风险潜势</w:t>
                  </w:r>
                </w:p>
              </w:tc>
              <w:tc>
                <w:tcPr>
                  <w:tcW w:w="816" w:type="pct"/>
                  <w:vAlign w:val="center"/>
                </w:tcPr>
                <w:p w14:paraId="108E8733">
                  <w:pPr>
                    <w:pStyle w:val="124"/>
                    <w:adjustRightInd w:val="0"/>
                    <w:snapToGrid w:val="0"/>
                    <w:spacing w:before="120" w:line="240" w:lineRule="auto"/>
                    <w:ind w:firstLine="412"/>
                    <w:rPr>
                      <w:color w:val="auto"/>
                      <w:sz w:val="21"/>
                    </w:rPr>
                  </w:pPr>
                  <w:r>
                    <w:rPr>
                      <w:rFonts w:hint="eastAsia"/>
                      <w:color w:val="auto"/>
                      <w:sz w:val="21"/>
                    </w:rPr>
                    <w:t>IV、IV+</w:t>
                  </w:r>
                </w:p>
              </w:tc>
              <w:tc>
                <w:tcPr>
                  <w:tcW w:w="1000" w:type="pct"/>
                  <w:vAlign w:val="center"/>
                </w:tcPr>
                <w:p w14:paraId="498389A8">
                  <w:pPr>
                    <w:pStyle w:val="124"/>
                    <w:adjustRightInd w:val="0"/>
                    <w:snapToGrid w:val="0"/>
                    <w:spacing w:before="120" w:line="240" w:lineRule="auto"/>
                    <w:ind w:firstLine="412"/>
                    <w:rPr>
                      <w:color w:val="auto"/>
                      <w:sz w:val="21"/>
                    </w:rPr>
                  </w:pPr>
                  <w:r>
                    <w:rPr>
                      <w:rFonts w:hint="eastAsia"/>
                      <w:color w:val="auto"/>
                      <w:sz w:val="21"/>
                    </w:rPr>
                    <w:t>Ⅲ</w:t>
                  </w:r>
                </w:p>
              </w:tc>
              <w:tc>
                <w:tcPr>
                  <w:tcW w:w="1000" w:type="pct"/>
                  <w:vAlign w:val="center"/>
                </w:tcPr>
                <w:p w14:paraId="00756637">
                  <w:pPr>
                    <w:pStyle w:val="124"/>
                    <w:adjustRightInd w:val="0"/>
                    <w:snapToGrid w:val="0"/>
                    <w:spacing w:before="120" w:line="240" w:lineRule="auto"/>
                    <w:ind w:firstLine="412"/>
                    <w:rPr>
                      <w:color w:val="auto"/>
                      <w:sz w:val="21"/>
                    </w:rPr>
                  </w:pPr>
                  <w:r>
                    <w:rPr>
                      <w:rFonts w:hint="eastAsia"/>
                      <w:color w:val="auto"/>
                      <w:sz w:val="21"/>
                    </w:rPr>
                    <w:t>II</w:t>
                  </w:r>
                </w:p>
              </w:tc>
              <w:tc>
                <w:tcPr>
                  <w:tcW w:w="1000" w:type="pct"/>
                  <w:vAlign w:val="center"/>
                </w:tcPr>
                <w:p w14:paraId="462F24EE">
                  <w:pPr>
                    <w:pStyle w:val="124"/>
                    <w:adjustRightInd w:val="0"/>
                    <w:snapToGrid w:val="0"/>
                    <w:spacing w:before="120" w:line="240" w:lineRule="auto"/>
                    <w:ind w:firstLine="412"/>
                    <w:rPr>
                      <w:color w:val="auto"/>
                      <w:sz w:val="21"/>
                    </w:rPr>
                  </w:pPr>
                  <w:r>
                    <w:rPr>
                      <w:rFonts w:hint="eastAsia"/>
                      <w:color w:val="auto"/>
                      <w:sz w:val="21"/>
                    </w:rPr>
                    <w:t>I</w:t>
                  </w:r>
                </w:p>
              </w:tc>
            </w:tr>
            <w:tr w14:paraId="155F0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3" w:type="pct"/>
                  <w:vAlign w:val="center"/>
                </w:tcPr>
                <w:p w14:paraId="5AD71172">
                  <w:pPr>
                    <w:pStyle w:val="124"/>
                    <w:adjustRightInd w:val="0"/>
                    <w:snapToGrid w:val="0"/>
                    <w:spacing w:before="120" w:line="240" w:lineRule="auto"/>
                    <w:ind w:firstLine="412"/>
                    <w:rPr>
                      <w:color w:val="auto"/>
                      <w:sz w:val="21"/>
                    </w:rPr>
                  </w:pPr>
                  <w:r>
                    <w:rPr>
                      <w:rFonts w:hint="eastAsia"/>
                      <w:color w:val="auto"/>
                      <w:sz w:val="21"/>
                    </w:rPr>
                    <w:t>评价工作等级</w:t>
                  </w:r>
                </w:p>
              </w:tc>
              <w:tc>
                <w:tcPr>
                  <w:tcW w:w="816" w:type="pct"/>
                  <w:vAlign w:val="center"/>
                </w:tcPr>
                <w:p w14:paraId="72BFC82B">
                  <w:pPr>
                    <w:pStyle w:val="124"/>
                    <w:adjustRightInd w:val="0"/>
                    <w:snapToGrid w:val="0"/>
                    <w:spacing w:before="120" w:line="240" w:lineRule="auto"/>
                    <w:ind w:firstLine="412"/>
                    <w:rPr>
                      <w:color w:val="auto"/>
                      <w:sz w:val="21"/>
                    </w:rPr>
                  </w:pPr>
                  <w:r>
                    <w:rPr>
                      <w:rFonts w:hint="eastAsia"/>
                      <w:color w:val="auto"/>
                      <w:sz w:val="21"/>
                    </w:rPr>
                    <w:t>一</w:t>
                  </w:r>
                </w:p>
              </w:tc>
              <w:tc>
                <w:tcPr>
                  <w:tcW w:w="1000" w:type="pct"/>
                  <w:vAlign w:val="center"/>
                </w:tcPr>
                <w:p w14:paraId="0A130A5C">
                  <w:pPr>
                    <w:pStyle w:val="124"/>
                    <w:adjustRightInd w:val="0"/>
                    <w:snapToGrid w:val="0"/>
                    <w:spacing w:before="120" w:line="240" w:lineRule="auto"/>
                    <w:ind w:firstLine="412"/>
                    <w:rPr>
                      <w:color w:val="auto"/>
                      <w:sz w:val="21"/>
                    </w:rPr>
                  </w:pPr>
                  <w:r>
                    <w:rPr>
                      <w:rFonts w:hint="eastAsia"/>
                      <w:color w:val="auto"/>
                      <w:sz w:val="21"/>
                    </w:rPr>
                    <w:t>二</w:t>
                  </w:r>
                </w:p>
              </w:tc>
              <w:tc>
                <w:tcPr>
                  <w:tcW w:w="1000" w:type="pct"/>
                  <w:vAlign w:val="center"/>
                </w:tcPr>
                <w:p w14:paraId="7CD6FE48">
                  <w:pPr>
                    <w:pStyle w:val="124"/>
                    <w:adjustRightInd w:val="0"/>
                    <w:snapToGrid w:val="0"/>
                    <w:spacing w:before="120" w:line="240" w:lineRule="auto"/>
                    <w:ind w:firstLine="412"/>
                    <w:rPr>
                      <w:color w:val="auto"/>
                      <w:sz w:val="21"/>
                    </w:rPr>
                  </w:pPr>
                  <w:r>
                    <w:rPr>
                      <w:rFonts w:hint="eastAsia"/>
                      <w:color w:val="auto"/>
                      <w:sz w:val="21"/>
                    </w:rPr>
                    <w:t>三</w:t>
                  </w:r>
                </w:p>
              </w:tc>
              <w:tc>
                <w:tcPr>
                  <w:tcW w:w="1000" w:type="pct"/>
                  <w:vAlign w:val="center"/>
                </w:tcPr>
                <w:p w14:paraId="3F20E165">
                  <w:pPr>
                    <w:pStyle w:val="124"/>
                    <w:adjustRightInd w:val="0"/>
                    <w:snapToGrid w:val="0"/>
                    <w:spacing w:before="120" w:line="240" w:lineRule="auto"/>
                    <w:ind w:firstLine="412"/>
                    <w:rPr>
                      <w:color w:val="auto"/>
                      <w:sz w:val="21"/>
                    </w:rPr>
                  </w:pPr>
                  <w:r>
                    <w:rPr>
                      <w:rFonts w:hint="eastAsia"/>
                      <w:color w:val="auto"/>
                      <w:sz w:val="21"/>
                    </w:rPr>
                    <w:t>简单分析</w:t>
                  </w:r>
                  <w:r>
                    <w:rPr>
                      <w:rFonts w:hint="eastAsia"/>
                      <w:color w:val="auto"/>
                      <w:sz w:val="21"/>
                      <w:vertAlign w:val="superscript"/>
                    </w:rPr>
                    <w:t>a</w:t>
                  </w:r>
                </w:p>
              </w:tc>
            </w:tr>
            <w:tr w14:paraId="1FF3B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14:paraId="03806ECA">
                  <w:pPr>
                    <w:pStyle w:val="124"/>
                    <w:adjustRightInd w:val="0"/>
                    <w:snapToGrid w:val="0"/>
                    <w:spacing w:before="120" w:line="240" w:lineRule="auto"/>
                    <w:ind w:firstLine="412"/>
                    <w:jc w:val="both"/>
                    <w:rPr>
                      <w:color w:val="auto"/>
                      <w:sz w:val="21"/>
                    </w:rPr>
                  </w:pPr>
                  <w:r>
                    <w:rPr>
                      <w:rFonts w:hint="eastAsia"/>
                      <w:color w:val="auto"/>
                      <w:sz w:val="21"/>
                      <w:vertAlign w:val="superscript"/>
                    </w:rPr>
                    <w:t>a</w:t>
                  </w:r>
                  <w:r>
                    <w:rPr>
                      <w:color w:val="auto"/>
                      <w:sz w:val="21"/>
                    </w:rPr>
                    <w:t>是相对于详细评价工作内容而言，在描述危险物质、环境影响途径、环境危害后果、风险防范措施等方面给出定性的说明。见附录A。</w:t>
                  </w:r>
                </w:p>
              </w:tc>
            </w:tr>
          </w:tbl>
          <w:p w14:paraId="45E22E3B">
            <w:pPr>
              <w:adjustRightInd w:val="0"/>
              <w:snapToGrid w:val="0"/>
              <w:spacing w:before="120" w:beforeLines="50" w:line="360" w:lineRule="auto"/>
              <w:ind w:firstLine="480" w:firstLineChars="200"/>
              <w:rPr>
                <w:color w:val="auto"/>
                <w:sz w:val="24"/>
              </w:rPr>
            </w:pPr>
            <w:r>
              <w:rPr>
                <w:color w:val="auto"/>
                <w:sz w:val="24"/>
              </w:rPr>
              <w:t>项目环境风险潜势</w:t>
            </w:r>
            <w:r>
              <w:rPr>
                <w:rFonts w:hint="eastAsia"/>
                <w:color w:val="auto"/>
                <w:sz w:val="24"/>
              </w:rPr>
              <w:t>直接判定</w:t>
            </w:r>
            <w:r>
              <w:rPr>
                <w:color w:val="auto"/>
                <w:sz w:val="24"/>
              </w:rPr>
              <w:t>为Ⅰ</w:t>
            </w:r>
            <w:r>
              <w:rPr>
                <w:rFonts w:hint="eastAsia"/>
                <w:color w:val="auto"/>
                <w:sz w:val="24"/>
              </w:rPr>
              <w:t>，故不设评价等级，仅进行简单分析。</w:t>
            </w:r>
          </w:p>
          <w:p w14:paraId="64DBDB79">
            <w:pPr>
              <w:topLinePunct/>
              <w:spacing w:line="360" w:lineRule="auto"/>
              <w:ind w:firstLine="482" w:firstLineChars="200"/>
              <w:rPr>
                <w:b/>
                <w:color w:val="auto"/>
                <w:sz w:val="24"/>
              </w:rPr>
            </w:pPr>
            <w:r>
              <w:rPr>
                <w:rFonts w:hint="eastAsia" w:hAnsi="宋体"/>
                <w:b/>
                <w:color w:val="auto"/>
                <w:sz w:val="24"/>
              </w:rPr>
              <w:t>（四）可能影响途径及影响分析</w:t>
            </w:r>
          </w:p>
          <w:p w14:paraId="41C890FC">
            <w:pPr>
              <w:autoSpaceDE w:val="0"/>
              <w:autoSpaceDN w:val="0"/>
              <w:spacing w:line="360" w:lineRule="auto"/>
              <w:ind w:firstLine="480" w:firstLineChars="200"/>
              <w:rPr>
                <w:color w:val="auto"/>
                <w:sz w:val="24"/>
              </w:rPr>
            </w:pPr>
            <w:r>
              <w:rPr>
                <w:rFonts w:hAnsi="宋体"/>
                <w:color w:val="auto"/>
                <w:sz w:val="24"/>
              </w:rPr>
              <w:t>根据项目风险物质调查情况，结合项目风险物质的使用、暂存情况并调研同类型项目的事故类型，</w:t>
            </w:r>
            <w:r>
              <w:rPr>
                <w:color w:val="auto"/>
                <w:sz w:val="24"/>
              </w:rPr>
              <w:t>确定本项目环境风险事故主要为</w:t>
            </w:r>
            <w:r>
              <w:rPr>
                <w:rFonts w:hint="eastAsia" w:hAnsi="宋体"/>
                <w:color w:val="auto"/>
                <w:sz w:val="24"/>
              </w:rPr>
              <w:t>危险废物泄漏事件</w:t>
            </w:r>
            <w:r>
              <w:rPr>
                <w:color w:val="auto"/>
                <w:sz w:val="24"/>
              </w:rPr>
              <w:t>。</w:t>
            </w:r>
          </w:p>
          <w:p w14:paraId="0B255C4C">
            <w:pPr>
              <w:spacing w:line="360" w:lineRule="auto"/>
              <w:ind w:firstLine="512" w:firstLineChars="200"/>
              <w:rPr>
                <w:rFonts w:hAnsi="宋体"/>
                <w:color w:val="auto"/>
                <w:spacing w:val="8"/>
                <w:sz w:val="24"/>
              </w:rPr>
            </w:pPr>
            <w:r>
              <w:rPr>
                <w:rFonts w:hAnsi="宋体"/>
                <w:color w:val="auto"/>
                <w:spacing w:val="8"/>
                <w:sz w:val="24"/>
              </w:rPr>
              <w:t>本项目产生的危险废物在</w:t>
            </w:r>
            <w:r>
              <w:rPr>
                <w:rFonts w:hint="eastAsia" w:hAnsi="宋体"/>
                <w:color w:val="auto"/>
                <w:spacing w:val="8"/>
                <w:sz w:val="24"/>
              </w:rPr>
              <w:t>转移</w:t>
            </w:r>
            <w:r>
              <w:rPr>
                <w:rFonts w:hAnsi="宋体"/>
                <w:color w:val="auto"/>
                <w:spacing w:val="8"/>
                <w:sz w:val="24"/>
              </w:rPr>
              <w:t>过程中若未做好相应防范措施，泄漏至露天外环境中，被雨水冲刷</w:t>
            </w:r>
            <w:r>
              <w:rPr>
                <w:rFonts w:hint="eastAsia" w:hAnsi="宋体"/>
                <w:color w:val="auto"/>
                <w:spacing w:val="8"/>
                <w:sz w:val="24"/>
              </w:rPr>
              <w:t>浸泡</w:t>
            </w:r>
            <w:r>
              <w:rPr>
                <w:rFonts w:hAnsi="宋体"/>
                <w:color w:val="auto"/>
                <w:spacing w:val="8"/>
                <w:sz w:val="24"/>
              </w:rPr>
              <w:t>后，有毒有害物质进入附近水体，对水体造成污染；其次，危险废物丢弃、遗弃到外环境中，对丢弃、遗弃点的土壤环境造成污染影响；同时，</w:t>
            </w:r>
            <w:r>
              <w:rPr>
                <w:rFonts w:hint="eastAsia" w:hAnsi="宋体"/>
                <w:color w:val="auto"/>
                <w:spacing w:val="8"/>
                <w:sz w:val="24"/>
              </w:rPr>
              <w:t>机修废油</w:t>
            </w:r>
            <w:r>
              <w:rPr>
                <w:rFonts w:hAnsi="宋体"/>
                <w:color w:val="auto"/>
                <w:spacing w:val="8"/>
                <w:sz w:val="24"/>
              </w:rPr>
              <w:t>挥发后会对周边空气环境造成污染。</w:t>
            </w:r>
          </w:p>
          <w:p w14:paraId="01505869">
            <w:pPr>
              <w:widowControl/>
              <w:spacing w:line="360" w:lineRule="auto"/>
              <w:ind w:firstLine="480" w:firstLineChars="200"/>
              <w:rPr>
                <w:rFonts w:hAnsi="宋体"/>
                <w:color w:val="auto"/>
                <w:sz w:val="24"/>
                <w:szCs w:val="22"/>
              </w:rPr>
            </w:pPr>
            <w:r>
              <w:rPr>
                <w:rFonts w:hint="eastAsia" w:hAnsi="宋体"/>
                <w:color w:val="auto"/>
                <w:sz w:val="24"/>
                <w:szCs w:val="22"/>
              </w:rPr>
              <w:t>根据现场踏勘，</w:t>
            </w:r>
            <w:r>
              <w:rPr>
                <w:rFonts w:hint="eastAsia" w:hAnsi="宋体"/>
                <w:color w:val="auto"/>
                <w:sz w:val="24"/>
                <w:szCs w:val="22"/>
                <w:lang w:eastAsia="zh-CN"/>
              </w:rPr>
              <w:t>云南常青树化工有限公司</w:t>
            </w:r>
            <w:r>
              <w:rPr>
                <w:rFonts w:hint="eastAsia" w:hAnsi="宋体"/>
                <w:color w:val="auto"/>
                <w:sz w:val="24"/>
                <w:szCs w:val="22"/>
              </w:rPr>
              <w:t>危险废物暂存间属于合规危废暂存间，且建设单位正在根据</w:t>
            </w:r>
            <w:r>
              <w:rPr>
                <w:rFonts w:hAnsi="宋体"/>
                <w:bCs/>
                <w:color w:val="auto"/>
                <w:sz w:val="24"/>
              </w:rPr>
              <w:t>《危险废物贮存污染控制标准》（GB</w:t>
            </w:r>
            <w:r>
              <w:rPr>
                <w:rFonts w:hint="eastAsia" w:hAnsi="宋体"/>
                <w:bCs/>
                <w:color w:val="auto"/>
                <w:sz w:val="24"/>
              </w:rPr>
              <w:t xml:space="preserve"> </w:t>
            </w:r>
            <w:r>
              <w:rPr>
                <w:rFonts w:hAnsi="宋体"/>
                <w:bCs/>
                <w:color w:val="auto"/>
                <w:sz w:val="24"/>
              </w:rPr>
              <w:t>18597-20</w:t>
            </w:r>
            <w:r>
              <w:rPr>
                <w:rFonts w:hint="eastAsia" w:hAnsi="宋体"/>
                <w:bCs/>
                <w:color w:val="auto"/>
                <w:sz w:val="24"/>
              </w:rPr>
              <w:t>23</w:t>
            </w:r>
            <w:r>
              <w:rPr>
                <w:rFonts w:hAnsi="宋体"/>
                <w:bCs/>
                <w:color w:val="auto"/>
                <w:sz w:val="24"/>
              </w:rPr>
              <w:t>）</w:t>
            </w:r>
            <w:r>
              <w:rPr>
                <w:rFonts w:hint="eastAsia" w:hAnsi="宋体"/>
                <w:bCs/>
                <w:color w:val="auto"/>
                <w:sz w:val="24"/>
              </w:rPr>
              <w:t>和《危险废物识别标志设置技术规范》（HJ 1276-2022）中要求对危废暂存间相关措施进行优化。经采取以上措施后，产生的危险废物对周边环境影响较小。</w:t>
            </w:r>
          </w:p>
          <w:p w14:paraId="45BA4B59">
            <w:pPr>
              <w:topLinePunct/>
              <w:spacing w:line="360" w:lineRule="auto"/>
              <w:ind w:firstLine="482" w:firstLineChars="200"/>
              <w:rPr>
                <w:b/>
                <w:color w:val="auto"/>
                <w:sz w:val="24"/>
              </w:rPr>
            </w:pPr>
            <w:r>
              <w:rPr>
                <w:rFonts w:hint="eastAsia" w:hAnsi="宋体"/>
                <w:b/>
                <w:color w:val="auto"/>
                <w:sz w:val="24"/>
              </w:rPr>
              <w:t>（五）土壤</w:t>
            </w:r>
            <w:r>
              <w:rPr>
                <w:rFonts w:hint="eastAsia" w:ascii="Times New Roman" w:hAnsi="Times New Roman"/>
                <w:b/>
                <w:bCs/>
                <w:color w:val="auto"/>
                <w:kern w:val="2"/>
                <w:sz w:val="24"/>
                <w:szCs w:val="24"/>
                <w:lang w:val="en-US" w:eastAsia="zh-CN"/>
              </w:rPr>
              <w:t>改良</w:t>
            </w:r>
            <w:r>
              <w:rPr>
                <w:rFonts w:hint="eastAsia" w:hAnsi="宋体"/>
                <w:b/>
                <w:color w:val="auto"/>
                <w:sz w:val="24"/>
              </w:rPr>
              <w:t>剂和生态修复材料</w:t>
            </w:r>
            <w:r>
              <w:rPr>
                <w:rFonts w:hAnsi="宋体"/>
                <w:b/>
                <w:bCs/>
                <w:color w:val="auto"/>
                <w:sz w:val="24"/>
              </w:rPr>
              <w:t>使用的环境风险分析</w:t>
            </w:r>
          </w:p>
          <w:p w14:paraId="0360A57A">
            <w:pPr>
              <w:widowControl/>
              <w:spacing w:line="360" w:lineRule="auto"/>
              <w:ind w:firstLine="480" w:firstLineChars="200"/>
              <w:rPr>
                <w:color w:val="auto"/>
                <w:sz w:val="24"/>
              </w:rPr>
            </w:pPr>
            <w:r>
              <w:rPr>
                <w:color w:val="auto"/>
                <w:sz w:val="24"/>
              </w:rPr>
              <w:t>根据前文土壤</w:t>
            </w:r>
            <w:r>
              <w:rPr>
                <w:rFonts w:hint="eastAsia" w:ascii="Times New Roman" w:hAnsi="Times New Roman"/>
                <w:color w:val="auto"/>
                <w:kern w:val="2"/>
                <w:sz w:val="24"/>
                <w:szCs w:val="24"/>
                <w:lang w:val="en-US" w:eastAsia="zh-CN"/>
              </w:rPr>
              <w:t>改良</w:t>
            </w:r>
            <w:r>
              <w:rPr>
                <w:color w:val="auto"/>
                <w:sz w:val="24"/>
              </w:rPr>
              <w:t>剂和生态修复材料的产品质量达标分析可以看出，土壤</w:t>
            </w:r>
            <w:r>
              <w:rPr>
                <w:rFonts w:hint="eastAsia" w:ascii="Times New Roman" w:hAnsi="Times New Roman"/>
                <w:color w:val="auto"/>
                <w:kern w:val="2"/>
                <w:sz w:val="24"/>
                <w:szCs w:val="24"/>
                <w:lang w:val="en-US" w:eastAsia="zh-CN"/>
              </w:rPr>
              <w:t>改良</w:t>
            </w:r>
            <w:r>
              <w:rPr>
                <w:color w:val="auto"/>
                <w:sz w:val="24"/>
              </w:rPr>
              <w:t>剂和生态修复材料的产品质量达到产品质量标准，对环境影响较小。</w:t>
            </w:r>
          </w:p>
          <w:p w14:paraId="3093EE13">
            <w:pPr>
              <w:topLinePunct/>
              <w:spacing w:line="360" w:lineRule="auto"/>
              <w:ind w:firstLine="482" w:firstLineChars="200"/>
              <w:rPr>
                <w:b/>
                <w:color w:val="auto"/>
                <w:sz w:val="24"/>
              </w:rPr>
            </w:pPr>
            <w:r>
              <w:rPr>
                <w:rFonts w:hint="eastAsia" w:hAnsi="宋体"/>
                <w:b/>
                <w:color w:val="auto"/>
                <w:sz w:val="24"/>
              </w:rPr>
              <w:t>（六）</w:t>
            </w:r>
            <w:r>
              <w:rPr>
                <w:rFonts w:hAnsi="宋体"/>
                <w:b/>
                <w:color w:val="auto"/>
                <w:sz w:val="24"/>
              </w:rPr>
              <w:t>环境风险</w:t>
            </w:r>
            <w:r>
              <w:rPr>
                <w:rFonts w:hint="eastAsia" w:hAnsi="宋体"/>
                <w:b/>
                <w:color w:val="auto"/>
                <w:sz w:val="24"/>
              </w:rPr>
              <w:t>防范措施</w:t>
            </w:r>
          </w:p>
          <w:p w14:paraId="691AD3BD">
            <w:pPr>
              <w:autoSpaceDE w:val="0"/>
              <w:autoSpaceDN w:val="0"/>
              <w:spacing w:line="360" w:lineRule="auto"/>
              <w:ind w:firstLine="480" w:firstLineChars="200"/>
              <w:rPr>
                <w:color w:val="auto"/>
                <w:sz w:val="24"/>
              </w:rPr>
            </w:pPr>
            <w:r>
              <w:rPr>
                <w:rFonts w:hAnsi="宋体"/>
                <w:color w:val="auto"/>
                <w:sz w:val="24"/>
              </w:rPr>
              <w:t>为把风险事故的发生和影响降到最低限度，针对项目的生产特点，特别应注意以下几点：加强职工安全环保教育，增强操作工人的责任心，防止和减少因人为因素造成的事故，同时也要加强防火安全教育；应配备必须的消防设施，落实安全管理责任。</w:t>
            </w:r>
          </w:p>
          <w:p w14:paraId="393BC14F">
            <w:pPr>
              <w:spacing w:line="360" w:lineRule="auto"/>
              <w:ind w:firstLine="480" w:firstLineChars="200"/>
              <w:rPr>
                <w:rFonts w:hAnsi="宋体"/>
                <w:b/>
                <w:color w:val="auto"/>
                <w:sz w:val="24"/>
              </w:rPr>
            </w:pPr>
            <w:r>
              <w:rPr>
                <w:rFonts w:hAnsi="宋体"/>
                <w:color w:val="auto"/>
                <w:sz w:val="24"/>
              </w:rPr>
              <w:t>根据</w:t>
            </w:r>
            <w:r>
              <w:rPr>
                <w:rFonts w:hint="eastAsia" w:hAnsi="宋体"/>
                <w:color w:val="auto"/>
                <w:sz w:val="24"/>
                <w:lang w:eastAsia="zh-CN"/>
              </w:rPr>
              <w:t>云南常青树化工有限公司</w:t>
            </w:r>
            <w:r>
              <w:rPr>
                <w:rFonts w:hint="eastAsia" w:hAnsi="宋体"/>
                <w:color w:val="auto"/>
                <w:sz w:val="24"/>
              </w:rPr>
              <w:t>的《</w:t>
            </w:r>
            <w:bookmarkStart w:id="8" w:name="_Toc9267"/>
            <w:r>
              <w:rPr>
                <w:rFonts w:hAnsi="宋体"/>
                <w:color w:val="auto"/>
                <w:sz w:val="24"/>
              </w:rPr>
              <w:t>突发环境事件应急预案</w:t>
            </w:r>
            <w:bookmarkEnd w:id="8"/>
            <w:r>
              <w:rPr>
                <w:rFonts w:hint="eastAsia" w:hAnsi="宋体"/>
                <w:color w:val="auto"/>
                <w:sz w:val="24"/>
              </w:rPr>
              <w:t>》（第四版）：</w:t>
            </w:r>
          </w:p>
          <w:p w14:paraId="7834D99B">
            <w:pPr>
              <w:spacing w:line="360" w:lineRule="auto"/>
              <w:ind w:firstLine="480" w:firstLineChars="200"/>
              <w:rPr>
                <w:bCs/>
                <w:color w:val="auto"/>
                <w:sz w:val="24"/>
              </w:rPr>
            </w:pPr>
            <w:r>
              <w:rPr>
                <w:color w:val="auto"/>
                <w:sz w:val="24"/>
              </w:rPr>
              <w:fldChar w:fldCharType="begin"/>
            </w:r>
            <w:r>
              <w:rPr>
                <w:color w:val="auto"/>
                <w:sz w:val="24"/>
              </w:rPr>
              <w:instrText xml:space="preserve"> = 1 \* GB3 </w:instrText>
            </w:r>
            <w:r>
              <w:rPr>
                <w:color w:val="auto"/>
                <w:sz w:val="24"/>
              </w:rPr>
              <w:fldChar w:fldCharType="separate"/>
            </w:r>
            <w:r>
              <w:rPr>
                <w:rFonts w:hAnsi="宋体"/>
                <w:color w:val="auto"/>
                <w:sz w:val="24"/>
              </w:rPr>
              <w:t>①</w:t>
            </w:r>
            <w:r>
              <w:rPr>
                <w:color w:val="auto"/>
                <w:sz w:val="24"/>
              </w:rPr>
              <w:fldChar w:fldCharType="end"/>
            </w:r>
            <w:r>
              <w:rPr>
                <w:rFonts w:hint="eastAsia" w:hAnsi="宋体"/>
                <w:color w:val="auto"/>
                <w:sz w:val="24"/>
              </w:rPr>
              <w:t>不同种类的危险废物分别存在不同的容器中，不得混装，分区储存；危险废物暂存间粘贴危险废物标示</w:t>
            </w:r>
            <w:r>
              <w:rPr>
                <w:rFonts w:hAnsi="宋体"/>
                <w:bCs/>
                <w:color w:val="auto"/>
                <w:sz w:val="24"/>
              </w:rPr>
              <w:t>。</w:t>
            </w:r>
          </w:p>
          <w:p w14:paraId="5AB8E896">
            <w:pPr>
              <w:spacing w:line="360" w:lineRule="auto"/>
              <w:ind w:firstLine="480" w:firstLineChars="200"/>
              <w:rPr>
                <w:bCs/>
                <w:color w:val="auto"/>
                <w:sz w:val="24"/>
              </w:rPr>
            </w:pPr>
            <w:r>
              <w:rPr>
                <w:color w:val="auto"/>
                <w:sz w:val="24"/>
              </w:rPr>
              <w:fldChar w:fldCharType="begin"/>
            </w:r>
            <w:r>
              <w:rPr>
                <w:color w:val="auto"/>
                <w:sz w:val="24"/>
              </w:rPr>
              <w:instrText xml:space="preserve"> = 2 \* GB3 </w:instrText>
            </w:r>
            <w:r>
              <w:rPr>
                <w:color w:val="auto"/>
                <w:sz w:val="24"/>
              </w:rPr>
              <w:fldChar w:fldCharType="separate"/>
            </w:r>
            <w:r>
              <w:rPr>
                <w:rFonts w:hAnsi="宋体"/>
                <w:color w:val="auto"/>
                <w:sz w:val="24"/>
              </w:rPr>
              <w:t>②</w:t>
            </w:r>
            <w:r>
              <w:rPr>
                <w:color w:val="auto"/>
                <w:sz w:val="24"/>
              </w:rPr>
              <w:fldChar w:fldCharType="end"/>
            </w:r>
            <w:r>
              <w:rPr>
                <w:rFonts w:hint="eastAsia" w:hAnsi="宋体"/>
                <w:color w:val="auto"/>
                <w:sz w:val="24"/>
              </w:rPr>
              <w:t>固体危险废物包装完整，不得渗漏；液体危险废物包装容器密封，有盖</w:t>
            </w:r>
            <w:r>
              <w:rPr>
                <w:rFonts w:hAnsi="宋体"/>
                <w:color w:val="auto"/>
                <w:sz w:val="24"/>
              </w:rPr>
              <w:t>。</w:t>
            </w:r>
          </w:p>
          <w:p w14:paraId="047475A1">
            <w:pPr>
              <w:spacing w:line="360" w:lineRule="auto"/>
              <w:ind w:firstLine="480" w:firstLineChars="200"/>
              <w:rPr>
                <w:color w:val="auto"/>
                <w:sz w:val="24"/>
              </w:rPr>
            </w:pPr>
            <w:r>
              <w:rPr>
                <w:rFonts w:hint="eastAsia" w:ascii="宋体" w:hAnsi="宋体"/>
                <w:color w:val="auto"/>
                <w:sz w:val="24"/>
              </w:rPr>
              <w:t>③</w:t>
            </w:r>
            <w:r>
              <w:rPr>
                <w:rFonts w:hint="eastAsia"/>
                <w:color w:val="auto"/>
                <w:sz w:val="24"/>
              </w:rPr>
              <w:t>危险废物暂存间应采用防渗、防外溢播施；危废暂存间应设置收集池、灭火器等应急设施</w:t>
            </w:r>
            <w:r>
              <w:rPr>
                <w:color w:val="auto"/>
                <w:sz w:val="24"/>
              </w:rPr>
              <w:t>。</w:t>
            </w:r>
          </w:p>
          <w:p w14:paraId="1BEB9E9E">
            <w:pPr>
              <w:tabs>
                <w:tab w:val="left" w:pos="900"/>
              </w:tabs>
              <w:spacing w:line="360" w:lineRule="auto"/>
              <w:ind w:firstLine="480" w:firstLineChars="200"/>
              <w:rPr>
                <w:color w:val="auto"/>
                <w:sz w:val="24"/>
              </w:rPr>
            </w:pPr>
            <w:r>
              <w:rPr>
                <w:rFonts w:hint="eastAsia" w:ascii="宋体" w:hAnsi="宋体"/>
                <w:color w:val="auto"/>
                <w:sz w:val="24"/>
              </w:rPr>
              <w:t>④</w:t>
            </w:r>
            <w:r>
              <w:rPr>
                <w:rFonts w:hint="eastAsia"/>
                <w:color w:val="auto"/>
                <w:sz w:val="24"/>
              </w:rPr>
              <w:t>暂存的危险废物不得超过一年，确需要延长期限的，必须报环保主管部门批准；按规范要求建立危险废物管理制度及管理台账</w:t>
            </w:r>
            <w:r>
              <w:rPr>
                <w:color w:val="auto"/>
                <w:sz w:val="24"/>
              </w:rPr>
              <w:t>。</w:t>
            </w:r>
          </w:p>
          <w:p w14:paraId="59404345">
            <w:pPr>
              <w:tabs>
                <w:tab w:val="left" w:pos="900"/>
              </w:tabs>
              <w:spacing w:line="360" w:lineRule="auto"/>
              <w:ind w:firstLine="480" w:firstLineChars="200"/>
              <w:rPr>
                <w:bCs/>
                <w:color w:val="auto"/>
                <w:sz w:val="24"/>
              </w:rPr>
            </w:pPr>
            <w:r>
              <w:rPr>
                <w:rFonts w:hint="eastAsia" w:ascii="宋体" w:hAnsi="宋体"/>
                <w:color w:val="auto"/>
                <w:sz w:val="24"/>
              </w:rPr>
              <w:t>⑤</w:t>
            </w:r>
            <w:r>
              <w:rPr>
                <w:rFonts w:hint="eastAsia"/>
                <w:color w:val="auto"/>
                <w:sz w:val="24"/>
              </w:rPr>
              <w:t>危险废物处置必须委托有资质的单位进行处理转移处置</w:t>
            </w:r>
            <w:r>
              <w:rPr>
                <w:bCs/>
                <w:color w:val="auto"/>
                <w:sz w:val="24"/>
              </w:rPr>
              <w:t>。</w:t>
            </w:r>
          </w:p>
          <w:p w14:paraId="3D485B3B">
            <w:pPr>
              <w:topLinePunct/>
              <w:spacing w:line="360" w:lineRule="auto"/>
              <w:ind w:firstLine="482" w:firstLineChars="200"/>
              <w:rPr>
                <w:rFonts w:hAnsi="宋体"/>
                <w:b/>
                <w:color w:val="auto"/>
                <w:sz w:val="24"/>
              </w:rPr>
            </w:pPr>
            <w:r>
              <w:rPr>
                <w:rFonts w:hint="eastAsia" w:hAnsi="宋体"/>
                <w:b/>
                <w:color w:val="auto"/>
                <w:sz w:val="24"/>
              </w:rPr>
              <w:t>（七）突发环境事件应急预案</w:t>
            </w:r>
          </w:p>
          <w:p w14:paraId="32C02129">
            <w:pPr>
              <w:adjustRightInd w:val="0"/>
              <w:snapToGrid w:val="0"/>
              <w:spacing w:line="360" w:lineRule="auto"/>
              <w:ind w:firstLine="480" w:firstLineChars="200"/>
              <w:rPr>
                <w:color w:val="auto"/>
                <w:sz w:val="24"/>
              </w:rPr>
            </w:pPr>
            <w:r>
              <w:rPr>
                <w:color w:val="auto"/>
                <w:sz w:val="24"/>
              </w:rPr>
              <w:t>根据《企业事业单位突发环境事件应急预案备案管理办法（试行）》（环发﹝2015﹞4号）等文件的要求，</w:t>
            </w:r>
            <w:r>
              <w:rPr>
                <w:rFonts w:hint="eastAsia"/>
                <w:color w:val="auto"/>
                <w:sz w:val="24"/>
              </w:rPr>
              <w:t>项目扩建后，建设单位应对企业突发环境事件应急预案进行修订并</w:t>
            </w:r>
            <w:r>
              <w:rPr>
                <w:color w:val="auto"/>
                <w:sz w:val="24"/>
              </w:rPr>
              <w:t>报昆明市生态环境局寻甸分局备案。建立完善的应急报告制度，落实应急物资和经费，日常加强应急演练。项目突发环境事件应急预案按照《云南省企业单位突发环境事件应急预案指导目录和编制要点》（云环印发﹝2013﹞12号）进行编制，详见下表。</w:t>
            </w:r>
          </w:p>
          <w:p w14:paraId="292C40ED">
            <w:pPr>
              <w:autoSpaceDE w:val="0"/>
              <w:autoSpaceDN w:val="0"/>
              <w:adjustRightInd w:val="0"/>
              <w:jc w:val="center"/>
              <w:rPr>
                <w:rStyle w:val="123"/>
                <w:b/>
                <w:snapToGrid w:val="0"/>
                <w:color w:val="auto"/>
                <w:sz w:val="24"/>
              </w:rPr>
            </w:pPr>
            <w:r>
              <w:rPr>
                <w:rStyle w:val="123"/>
                <w:b/>
                <w:snapToGrid w:val="0"/>
                <w:color w:val="auto"/>
                <w:sz w:val="24"/>
              </w:rPr>
              <w:t>表</w:t>
            </w:r>
            <w:r>
              <w:rPr>
                <w:rStyle w:val="123"/>
                <w:rFonts w:hint="eastAsia"/>
                <w:b/>
                <w:snapToGrid w:val="0"/>
                <w:color w:val="auto"/>
                <w:sz w:val="24"/>
              </w:rPr>
              <w:t>4-</w:t>
            </w:r>
            <w:r>
              <w:rPr>
                <w:rStyle w:val="123"/>
                <w:rFonts w:hint="eastAsia"/>
                <w:b/>
                <w:snapToGrid w:val="0"/>
                <w:color w:val="auto"/>
                <w:sz w:val="24"/>
                <w:lang w:val="en-US" w:eastAsia="zh-CN"/>
              </w:rPr>
              <w:t>17</w:t>
            </w:r>
            <w:r>
              <w:rPr>
                <w:rStyle w:val="123"/>
                <w:b/>
                <w:snapToGrid w:val="0"/>
                <w:color w:val="auto"/>
                <w:sz w:val="24"/>
              </w:rPr>
              <w:t xml:space="preserve">  </w:t>
            </w:r>
            <w:r>
              <w:rPr>
                <w:rStyle w:val="123"/>
                <w:rFonts w:hint="eastAsia"/>
                <w:b/>
                <w:snapToGrid w:val="0"/>
                <w:color w:val="auto"/>
                <w:sz w:val="24"/>
              </w:rPr>
              <w:t>项目</w:t>
            </w:r>
            <w:r>
              <w:rPr>
                <w:rStyle w:val="123"/>
                <w:b/>
                <w:snapToGrid w:val="0"/>
                <w:color w:val="auto"/>
                <w:sz w:val="24"/>
              </w:rPr>
              <w:t>突发事故应急预案内容及要求</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510"/>
              <w:gridCol w:w="6042"/>
            </w:tblGrid>
            <w:tr w14:paraId="616C3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407" w:type="pct"/>
                  <w:vAlign w:val="center"/>
                </w:tcPr>
                <w:p w14:paraId="290D5588">
                  <w:pPr>
                    <w:pStyle w:val="125"/>
                    <w:adjustRightInd w:val="0"/>
                    <w:snapToGrid w:val="0"/>
                    <w:spacing w:before="24" w:after="24"/>
                    <w:rPr>
                      <w:rStyle w:val="123"/>
                      <w:bCs/>
                      <w:color w:val="auto"/>
                      <w:sz w:val="21"/>
                      <w:szCs w:val="21"/>
                    </w:rPr>
                  </w:pPr>
                  <w:r>
                    <w:rPr>
                      <w:rStyle w:val="123"/>
                      <w:bCs/>
                      <w:color w:val="auto"/>
                      <w:sz w:val="21"/>
                      <w:szCs w:val="21"/>
                    </w:rPr>
                    <w:t>序号</w:t>
                  </w:r>
                </w:p>
              </w:tc>
              <w:tc>
                <w:tcPr>
                  <w:tcW w:w="918" w:type="pct"/>
                  <w:vAlign w:val="center"/>
                </w:tcPr>
                <w:p w14:paraId="770CB78F">
                  <w:pPr>
                    <w:pStyle w:val="125"/>
                    <w:adjustRightInd w:val="0"/>
                    <w:snapToGrid w:val="0"/>
                    <w:spacing w:before="24" w:after="24"/>
                    <w:rPr>
                      <w:rStyle w:val="123"/>
                      <w:bCs/>
                      <w:color w:val="auto"/>
                      <w:sz w:val="21"/>
                      <w:szCs w:val="21"/>
                    </w:rPr>
                  </w:pPr>
                  <w:r>
                    <w:rPr>
                      <w:rStyle w:val="123"/>
                      <w:rFonts w:hint="eastAsia"/>
                      <w:bCs/>
                      <w:color w:val="auto"/>
                      <w:sz w:val="21"/>
                      <w:szCs w:val="21"/>
                    </w:rPr>
                    <w:t>编制条目</w:t>
                  </w:r>
                </w:p>
              </w:tc>
              <w:tc>
                <w:tcPr>
                  <w:tcW w:w="3674" w:type="pct"/>
                  <w:vAlign w:val="center"/>
                </w:tcPr>
                <w:p w14:paraId="383F1989">
                  <w:pPr>
                    <w:pStyle w:val="125"/>
                    <w:adjustRightInd w:val="0"/>
                    <w:snapToGrid w:val="0"/>
                    <w:spacing w:before="24" w:after="24"/>
                    <w:rPr>
                      <w:rStyle w:val="123"/>
                      <w:bCs/>
                      <w:color w:val="auto"/>
                      <w:sz w:val="21"/>
                      <w:szCs w:val="21"/>
                    </w:rPr>
                  </w:pPr>
                  <w:r>
                    <w:rPr>
                      <w:rStyle w:val="123"/>
                      <w:rFonts w:hint="eastAsia"/>
                      <w:bCs/>
                      <w:color w:val="auto"/>
                      <w:sz w:val="21"/>
                      <w:szCs w:val="21"/>
                    </w:rPr>
                    <w:t>编制要点</w:t>
                  </w:r>
                </w:p>
              </w:tc>
            </w:tr>
            <w:tr w14:paraId="6DE10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1595968A">
                  <w:pPr>
                    <w:pStyle w:val="125"/>
                    <w:adjustRightInd w:val="0"/>
                    <w:snapToGrid w:val="0"/>
                    <w:spacing w:before="24" w:after="24"/>
                    <w:rPr>
                      <w:rStyle w:val="123"/>
                      <w:bCs/>
                      <w:color w:val="auto"/>
                      <w:sz w:val="21"/>
                      <w:szCs w:val="21"/>
                    </w:rPr>
                  </w:pPr>
                  <w:r>
                    <w:rPr>
                      <w:rStyle w:val="123"/>
                      <w:bCs/>
                      <w:color w:val="auto"/>
                      <w:sz w:val="21"/>
                      <w:szCs w:val="21"/>
                    </w:rPr>
                    <w:t>1</w:t>
                  </w:r>
                </w:p>
              </w:tc>
              <w:tc>
                <w:tcPr>
                  <w:tcW w:w="918" w:type="pct"/>
                  <w:vAlign w:val="center"/>
                </w:tcPr>
                <w:p w14:paraId="39CF9794">
                  <w:pPr>
                    <w:pStyle w:val="125"/>
                    <w:adjustRightInd w:val="0"/>
                    <w:snapToGrid w:val="0"/>
                    <w:spacing w:before="24" w:after="24"/>
                    <w:rPr>
                      <w:rStyle w:val="123"/>
                      <w:bCs/>
                      <w:color w:val="auto"/>
                      <w:sz w:val="21"/>
                      <w:szCs w:val="21"/>
                    </w:rPr>
                  </w:pPr>
                  <w:r>
                    <w:rPr>
                      <w:rStyle w:val="123"/>
                      <w:bCs/>
                      <w:color w:val="auto"/>
                      <w:sz w:val="21"/>
                      <w:szCs w:val="21"/>
                    </w:rPr>
                    <w:t>总则</w:t>
                  </w:r>
                </w:p>
              </w:tc>
              <w:tc>
                <w:tcPr>
                  <w:tcW w:w="3674" w:type="pct"/>
                  <w:vAlign w:val="center"/>
                </w:tcPr>
                <w:p w14:paraId="453E017A">
                  <w:pPr>
                    <w:pStyle w:val="125"/>
                    <w:adjustRightInd w:val="0"/>
                    <w:snapToGrid w:val="0"/>
                    <w:spacing w:before="24" w:after="24"/>
                    <w:rPr>
                      <w:rStyle w:val="123"/>
                      <w:bCs/>
                      <w:color w:val="auto"/>
                      <w:sz w:val="21"/>
                      <w:szCs w:val="21"/>
                    </w:rPr>
                  </w:pPr>
                  <w:r>
                    <w:rPr>
                      <w:rStyle w:val="123"/>
                      <w:rFonts w:hint="eastAsia"/>
                      <w:bCs/>
                      <w:color w:val="auto"/>
                      <w:sz w:val="21"/>
                      <w:szCs w:val="21"/>
                    </w:rPr>
                    <w:t>（1）编制目的；（2）编制依据；（3）适用范围；（4）应急预案体系；（5）应急工作原则：</w:t>
                  </w:r>
                  <w:r>
                    <w:rPr>
                      <w:rStyle w:val="123"/>
                      <w:rFonts w:hint="eastAsia"/>
                      <w:bCs/>
                      <w:color w:val="auto"/>
                      <w:sz w:val="21"/>
                      <w:szCs w:val="21"/>
                    </w:rPr>
                    <w:fldChar w:fldCharType="begin"/>
                  </w:r>
                  <w:r>
                    <w:rPr>
                      <w:rStyle w:val="123"/>
                      <w:rFonts w:hint="eastAsia"/>
                      <w:bCs/>
                      <w:color w:val="auto"/>
                      <w:sz w:val="21"/>
                      <w:szCs w:val="21"/>
                    </w:rPr>
                    <w:instrText xml:space="preserve"> = 1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①</w:t>
                  </w:r>
                  <w:r>
                    <w:rPr>
                      <w:rStyle w:val="123"/>
                      <w:rFonts w:hint="eastAsia"/>
                      <w:bCs/>
                      <w:color w:val="auto"/>
                      <w:sz w:val="21"/>
                      <w:szCs w:val="21"/>
                    </w:rPr>
                    <w:fldChar w:fldCharType="end"/>
                  </w:r>
                  <w:r>
                    <w:rPr>
                      <w:rStyle w:val="123"/>
                      <w:rFonts w:hint="eastAsia"/>
                      <w:bCs/>
                      <w:color w:val="auto"/>
                      <w:sz w:val="21"/>
                      <w:szCs w:val="21"/>
                    </w:rPr>
                    <w:t>优先原则；</w:t>
                  </w:r>
                  <w:r>
                    <w:rPr>
                      <w:rStyle w:val="123"/>
                      <w:rFonts w:hint="eastAsia"/>
                      <w:bCs/>
                      <w:color w:val="auto"/>
                      <w:sz w:val="21"/>
                      <w:szCs w:val="21"/>
                    </w:rPr>
                    <w:fldChar w:fldCharType="begin"/>
                  </w:r>
                  <w:r>
                    <w:rPr>
                      <w:rStyle w:val="123"/>
                      <w:rFonts w:hint="eastAsia"/>
                      <w:bCs/>
                      <w:color w:val="auto"/>
                      <w:sz w:val="21"/>
                      <w:szCs w:val="21"/>
                    </w:rPr>
                    <w:instrText xml:space="preserve"> = 2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②</w:t>
                  </w:r>
                  <w:r>
                    <w:rPr>
                      <w:rStyle w:val="123"/>
                      <w:rFonts w:hint="eastAsia"/>
                      <w:bCs/>
                      <w:color w:val="auto"/>
                      <w:sz w:val="21"/>
                      <w:szCs w:val="21"/>
                    </w:rPr>
                    <w:fldChar w:fldCharType="end"/>
                  </w:r>
                  <w:r>
                    <w:rPr>
                      <w:rStyle w:val="123"/>
                      <w:rFonts w:hint="eastAsia"/>
                      <w:bCs/>
                      <w:color w:val="auto"/>
                      <w:sz w:val="21"/>
                      <w:szCs w:val="21"/>
                    </w:rPr>
                    <w:t>以人为本、减少危害原则；</w:t>
                  </w:r>
                  <w:r>
                    <w:rPr>
                      <w:rStyle w:val="123"/>
                      <w:rFonts w:hint="eastAsia"/>
                      <w:bCs/>
                      <w:color w:val="auto"/>
                      <w:sz w:val="21"/>
                      <w:szCs w:val="21"/>
                    </w:rPr>
                    <w:fldChar w:fldCharType="begin"/>
                  </w:r>
                  <w:r>
                    <w:rPr>
                      <w:rStyle w:val="123"/>
                      <w:rFonts w:hint="eastAsia"/>
                      <w:bCs/>
                      <w:color w:val="auto"/>
                      <w:sz w:val="21"/>
                      <w:szCs w:val="21"/>
                    </w:rPr>
                    <w:instrText xml:space="preserve"> = 3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③</w:t>
                  </w:r>
                  <w:r>
                    <w:rPr>
                      <w:rStyle w:val="123"/>
                      <w:rFonts w:hint="eastAsia"/>
                      <w:bCs/>
                      <w:color w:val="auto"/>
                      <w:sz w:val="21"/>
                      <w:szCs w:val="21"/>
                    </w:rPr>
                    <w:fldChar w:fldCharType="end"/>
                  </w:r>
                  <w:r>
                    <w:rPr>
                      <w:rStyle w:val="123"/>
                      <w:rFonts w:hint="eastAsia"/>
                      <w:bCs/>
                      <w:color w:val="auto"/>
                      <w:sz w:val="21"/>
                      <w:szCs w:val="21"/>
                    </w:rPr>
                    <w:t>本预案突发环境事件分级原则</w:t>
                  </w:r>
                </w:p>
              </w:tc>
            </w:tr>
            <w:tr w14:paraId="2526A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711BF50E">
                  <w:pPr>
                    <w:pStyle w:val="125"/>
                    <w:adjustRightInd w:val="0"/>
                    <w:snapToGrid w:val="0"/>
                    <w:spacing w:before="24" w:after="24"/>
                    <w:rPr>
                      <w:rStyle w:val="123"/>
                      <w:bCs/>
                      <w:color w:val="auto"/>
                      <w:sz w:val="21"/>
                      <w:szCs w:val="21"/>
                    </w:rPr>
                  </w:pPr>
                  <w:r>
                    <w:rPr>
                      <w:rStyle w:val="123"/>
                      <w:bCs/>
                      <w:color w:val="auto"/>
                      <w:sz w:val="21"/>
                      <w:szCs w:val="21"/>
                    </w:rPr>
                    <w:t>2</w:t>
                  </w:r>
                </w:p>
              </w:tc>
              <w:tc>
                <w:tcPr>
                  <w:tcW w:w="918" w:type="pct"/>
                  <w:vAlign w:val="center"/>
                </w:tcPr>
                <w:p w14:paraId="3F736DD1">
                  <w:pPr>
                    <w:pStyle w:val="125"/>
                    <w:adjustRightInd w:val="0"/>
                    <w:snapToGrid w:val="0"/>
                    <w:spacing w:before="24" w:after="24"/>
                    <w:rPr>
                      <w:rStyle w:val="123"/>
                      <w:bCs/>
                      <w:color w:val="auto"/>
                      <w:sz w:val="21"/>
                      <w:szCs w:val="21"/>
                    </w:rPr>
                  </w:pPr>
                  <w:r>
                    <w:rPr>
                      <w:rStyle w:val="123"/>
                      <w:rFonts w:hint="eastAsia"/>
                      <w:bCs/>
                      <w:color w:val="auto"/>
                      <w:sz w:val="21"/>
                      <w:szCs w:val="21"/>
                    </w:rPr>
                    <w:t>公司基本情况</w:t>
                  </w:r>
                </w:p>
              </w:tc>
              <w:tc>
                <w:tcPr>
                  <w:tcW w:w="3674" w:type="pct"/>
                  <w:vAlign w:val="center"/>
                </w:tcPr>
                <w:p w14:paraId="734B09CB">
                  <w:pPr>
                    <w:pStyle w:val="125"/>
                    <w:adjustRightInd w:val="0"/>
                    <w:snapToGrid w:val="0"/>
                    <w:spacing w:before="24" w:after="24"/>
                    <w:rPr>
                      <w:rStyle w:val="123"/>
                      <w:bCs/>
                      <w:color w:val="auto"/>
                      <w:sz w:val="21"/>
                      <w:szCs w:val="21"/>
                    </w:rPr>
                  </w:pPr>
                  <w:r>
                    <w:rPr>
                      <w:rStyle w:val="123"/>
                      <w:rFonts w:hint="eastAsia"/>
                      <w:bCs/>
                      <w:color w:val="auto"/>
                      <w:sz w:val="21"/>
                      <w:szCs w:val="21"/>
                    </w:rPr>
                    <w:t>（1）公司概况：</w:t>
                  </w:r>
                  <w:r>
                    <w:rPr>
                      <w:rStyle w:val="123"/>
                      <w:rFonts w:hint="eastAsia"/>
                      <w:bCs/>
                      <w:color w:val="auto"/>
                      <w:sz w:val="21"/>
                      <w:szCs w:val="21"/>
                    </w:rPr>
                    <w:fldChar w:fldCharType="begin"/>
                  </w:r>
                  <w:r>
                    <w:rPr>
                      <w:rStyle w:val="123"/>
                      <w:rFonts w:hint="eastAsia"/>
                      <w:bCs/>
                      <w:color w:val="auto"/>
                      <w:sz w:val="21"/>
                      <w:szCs w:val="21"/>
                    </w:rPr>
                    <w:instrText xml:space="preserve"> = 1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①</w:t>
                  </w:r>
                  <w:r>
                    <w:rPr>
                      <w:rStyle w:val="123"/>
                      <w:rFonts w:hint="eastAsia"/>
                      <w:bCs/>
                      <w:color w:val="auto"/>
                      <w:sz w:val="21"/>
                      <w:szCs w:val="21"/>
                    </w:rPr>
                    <w:fldChar w:fldCharType="end"/>
                  </w:r>
                  <w:r>
                    <w:rPr>
                      <w:rStyle w:val="123"/>
                      <w:rFonts w:hint="eastAsia"/>
                      <w:bCs/>
                      <w:color w:val="auto"/>
                      <w:sz w:val="21"/>
                      <w:szCs w:val="21"/>
                    </w:rPr>
                    <w:t>地理位置；</w:t>
                  </w:r>
                  <w:r>
                    <w:rPr>
                      <w:rStyle w:val="123"/>
                      <w:rFonts w:hint="eastAsia"/>
                      <w:bCs/>
                      <w:color w:val="auto"/>
                      <w:sz w:val="21"/>
                      <w:szCs w:val="21"/>
                    </w:rPr>
                    <w:fldChar w:fldCharType="begin"/>
                  </w:r>
                  <w:r>
                    <w:rPr>
                      <w:rStyle w:val="123"/>
                      <w:rFonts w:hint="eastAsia"/>
                      <w:bCs/>
                      <w:color w:val="auto"/>
                      <w:sz w:val="21"/>
                      <w:szCs w:val="21"/>
                    </w:rPr>
                    <w:instrText xml:space="preserve"> = 2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②</w:t>
                  </w:r>
                  <w:r>
                    <w:rPr>
                      <w:rStyle w:val="123"/>
                      <w:rFonts w:hint="eastAsia"/>
                      <w:bCs/>
                      <w:color w:val="auto"/>
                      <w:sz w:val="21"/>
                      <w:szCs w:val="21"/>
                    </w:rPr>
                    <w:fldChar w:fldCharType="end"/>
                  </w:r>
                  <w:r>
                    <w:rPr>
                      <w:rStyle w:val="123"/>
                      <w:rFonts w:hint="eastAsia"/>
                      <w:bCs/>
                      <w:color w:val="auto"/>
                      <w:sz w:val="21"/>
                      <w:szCs w:val="21"/>
                    </w:rPr>
                    <w:t>自然调理；</w:t>
                  </w:r>
                  <w:r>
                    <w:rPr>
                      <w:rStyle w:val="123"/>
                      <w:rFonts w:hint="eastAsia"/>
                      <w:bCs/>
                      <w:color w:val="auto"/>
                      <w:sz w:val="21"/>
                      <w:szCs w:val="21"/>
                    </w:rPr>
                    <w:fldChar w:fldCharType="begin"/>
                  </w:r>
                  <w:r>
                    <w:rPr>
                      <w:rStyle w:val="123"/>
                      <w:rFonts w:hint="eastAsia"/>
                      <w:bCs/>
                      <w:color w:val="auto"/>
                      <w:sz w:val="21"/>
                      <w:szCs w:val="21"/>
                    </w:rPr>
                    <w:instrText xml:space="preserve"> = 3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③</w:t>
                  </w:r>
                  <w:r>
                    <w:rPr>
                      <w:rStyle w:val="123"/>
                      <w:rFonts w:hint="eastAsia"/>
                      <w:bCs/>
                      <w:color w:val="auto"/>
                      <w:sz w:val="21"/>
                      <w:szCs w:val="21"/>
                    </w:rPr>
                    <w:fldChar w:fldCharType="end"/>
                  </w:r>
                  <w:r>
                    <w:rPr>
                      <w:rStyle w:val="123"/>
                      <w:rFonts w:hint="eastAsia"/>
                      <w:bCs/>
                      <w:color w:val="auto"/>
                      <w:sz w:val="21"/>
                      <w:szCs w:val="21"/>
                    </w:rPr>
                    <w:t>周边环境；</w:t>
                  </w:r>
                  <w:r>
                    <w:rPr>
                      <w:rStyle w:val="123"/>
                      <w:rFonts w:hint="eastAsia"/>
                      <w:bCs/>
                      <w:color w:val="auto"/>
                      <w:sz w:val="21"/>
                      <w:szCs w:val="21"/>
                    </w:rPr>
                    <w:fldChar w:fldCharType="begin"/>
                  </w:r>
                  <w:r>
                    <w:rPr>
                      <w:rStyle w:val="123"/>
                      <w:rFonts w:hint="eastAsia"/>
                      <w:bCs/>
                      <w:color w:val="auto"/>
                      <w:sz w:val="21"/>
                      <w:szCs w:val="21"/>
                    </w:rPr>
                    <w:instrText xml:space="preserve"> = 4 \* GB3 \* MERGEFORMAT </w:instrText>
                  </w:r>
                  <w:r>
                    <w:rPr>
                      <w:rStyle w:val="123"/>
                      <w:rFonts w:hint="eastAsia"/>
                      <w:bCs/>
                      <w:color w:val="auto"/>
                      <w:sz w:val="21"/>
                      <w:szCs w:val="21"/>
                    </w:rPr>
                    <w:fldChar w:fldCharType="separate"/>
                  </w:r>
                  <w:r>
                    <w:rPr>
                      <w:rFonts w:hint="eastAsia" w:ascii="宋体" w:hAnsi="宋体" w:cs="宋体"/>
                      <w:color w:val="auto"/>
                      <w:sz w:val="21"/>
                      <w:szCs w:val="21"/>
                    </w:rPr>
                    <w:t>④</w:t>
                  </w:r>
                  <w:r>
                    <w:rPr>
                      <w:rStyle w:val="123"/>
                      <w:rFonts w:hint="eastAsia"/>
                      <w:bCs/>
                      <w:color w:val="auto"/>
                      <w:sz w:val="21"/>
                      <w:szCs w:val="21"/>
                    </w:rPr>
                    <w:fldChar w:fldCharType="end"/>
                  </w:r>
                  <w:r>
                    <w:rPr>
                      <w:rStyle w:val="123"/>
                      <w:rFonts w:hint="eastAsia"/>
                      <w:bCs/>
                      <w:color w:val="auto"/>
                      <w:sz w:val="21"/>
                      <w:szCs w:val="21"/>
                    </w:rPr>
                    <w:t>厂区平面分布；（2）生产工艺基本情况：</w:t>
                  </w:r>
                  <w:r>
                    <w:rPr>
                      <w:rStyle w:val="123"/>
                      <w:rFonts w:hint="eastAsia"/>
                      <w:bCs/>
                      <w:color w:val="auto"/>
                      <w:sz w:val="21"/>
                      <w:szCs w:val="21"/>
                    </w:rPr>
                    <w:fldChar w:fldCharType="begin"/>
                  </w:r>
                  <w:r>
                    <w:rPr>
                      <w:rStyle w:val="123"/>
                      <w:rFonts w:hint="eastAsia"/>
                      <w:bCs/>
                      <w:color w:val="auto"/>
                      <w:sz w:val="21"/>
                      <w:szCs w:val="21"/>
                    </w:rPr>
                    <w:instrText xml:space="preserve"> = 1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①</w:t>
                  </w:r>
                  <w:r>
                    <w:rPr>
                      <w:rStyle w:val="123"/>
                      <w:rFonts w:hint="eastAsia"/>
                      <w:bCs/>
                      <w:color w:val="auto"/>
                      <w:sz w:val="21"/>
                      <w:szCs w:val="21"/>
                    </w:rPr>
                    <w:fldChar w:fldCharType="end"/>
                  </w:r>
                  <w:r>
                    <w:rPr>
                      <w:rStyle w:val="123"/>
                      <w:rFonts w:hint="eastAsia"/>
                      <w:bCs/>
                      <w:color w:val="auto"/>
                      <w:sz w:val="21"/>
                      <w:szCs w:val="21"/>
                    </w:rPr>
                    <w:t>生产原辅材料消耗量及贮存量；</w:t>
                  </w:r>
                  <w:r>
                    <w:rPr>
                      <w:rStyle w:val="123"/>
                      <w:rFonts w:hint="eastAsia"/>
                      <w:bCs/>
                      <w:color w:val="auto"/>
                      <w:sz w:val="21"/>
                      <w:szCs w:val="21"/>
                    </w:rPr>
                    <w:fldChar w:fldCharType="begin"/>
                  </w:r>
                  <w:r>
                    <w:rPr>
                      <w:rStyle w:val="123"/>
                      <w:rFonts w:hint="eastAsia"/>
                      <w:bCs/>
                      <w:color w:val="auto"/>
                      <w:sz w:val="21"/>
                      <w:szCs w:val="21"/>
                    </w:rPr>
                    <w:instrText xml:space="preserve"> = 2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②</w:t>
                  </w:r>
                  <w:r>
                    <w:rPr>
                      <w:rStyle w:val="123"/>
                      <w:rFonts w:hint="eastAsia"/>
                      <w:bCs/>
                      <w:color w:val="auto"/>
                      <w:sz w:val="21"/>
                      <w:szCs w:val="21"/>
                    </w:rPr>
                    <w:fldChar w:fldCharType="end"/>
                  </w:r>
                  <w:r>
                    <w:rPr>
                      <w:rStyle w:val="123"/>
                      <w:rFonts w:hint="eastAsia"/>
                      <w:bCs/>
                      <w:color w:val="auto"/>
                      <w:sz w:val="21"/>
                      <w:szCs w:val="21"/>
                    </w:rPr>
                    <w:t>产品名称及产量；</w:t>
                  </w:r>
                  <w:r>
                    <w:rPr>
                      <w:rStyle w:val="123"/>
                      <w:rFonts w:hint="eastAsia"/>
                      <w:bCs/>
                      <w:color w:val="auto"/>
                      <w:sz w:val="21"/>
                      <w:szCs w:val="21"/>
                    </w:rPr>
                    <w:fldChar w:fldCharType="begin"/>
                  </w:r>
                  <w:r>
                    <w:rPr>
                      <w:rStyle w:val="123"/>
                      <w:rFonts w:hint="eastAsia"/>
                      <w:bCs/>
                      <w:color w:val="auto"/>
                      <w:sz w:val="21"/>
                      <w:szCs w:val="21"/>
                    </w:rPr>
                    <w:instrText xml:space="preserve"> = 3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③</w:t>
                  </w:r>
                  <w:r>
                    <w:rPr>
                      <w:rStyle w:val="123"/>
                      <w:rFonts w:hint="eastAsia"/>
                      <w:bCs/>
                      <w:color w:val="auto"/>
                      <w:sz w:val="21"/>
                      <w:szCs w:val="21"/>
                    </w:rPr>
                    <w:fldChar w:fldCharType="end"/>
                  </w:r>
                  <w:r>
                    <w:rPr>
                      <w:rStyle w:val="123"/>
                      <w:rFonts w:hint="eastAsia"/>
                      <w:bCs/>
                      <w:color w:val="auto"/>
                      <w:sz w:val="21"/>
                      <w:szCs w:val="21"/>
                    </w:rPr>
                    <w:t>生产工艺流程；</w:t>
                  </w:r>
                  <w:r>
                    <w:rPr>
                      <w:rStyle w:val="123"/>
                      <w:rFonts w:hint="eastAsia"/>
                      <w:bCs/>
                      <w:color w:val="auto"/>
                      <w:sz w:val="21"/>
                      <w:szCs w:val="21"/>
                    </w:rPr>
                    <w:fldChar w:fldCharType="begin"/>
                  </w:r>
                  <w:r>
                    <w:rPr>
                      <w:rStyle w:val="123"/>
                      <w:rFonts w:hint="eastAsia"/>
                      <w:bCs/>
                      <w:color w:val="auto"/>
                      <w:sz w:val="21"/>
                      <w:szCs w:val="21"/>
                    </w:rPr>
                    <w:instrText xml:space="preserve"> = 4 \* GB3 \* MERGEFORMAT </w:instrText>
                  </w:r>
                  <w:r>
                    <w:rPr>
                      <w:rStyle w:val="123"/>
                      <w:rFonts w:hint="eastAsia"/>
                      <w:bCs/>
                      <w:color w:val="auto"/>
                      <w:sz w:val="21"/>
                      <w:szCs w:val="21"/>
                    </w:rPr>
                    <w:fldChar w:fldCharType="separate"/>
                  </w:r>
                  <w:r>
                    <w:rPr>
                      <w:rFonts w:hint="eastAsia" w:ascii="宋体" w:hAnsi="宋体" w:cs="宋体"/>
                      <w:color w:val="auto"/>
                      <w:sz w:val="21"/>
                      <w:szCs w:val="21"/>
                    </w:rPr>
                    <w:t>④</w:t>
                  </w:r>
                  <w:r>
                    <w:rPr>
                      <w:rStyle w:val="123"/>
                      <w:rFonts w:hint="eastAsia"/>
                      <w:bCs/>
                      <w:color w:val="auto"/>
                      <w:sz w:val="21"/>
                      <w:szCs w:val="21"/>
                    </w:rPr>
                    <w:fldChar w:fldCharType="end"/>
                  </w:r>
                  <w:r>
                    <w:rPr>
                      <w:rStyle w:val="123"/>
                      <w:rFonts w:hint="eastAsia"/>
                      <w:bCs/>
                      <w:color w:val="auto"/>
                      <w:sz w:val="21"/>
                      <w:szCs w:val="21"/>
                    </w:rPr>
                    <w:t>生产废弃物及储存处置情况</w:t>
                  </w:r>
                </w:p>
              </w:tc>
            </w:tr>
            <w:tr w14:paraId="30D84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69F1E082">
                  <w:pPr>
                    <w:pStyle w:val="125"/>
                    <w:adjustRightInd w:val="0"/>
                    <w:snapToGrid w:val="0"/>
                    <w:spacing w:before="24" w:after="24"/>
                    <w:rPr>
                      <w:rStyle w:val="123"/>
                      <w:bCs/>
                      <w:color w:val="auto"/>
                      <w:sz w:val="21"/>
                      <w:szCs w:val="21"/>
                    </w:rPr>
                  </w:pPr>
                  <w:r>
                    <w:rPr>
                      <w:rStyle w:val="123"/>
                      <w:bCs/>
                      <w:color w:val="auto"/>
                      <w:sz w:val="21"/>
                      <w:szCs w:val="21"/>
                    </w:rPr>
                    <w:t>3</w:t>
                  </w:r>
                </w:p>
              </w:tc>
              <w:tc>
                <w:tcPr>
                  <w:tcW w:w="918" w:type="pct"/>
                  <w:vAlign w:val="center"/>
                </w:tcPr>
                <w:p w14:paraId="4F298210">
                  <w:pPr>
                    <w:pStyle w:val="125"/>
                    <w:adjustRightInd w:val="0"/>
                    <w:snapToGrid w:val="0"/>
                    <w:spacing w:before="24" w:after="24"/>
                    <w:rPr>
                      <w:rStyle w:val="123"/>
                      <w:bCs/>
                      <w:color w:val="auto"/>
                      <w:sz w:val="21"/>
                      <w:szCs w:val="21"/>
                    </w:rPr>
                  </w:pPr>
                  <w:r>
                    <w:rPr>
                      <w:rStyle w:val="123"/>
                      <w:rFonts w:hint="eastAsia"/>
                      <w:bCs/>
                      <w:color w:val="auto"/>
                      <w:sz w:val="21"/>
                      <w:szCs w:val="21"/>
                    </w:rPr>
                    <w:t>环境风险源及环境风险评价</w:t>
                  </w:r>
                </w:p>
              </w:tc>
              <w:tc>
                <w:tcPr>
                  <w:tcW w:w="3674" w:type="pct"/>
                  <w:vAlign w:val="center"/>
                </w:tcPr>
                <w:p w14:paraId="2D25EEBE">
                  <w:pPr>
                    <w:pStyle w:val="125"/>
                    <w:adjustRightInd w:val="0"/>
                    <w:snapToGrid w:val="0"/>
                    <w:spacing w:before="24" w:after="24"/>
                    <w:rPr>
                      <w:rStyle w:val="123"/>
                      <w:bCs/>
                      <w:color w:val="auto"/>
                      <w:sz w:val="21"/>
                      <w:szCs w:val="21"/>
                    </w:rPr>
                  </w:pPr>
                  <w:r>
                    <w:rPr>
                      <w:rStyle w:val="123"/>
                      <w:rFonts w:hint="eastAsia"/>
                      <w:bCs/>
                      <w:color w:val="auto"/>
                      <w:sz w:val="21"/>
                      <w:szCs w:val="21"/>
                    </w:rPr>
                    <w:t>（1）主要环境风险源识别；（2）风险源事故环境影响分析：</w:t>
                  </w:r>
                  <w:r>
                    <w:rPr>
                      <w:rStyle w:val="123"/>
                      <w:rFonts w:hint="eastAsia"/>
                      <w:bCs/>
                      <w:color w:val="auto"/>
                      <w:sz w:val="21"/>
                      <w:szCs w:val="21"/>
                    </w:rPr>
                    <w:fldChar w:fldCharType="begin"/>
                  </w:r>
                  <w:r>
                    <w:rPr>
                      <w:rStyle w:val="123"/>
                      <w:rFonts w:hint="eastAsia"/>
                      <w:bCs/>
                      <w:color w:val="auto"/>
                      <w:sz w:val="21"/>
                      <w:szCs w:val="21"/>
                    </w:rPr>
                    <w:instrText xml:space="preserve"> = 1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①</w:t>
                  </w:r>
                  <w:r>
                    <w:rPr>
                      <w:rStyle w:val="123"/>
                      <w:rFonts w:hint="eastAsia"/>
                      <w:bCs/>
                      <w:color w:val="auto"/>
                      <w:sz w:val="21"/>
                      <w:szCs w:val="21"/>
                    </w:rPr>
                    <w:fldChar w:fldCharType="end"/>
                  </w:r>
                  <w:r>
                    <w:rPr>
                      <w:rStyle w:val="123"/>
                      <w:rFonts w:hint="eastAsia"/>
                      <w:bCs/>
                      <w:color w:val="auto"/>
                      <w:sz w:val="21"/>
                      <w:szCs w:val="21"/>
                    </w:rPr>
                    <w:t>液态泄漏事故影响分析；</w:t>
                  </w:r>
                  <w:r>
                    <w:rPr>
                      <w:rStyle w:val="123"/>
                      <w:rFonts w:hint="eastAsia"/>
                      <w:bCs/>
                      <w:color w:val="auto"/>
                      <w:sz w:val="21"/>
                      <w:szCs w:val="21"/>
                    </w:rPr>
                    <w:fldChar w:fldCharType="begin"/>
                  </w:r>
                  <w:r>
                    <w:rPr>
                      <w:rStyle w:val="123"/>
                      <w:rFonts w:hint="eastAsia"/>
                      <w:bCs/>
                      <w:color w:val="auto"/>
                      <w:sz w:val="21"/>
                      <w:szCs w:val="21"/>
                    </w:rPr>
                    <w:instrText xml:space="preserve"> = 2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②</w:t>
                  </w:r>
                  <w:r>
                    <w:rPr>
                      <w:rStyle w:val="123"/>
                      <w:rFonts w:hint="eastAsia"/>
                      <w:bCs/>
                      <w:color w:val="auto"/>
                      <w:sz w:val="21"/>
                      <w:szCs w:val="21"/>
                    </w:rPr>
                    <w:fldChar w:fldCharType="end"/>
                  </w:r>
                  <w:r>
                    <w:rPr>
                      <w:rStyle w:val="123"/>
                      <w:rFonts w:hint="eastAsia"/>
                      <w:bCs/>
                      <w:color w:val="auto"/>
                      <w:sz w:val="21"/>
                      <w:szCs w:val="21"/>
                    </w:rPr>
                    <w:t>固态泄漏事故影响分析；</w:t>
                  </w:r>
                  <w:r>
                    <w:rPr>
                      <w:rStyle w:val="123"/>
                      <w:rFonts w:hint="eastAsia"/>
                      <w:bCs/>
                      <w:color w:val="auto"/>
                      <w:sz w:val="21"/>
                      <w:szCs w:val="21"/>
                    </w:rPr>
                    <w:fldChar w:fldCharType="begin"/>
                  </w:r>
                  <w:r>
                    <w:rPr>
                      <w:rStyle w:val="123"/>
                      <w:rFonts w:hint="eastAsia"/>
                      <w:bCs/>
                      <w:color w:val="auto"/>
                      <w:sz w:val="21"/>
                      <w:szCs w:val="21"/>
                    </w:rPr>
                    <w:instrText xml:space="preserve"> = 3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③</w:t>
                  </w:r>
                  <w:r>
                    <w:rPr>
                      <w:rStyle w:val="123"/>
                      <w:rFonts w:hint="eastAsia"/>
                      <w:bCs/>
                      <w:color w:val="auto"/>
                      <w:sz w:val="21"/>
                      <w:szCs w:val="21"/>
                    </w:rPr>
                    <w:fldChar w:fldCharType="end"/>
                  </w:r>
                  <w:r>
                    <w:rPr>
                      <w:rStyle w:val="123"/>
                      <w:rFonts w:hint="eastAsia"/>
                      <w:bCs/>
                      <w:color w:val="auto"/>
                      <w:sz w:val="21"/>
                      <w:szCs w:val="21"/>
                    </w:rPr>
                    <w:t>气态系统影响分析；（3）环境事故管理：</w:t>
                  </w:r>
                  <w:r>
                    <w:rPr>
                      <w:rStyle w:val="123"/>
                      <w:rFonts w:hint="eastAsia"/>
                      <w:bCs/>
                      <w:color w:val="auto"/>
                      <w:sz w:val="21"/>
                      <w:szCs w:val="21"/>
                    </w:rPr>
                    <w:fldChar w:fldCharType="begin"/>
                  </w:r>
                  <w:r>
                    <w:rPr>
                      <w:rStyle w:val="123"/>
                      <w:rFonts w:hint="eastAsia"/>
                      <w:bCs/>
                      <w:color w:val="auto"/>
                      <w:sz w:val="21"/>
                      <w:szCs w:val="21"/>
                    </w:rPr>
                    <w:instrText xml:space="preserve"> = 1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①</w:t>
                  </w:r>
                  <w:r>
                    <w:rPr>
                      <w:rStyle w:val="123"/>
                      <w:rFonts w:hint="eastAsia"/>
                      <w:bCs/>
                      <w:color w:val="auto"/>
                      <w:sz w:val="21"/>
                      <w:szCs w:val="21"/>
                    </w:rPr>
                    <w:fldChar w:fldCharType="end"/>
                  </w:r>
                  <w:r>
                    <w:rPr>
                      <w:rStyle w:val="123"/>
                      <w:rFonts w:hint="eastAsia"/>
                      <w:bCs/>
                      <w:color w:val="auto"/>
                      <w:sz w:val="21"/>
                      <w:szCs w:val="21"/>
                    </w:rPr>
                    <w:t>环境事故预防措施；</w:t>
                  </w:r>
                  <w:r>
                    <w:rPr>
                      <w:rStyle w:val="123"/>
                      <w:rFonts w:hint="eastAsia"/>
                      <w:bCs/>
                      <w:color w:val="auto"/>
                      <w:sz w:val="21"/>
                      <w:szCs w:val="21"/>
                    </w:rPr>
                    <w:fldChar w:fldCharType="begin"/>
                  </w:r>
                  <w:r>
                    <w:rPr>
                      <w:rStyle w:val="123"/>
                      <w:rFonts w:hint="eastAsia"/>
                      <w:bCs/>
                      <w:color w:val="auto"/>
                      <w:sz w:val="21"/>
                      <w:szCs w:val="21"/>
                    </w:rPr>
                    <w:instrText xml:space="preserve"> = 2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②</w:t>
                  </w:r>
                  <w:r>
                    <w:rPr>
                      <w:rStyle w:val="123"/>
                      <w:rFonts w:hint="eastAsia"/>
                      <w:bCs/>
                      <w:color w:val="auto"/>
                      <w:sz w:val="21"/>
                      <w:szCs w:val="21"/>
                    </w:rPr>
                    <w:fldChar w:fldCharType="end"/>
                  </w:r>
                  <w:r>
                    <w:rPr>
                      <w:rStyle w:val="123"/>
                      <w:rFonts w:hint="eastAsia"/>
                      <w:bCs/>
                      <w:color w:val="auto"/>
                      <w:sz w:val="21"/>
                      <w:szCs w:val="21"/>
                    </w:rPr>
                    <w:t>环境事故发生后措施</w:t>
                  </w:r>
                </w:p>
              </w:tc>
            </w:tr>
            <w:tr w14:paraId="5F561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470D8B0F">
                  <w:pPr>
                    <w:pStyle w:val="125"/>
                    <w:adjustRightInd w:val="0"/>
                    <w:snapToGrid w:val="0"/>
                    <w:spacing w:before="24" w:after="24"/>
                    <w:rPr>
                      <w:rStyle w:val="123"/>
                      <w:bCs/>
                      <w:color w:val="auto"/>
                      <w:sz w:val="21"/>
                      <w:szCs w:val="21"/>
                    </w:rPr>
                  </w:pPr>
                  <w:r>
                    <w:rPr>
                      <w:rStyle w:val="123"/>
                      <w:bCs/>
                      <w:color w:val="auto"/>
                      <w:sz w:val="21"/>
                      <w:szCs w:val="21"/>
                    </w:rPr>
                    <w:t>4</w:t>
                  </w:r>
                </w:p>
              </w:tc>
              <w:tc>
                <w:tcPr>
                  <w:tcW w:w="918" w:type="pct"/>
                  <w:vAlign w:val="center"/>
                </w:tcPr>
                <w:p w14:paraId="00010748">
                  <w:pPr>
                    <w:pStyle w:val="125"/>
                    <w:adjustRightInd w:val="0"/>
                    <w:snapToGrid w:val="0"/>
                    <w:spacing w:before="24" w:after="24"/>
                    <w:rPr>
                      <w:rStyle w:val="123"/>
                      <w:bCs/>
                      <w:color w:val="auto"/>
                      <w:sz w:val="21"/>
                      <w:szCs w:val="21"/>
                    </w:rPr>
                  </w:pPr>
                  <w:r>
                    <w:rPr>
                      <w:rStyle w:val="123"/>
                      <w:bCs/>
                      <w:color w:val="auto"/>
                      <w:sz w:val="21"/>
                      <w:szCs w:val="21"/>
                    </w:rPr>
                    <w:t>组织</w:t>
                  </w:r>
                  <w:r>
                    <w:rPr>
                      <w:rStyle w:val="123"/>
                      <w:rFonts w:hint="eastAsia"/>
                      <w:bCs/>
                      <w:color w:val="auto"/>
                      <w:sz w:val="21"/>
                      <w:szCs w:val="21"/>
                    </w:rPr>
                    <w:t>机构及职责</w:t>
                  </w:r>
                </w:p>
              </w:tc>
              <w:tc>
                <w:tcPr>
                  <w:tcW w:w="3674" w:type="pct"/>
                  <w:vAlign w:val="center"/>
                </w:tcPr>
                <w:p w14:paraId="770E7149">
                  <w:pPr>
                    <w:pStyle w:val="125"/>
                    <w:adjustRightInd w:val="0"/>
                    <w:snapToGrid w:val="0"/>
                    <w:spacing w:before="24" w:after="24"/>
                    <w:rPr>
                      <w:rStyle w:val="123"/>
                      <w:bCs/>
                      <w:color w:val="auto"/>
                      <w:sz w:val="21"/>
                      <w:szCs w:val="21"/>
                    </w:rPr>
                  </w:pPr>
                  <w:r>
                    <w:rPr>
                      <w:rStyle w:val="123"/>
                      <w:rFonts w:hint="eastAsia"/>
                      <w:bCs/>
                      <w:color w:val="auto"/>
                      <w:sz w:val="21"/>
                      <w:szCs w:val="21"/>
                    </w:rPr>
                    <w:t>（1）应急组织体系；（2）指挥机构及职责：</w:t>
                  </w:r>
                  <w:r>
                    <w:rPr>
                      <w:rStyle w:val="123"/>
                      <w:rFonts w:hint="eastAsia"/>
                      <w:bCs/>
                      <w:color w:val="auto"/>
                      <w:sz w:val="21"/>
                      <w:szCs w:val="21"/>
                    </w:rPr>
                    <w:fldChar w:fldCharType="begin"/>
                  </w:r>
                  <w:r>
                    <w:rPr>
                      <w:rStyle w:val="123"/>
                      <w:rFonts w:hint="eastAsia"/>
                      <w:bCs/>
                      <w:color w:val="auto"/>
                      <w:sz w:val="21"/>
                      <w:szCs w:val="21"/>
                    </w:rPr>
                    <w:instrText xml:space="preserve"> = 1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①</w:t>
                  </w:r>
                  <w:r>
                    <w:rPr>
                      <w:rStyle w:val="123"/>
                      <w:rFonts w:hint="eastAsia"/>
                      <w:bCs/>
                      <w:color w:val="auto"/>
                      <w:sz w:val="21"/>
                      <w:szCs w:val="21"/>
                    </w:rPr>
                    <w:fldChar w:fldCharType="end"/>
                  </w:r>
                  <w:r>
                    <w:rPr>
                      <w:rStyle w:val="123"/>
                      <w:rFonts w:hint="eastAsia"/>
                      <w:bCs/>
                      <w:color w:val="auto"/>
                      <w:sz w:val="21"/>
                      <w:szCs w:val="21"/>
                    </w:rPr>
                    <w:t>应急救援指挥部的组成及职责；</w:t>
                  </w:r>
                  <w:r>
                    <w:rPr>
                      <w:rStyle w:val="123"/>
                      <w:rFonts w:hint="eastAsia"/>
                      <w:bCs/>
                      <w:color w:val="auto"/>
                      <w:sz w:val="21"/>
                      <w:szCs w:val="21"/>
                    </w:rPr>
                    <w:fldChar w:fldCharType="begin"/>
                  </w:r>
                  <w:r>
                    <w:rPr>
                      <w:rStyle w:val="123"/>
                      <w:rFonts w:hint="eastAsia"/>
                      <w:bCs/>
                      <w:color w:val="auto"/>
                      <w:sz w:val="21"/>
                      <w:szCs w:val="21"/>
                    </w:rPr>
                    <w:instrText xml:space="preserve"> = 2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②</w:t>
                  </w:r>
                  <w:r>
                    <w:rPr>
                      <w:rStyle w:val="123"/>
                      <w:rFonts w:hint="eastAsia"/>
                      <w:bCs/>
                      <w:color w:val="auto"/>
                      <w:sz w:val="21"/>
                      <w:szCs w:val="21"/>
                    </w:rPr>
                    <w:fldChar w:fldCharType="end"/>
                  </w:r>
                  <w:r>
                    <w:rPr>
                      <w:rStyle w:val="123"/>
                      <w:rFonts w:hint="eastAsia"/>
                      <w:bCs/>
                      <w:color w:val="auto"/>
                      <w:sz w:val="21"/>
                      <w:szCs w:val="21"/>
                    </w:rPr>
                    <w:t>突发事件应急处置小组</w:t>
                  </w:r>
                </w:p>
              </w:tc>
            </w:tr>
            <w:tr w14:paraId="6CAE3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3E8C9F10">
                  <w:pPr>
                    <w:pStyle w:val="125"/>
                    <w:adjustRightInd w:val="0"/>
                    <w:snapToGrid w:val="0"/>
                    <w:spacing w:before="24" w:after="24"/>
                    <w:rPr>
                      <w:rStyle w:val="123"/>
                      <w:bCs/>
                      <w:color w:val="auto"/>
                      <w:sz w:val="21"/>
                      <w:szCs w:val="21"/>
                    </w:rPr>
                  </w:pPr>
                  <w:r>
                    <w:rPr>
                      <w:rStyle w:val="123"/>
                      <w:bCs/>
                      <w:color w:val="auto"/>
                      <w:sz w:val="21"/>
                      <w:szCs w:val="21"/>
                    </w:rPr>
                    <w:t>5</w:t>
                  </w:r>
                </w:p>
              </w:tc>
              <w:tc>
                <w:tcPr>
                  <w:tcW w:w="918" w:type="pct"/>
                  <w:vAlign w:val="center"/>
                </w:tcPr>
                <w:p w14:paraId="386E918B">
                  <w:pPr>
                    <w:pStyle w:val="125"/>
                    <w:adjustRightInd w:val="0"/>
                    <w:snapToGrid w:val="0"/>
                    <w:spacing w:before="24" w:after="24"/>
                    <w:rPr>
                      <w:rStyle w:val="123"/>
                      <w:bCs/>
                      <w:color w:val="auto"/>
                      <w:sz w:val="21"/>
                      <w:szCs w:val="21"/>
                    </w:rPr>
                  </w:pPr>
                  <w:r>
                    <w:rPr>
                      <w:rStyle w:val="123"/>
                      <w:rFonts w:hint="eastAsia"/>
                      <w:bCs/>
                      <w:color w:val="auto"/>
                      <w:sz w:val="21"/>
                      <w:szCs w:val="21"/>
                    </w:rPr>
                    <w:t>预防和预警</w:t>
                  </w:r>
                </w:p>
              </w:tc>
              <w:tc>
                <w:tcPr>
                  <w:tcW w:w="3674" w:type="pct"/>
                  <w:vAlign w:val="center"/>
                </w:tcPr>
                <w:p w14:paraId="4733C452">
                  <w:pPr>
                    <w:pStyle w:val="125"/>
                    <w:adjustRightInd w:val="0"/>
                    <w:snapToGrid w:val="0"/>
                    <w:spacing w:before="24" w:after="24"/>
                    <w:rPr>
                      <w:rStyle w:val="123"/>
                      <w:bCs/>
                      <w:color w:val="auto"/>
                      <w:sz w:val="21"/>
                      <w:szCs w:val="21"/>
                    </w:rPr>
                  </w:pPr>
                  <w:r>
                    <w:rPr>
                      <w:rStyle w:val="123"/>
                      <w:rFonts w:hint="eastAsia"/>
                      <w:bCs/>
                      <w:color w:val="auto"/>
                      <w:sz w:val="21"/>
                      <w:szCs w:val="21"/>
                    </w:rPr>
                    <w:t>（1）环境风险源控制：</w:t>
                  </w:r>
                  <w:r>
                    <w:rPr>
                      <w:rStyle w:val="123"/>
                      <w:rFonts w:hint="eastAsia"/>
                      <w:bCs/>
                      <w:color w:val="auto"/>
                      <w:sz w:val="21"/>
                      <w:szCs w:val="21"/>
                    </w:rPr>
                    <w:fldChar w:fldCharType="begin"/>
                  </w:r>
                  <w:r>
                    <w:rPr>
                      <w:rStyle w:val="123"/>
                      <w:rFonts w:hint="eastAsia"/>
                      <w:bCs/>
                      <w:color w:val="auto"/>
                      <w:sz w:val="21"/>
                      <w:szCs w:val="21"/>
                    </w:rPr>
                    <w:instrText xml:space="preserve"> = 1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①</w:t>
                  </w:r>
                  <w:r>
                    <w:rPr>
                      <w:rStyle w:val="123"/>
                      <w:rFonts w:hint="eastAsia"/>
                      <w:bCs/>
                      <w:color w:val="auto"/>
                      <w:sz w:val="21"/>
                      <w:szCs w:val="21"/>
                    </w:rPr>
                    <w:fldChar w:fldCharType="end"/>
                  </w:r>
                  <w:r>
                    <w:rPr>
                      <w:rStyle w:val="123"/>
                      <w:rFonts w:hint="eastAsia"/>
                      <w:bCs/>
                      <w:color w:val="auto"/>
                      <w:sz w:val="21"/>
                      <w:szCs w:val="21"/>
                    </w:rPr>
                    <w:t>液态储罐区；</w:t>
                  </w:r>
                  <w:r>
                    <w:rPr>
                      <w:rStyle w:val="123"/>
                      <w:rFonts w:hint="eastAsia"/>
                      <w:bCs/>
                      <w:color w:val="auto"/>
                      <w:sz w:val="21"/>
                      <w:szCs w:val="21"/>
                    </w:rPr>
                    <w:fldChar w:fldCharType="begin"/>
                  </w:r>
                  <w:r>
                    <w:rPr>
                      <w:rStyle w:val="123"/>
                      <w:rFonts w:hint="eastAsia"/>
                      <w:bCs/>
                      <w:color w:val="auto"/>
                      <w:sz w:val="21"/>
                      <w:szCs w:val="21"/>
                    </w:rPr>
                    <w:instrText xml:space="preserve"> = 2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②</w:t>
                  </w:r>
                  <w:r>
                    <w:rPr>
                      <w:rStyle w:val="123"/>
                      <w:rFonts w:hint="eastAsia"/>
                      <w:bCs/>
                      <w:color w:val="auto"/>
                      <w:sz w:val="21"/>
                      <w:szCs w:val="21"/>
                    </w:rPr>
                    <w:fldChar w:fldCharType="end"/>
                  </w:r>
                  <w:r>
                    <w:rPr>
                      <w:rStyle w:val="123"/>
                      <w:rFonts w:hint="eastAsia"/>
                      <w:bCs/>
                      <w:color w:val="auto"/>
                      <w:sz w:val="21"/>
                      <w:szCs w:val="21"/>
                    </w:rPr>
                    <w:t>固态储存区；</w:t>
                  </w:r>
                  <w:r>
                    <w:rPr>
                      <w:rStyle w:val="123"/>
                      <w:rFonts w:hint="eastAsia"/>
                      <w:bCs/>
                      <w:color w:val="auto"/>
                      <w:sz w:val="21"/>
                      <w:szCs w:val="21"/>
                    </w:rPr>
                    <w:fldChar w:fldCharType="begin"/>
                  </w:r>
                  <w:r>
                    <w:rPr>
                      <w:rStyle w:val="123"/>
                      <w:rFonts w:hint="eastAsia"/>
                      <w:bCs/>
                      <w:color w:val="auto"/>
                      <w:sz w:val="21"/>
                      <w:szCs w:val="21"/>
                    </w:rPr>
                    <w:instrText xml:space="preserve"> = 3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③</w:t>
                  </w:r>
                  <w:r>
                    <w:rPr>
                      <w:rStyle w:val="123"/>
                      <w:rFonts w:hint="eastAsia"/>
                      <w:bCs/>
                      <w:color w:val="auto"/>
                      <w:sz w:val="21"/>
                      <w:szCs w:val="21"/>
                    </w:rPr>
                    <w:fldChar w:fldCharType="end"/>
                  </w:r>
                  <w:r>
                    <w:rPr>
                      <w:rStyle w:val="123"/>
                      <w:rFonts w:hint="eastAsia"/>
                      <w:bCs/>
                      <w:color w:val="auto"/>
                      <w:sz w:val="21"/>
                      <w:szCs w:val="21"/>
                    </w:rPr>
                    <w:t>气态系统；</w:t>
                  </w:r>
                  <w:r>
                    <w:rPr>
                      <w:rStyle w:val="123"/>
                      <w:rFonts w:hint="eastAsia"/>
                      <w:bCs/>
                      <w:color w:val="auto"/>
                      <w:sz w:val="21"/>
                      <w:szCs w:val="21"/>
                    </w:rPr>
                    <w:fldChar w:fldCharType="begin"/>
                  </w:r>
                  <w:r>
                    <w:rPr>
                      <w:rStyle w:val="123"/>
                      <w:rFonts w:hint="eastAsia"/>
                      <w:bCs/>
                      <w:color w:val="auto"/>
                      <w:sz w:val="21"/>
                      <w:szCs w:val="21"/>
                    </w:rPr>
                    <w:instrText xml:space="preserve"> = 4 \* GB3 \* MERGEFORMAT </w:instrText>
                  </w:r>
                  <w:r>
                    <w:rPr>
                      <w:rStyle w:val="123"/>
                      <w:rFonts w:hint="eastAsia"/>
                      <w:bCs/>
                      <w:color w:val="auto"/>
                      <w:sz w:val="21"/>
                      <w:szCs w:val="21"/>
                    </w:rPr>
                    <w:fldChar w:fldCharType="separate"/>
                  </w:r>
                  <w:r>
                    <w:rPr>
                      <w:rFonts w:hint="eastAsia" w:ascii="宋体" w:hAnsi="宋体" w:cs="宋体"/>
                      <w:color w:val="auto"/>
                      <w:sz w:val="21"/>
                      <w:szCs w:val="21"/>
                    </w:rPr>
                    <w:t>④</w:t>
                  </w:r>
                  <w:r>
                    <w:rPr>
                      <w:rStyle w:val="123"/>
                      <w:rFonts w:hint="eastAsia"/>
                      <w:bCs/>
                      <w:color w:val="auto"/>
                      <w:sz w:val="21"/>
                      <w:szCs w:val="21"/>
                    </w:rPr>
                    <w:fldChar w:fldCharType="end"/>
                  </w:r>
                  <w:r>
                    <w:rPr>
                      <w:rStyle w:val="123"/>
                      <w:rFonts w:hint="eastAsia"/>
                      <w:bCs/>
                      <w:color w:val="auto"/>
                      <w:sz w:val="21"/>
                      <w:szCs w:val="21"/>
                    </w:rPr>
                    <w:t>运输；（2）预警行动；（3）报警、通讯及联络方式：</w:t>
                  </w:r>
                  <w:r>
                    <w:rPr>
                      <w:rStyle w:val="123"/>
                      <w:rFonts w:hint="eastAsia"/>
                      <w:bCs/>
                      <w:color w:val="auto"/>
                      <w:sz w:val="21"/>
                      <w:szCs w:val="21"/>
                    </w:rPr>
                    <w:fldChar w:fldCharType="begin"/>
                  </w:r>
                  <w:r>
                    <w:rPr>
                      <w:rStyle w:val="123"/>
                      <w:rFonts w:hint="eastAsia"/>
                      <w:bCs/>
                      <w:color w:val="auto"/>
                      <w:sz w:val="21"/>
                      <w:szCs w:val="21"/>
                    </w:rPr>
                    <w:instrText xml:space="preserve"> = 1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①</w:t>
                  </w:r>
                  <w:r>
                    <w:rPr>
                      <w:rStyle w:val="123"/>
                      <w:rFonts w:hint="eastAsia"/>
                      <w:bCs/>
                      <w:color w:val="auto"/>
                      <w:sz w:val="21"/>
                      <w:szCs w:val="21"/>
                    </w:rPr>
                    <w:fldChar w:fldCharType="end"/>
                  </w:r>
                  <w:r>
                    <w:rPr>
                      <w:rStyle w:val="123"/>
                      <w:rFonts w:hint="eastAsia"/>
                      <w:bCs/>
                      <w:color w:val="auto"/>
                      <w:sz w:val="21"/>
                      <w:szCs w:val="21"/>
                    </w:rPr>
                    <w:t>报警联络方式；</w:t>
                  </w:r>
                  <w:r>
                    <w:rPr>
                      <w:rStyle w:val="123"/>
                      <w:rFonts w:hint="eastAsia"/>
                      <w:bCs/>
                      <w:color w:val="auto"/>
                      <w:sz w:val="21"/>
                      <w:szCs w:val="21"/>
                    </w:rPr>
                    <w:fldChar w:fldCharType="begin"/>
                  </w:r>
                  <w:r>
                    <w:rPr>
                      <w:rStyle w:val="123"/>
                      <w:rFonts w:hint="eastAsia"/>
                      <w:bCs/>
                      <w:color w:val="auto"/>
                      <w:sz w:val="21"/>
                      <w:szCs w:val="21"/>
                    </w:rPr>
                    <w:instrText xml:space="preserve"> = 2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②</w:t>
                  </w:r>
                  <w:r>
                    <w:rPr>
                      <w:rStyle w:val="123"/>
                      <w:rFonts w:hint="eastAsia"/>
                      <w:bCs/>
                      <w:color w:val="auto"/>
                      <w:sz w:val="21"/>
                      <w:szCs w:val="21"/>
                    </w:rPr>
                    <w:fldChar w:fldCharType="end"/>
                  </w:r>
                  <w:r>
                    <w:rPr>
                      <w:rStyle w:val="123"/>
                      <w:rFonts w:hint="eastAsia"/>
                      <w:bCs/>
                      <w:color w:val="auto"/>
                      <w:sz w:val="21"/>
                      <w:szCs w:val="21"/>
                    </w:rPr>
                    <w:t>内部通讯方式；</w:t>
                  </w:r>
                  <w:r>
                    <w:rPr>
                      <w:rStyle w:val="123"/>
                      <w:rFonts w:hint="eastAsia"/>
                      <w:bCs/>
                      <w:color w:val="auto"/>
                      <w:sz w:val="21"/>
                      <w:szCs w:val="21"/>
                    </w:rPr>
                    <w:fldChar w:fldCharType="begin"/>
                  </w:r>
                  <w:r>
                    <w:rPr>
                      <w:rStyle w:val="123"/>
                      <w:rFonts w:hint="eastAsia"/>
                      <w:bCs/>
                      <w:color w:val="auto"/>
                      <w:sz w:val="21"/>
                      <w:szCs w:val="21"/>
                    </w:rPr>
                    <w:instrText xml:space="preserve"> = 3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③</w:t>
                  </w:r>
                  <w:r>
                    <w:rPr>
                      <w:rStyle w:val="123"/>
                      <w:rFonts w:hint="eastAsia"/>
                      <w:bCs/>
                      <w:color w:val="auto"/>
                      <w:sz w:val="21"/>
                      <w:szCs w:val="21"/>
                    </w:rPr>
                    <w:fldChar w:fldCharType="end"/>
                  </w:r>
                  <w:r>
                    <w:rPr>
                      <w:rStyle w:val="123"/>
                      <w:rFonts w:hint="eastAsia"/>
                      <w:bCs/>
                      <w:color w:val="auto"/>
                      <w:sz w:val="21"/>
                      <w:szCs w:val="21"/>
                    </w:rPr>
                    <w:t>外部通讯方式</w:t>
                  </w:r>
                </w:p>
              </w:tc>
            </w:tr>
            <w:tr w14:paraId="5BE41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32AF525C">
                  <w:pPr>
                    <w:pStyle w:val="125"/>
                    <w:adjustRightInd w:val="0"/>
                    <w:snapToGrid w:val="0"/>
                    <w:spacing w:before="24" w:after="24"/>
                    <w:rPr>
                      <w:rStyle w:val="123"/>
                      <w:bCs/>
                      <w:color w:val="auto"/>
                      <w:sz w:val="21"/>
                      <w:szCs w:val="21"/>
                    </w:rPr>
                  </w:pPr>
                  <w:r>
                    <w:rPr>
                      <w:rStyle w:val="123"/>
                      <w:bCs/>
                      <w:color w:val="auto"/>
                      <w:sz w:val="21"/>
                      <w:szCs w:val="21"/>
                    </w:rPr>
                    <w:t>6</w:t>
                  </w:r>
                </w:p>
              </w:tc>
              <w:tc>
                <w:tcPr>
                  <w:tcW w:w="918" w:type="pct"/>
                  <w:vAlign w:val="center"/>
                </w:tcPr>
                <w:p w14:paraId="244B390B">
                  <w:pPr>
                    <w:pStyle w:val="125"/>
                    <w:adjustRightInd w:val="0"/>
                    <w:snapToGrid w:val="0"/>
                    <w:spacing w:before="24" w:after="24"/>
                    <w:rPr>
                      <w:rStyle w:val="123"/>
                      <w:bCs/>
                      <w:color w:val="auto"/>
                      <w:sz w:val="21"/>
                      <w:szCs w:val="21"/>
                    </w:rPr>
                  </w:pPr>
                  <w:r>
                    <w:rPr>
                      <w:rStyle w:val="123"/>
                      <w:rFonts w:hint="eastAsia"/>
                      <w:bCs/>
                      <w:color w:val="auto"/>
                      <w:sz w:val="21"/>
                      <w:szCs w:val="21"/>
                    </w:rPr>
                    <w:t>信息报告与通报</w:t>
                  </w:r>
                </w:p>
              </w:tc>
              <w:tc>
                <w:tcPr>
                  <w:tcW w:w="3674" w:type="pct"/>
                  <w:vAlign w:val="center"/>
                </w:tcPr>
                <w:p w14:paraId="64FDCBCC">
                  <w:pPr>
                    <w:pStyle w:val="125"/>
                    <w:adjustRightInd w:val="0"/>
                    <w:snapToGrid w:val="0"/>
                    <w:spacing w:before="24" w:after="24"/>
                    <w:rPr>
                      <w:rStyle w:val="123"/>
                      <w:bCs/>
                      <w:color w:val="auto"/>
                      <w:sz w:val="21"/>
                      <w:szCs w:val="21"/>
                    </w:rPr>
                  </w:pPr>
                  <w:r>
                    <w:rPr>
                      <w:rStyle w:val="123"/>
                      <w:rFonts w:hint="eastAsia"/>
                      <w:bCs/>
                      <w:color w:val="auto"/>
                      <w:sz w:val="21"/>
                      <w:szCs w:val="21"/>
                    </w:rPr>
                    <w:t>（1）内部报告：</w:t>
                  </w:r>
                  <w:r>
                    <w:rPr>
                      <w:rStyle w:val="123"/>
                      <w:rFonts w:hint="eastAsia"/>
                      <w:bCs/>
                      <w:color w:val="auto"/>
                      <w:sz w:val="21"/>
                      <w:szCs w:val="21"/>
                    </w:rPr>
                    <w:fldChar w:fldCharType="begin"/>
                  </w:r>
                  <w:r>
                    <w:rPr>
                      <w:rStyle w:val="123"/>
                      <w:rFonts w:hint="eastAsia"/>
                      <w:bCs/>
                      <w:color w:val="auto"/>
                      <w:sz w:val="21"/>
                      <w:szCs w:val="21"/>
                    </w:rPr>
                    <w:instrText xml:space="preserve"> = 1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①</w:t>
                  </w:r>
                  <w:r>
                    <w:rPr>
                      <w:rStyle w:val="123"/>
                      <w:rFonts w:hint="eastAsia"/>
                      <w:bCs/>
                      <w:color w:val="auto"/>
                      <w:sz w:val="21"/>
                      <w:szCs w:val="21"/>
                    </w:rPr>
                    <w:fldChar w:fldCharType="end"/>
                  </w:r>
                  <w:r>
                    <w:rPr>
                      <w:rStyle w:val="123"/>
                      <w:rFonts w:hint="eastAsia"/>
                      <w:bCs/>
                      <w:color w:val="auto"/>
                      <w:sz w:val="21"/>
                      <w:szCs w:val="21"/>
                    </w:rPr>
                    <w:t>事故信息报告；</w:t>
                  </w:r>
                  <w:r>
                    <w:rPr>
                      <w:rStyle w:val="123"/>
                      <w:rFonts w:hint="eastAsia"/>
                      <w:bCs/>
                      <w:color w:val="auto"/>
                      <w:sz w:val="21"/>
                      <w:szCs w:val="21"/>
                    </w:rPr>
                    <w:fldChar w:fldCharType="begin"/>
                  </w:r>
                  <w:r>
                    <w:rPr>
                      <w:rStyle w:val="123"/>
                      <w:rFonts w:hint="eastAsia"/>
                      <w:bCs/>
                      <w:color w:val="auto"/>
                      <w:sz w:val="21"/>
                      <w:szCs w:val="21"/>
                    </w:rPr>
                    <w:instrText xml:space="preserve"> = 2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②</w:t>
                  </w:r>
                  <w:r>
                    <w:rPr>
                      <w:rStyle w:val="123"/>
                      <w:rFonts w:hint="eastAsia"/>
                      <w:bCs/>
                      <w:color w:val="auto"/>
                      <w:sz w:val="21"/>
                      <w:szCs w:val="21"/>
                    </w:rPr>
                    <w:fldChar w:fldCharType="end"/>
                  </w:r>
                  <w:r>
                    <w:rPr>
                      <w:rStyle w:val="123"/>
                      <w:rFonts w:hint="eastAsia"/>
                      <w:bCs/>
                      <w:color w:val="auto"/>
                      <w:sz w:val="21"/>
                      <w:szCs w:val="21"/>
                    </w:rPr>
                    <w:t>事故信息通报；</w:t>
                  </w:r>
                  <w:r>
                    <w:rPr>
                      <w:rStyle w:val="123"/>
                      <w:rFonts w:hint="eastAsia"/>
                      <w:bCs/>
                      <w:color w:val="auto"/>
                      <w:sz w:val="21"/>
                      <w:szCs w:val="21"/>
                    </w:rPr>
                    <w:fldChar w:fldCharType="begin"/>
                  </w:r>
                  <w:r>
                    <w:rPr>
                      <w:rStyle w:val="123"/>
                      <w:rFonts w:hint="eastAsia"/>
                      <w:bCs/>
                      <w:color w:val="auto"/>
                      <w:sz w:val="21"/>
                      <w:szCs w:val="21"/>
                    </w:rPr>
                    <w:instrText xml:space="preserve"> = 3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③</w:t>
                  </w:r>
                  <w:r>
                    <w:rPr>
                      <w:rStyle w:val="123"/>
                      <w:rFonts w:hint="eastAsia"/>
                      <w:bCs/>
                      <w:color w:val="auto"/>
                      <w:sz w:val="21"/>
                      <w:szCs w:val="21"/>
                    </w:rPr>
                    <w:fldChar w:fldCharType="end"/>
                  </w:r>
                  <w:r>
                    <w:rPr>
                      <w:rStyle w:val="123"/>
                      <w:rFonts w:hint="eastAsia"/>
                      <w:bCs/>
                      <w:color w:val="auto"/>
                      <w:sz w:val="21"/>
                      <w:szCs w:val="21"/>
                    </w:rPr>
                    <w:t>电话通报及联系词内容；（2）信息上报；（3）事故报告内容</w:t>
                  </w:r>
                </w:p>
              </w:tc>
            </w:tr>
            <w:tr w14:paraId="73D6D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0E7B256D">
                  <w:pPr>
                    <w:pStyle w:val="125"/>
                    <w:adjustRightInd w:val="0"/>
                    <w:snapToGrid w:val="0"/>
                    <w:spacing w:before="24" w:after="24"/>
                    <w:rPr>
                      <w:rStyle w:val="123"/>
                      <w:bCs/>
                      <w:color w:val="auto"/>
                      <w:sz w:val="21"/>
                      <w:szCs w:val="21"/>
                    </w:rPr>
                  </w:pPr>
                  <w:r>
                    <w:rPr>
                      <w:rStyle w:val="123"/>
                      <w:bCs/>
                      <w:color w:val="auto"/>
                      <w:sz w:val="21"/>
                      <w:szCs w:val="21"/>
                    </w:rPr>
                    <w:t>7</w:t>
                  </w:r>
                </w:p>
              </w:tc>
              <w:tc>
                <w:tcPr>
                  <w:tcW w:w="918" w:type="pct"/>
                  <w:vAlign w:val="center"/>
                </w:tcPr>
                <w:p w14:paraId="15EE6840">
                  <w:pPr>
                    <w:pStyle w:val="125"/>
                    <w:adjustRightInd w:val="0"/>
                    <w:snapToGrid w:val="0"/>
                    <w:spacing w:before="24" w:after="24"/>
                    <w:rPr>
                      <w:rStyle w:val="123"/>
                      <w:bCs/>
                      <w:color w:val="auto"/>
                      <w:sz w:val="21"/>
                      <w:szCs w:val="21"/>
                    </w:rPr>
                  </w:pPr>
                  <w:r>
                    <w:rPr>
                      <w:rStyle w:val="123"/>
                      <w:bCs/>
                      <w:color w:val="auto"/>
                      <w:sz w:val="21"/>
                      <w:szCs w:val="21"/>
                    </w:rPr>
                    <w:t>应急</w:t>
                  </w:r>
                  <w:r>
                    <w:rPr>
                      <w:rStyle w:val="123"/>
                      <w:rFonts w:hint="eastAsia"/>
                      <w:bCs/>
                      <w:color w:val="auto"/>
                      <w:sz w:val="21"/>
                      <w:szCs w:val="21"/>
                    </w:rPr>
                    <w:t>相应与措施</w:t>
                  </w:r>
                </w:p>
              </w:tc>
              <w:tc>
                <w:tcPr>
                  <w:tcW w:w="3674" w:type="pct"/>
                  <w:vAlign w:val="center"/>
                </w:tcPr>
                <w:p w14:paraId="3DF8C4F3">
                  <w:pPr>
                    <w:pStyle w:val="125"/>
                    <w:adjustRightInd w:val="0"/>
                    <w:snapToGrid w:val="0"/>
                    <w:spacing w:before="24" w:after="24"/>
                    <w:rPr>
                      <w:rStyle w:val="123"/>
                      <w:bCs/>
                      <w:color w:val="auto"/>
                      <w:sz w:val="21"/>
                      <w:szCs w:val="21"/>
                    </w:rPr>
                  </w:pPr>
                  <w:r>
                    <w:rPr>
                      <w:rStyle w:val="123"/>
                      <w:rFonts w:hint="eastAsia"/>
                      <w:bCs/>
                      <w:color w:val="auto"/>
                      <w:sz w:val="21"/>
                      <w:szCs w:val="21"/>
                    </w:rPr>
                    <w:t>（1）分级相应机制；（2）相应程序；（3）应急措施：</w:t>
                  </w:r>
                  <w:r>
                    <w:rPr>
                      <w:rStyle w:val="123"/>
                      <w:rFonts w:hint="eastAsia"/>
                      <w:bCs/>
                      <w:color w:val="auto"/>
                      <w:sz w:val="21"/>
                      <w:szCs w:val="21"/>
                    </w:rPr>
                    <w:fldChar w:fldCharType="begin"/>
                  </w:r>
                  <w:r>
                    <w:rPr>
                      <w:rStyle w:val="123"/>
                      <w:rFonts w:hint="eastAsia"/>
                      <w:bCs/>
                      <w:color w:val="auto"/>
                      <w:sz w:val="21"/>
                      <w:szCs w:val="21"/>
                    </w:rPr>
                    <w:instrText xml:space="preserve"> = 1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①</w:t>
                  </w:r>
                  <w:r>
                    <w:rPr>
                      <w:rStyle w:val="123"/>
                      <w:rFonts w:hint="eastAsia"/>
                      <w:bCs/>
                      <w:color w:val="auto"/>
                      <w:sz w:val="21"/>
                      <w:szCs w:val="21"/>
                    </w:rPr>
                    <w:fldChar w:fldCharType="end"/>
                  </w:r>
                  <w:r>
                    <w:rPr>
                      <w:rStyle w:val="123"/>
                      <w:rFonts w:hint="eastAsia"/>
                      <w:bCs/>
                      <w:color w:val="auto"/>
                      <w:sz w:val="21"/>
                      <w:szCs w:val="21"/>
                    </w:rPr>
                    <w:t>泄漏事故应急措施；</w:t>
                  </w:r>
                  <w:r>
                    <w:rPr>
                      <w:rStyle w:val="123"/>
                      <w:rFonts w:hint="eastAsia"/>
                      <w:bCs/>
                      <w:color w:val="auto"/>
                      <w:sz w:val="21"/>
                      <w:szCs w:val="21"/>
                    </w:rPr>
                    <w:fldChar w:fldCharType="begin"/>
                  </w:r>
                  <w:r>
                    <w:rPr>
                      <w:rStyle w:val="123"/>
                      <w:rFonts w:hint="eastAsia"/>
                      <w:bCs/>
                      <w:color w:val="auto"/>
                      <w:sz w:val="21"/>
                      <w:szCs w:val="21"/>
                    </w:rPr>
                    <w:instrText xml:space="preserve"> = 2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②</w:t>
                  </w:r>
                  <w:r>
                    <w:rPr>
                      <w:rStyle w:val="123"/>
                      <w:rFonts w:hint="eastAsia"/>
                      <w:bCs/>
                      <w:color w:val="auto"/>
                      <w:sz w:val="21"/>
                      <w:szCs w:val="21"/>
                    </w:rPr>
                    <w:fldChar w:fldCharType="end"/>
                  </w:r>
                  <w:r>
                    <w:rPr>
                      <w:rStyle w:val="123"/>
                      <w:rFonts w:hint="eastAsia"/>
                      <w:bCs/>
                      <w:color w:val="auto"/>
                      <w:sz w:val="21"/>
                      <w:szCs w:val="21"/>
                    </w:rPr>
                    <w:t>中毒应急措施；</w:t>
                  </w:r>
                  <w:r>
                    <w:rPr>
                      <w:rStyle w:val="123"/>
                      <w:rFonts w:hint="eastAsia"/>
                      <w:bCs/>
                      <w:color w:val="auto"/>
                      <w:sz w:val="21"/>
                      <w:szCs w:val="21"/>
                    </w:rPr>
                    <w:fldChar w:fldCharType="begin"/>
                  </w:r>
                  <w:r>
                    <w:rPr>
                      <w:rStyle w:val="123"/>
                      <w:rFonts w:hint="eastAsia"/>
                      <w:bCs/>
                      <w:color w:val="auto"/>
                      <w:sz w:val="21"/>
                      <w:szCs w:val="21"/>
                    </w:rPr>
                    <w:instrText xml:space="preserve"> = 3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③</w:t>
                  </w:r>
                  <w:r>
                    <w:rPr>
                      <w:rStyle w:val="123"/>
                      <w:rFonts w:hint="eastAsia"/>
                      <w:bCs/>
                      <w:color w:val="auto"/>
                      <w:sz w:val="21"/>
                      <w:szCs w:val="21"/>
                    </w:rPr>
                    <w:fldChar w:fldCharType="end"/>
                  </w:r>
                  <w:r>
                    <w:rPr>
                      <w:rStyle w:val="123"/>
                      <w:rFonts w:hint="eastAsia"/>
                      <w:bCs/>
                      <w:color w:val="auto"/>
                      <w:sz w:val="21"/>
                      <w:szCs w:val="21"/>
                    </w:rPr>
                    <w:t>其他应急措施；（4）应急终止；（5）应集终止后的行动</w:t>
                  </w:r>
                </w:p>
              </w:tc>
            </w:tr>
            <w:tr w14:paraId="7F4CB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0ACEABD5">
                  <w:pPr>
                    <w:pStyle w:val="125"/>
                    <w:adjustRightInd w:val="0"/>
                    <w:snapToGrid w:val="0"/>
                    <w:spacing w:before="24" w:after="24"/>
                    <w:rPr>
                      <w:rStyle w:val="123"/>
                      <w:bCs/>
                      <w:color w:val="auto"/>
                      <w:sz w:val="21"/>
                      <w:szCs w:val="21"/>
                    </w:rPr>
                  </w:pPr>
                  <w:r>
                    <w:rPr>
                      <w:rStyle w:val="123"/>
                      <w:bCs/>
                      <w:color w:val="auto"/>
                      <w:sz w:val="21"/>
                      <w:szCs w:val="21"/>
                    </w:rPr>
                    <w:t>8</w:t>
                  </w:r>
                </w:p>
              </w:tc>
              <w:tc>
                <w:tcPr>
                  <w:tcW w:w="918" w:type="pct"/>
                  <w:vAlign w:val="center"/>
                </w:tcPr>
                <w:p w14:paraId="0052141F">
                  <w:pPr>
                    <w:pStyle w:val="125"/>
                    <w:adjustRightInd w:val="0"/>
                    <w:snapToGrid w:val="0"/>
                    <w:spacing w:before="24" w:after="24"/>
                    <w:rPr>
                      <w:rStyle w:val="123"/>
                      <w:bCs/>
                      <w:color w:val="auto"/>
                      <w:sz w:val="21"/>
                      <w:szCs w:val="21"/>
                    </w:rPr>
                  </w:pPr>
                  <w:r>
                    <w:rPr>
                      <w:rStyle w:val="123"/>
                      <w:rFonts w:hint="eastAsia"/>
                      <w:bCs/>
                      <w:color w:val="auto"/>
                      <w:sz w:val="21"/>
                      <w:szCs w:val="21"/>
                    </w:rPr>
                    <w:t>后期处置</w:t>
                  </w:r>
                </w:p>
              </w:tc>
              <w:tc>
                <w:tcPr>
                  <w:tcW w:w="3674" w:type="pct"/>
                  <w:vAlign w:val="center"/>
                </w:tcPr>
                <w:p w14:paraId="0EB5B9C8">
                  <w:pPr>
                    <w:pStyle w:val="125"/>
                    <w:adjustRightInd w:val="0"/>
                    <w:snapToGrid w:val="0"/>
                    <w:spacing w:before="24" w:after="24"/>
                    <w:rPr>
                      <w:rStyle w:val="123"/>
                      <w:bCs/>
                      <w:color w:val="auto"/>
                      <w:sz w:val="21"/>
                      <w:szCs w:val="21"/>
                    </w:rPr>
                  </w:pPr>
                  <w:r>
                    <w:rPr>
                      <w:rStyle w:val="123"/>
                      <w:rFonts w:hint="eastAsia"/>
                      <w:bCs/>
                      <w:color w:val="auto"/>
                      <w:sz w:val="21"/>
                      <w:szCs w:val="21"/>
                    </w:rPr>
                    <w:t>（1）善后处置；（2）保险；（3）工作总结与评价</w:t>
                  </w:r>
                </w:p>
              </w:tc>
            </w:tr>
            <w:tr w14:paraId="24D82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23706CE5">
                  <w:pPr>
                    <w:pStyle w:val="125"/>
                    <w:adjustRightInd w:val="0"/>
                    <w:snapToGrid w:val="0"/>
                    <w:spacing w:before="24" w:after="24"/>
                    <w:rPr>
                      <w:rStyle w:val="123"/>
                      <w:bCs/>
                      <w:color w:val="auto"/>
                      <w:sz w:val="21"/>
                      <w:szCs w:val="21"/>
                    </w:rPr>
                  </w:pPr>
                  <w:r>
                    <w:rPr>
                      <w:rStyle w:val="123"/>
                      <w:bCs/>
                      <w:color w:val="auto"/>
                      <w:sz w:val="21"/>
                      <w:szCs w:val="21"/>
                    </w:rPr>
                    <w:t>9</w:t>
                  </w:r>
                </w:p>
              </w:tc>
              <w:tc>
                <w:tcPr>
                  <w:tcW w:w="918" w:type="pct"/>
                  <w:vAlign w:val="center"/>
                </w:tcPr>
                <w:p w14:paraId="6281E32F">
                  <w:pPr>
                    <w:pStyle w:val="125"/>
                    <w:adjustRightInd w:val="0"/>
                    <w:snapToGrid w:val="0"/>
                    <w:spacing w:before="24" w:after="24"/>
                    <w:rPr>
                      <w:rStyle w:val="123"/>
                      <w:bCs/>
                      <w:color w:val="auto"/>
                      <w:sz w:val="21"/>
                      <w:szCs w:val="21"/>
                    </w:rPr>
                  </w:pPr>
                  <w:r>
                    <w:rPr>
                      <w:rStyle w:val="123"/>
                      <w:rFonts w:hint="eastAsia"/>
                      <w:bCs/>
                      <w:color w:val="auto"/>
                      <w:sz w:val="21"/>
                      <w:szCs w:val="21"/>
                    </w:rPr>
                    <w:t>保障措施</w:t>
                  </w:r>
                </w:p>
              </w:tc>
              <w:tc>
                <w:tcPr>
                  <w:tcW w:w="3674" w:type="pct"/>
                  <w:vAlign w:val="center"/>
                </w:tcPr>
                <w:p w14:paraId="3AE2DAC6">
                  <w:pPr>
                    <w:pStyle w:val="125"/>
                    <w:adjustRightInd w:val="0"/>
                    <w:snapToGrid w:val="0"/>
                    <w:spacing w:before="24" w:after="24"/>
                    <w:rPr>
                      <w:rStyle w:val="123"/>
                      <w:bCs/>
                      <w:color w:val="auto"/>
                      <w:sz w:val="21"/>
                      <w:szCs w:val="21"/>
                    </w:rPr>
                  </w:pPr>
                  <w:r>
                    <w:rPr>
                      <w:rStyle w:val="123"/>
                      <w:rFonts w:hint="eastAsia"/>
                      <w:bCs/>
                      <w:color w:val="auto"/>
                      <w:sz w:val="21"/>
                      <w:szCs w:val="21"/>
                    </w:rPr>
                    <w:t>（1）通讯与信息保障；（2）应急队伍保障；（3）应急物资装备保障；（4）经费保障；（5）其他保障：</w:t>
                  </w:r>
                  <w:r>
                    <w:rPr>
                      <w:rStyle w:val="123"/>
                      <w:rFonts w:hint="eastAsia"/>
                      <w:bCs/>
                      <w:color w:val="auto"/>
                      <w:sz w:val="21"/>
                      <w:szCs w:val="21"/>
                    </w:rPr>
                    <w:fldChar w:fldCharType="begin"/>
                  </w:r>
                  <w:r>
                    <w:rPr>
                      <w:rStyle w:val="123"/>
                      <w:rFonts w:hint="eastAsia"/>
                      <w:bCs/>
                      <w:color w:val="auto"/>
                      <w:sz w:val="21"/>
                      <w:szCs w:val="21"/>
                    </w:rPr>
                    <w:instrText xml:space="preserve"> = 1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①</w:t>
                  </w:r>
                  <w:r>
                    <w:rPr>
                      <w:rStyle w:val="123"/>
                      <w:rFonts w:hint="eastAsia"/>
                      <w:bCs/>
                      <w:color w:val="auto"/>
                      <w:sz w:val="21"/>
                      <w:szCs w:val="21"/>
                    </w:rPr>
                    <w:fldChar w:fldCharType="end"/>
                  </w:r>
                  <w:r>
                    <w:rPr>
                      <w:rStyle w:val="123"/>
                      <w:rFonts w:hint="eastAsia"/>
                      <w:bCs/>
                      <w:color w:val="auto"/>
                      <w:sz w:val="21"/>
                      <w:szCs w:val="21"/>
                    </w:rPr>
                    <w:t>已有救援装备保障；</w:t>
                  </w:r>
                  <w:r>
                    <w:rPr>
                      <w:rStyle w:val="123"/>
                      <w:rFonts w:hint="eastAsia"/>
                      <w:bCs/>
                      <w:color w:val="auto"/>
                      <w:sz w:val="21"/>
                      <w:szCs w:val="21"/>
                    </w:rPr>
                    <w:fldChar w:fldCharType="begin"/>
                  </w:r>
                  <w:r>
                    <w:rPr>
                      <w:rStyle w:val="123"/>
                      <w:rFonts w:hint="eastAsia"/>
                      <w:bCs/>
                      <w:color w:val="auto"/>
                      <w:sz w:val="21"/>
                      <w:szCs w:val="21"/>
                    </w:rPr>
                    <w:instrText xml:space="preserve"> = 2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②</w:t>
                  </w:r>
                  <w:r>
                    <w:rPr>
                      <w:rStyle w:val="123"/>
                      <w:rFonts w:hint="eastAsia"/>
                      <w:bCs/>
                      <w:color w:val="auto"/>
                      <w:sz w:val="21"/>
                      <w:szCs w:val="21"/>
                    </w:rPr>
                    <w:fldChar w:fldCharType="end"/>
                  </w:r>
                  <w:r>
                    <w:rPr>
                      <w:rStyle w:val="123"/>
                      <w:rFonts w:hint="eastAsia"/>
                      <w:bCs/>
                      <w:color w:val="auto"/>
                      <w:sz w:val="21"/>
                      <w:szCs w:val="21"/>
                    </w:rPr>
                    <w:t>交通运输保障；</w:t>
                  </w:r>
                  <w:r>
                    <w:rPr>
                      <w:rStyle w:val="123"/>
                      <w:rFonts w:hint="eastAsia"/>
                      <w:bCs/>
                      <w:color w:val="auto"/>
                      <w:sz w:val="21"/>
                      <w:szCs w:val="21"/>
                    </w:rPr>
                    <w:fldChar w:fldCharType="begin"/>
                  </w:r>
                  <w:r>
                    <w:rPr>
                      <w:rStyle w:val="123"/>
                      <w:rFonts w:hint="eastAsia"/>
                      <w:bCs/>
                      <w:color w:val="auto"/>
                      <w:sz w:val="21"/>
                      <w:szCs w:val="21"/>
                    </w:rPr>
                    <w:instrText xml:space="preserve"> = 3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③</w:t>
                  </w:r>
                  <w:r>
                    <w:rPr>
                      <w:rStyle w:val="123"/>
                      <w:rFonts w:hint="eastAsia"/>
                      <w:bCs/>
                      <w:color w:val="auto"/>
                      <w:sz w:val="21"/>
                      <w:szCs w:val="21"/>
                    </w:rPr>
                    <w:fldChar w:fldCharType="end"/>
                  </w:r>
                  <w:r>
                    <w:rPr>
                      <w:rStyle w:val="123"/>
                      <w:rFonts w:hint="eastAsia"/>
                      <w:bCs/>
                      <w:color w:val="auto"/>
                      <w:sz w:val="21"/>
                      <w:szCs w:val="21"/>
                    </w:rPr>
                    <w:t>救援医疗保障；</w:t>
                  </w:r>
                  <w:r>
                    <w:rPr>
                      <w:rStyle w:val="123"/>
                      <w:rFonts w:hint="eastAsia"/>
                      <w:bCs/>
                      <w:color w:val="auto"/>
                      <w:sz w:val="21"/>
                      <w:szCs w:val="21"/>
                    </w:rPr>
                    <w:fldChar w:fldCharType="begin"/>
                  </w:r>
                  <w:r>
                    <w:rPr>
                      <w:rStyle w:val="123"/>
                      <w:rFonts w:hint="eastAsia"/>
                      <w:bCs/>
                      <w:color w:val="auto"/>
                      <w:sz w:val="21"/>
                      <w:szCs w:val="21"/>
                    </w:rPr>
                    <w:instrText xml:space="preserve"> = 4 \* GB3 \* MERGEFORMAT </w:instrText>
                  </w:r>
                  <w:r>
                    <w:rPr>
                      <w:rStyle w:val="123"/>
                      <w:rFonts w:hint="eastAsia"/>
                      <w:bCs/>
                      <w:color w:val="auto"/>
                      <w:sz w:val="21"/>
                      <w:szCs w:val="21"/>
                    </w:rPr>
                    <w:fldChar w:fldCharType="separate"/>
                  </w:r>
                  <w:r>
                    <w:rPr>
                      <w:rFonts w:hint="eastAsia" w:ascii="宋体" w:hAnsi="宋体" w:cs="宋体"/>
                      <w:color w:val="auto"/>
                      <w:sz w:val="21"/>
                      <w:szCs w:val="21"/>
                    </w:rPr>
                    <w:t>④</w:t>
                  </w:r>
                  <w:r>
                    <w:rPr>
                      <w:rStyle w:val="123"/>
                      <w:rFonts w:hint="eastAsia"/>
                      <w:bCs/>
                      <w:color w:val="auto"/>
                      <w:sz w:val="21"/>
                      <w:szCs w:val="21"/>
                    </w:rPr>
                    <w:fldChar w:fldCharType="end"/>
                  </w:r>
                  <w:r>
                    <w:rPr>
                      <w:rStyle w:val="123"/>
                      <w:rFonts w:hint="eastAsia"/>
                      <w:bCs/>
                      <w:color w:val="auto"/>
                      <w:sz w:val="21"/>
                      <w:szCs w:val="21"/>
                    </w:rPr>
                    <w:t>治安保障</w:t>
                  </w:r>
                </w:p>
              </w:tc>
            </w:tr>
            <w:tr w14:paraId="504FD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66424A85">
                  <w:pPr>
                    <w:pStyle w:val="125"/>
                    <w:adjustRightInd w:val="0"/>
                    <w:snapToGrid w:val="0"/>
                    <w:spacing w:before="24" w:after="24"/>
                    <w:rPr>
                      <w:rStyle w:val="123"/>
                      <w:bCs/>
                      <w:color w:val="auto"/>
                      <w:sz w:val="21"/>
                      <w:szCs w:val="21"/>
                    </w:rPr>
                  </w:pPr>
                  <w:r>
                    <w:rPr>
                      <w:rStyle w:val="123"/>
                      <w:bCs/>
                      <w:color w:val="auto"/>
                      <w:sz w:val="21"/>
                      <w:szCs w:val="21"/>
                    </w:rPr>
                    <w:t>10</w:t>
                  </w:r>
                </w:p>
              </w:tc>
              <w:tc>
                <w:tcPr>
                  <w:tcW w:w="918" w:type="pct"/>
                  <w:vAlign w:val="center"/>
                </w:tcPr>
                <w:p w14:paraId="0A5BCCE4">
                  <w:pPr>
                    <w:pStyle w:val="125"/>
                    <w:adjustRightInd w:val="0"/>
                    <w:snapToGrid w:val="0"/>
                    <w:spacing w:before="24" w:after="24"/>
                    <w:rPr>
                      <w:rStyle w:val="123"/>
                      <w:bCs/>
                      <w:color w:val="auto"/>
                      <w:sz w:val="21"/>
                      <w:szCs w:val="21"/>
                    </w:rPr>
                  </w:pPr>
                  <w:r>
                    <w:rPr>
                      <w:rStyle w:val="123"/>
                      <w:rFonts w:hint="eastAsia"/>
                      <w:bCs/>
                      <w:color w:val="auto"/>
                      <w:sz w:val="21"/>
                      <w:szCs w:val="21"/>
                    </w:rPr>
                    <w:t>培训与演练</w:t>
                  </w:r>
                </w:p>
              </w:tc>
              <w:tc>
                <w:tcPr>
                  <w:tcW w:w="3674" w:type="pct"/>
                  <w:vAlign w:val="center"/>
                </w:tcPr>
                <w:p w14:paraId="2BA71916">
                  <w:pPr>
                    <w:pStyle w:val="125"/>
                    <w:adjustRightInd w:val="0"/>
                    <w:snapToGrid w:val="0"/>
                    <w:spacing w:before="24" w:after="24"/>
                    <w:rPr>
                      <w:rStyle w:val="123"/>
                      <w:bCs/>
                      <w:color w:val="auto"/>
                      <w:sz w:val="21"/>
                      <w:szCs w:val="21"/>
                    </w:rPr>
                  </w:pPr>
                  <w:r>
                    <w:rPr>
                      <w:rStyle w:val="123"/>
                      <w:rFonts w:hint="eastAsia"/>
                      <w:bCs/>
                      <w:color w:val="auto"/>
                      <w:sz w:val="21"/>
                      <w:szCs w:val="21"/>
                    </w:rPr>
                    <w:t>（1）培训；（2）演练：</w:t>
                  </w:r>
                  <w:r>
                    <w:rPr>
                      <w:rStyle w:val="123"/>
                      <w:rFonts w:hint="eastAsia"/>
                      <w:bCs/>
                      <w:color w:val="auto"/>
                      <w:sz w:val="21"/>
                      <w:szCs w:val="21"/>
                    </w:rPr>
                    <w:fldChar w:fldCharType="begin"/>
                  </w:r>
                  <w:r>
                    <w:rPr>
                      <w:rStyle w:val="123"/>
                      <w:rFonts w:hint="eastAsia"/>
                      <w:bCs/>
                      <w:color w:val="auto"/>
                      <w:sz w:val="21"/>
                      <w:szCs w:val="21"/>
                    </w:rPr>
                    <w:instrText xml:space="preserve"> = 1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①</w:t>
                  </w:r>
                  <w:r>
                    <w:rPr>
                      <w:rStyle w:val="123"/>
                      <w:rFonts w:hint="eastAsia"/>
                      <w:bCs/>
                      <w:color w:val="auto"/>
                      <w:sz w:val="21"/>
                      <w:szCs w:val="21"/>
                    </w:rPr>
                    <w:fldChar w:fldCharType="end"/>
                  </w:r>
                  <w:r>
                    <w:rPr>
                      <w:rStyle w:val="123"/>
                      <w:rFonts w:hint="eastAsia"/>
                      <w:bCs/>
                      <w:color w:val="auto"/>
                      <w:sz w:val="21"/>
                      <w:szCs w:val="21"/>
                    </w:rPr>
                    <w:t>演练内容；</w:t>
                  </w:r>
                  <w:r>
                    <w:rPr>
                      <w:rStyle w:val="123"/>
                      <w:rFonts w:hint="eastAsia"/>
                      <w:bCs/>
                      <w:color w:val="auto"/>
                      <w:sz w:val="21"/>
                      <w:szCs w:val="21"/>
                    </w:rPr>
                    <w:fldChar w:fldCharType="begin"/>
                  </w:r>
                  <w:r>
                    <w:rPr>
                      <w:rStyle w:val="123"/>
                      <w:rFonts w:hint="eastAsia"/>
                      <w:bCs/>
                      <w:color w:val="auto"/>
                      <w:sz w:val="21"/>
                      <w:szCs w:val="21"/>
                    </w:rPr>
                    <w:instrText xml:space="preserve"> = 2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②</w:t>
                  </w:r>
                  <w:r>
                    <w:rPr>
                      <w:rStyle w:val="123"/>
                      <w:rFonts w:hint="eastAsia"/>
                      <w:bCs/>
                      <w:color w:val="auto"/>
                      <w:sz w:val="21"/>
                      <w:szCs w:val="21"/>
                    </w:rPr>
                    <w:fldChar w:fldCharType="end"/>
                  </w:r>
                  <w:r>
                    <w:rPr>
                      <w:rStyle w:val="123"/>
                      <w:rFonts w:hint="eastAsia"/>
                      <w:bCs/>
                      <w:color w:val="auto"/>
                      <w:sz w:val="21"/>
                      <w:szCs w:val="21"/>
                    </w:rPr>
                    <w:t>演练方式；（3）记录与考核</w:t>
                  </w:r>
                </w:p>
              </w:tc>
            </w:tr>
            <w:tr w14:paraId="5015F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0D3C74D3">
                  <w:pPr>
                    <w:pStyle w:val="125"/>
                    <w:adjustRightInd w:val="0"/>
                    <w:snapToGrid w:val="0"/>
                    <w:spacing w:before="24" w:after="24"/>
                    <w:rPr>
                      <w:rStyle w:val="123"/>
                      <w:bCs/>
                      <w:color w:val="auto"/>
                      <w:sz w:val="21"/>
                      <w:szCs w:val="21"/>
                    </w:rPr>
                  </w:pPr>
                  <w:r>
                    <w:rPr>
                      <w:rStyle w:val="123"/>
                      <w:bCs/>
                      <w:color w:val="auto"/>
                      <w:sz w:val="21"/>
                      <w:szCs w:val="21"/>
                    </w:rPr>
                    <w:t>11</w:t>
                  </w:r>
                </w:p>
              </w:tc>
              <w:tc>
                <w:tcPr>
                  <w:tcW w:w="918" w:type="pct"/>
                  <w:vAlign w:val="center"/>
                </w:tcPr>
                <w:p w14:paraId="145ECD42">
                  <w:pPr>
                    <w:pStyle w:val="125"/>
                    <w:adjustRightInd w:val="0"/>
                    <w:snapToGrid w:val="0"/>
                    <w:spacing w:before="24" w:after="24"/>
                    <w:rPr>
                      <w:rStyle w:val="123"/>
                      <w:bCs/>
                      <w:color w:val="auto"/>
                      <w:sz w:val="21"/>
                      <w:szCs w:val="21"/>
                    </w:rPr>
                  </w:pPr>
                  <w:r>
                    <w:rPr>
                      <w:rStyle w:val="123"/>
                      <w:rFonts w:hint="eastAsia"/>
                      <w:bCs/>
                      <w:color w:val="auto"/>
                      <w:sz w:val="21"/>
                      <w:szCs w:val="21"/>
                    </w:rPr>
                    <w:t>奖惩</w:t>
                  </w:r>
                </w:p>
              </w:tc>
              <w:tc>
                <w:tcPr>
                  <w:tcW w:w="3674" w:type="pct"/>
                  <w:vAlign w:val="center"/>
                </w:tcPr>
                <w:p w14:paraId="4E612A2E">
                  <w:pPr>
                    <w:pStyle w:val="125"/>
                    <w:adjustRightInd w:val="0"/>
                    <w:snapToGrid w:val="0"/>
                    <w:spacing w:before="24" w:after="24"/>
                    <w:rPr>
                      <w:rStyle w:val="123"/>
                      <w:bCs/>
                      <w:color w:val="auto"/>
                      <w:sz w:val="21"/>
                      <w:szCs w:val="21"/>
                    </w:rPr>
                  </w:pPr>
                  <w:r>
                    <w:rPr>
                      <w:rStyle w:val="123"/>
                      <w:rFonts w:hint="eastAsia"/>
                      <w:bCs/>
                      <w:color w:val="auto"/>
                      <w:sz w:val="21"/>
                      <w:szCs w:val="21"/>
                    </w:rPr>
                    <w:t>（1）事故应急救援工作实行奖励制；（2）事故应急救援工作实行责任追究制；</w:t>
                  </w:r>
                </w:p>
              </w:tc>
            </w:tr>
            <w:tr w14:paraId="67064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3AEDD949">
                  <w:pPr>
                    <w:pStyle w:val="125"/>
                    <w:adjustRightInd w:val="0"/>
                    <w:snapToGrid w:val="0"/>
                    <w:spacing w:before="24" w:after="24"/>
                    <w:rPr>
                      <w:rStyle w:val="123"/>
                      <w:bCs/>
                      <w:color w:val="auto"/>
                      <w:sz w:val="21"/>
                      <w:szCs w:val="21"/>
                    </w:rPr>
                  </w:pPr>
                  <w:r>
                    <w:rPr>
                      <w:rStyle w:val="123"/>
                      <w:bCs/>
                      <w:color w:val="auto"/>
                      <w:sz w:val="21"/>
                      <w:szCs w:val="21"/>
                    </w:rPr>
                    <w:t>12</w:t>
                  </w:r>
                </w:p>
              </w:tc>
              <w:tc>
                <w:tcPr>
                  <w:tcW w:w="918" w:type="pct"/>
                  <w:vAlign w:val="center"/>
                </w:tcPr>
                <w:p w14:paraId="6CA05562">
                  <w:pPr>
                    <w:pStyle w:val="125"/>
                    <w:adjustRightInd w:val="0"/>
                    <w:snapToGrid w:val="0"/>
                    <w:spacing w:before="24" w:after="24"/>
                    <w:rPr>
                      <w:rStyle w:val="123"/>
                      <w:bCs/>
                      <w:color w:val="auto"/>
                      <w:sz w:val="21"/>
                      <w:szCs w:val="21"/>
                    </w:rPr>
                  </w:pPr>
                  <w:r>
                    <w:rPr>
                      <w:rStyle w:val="123"/>
                      <w:rFonts w:hint="eastAsia"/>
                      <w:bCs/>
                      <w:color w:val="auto"/>
                      <w:sz w:val="21"/>
                      <w:szCs w:val="21"/>
                    </w:rPr>
                    <w:t>预案的评审、备案、发布和更新</w:t>
                  </w:r>
                </w:p>
              </w:tc>
              <w:tc>
                <w:tcPr>
                  <w:tcW w:w="3674" w:type="pct"/>
                  <w:vAlign w:val="center"/>
                </w:tcPr>
                <w:p w14:paraId="19119E89">
                  <w:pPr>
                    <w:pStyle w:val="125"/>
                    <w:adjustRightInd w:val="0"/>
                    <w:snapToGrid w:val="0"/>
                    <w:spacing w:before="24" w:after="24"/>
                    <w:rPr>
                      <w:rStyle w:val="123"/>
                      <w:bCs/>
                      <w:color w:val="auto"/>
                      <w:sz w:val="21"/>
                      <w:szCs w:val="21"/>
                    </w:rPr>
                  </w:pPr>
                  <w:r>
                    <w:rPr>
                      <w:rStyle w:val="123"/>
                      <w:rFonts w:hint="eastAsia"/>
                      <w:bCs/>
                      <w:color w:val="auto"/>
                      <w:sz w:val="21"/>
                      <w:szCs w:val="21"/>
                    </w:rPr>
                    <w:t>/</w:t>
                  </w:r>
                </w:p>
              </w:tc>
            </w:tr>
            <w:tr w14:paraId="5E8D3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797471A7">
                  <w:pPr>
                    <w:pStyle w:val="125"/>
                    <w:adjustRightInd w:val="0"/>
                    <w:snapToGrid w:val="0"/>
                    <w:spacing w:before="24" w:after="24"/>
                    <w:rPr>
                      <w:rStyle w:val="123"/>
                      <w:bCs/>
                      <w:color w:val="auto"/>
                      <w:sz w:val="21"/>
                      <w:szCs w:val="21"/>
                    </w:rPr>
                  </w:pPr>
                  <w:r>
                    <w:rPr>
                      <w:rStyle w:val="123"/>
                      <w:bCs/>
                      <w:color w:val="auto"/>
                      <w:sz w:val="21"/>
                      <w:szCs w:val="21"/>
                    </w:rPr>
                    <w:t>13</w:t>
                  </w:r>
                </w:p>
              </w:tc>
              <w:tc>
                <w:tcPr>
                  <w:tcW w:w="918" w:type="pct"/>
                  <w:vAlign w:val="center"/>
                </w:tcPr>
                <w:p w14:paraId="6BEB8C75">
                  <w:pPr>
                    <w:pStyle w:val="125"/>
                    <w:adjustRightInd w:val="0"/>
                    <w:snapToGrid w:val="0"/>
                    <w:spacing w:before="24" w:after="24"/>
                    <w:rPr>
                      <w:rStyle w:val="123"/>
                      <w:bCs/>
                      <w:color w:val="auto"/>
                      <w:sz w:val="21"/>
                      <w:szCs w:val="21"/>
                    </w:rPr>
                  </w:pPr>
                  <w:r>
                    <w:rPr>
                      <w:rStyle w:val="123"/>
                      <w:rFonts w:hint="eastAsia"/>
                      <w:bCs/>
                      <w:color w:val="auto"/>
                      <w:sz w:val="21"/>
                      <w:szCs w:val="21"/>
                    </w:rPr>
                    <w:t>预案的实施和生效时间</w:t>
                  </w:r>
                </w:p>
              </w:tc>
              <w:tc>
                <w:tcPr>
                  <w:tcW w:w="3674" w:type="pct"/>
                  <w:vAlign w:val="center"/>
                </w:tcPr>
                <w:p w14:paraId="4B3F9B29">
                  <w:pPr>
                    <w:pStyle w:val="125"/>
                    <w:adjustRightInd w:val="0"/>
                    <w:snapToGrid w:val="0"/>
                    <w:spacing w:before="24" w:after="24"/>
                    <w:rPr>
                      <w:rStyle w:val="123"/>
                      <w:bCs/>
                      <w:color w:val="auto"/>
                      <w:sz w:val="21"/>
                      <w:szCs w:val="21"/>
                    </w:rPr>
                  </w:pPr>
                  <w:r>
                    <w:rPr>
                      <w:rStyle w:val="123"/>
                      <w:rFonts w:hint="eastAsia"/>
                      <w:bCs/>
                      <w:color w:val="auto"/>
                      <w:sz w:val="21"/>
                      <w:szCs w:val="21"/>
                    </w:rPr>
                    <w:t>/</w:t>
                  </w:r>
                </w:p>
              </w:tc>
            </w:tr>
            <w:tr w14:paraId="52380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092D8944">
                  <w:pPr>
                    <w:pStyle w:val="125"/>
                    <w:adjustRightInd w:val="0"/>
                    <w:snapToGrid w:val="0"/>
                    <w:spacing w:before="24" w:after="24"/>
                    <w:rPr>
                      <w:rStyle w:val="123"/>
                      <w:bCs/>
                      <w:color w:val="auto"/>
                      <w:sz w:val="21"/>
                      <w:szCs w:val="21"/>
                    </w:rPr>
                  </w:pPr>
                  <w:r>
                    <w:rPr>
                      <w:rStyle w:val="123"/>
                      <w:rFonts w:hint="eastAsia"/>
                      <w:bCs/>
                      <w:color w:val="auto"/>
                      <w:sz w:val="21"/>
                      <w:szCs w:val="21"/>
                    </w:rPr>
                    <w:t>14</w:t>
                  </w:r>
                </w:p>
              </w:tc>
              <w:tc>
                <w:tcPr>
                  <w:tcW w:w="918" w:type="pct"/>
                  <w:vAlign w:val="center"/>
                </w:tcPr>
                <w:p w14:paraId="22762802">
                  <w:pPr>
                    <w:pStyle w:val="125"/>
                    <w:adjustRightInd w:val="0"/>
                    <w:snapToGrid w:val="0"/>
                    <w:spacing w:before="24" w:after="24"/>
                    <w:rPr>
                      <w:rStyle w:val="123"/>
                      <w:bCs/>
                      <w:color w:val="auto"/>
                      <w:sz w:val="21"/>
                      <w:szCs w:val="21"/>
                    </w:rPr>
                  </w:pPr>
                  <w:r>
                    <w:rPr>
                      <w:rStyle w:val="123"/>
                      <w:rFonts w:hint="eastAsia"/>
                      <w:bCs/>
                      <w:color w:val="auto"/>
                      <w:sz w:val="21"/>
                      <w:szCs w:val="21"/>
                    </w:rPr>
                    <w:t>附件、术语和定义</w:t>
                  </w:r>
                </w:p>
              </w:tc>
              <w:tc>
                <w:tcPr>
                  <w:tcW w:w="3674" w:type="pct"/>
                  <w:vAlign w:val="center"/>
                </w:tcPr>
                <w:p w14:paraId="241C94CC">
                  <w:pPr>
                    <w:pStyle w:val="125"/>
                    <w:adjustRightInd w:val="0"/>
                    <w:snapToGrid w:val="0"/>
                    <w:spacing w:before="24" w:after="24"/>
                    <w:rPr>
                      <w:rStyle w:val="123"/>
                      <w:bCs/>
                      <w:color w:val="auto"/>
                      <w:sz w:val="21"/>
                      <w:szCs w:val="21"/>
                    </w:rPr>
                  </w:pPr>
                  <w:r>
                    <w:rPr>
                      <w:rStyle w:val="123"/>
                      <w:rFonts w:hint="eastAsia"/>
                      <w:bCs/>
                      <w:color w:val="auto"/>
                      <w:sz w:val="21"/>
                      <w:szCs w:val="21"/>
                    </w:rPr>
                    <w:t>/</w:t>
                  </w:r>
                </w:p>
              </w:tc>
            </w:tr>
            <w:tr w14:paraId="5419E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1AC1DBAB">
                  <w:pPr>
                    <w:pStyle w:val="125"/>
                    <w:adjustRightInd w:val="0"/>
                    <w:snapToGrid w:val="0"/>
                    <w:spacing w:before="24" w:after="24"/>
                    <w:rPr>
                      <w:rStyle w:val="123"/>
                      <w:bCs/>
                      <w:color w:val="auto"/>
                      <w:sz w:val="21"/>
                      <w:szCs w:val="21"/>
                    </w:rPr>
                  </w:pPr>
                  <w:r>
                    <w:rPr>
                      <w:rStyle w:val="123"/>
                      <w:rFonts w:hint="eastAsia"/>
                      <w:bCs/>
                      <w:color w:val="auto"/>
                      <w:sz w:val="21"/>
                      <w:szCs w:val="21"/>
                    </w:rPr>
                    <w:t>15</w:t>
                  </w:r>
                </w:p>
              </w:tc>
              <w:tc>
                <w:tcPr>
                  <w:tcW w:w="918" w:type="pct"/>
                  <w:vAlign w:val="center"/>
                </w:tcPr>
                <w:p w14:paraId="53A829F5">
                  <w:pPr>
                    <w:pStyle w:val="125"/>
                    <w:adjustRightInd w:val="0"/>
                    <w:snapToGrid w:val="0"/>
                    <w:spacing w:before="24" w:after="24"/>
                    <w:rPr>
                      <w:rStyle w:val="123"/>
                      <w:bCs/>
                      <w:color w:val="auto"/>
                      <w:sz w:val="21"/>
                      <w:szCs w:val="21"/>
                    </w:rPr>
                  </w:pPr>
                  <w:r>
                    <w:rPr>
                      <w:rStyle w:val="123"/>
                      <w:rFonts w:hint="eastAsia"/>
                      <w:bCs/>
                      <w:color w:val="auto"/>
                      <w:sz w:val="21"/>
                      <w:szCs w:val="21"/>
                    </w:rPr>
                    <w:t>附件</w:t>
                  </w:r>
                </w:p>
              </w:tc>
              <w:tc>
                <w:tcPr>
                  <w:tcW w:w="3674" w:type="pct"/>
                  <w:vAlign w:val="center"/>
                </w:tcPr>
                <w:p w14:paraId="2B522DC0">
                  <w:pPr>
                    <w:pStyle w:val="125"/>
                    <w:adjustRightInd w:val="0"/>
                    <w:snapToGrid w:val="0"/>
                    <w:spacing w:before="24" w:after="24"/>
                    <w:rPr>
                      <w:rStyle w:val="123"/>
                      <w:bCs/>
                      <w:color w:val="auto"/>
                      <w:sz w:val="21"/>
                      <w:szCs w:val="21"/>
                    </w:rPr>
                  </w:pPr>
                  <w:r>
                    <w:rPr>
                      <w:rStyle w:val="123"/>
                      <w:rFonts w:hint="eastAsia"/>
                      <w:bCs/>
                      <w:color w:val="auto"/>
                      <w:sz w:val="21"/>
                      <w:szCs w:val="21"/>
                    </w:rPr>
                    <w:t>（1）应急救援通讯录；（2）中药物资装备的清单；（3）规范化格式文本；（4）关键的路线、标识和图纸；</w:t>
                  </w:r>
                  <w:r>
                    <w:rPr>
                      <w:rStyle w:val="123"/>
                      <w:rFonts w:hint="eastAsia"/>
                      <w:bCs/>
                      <w:color w:val="auto"/>
                      <w:sz w:val="21"/>
                      <w:szCs w:val="21"/>
                    </w:rPr>
                    <w:fldChar w:fldCharType="begin"/>
                  </w:r>
                  <w:r>
                    <w:rPr>
                      <w:rStyle w:val="123"/>
                      <w:rFonts w:hint="eastAsia"/>
                      <w:bCs/>
                      <w:color w:val="auto"/>
                      <w:sz w:val="21"/>
                      <w:szCs w:val="21"/>
                    </w:rPr>
                    <w:instrText xml:space="preserve"> = 1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①</w:t>
                  </w:r>
                  <w:r>
                    <w:rPr>
                      <w:rStyle w:val="123"/>
                      <w:rFonts w:hint="eastAsia"/>
                      <w:bCs/>
                      <w:color w:val="auto"/>
                      <w:sz w:val="21"/>
                      <w:szCs w:val="21"/>
                    </w:rPr>
                    <w:fldChar w:fldCharType="end"/>
                  </w:r>
                  <w:r>
                    <w:rPr>
                      <w:rStyle w:val="123"/>
                      <w:rFonts w:hint="eastAsia"/>
                      <w:bCs/>
                      <w:color w:val="auto"/>
                      <w:sz w:val="21"/>
                      <w:szCs w:val="21"/>
                    </w:rPr>
                    <w:t>警报系统分布及覆盖范围；</w:t>
                  </w:r>
                  <w:r>
                    <w:rPr>
                      <w:rStyle w:val="123"/>
                      <w:rFonts w:hint="eastAsia"/>
                      <w:bCs/>
                      <w:color w:val="auto"/>
                      <w:sz w:val="21"/>
                      <w:szCs w:val="21"/>
                    </w:rPr>
                    <w:fldChar w:fldCharType="begin"/>
                  </w:r>
                  <w:r>
                    <w:rPr>
                      <w:rStyle w:val="123"/>
                      <w:rFonts w:hint="eastAsia"/>
                      <w:bCs/>
                      <w:color w:val="auto"/>
                      <w:sz w:val="21"/>
                      <w:szCs w:val="21"/>
                    </w:rPr>
                    <w:instrText xml:space="preserve"> = 2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②</w:t>
                  </w:r>
                  <w:r>
                    <w:rPr>
                      <w:rStyle w:val="123"/>
                      <w:rFonts w:hint="eastAsia"/>
                      <w:bCs/>
                      <w:color w:val="auto"/>
                      <w:sz w:val="21"/>
                      <w:szCs w:val="21"/>
                    </w:rPr>
                    <w:fldChar w:fldCharType="end"/>
                  </w:r>
                  <w:r>
                    <w:rPr>
                      <w:rStyle w:val="123"/>
                      <w:rFonts w:hint="eastAsia"/>
                      <w:bCs/>
                      <w:color w:val="auto"/>
                      <w:sz w:val="21"/>
                      <w:szCs w:val="21"/>
                    </w:rPr>
                    <w:t>重要环节防护目标及分布图；</w:t>
                  </w:r>
                  <w:r>
                    <w:rPr>
                      <w:rStyle w:val="123"/>
                      <w:rFonts w:hint="eastAsia"/>
                      <w:bCs/>
                      <w:color w:val="auto"/>
                      <w:sz w:val="21"/>
                      <w:szCs w:val="21"/>
                    </w:rPr>
                    <w:fldChar w:fldCharType="begin"/>
                  </w:r>
                  <w:r>
                    <w:rPr>
                      <w:rStyle w:val="123"/>
                      <w:rFonts w:hint="eastAsia"/>
                      <w:bCs/>
                      <w:color w:val="auto"/>
                      <w:sz w:val="21"/>
                      <w:szCs w:val="21"/>
                    </w:rPr>
                    <w:instrText xml:space="preserve"> = 3 \* GB3 \* MERGEFORMAT </w:instrText>
                  </w:r>
                  <w:r>
                    <w:rPr>
                      <w:rStyle w:val="123"/>
                      <w:rFonts w:hint="eastAsia"/>
                      <w:bCs/>
                      <w:color w:val="auto"/>
                      <w:sz w:val="21"/>
                      <w:szCs w:val="21"/>
                    </w:rPr>
                    <w:fldChar w:fldCharType="separate"/>
                  </w:r>
                  <w:r>
                    <w:rPr>
                      <w:rStyle w:val="123"/>
                      <w:rFonts w:hint="eastAsia" w:ascii="宋体" w:hAnsi="宋体" w:cs="宋体"/>
                      <w:bCs/>
                      <w:color w:val="auto"/>
                      <w:sz w:val="21"/>
                      <w:szCs w:val="21"/>
                    </w:rPr>
                    <w:t>③</w:t>
                  </w:r>
                  <w:r>
                    <w:rPr>
                      <w:rStyle w:val="123"/>
                      <w:rFonts w:hint="eastAsia"/>
                      <w:bCs/>
                      <w:color w:val="auto"/>
                      <w:sz w:val="21"/>
                      <w:szCs w:val="21"/>
                    </w:rPr>
                    <w:fldChar w:fldCharType="end"/>
                  </w:r>
                  <w:r>
                    <w:rPr>
                      <w:rStyle w:val="123"/>
                      <w:rFonts w:hint="eastAsia"/>
                      <w:bCs/>
                      <w:color w:val="auto"/>
                      <w:sz w:val="21"/>
                      <w:szCs w:val="21"/>
                    </w:rPr>
                    <w:t>应急救援路线等相关分布图；</w:t>
                  </w:r>
                  <w:r>
                    <w:rPr>
                      <w:rStyle w:val="123"/>
                      <w:rFonts w:hint="eastAsia"/>
                      <w:bCs/>
                      <w:color w:val="auto"/>
                      <w:sz w:val="21"/>
                      <w:szCs w:val="21"/>
                    </w:rPr>
                    <w:fldChar w:fldCharType="begin"/>
                  </w:r>
                  <w:r>
                    <w:rPr>
                      <w:rStyle w:val="123"/>
                      <w:rFonts w:hint="eastAsia"/>
                      <w:bCs/>
                      <w:color w:val="auto"/>
                      <w:sz w:val="21"/>
                      <w:szCs w:val="21"/>
                    </w:rPr>
                    <w:instrText xml:space="preserve"> = 4 \* GB3 \* MERGEFORMAT </w:instrText>
                  </w:r>
                  <w:r>
                    <w:rPr>
                      <w:rStyle w:val="123"/>
                      <w:rFonts w:hint="eastAsia"/>
                      <w:bCs/>
                      <w:color w:val="auto"/>
                      <w:sz w:val="21"/>
                      <w:szCs w:val="21"/>
                    </w:rPr>
                    <w:fldChar w:fldCharType="separate"/>
                  </w:r>
                  <w:r>
                    <w:rPr>
                      <w:rFonts w:hint="eastAsia" w:ascii="宋体" w:hAnsi="宋体" w:cs="宋体"/>
                      <w:color w:val="auto"/>
                      <w:sz w:val="21"/>
                      <w:szCs w:val="21"/>
                    </w:rPr>
                    <w:t>④</w:t>
                  </w:r>
                  <w:r>
                    <w:rPr>
                      <w:rStyle w:val="123"/>
                      <w:rFonts w:hint="eastAsia"/>
                      <w:bCs/>
                      <w:color w:val="auto"/>
                      <w:sz w:val="21"/>
                      <w:szCs w:val="21"/>
                    </w:rPr>
                    <w:fldChar w:fldCharType="end"/>
                  </w:r>
                  <w:r>
                    <w:rPr>
                      <w:rStyle w:val="123"/>
                      <w:rFonts w:hint="eastAsia"/>
                      <w:bCs/>
                      <w:color w:val="auto"/>
                      <w:sz w:val="21"/>
                      <w:szCs w:val="21"/>
                    </w:rPr>
                    <w:t>主要环境风险源分布图；（5）相关应急预案名录；（6）相关协议或备忘录</w:t>
                  </w:r>
                </w:p>
              </w:tc>
            </w:tr>
            <w:tr w14:paraId="70C6C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7500775C">
                  <w:pPr>
                    <w:pStyle w:val="125"/>
                    <w:adjustRightInd w:val="0"/>
                    <w:snapToGrid w:val="0"/>
                    <w:spacing w:before="24" w:after="24"/>
                    <w:rPr>
                      <w:rStyle w:val="123"/>
                      <w:bCs/>
                      <w:color w:val="auto"/>
                      <w:sz w:val="21"/>
                      <w:szCs w:val="21"/>
                    </w:rPr>
                  </w:pPr>
                  <w:r>
                    <w:rPr>
                      <w:rStyle w:val="123"/>
                      <w:rFonts w:hint="eastAsia"/>
                      <w:bCs/>
                      <w:color w:val="auto"/>
                      <w:sz w:val="21"/>
                      <w:szCs w:val="21"/>
                    </w:rPr>
                    <w:t>16</w:t>
                  </w:r>
                </w:p>
              </w:tc>
              <w:tc>
                <w:tcPr>
                  <w:tcW w:w="918" w:type="pct"/>
                  <w:vAlign w:val="center"/>
                </w:tcPr>
                <w:p w14:paraId="097B308E">
                  <w:pPr>
                    <w:pStyle w:val="125"/>
                    <w:adjustRightInd w:val="0"/>
                    <w:snapToGrid w:val="0"/>
                    <w:spacing w:before="24" w:after="24"/>
                    <w:rPr>
                      <w:rStyle w:val="123"/>
                      <w:bCs/>
                      <w:color w:val="auto"/>
                      <w:sz w:val="21"/>
                      <w:szCs w:val="21"/>
                    </w:rPr>
                  </w:pPr>
                  <w:r>
                    <w:rPr>
                      <w:rStyle w:val="123"/>
                      <w:rFonts w:hint="eastAsia"/>
                      <w:bCs/>
                      <w:color w:val="auto"/>
                      <w:sz w:val="21"/>
                      <w:szCs w:val="21"/>
                    </w:rPr>
                    <w:t>预案格式规范和要求</w:t>
                  </w:r>
                </w:p>
              </w:tc>
              <w:tc>
                <w:tcPr>
                  <w:tcW w:w="3674" w:type="pct"/>
                  <w:vAlign w:val="center"/>
                </w:tcPr>
                <w:p w14:paraId="171E87C2">
                  <w:pPr>
                    <w:pStyle w:val="125"/>
                    <w:adjustRightInd w:val="0"/>
                    <w:snapToGrid w:val="0"/>
                    <w:spacing w:before="24" w:after="24"/>
                    <w:rPr>
                      <w:rStyle w:val="123"/>
                      <w:bCs/>
                      <w:color w:val="auto"/>
                      <w:sz w:val="21"/>
                      <w:szCs w:val="21"/>
                    </w:rPr>
                  </w:pPr>
                  <w:r>
                    <w:rPr>
                      <w:rStyle w:val="123"/>
                      <w:rFonts w:hint="eastAsia"/>
                      <w:bCs/>
                      <w:color w:val="auto"/>
                      <w:sz w:val="21"/>
                      <w:szCs w:val="21"/>
                    </w:rPr>
                    <w:t>（1）统一使用A4白色复印纸或胶装纸装订；（2）</w:t>
                  </w:r>
                  <w:r>
                    <w:rPr>
                      <w:rStyle w:val="123"/>
                      <w:bCs/>
                      <w:color w:val="auto"/>
                      <w:sz w:val="21"/>
                      <w:szCs w:val="21"/>
                      <w:lang w:val="zh-CN"/>
                    </w:rPr>
                    <w:t>应急预案封面应载明编制企业名称、应急预案名称、预案版本号、备案时间、备案登记编号，预案编制时间、预案实施时间、编制单位等内容，按照预案备案登记表、备案申请表、发布页、预案目录、正文、专家评估意见等顺序依次装订</w:t>
                  </w:r>
                  <w:r>
                    <w:rPr>
                      <w:rStyle w:val="123"/>
                      <w:rFonts w:hint="eastAsia"/>
                      <w:bCs/>
                      <w:color w:val="auto"/>
                      <w:sz w:val="21"/>
                      <w:szCs w:val="21"/>
                      <w:lang w:val="zh-CN"/>
                    </w:rPr>
                    <w:t>；（</w:t>
                  </w:r>
                  <w:r>
                    <w:rPr>
                      <w:rStyle w:val="123"/>
                      <w:rFonts w:hint="eastAsia"/>
                      <w:bCs/>
                      <w:color w:val="auto"/>
                      <w:sz w:val="21"/>
                      <w:szCs w:val="21"/>
                    </w:rPr>
                    <w:t>3</w:t>
                  </w:r>
                  <w:r>
                    <w:rPr>
                      <w:rStyle w:val="123"/>
                      <w:rFonts w:hint="eastAsia"/>
                      <w:bCs/>
                      <w:color w:val="auto"/>
                      <w:sz w:val="21"/>
                      <w:szCs w:val="21"/>
                      <w:lang w:val="zh-CN"/>
                    </w:rPr>
                    <w:t>）批准页：应急预案必须经发布单位主要负责人批准方可发布；（</w:t>
                  </w:r>
                  <w:r>
                    <w:rPr>
                      <w:rStyle w:val="123"/>
                      <w:rFonts w:hint="eastAsia"/>
                      <w:bCs/>
                      <w:color w:val="auto"/>
                      <w:sz w:val="21"/>
                      <w:szCs w:val="21"/>
                    </w:rPr>
                    <w:t>4</w:t>
                  </w:r>
                  <w:r>
                    <w:rPr>
                      <w:rStyle w:val="123"/>
                      <w:rFonts w:hint="eastAsia"/>
                      <w:bCs/>
                      <w:color w:val="auto"/>
                      <w:sz w:val="21"/>
                      <w:szCs w:val="21"/>
                      <w:lang w:val="zh-CN"/>
                    </w:rPr>
                    <w:t>）正文使用4号仿宋字体，单倍行距</w:t>
                  </w:r>
                </w:p>
              </w:tc>
            </w:tr>
          </w:tbl>
          <w:p w14:paraId="1BC11F9A">
            <w:pPr>
              <w:autoSpaceDE w:val="0"/>
              <w:autoSpaceDN w:val="0"/>
              <w:adjustRightInd w:val="0"/>
              <w:spacing w:before="120" w:beforeLines="50"/>
              <w:ind w:firstLine="482" w:firstLineChars="200"/>
              <w:jc w:val="left"/>
              <w:rPr>
                <w:rStyle w:val="123"/>
                <w:b/>
                <w:snapToGrid w:val="0"/>
                <w:color w:val="auto"/>
                <w:sz w:val="24"/>
              </w:rPr>
            </w:pPr>
            <w:r>
              <w:rPr>
                <w:rFonts w:hint="eastAsia" w:hAnsi="宋体"/>
                <w:b/>
                <w:color w:val="auto"/>
                <w:sz w:val="24"/>
              </w:rPr>
              <w:t>（八）</w:t>
            </w:r>
            <w:r>
              <w:rPr>
                <w:rFonts w:hAnsi="宋体"/>
                <w:b/>
                <w:color w:val="auto"/>
                <w:sz w:val="24"/>
              </w:rPr>
              <w:t>环境风险评价结论及建议</w:t>
            </w:r>
            <w:r>
              <w:rPr>
                <w:rStyle w:val="123"/>
                <w:b/>
                <w:snapToGrid w:val="0"/>
                <w:color w:val="auto"/>
                <w:sz w:val="24"/>
              </w:rPr>
              <w:t>表</w:t>
            </w:r>
          </w:p>
          <w:p w14:paraId="241FDB3B">
            <w:pPr>
              <w:autoSpaceDE w:val="0"/>
              <w:autoSpaceDN w:val="0"/>
              <w:adjustRightInd w:val="0"/>
              <w:jc w:val="center"/>
              <w:rPr>
                <w:rStyle w:val="123"/>
                <w:b/>
                <w:snapToGrid w:val="0"/>
                <w:color w:val="auto"/>
                <w:sz w:val="24"/>
              </w:rPr>
            </w:pPr>
            <w:r>
              <w:rPr>
                <w:rStyle w:val="123"/>
                <w:rFonts w:hint="eastAsia"/>
                <w:b/>
                <w:snapToGrid w:val="0"/>
                <w:color w:val="auto"/>
                <w:sz w:val="24"/>
              </w:rPr>
              <w:t>4-</w:t>
            </w:r>
            <w:r>
              <w:rPr>
                <w:rStyle w:val="123"/>
                <w:rFonts w:hint="eastAsia"/>
                <w:b/>
                <w:snapToGrid w:val="0"/>
                <w:color w:val="auto"/>
                <w:sz w:val="24"/>
                <w:lang w:val="en-US" w:eastAsia="zh-CN"/>
              </w:rPr>
              <w:t>18</w:t>
            </w:r>
            <w:r>
              <w:rPr>
                <w:rStyle w:val="123"/>
                <w:b/>
                <w:snapToGrid w:val="0"/>
                <w:color w:val="auto"/>
                <w:sz w:val="24"/>
              </w:rPr>
              <w:t xml:space="preserve">  </w:t>
            </w:r>
            <w:r>
              <w:rPr>
                <w:rStyle w:val="123"/>
                <w:rFonts w:hint="eastAsia"/>
                <w:b/>
                <w:snapToGrid w:val="0"/>
                <w:color w:val="auto"/>
                <w:sz w:val="24"/>
              </w:rPr>
              <w:t>项目</w:t>
            </w:r>
            <w:r>
              <w:rPr>
                <w:rStyle w:val="123"/>
                <w:b/>
                <w:snapToGrid w:val="0"/>
                <w:color w:val="auto"/>
                <w:sz w:val="24"/>
              </w:rPr>
              <w:t>突发事故应急预案内容及要求</w:t>
            </w:r>
          </w:p>
          <w:tbl>
            <w:tblPr>
              <w:tblStyle w:val="46"/>
              <w:tblW w:w="8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1156"/>
              <w:gridCol w:w="1508"/>
              <w:gridCol w:w="853"/>
              <w:gridCol w:w="1436"/>
              <w:gridCol w:w="1109"/>
            </w:tblGrid>
            <w:tr w14:paraId="60C79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36" w:type="dxa"/>
                  <w:vAlign w:val="center"/>
                </w:tcPr>
                <w:p w14:paraId="7891EC37">
                  <w:pPr>
                    <w:jc w:val="center"/>
                    <w:rPr>
                      <w:b/>
                      <w:color w:val="auto"/>
                      <w:sz w:val="21"/>
                      <w:szCs w:val="21"/>
                    </w:rPr>
                  </w:pPr>
                  <w:r>
                    <w:rPr>
                      <w:b/>
                      <w:color w:val="auto"/>
                      <w:sz w:val="21"/>
                      <w:szCs w:val="21"/>
                    </w:rPr>
                    <w:t>建设项目名称</w:t>
                  </w:r>
                </w:p>
              </w:tc>
              <w:tc>
                <w:tcPr>
                  <w:tcW w:w="6262" w:type="dxa"/>
                  <w:gridSpan w:val="5"/>
                  <w:vAlign w:val="center"/>
                </w:tcPr>
                <w:p w14:paraId="13438AE8">
                  <w:pPr>
                    <w:jc w:val="center"/>
                    <w:rPr>
                      <w:rFonts w:hint="eastAsia" w:eastAsia="宋体"/>
                      <w:b/>
                      <w:color w:val="auto"/>
                      <w:sz w:val="21"/>
                      <w:szCs w:val="21"/>
                      <w:lang w:eastAsia="zh-CN"/>
                    </w:rPr>
                  </w:pPr>
                  <w:r>
                    <w:rPr>
                      <w:rFonts w:hint="eastAsia"/>
                      <w:b/>
                      <w:color w:val="auto"/>
                      <w:sz w:val="21"/>
                      <w:szCs w:val="21"/>
                      <w:lang w:eastAsia="zh-CN"/>
                    </w:rPr>
                    <w:t>云南常青树化工有限公司磷石膏综合利用改扩建项目</w:t>
                  </w:r>
                </w:p>
              </w:tc>
            </w:tr>
            <w:tr w14:paraId="37862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36" w:type="dxa"/>
                  <w:vAlign w:val="center"/>
                </w:tcPr>
                <w:p w14:paraId="1ED6D7AF">
                  <w:pPr>
                    <w:jc w:val="center"/>
                    <w:rPr>
                      <w:b/>
                      <w:color w:val="auto"/>
                      <w:sz w:val="21"/>
                      <w:szCs w:val="21"/>
                    </w:rPr>
                  </w:pPr>
                  <w:r>
                    <w:rPr>
                      <w:b/>
                      <w:color w:val="auto"/>
                      <w:sz w:val="21"/>
                      <w:szCs w:val="21"/>
                    </w:rPr>
                    <w:t>建设地点</w:t>
                  </w:r>
                </w:p>
              </w:tc>
              <w:tc>
                <w:tcPr>
                  <w:tcW w:w="1194" w:type="dxa"/>
                  <w:vAlign w:val="center"/>
                </w:tcPr>
                <w:p w14:paraId="44365FBB">
                  <w:pPr>
                    <w:jc w:val="center"/>
                    <w:rPr>
                      <w:color w:val="auto"/>
                      <w:sz w:val="21"/>
                      <w:szCs w:val="21"/>
                    </w:rPr>
                  </w:pPr>
                  <w:r>
                    <w:rPr>
                      <w:color w:val="auto"/>
                      <w:sz w:val="21"/>
                      <w:szCs w:val="21"/>
                    </w:rPr>
                    <w:t>（云南）省</w:t>
                  </w:r>
                </w:p>
              </w:tc>
              <w:tc>
                <w:tcPr>
                  <w:tcW w:w="1560" w:type="dxa"/>
                  <w:vAlign w:val="center"/>
                </w:tcPr>
                <w:p w14:paraId="0EFCDEE6">
                  <w:pPr>
                    <w:jc w:val="center"/>
                    <w:rPr>
                      <w:color w:val="auto"/>
                      <w:sz w:val="21"/>
                      <w:szCs w:val="21"/>
                    </w:rPr>
                  </w:pPr>
                  <w:r>
                    <w:rPr>
                      <w:color w:val="auto"/>
                      <w:sz w:val="21"/>
                      <w:szCs w:val="21"/>
                    </w:rPr>
                    <w:t>（昆明）市</w:t>
                  </w:r>
                </w:p>
              </w:tc>
              <w:tc>
                <w:tcPr>
                  <w:tcW w:w="878" w:type="dxa"/>
                  <w:vAlign w:val="center"/>
                </w:tcPr>
                <w:p w14:paraId="0C569953">
                  <w:pPr>
                    <w:jc w:val="center"/>
                    <w:rPr>
                      <w:color w:val="auto"/>
                      <w:sz w:val="21"/>
                      <w:szCs w:val="21"/>
                    </w:rPr>
                  </w:pPr>
                  <w:r>
                    <w:rPr>
                      <w:color w:val="auto"/>
                      <w:sz w:val="21"/>
                      <w:szCs w:val="21"/>
                    </w:rPr>
                    <w:t>（</w:t>
                  </w:r>
                  <w:r>
                    <w:rPr>
                      <w:rFonts w:hint="eastAsia"/>
                      <w:color w:val="auto"/>
                      <w:sz w:val="21"/>
                      <w:szCs w:val="21"/>
                    </w:rPr>
                    <w:t>/</w:t>
                  </w:r>
                  <w:r>
                    <w:rPr>
                      <w:color w:val="auto"/>
                      <w:sz w:val="21"/>
                      <w:szCs w:val="21"/>
                    </w:rPr>
                    <w:t>）区</w:t>
                  </w:r>
                </w:p>
              </w:tc>
              <w:tc>
                <w:tcPr>
                  <w:tcW w:w="1485" w:type="dxa"/>
                  <w:vAlign w:val="center"/>
                </w:tcPr>
                <w:p w14:paraId="726478D5">
                  <w:pPr>
                    <w:jc w:val="center"/>
                    <w:rPr>
                      <w:color w:val="auto"/>
                      <w:sz w:val="21"/>
                      <w:szCs w:val="21"/>
                    </w:rPr>
                  </w:pPr>
                  <w:r>
                    <w:rPr>
                      <w:color w:val="auto"/>
                      <w:sz w:val="21"/>
                      <w:szCs w:val="21"/>
                    </w:rPr>
                    <w:t>（寻甸回族彝族自治县）县</w:t>
                  </w:r>
                </w:p>
              </w:tc>
              <w:tc>
                <w:tcPr>
                  <w:tcW w:w="1145" w:type="dxa"/>
                  <w:vAlign w:val="center"/>
                </w:tcPr>
                <w:p w14:paraId="4F2F6F69">
                  <w:pPr>
                    <w:jc w:val="center"/>
                    <w:rPr>
                      <w:color w:val="auto"/>
                      <w:sz w:val="21"/>
                      <w:szCs w:val="21"/>
                    </w:rPr>
                  </w:pPr>
                  <w:r>
                    <w:rPr>
                      <w:color w:val="auto"/>
                      <w:sz w:val="21"/>
                      <w:szCs w:val="21"/>
                    </w:rPr>
                    <w:t>（</w:t>
                  </w:r>
                  <w:r>
                    <w:rPr>
                      <w:rFonts w:hint="eastAsia"/>
                      <w:color w:val="auto"/>
                      <w:sz w:val="21"/>
                      <w:szCs w:val="21"/>
                      <w:lang w:val="en-US" w:eastAsia="zh-CN"/>
                    </w:rPr>
                    <w:t>/</w:t>
                  </w:r>
                  <w:r>
                    <w:rPr>
                      <w:color w:val="auto"/>
                      <w:sz w:val="21"/>
                      <w:szCs w:val="21"/>
                    </w:rPr>
                    <w:t>）园区</w:t>
                  </w:r>
                </w:p>
              </w:tc>
            </w:tr>
            <w:tr w14:paraId="053B7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36" w:type="dxa"/>
                  <w:vAlign w:val="center"/>
                </w:tcPr>
                <w:p w14:paraId="1E7EC32C">
                  <w:pPr>
                    <w:jc w:val="center"/>
                    <w:rPr>
                      <w:b/>
                      <w:color w:val="auto"/>
                      <w:sz w:val="21"/>
                      <w:szCs w:val="21"/>
                    </w:rPr>
                  </w:pPr>
                  <w:r>
                    <w:rPr>
                      <w:b/>
                      <w:color w:val="auto"/>
                      <w:sz w:val="21"/>
                      <w:szCs w:val="21"/>
                    </w:rPr>
                    <w:t>地理坐标</w:t>
                  </w:r>
                </w:p>
              </w:tc>
              <w:tc>
                <w:tcPr>
                  <w:tcW w:w="1194" w:type="dxa"/>
                  <w:vAlign w:val="center"/>
                </w:tcPr>
                <w:p w14:paraId="1EA8521F">
                  <w:pPr>
                    <w:jc w:val="center"/>
                    <w:rPr>
                      <w:color w:val="auto"/>
                      <w:sz w:val="21"/>
                      <w:szCs w:val="21"/>
                    </w:rPr>
                  </w:pPr>
                  <w:r>
                    <w:rPr>
                      <w:color w:val="auto"/>
                      <w:sz w:val="21"/>
                      <w:szCs w:val="21"/>
                    </w:rPr>
                    <w:t>经度</w:t>
                  </w:r>
                </w:p>
              </w:tc>
              <w:tc>
                <w:tcPr>
                  <w:tcW w:w="1560" w:type="dxa"/>
                  <w:vAlign w:val="center"/>
                </w:tcPr>
                <w:p w14:paraId="3C217988">
                  <w:pPr>
                    <w:jc w:val="center"/>
                    <w:rPr>
                      <w:color w:val="auto"/>
                      <w:sz w:val="21"/>
                      <w:szCs w:val="21"/>
                    </w:rPr>
                  </w:pPr>
                  <w:r>
                    <w:rPr>
                      <w:rFonts w:hint="eastAsia"/>
                      <w:color w:val="auto"/>
                      <w:sz w:val="21"/>
                      <w:szCs w:val="21"/>
                    </w:rPr>
                    <w:t>103</w:t>
                  </w:r>
                  <w:r>
                    <w:rPr>
                      <w:color w:val="auto"/>
                      <w:sz w:val="21"/>
                      <w:szCs w:val="21"/>
                    </w:rPr>
                    <w:t>°</w:t>
                  </w:r>
                  <w:r>
                    <w:rPr>
                      <w:rFonts w:hint="eastAsia"/>
                      <w:color w:val="auto"/>
                      <w:sz w:val="21"/>
                      <w:szCs w:val="21"/>
                    </w:rPr>
                    <w:t>1</w:t>
                  </w:r>
                  <w:r>
                    <w:rPr>
                      <w:rFonts w:hint="eastAsia"/>
                      <w:color w:val="auto"/>
                      <w:sz w:val="21"/>
                      <w:szCs w:val="21"/>
                      <w:lang w:val="en-US" w:eastAsia="zh-CN"/>
                    </w:rPr>
                    <w:t>5</w:t>
                  </w:r>
                  <w:r>
                    <w:rPr>
                      <w:color w:val="auto"/>
                      <w:sz w:val="21"/>
                      <w:szCs w:val="21"/>
                    </w:rPr>
                    <w:t>′</w:t>
                  </w:r>
                  <w:r>
                    <w:rPr>
                      <w:rFonts w:hint="eastAsia"/>
                      <w:color w:val="auto"/>
                      <w:sz w:val="21"/>
                      <w:szCs w:val="21"/>
                      <w:lang w:val="en-US" w:eastAsia="zh-CN"/>
                    </w:rPr>
                    <w:t>46.135</w:t>
                  </w:r>
                  <w:r>
                    <w:rPr>
                      <w:color w:val="auto"/>
                      <w:sz w:val="21"/>
                      <w:szCs w:val="21"/>
                    </w:rPr>
                    <w:t>′′</w:t>
                  </w:r>
                </w:p>
              </w:tc>
              <w:tc>
                <w:tcPr>
                  <w:tcW w:w="878" w:type="dxa"/>
                  <w:vAlign w:val="center"/>
                </w:tcPr>
                <w:p w14:paraId="20BDAC00">
                  <w:pPr>
                    <w:jc w:val="center"/>
                    <w:rPr>
                      <w:color w:val="auto"/>
                      <w:sz w:val="21"/>
                      <w:szCs w:val="21"/>
                    </w:rPr>
                  </w:pPr>
                  <w:r>
                    <w:rPr>
                      <w:color w:val="auto"/>
                      <w:sz w:val="21"/>
                      <w:szCs w:val="21"/>
                    </w:rPr>
                    <w:t>纬度</w:t>
                  </w:r>
                </w:p>
              </w:tc>
              <w:tc>
                <w:tcPr>
                  <w:tcW w:w="2630" w:type="dxa"/>
                  <w:gridSpan w:val="2"/>
                  <w:vAlign w:val="center"/>
                </w:tcPr>
                <w:p w14:paraId="10FA0959">
                  <w:pPr>
                    <w:jc w:val="center"/>
                    <w:rPr>
                      <w:color w:val="auto"/>
                      <w:sz w:val="21"/>
                      <w:szCs w:val="21"/>
                    </w:rPr>
                  </w:pPr>
                  <w:r>
                    <w:rPr>
                      <w:rFonts w:hint="eastAsia"/>
                      <w:color w:val="auto"/>
                      <w:sz w:val="21"/>
                      <w:szCs w:val="21"/>
                    </w:rPr>
                    <w:t>25</w:t>
                  </w:r>
                  <w:r>
                    <w:rPr>
                      <w:color w:val="auto"/>
                      <w:sz w:val="21"/>
                      <w:szCs w:val="21"/>
                    </w:rPr>
                    <w:t>°</w:t>
                  </w:r>
                  <w:r>
                    <w:rPr>
                      <w:rFonts w:hint="eastAsia"/>
                      <w:color w:val="auto"/>
                      <w:sz w:val="21"/>
                      <w:szCs w:val="21"/>
                      <w:lang w:val="en-US" w:eastAsia="zh-CN"/>
                    </w:rPr>
                    <w:t>25</w:t>
                  </w:r>
                  <w:r>
                    <w:rPr>
                      <w:color w:val="auto"/>
                      <w:sz w:val="21"/>
                      <w:szCs w:val="21"/>
                    </w:rPr>
                    <w:t>′</w:t>
                  </w:r>
                  <w:r>
                    <w:rPr>
                      <w:rFonts w:hint="eastAsia"/>
                      <w:color w:val="auto"/>
                      <w:sz w:val="21"/>
                      <w:szCs w:val="21"/>
                    </w:rPr>
                    <w:t>3</w:t>
                  </w:r>
                  <w:r>
                    <w:rPr>
                      <w:rFonts w:hint="eastAsia"/>
                      <w:color w:val="auto"/>
                      <w:sz w:val="21"/>
                      <w:szCs w:val="21"/>
                      <w:lang w:val="en-US" w:eastAsia="zh-CN"/>
                    </w:rPr>
                    <w:t>6.311</w:t>
                  </w:r>
                  <w:r>
                    <w:rPr>
                      <w:color w:val="auto"/>
                      <w:sz w:val="21"/>
                      <w:szCs w:val="21"/>
                    </w:rPr>
                    <w:t>′′</w:t>
                  </w:r>
                </w:p>
              </w:tc>
            </w:tr>
            <w:tr w14:paraId="4FAAC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36" w:type="dxa"/>
                  <w:vAlign w:val="center"/>
                </w:tcPr>
                <w:p w14:paraId="442922AE">
                  <w:pPr>
                    <w:jc w:val="center"/>
                    <w:rPr>
                      <w:b/>
                      <w:color w:val="auto"/>
                      <w:sz w:val="21"/>
                      <w:szCs w:val="21"/>
                    </w:rPr>
                  </w:pPr>
                  <w:r>
                    <w:rPr>
                      <w:b/>
                      <w:color w:val="auto"/>
                      <w:sz w:val="21"/>
                      <w:szCs w:val="21"/>
                    </w:rPr>
                    <w:t>主要危险物质及分布</w:t>
                  </w:r>
                </w:p>
              </w:tc>
              <w:tc>
                <w:tcPr>
                  <w:tcW w:w="6262" w:type="dxa"/>
                  <w:gridSpan w:val="5"/>
                  <w:vAlign w:val="center"/>
                </w:tcPr>
                <w:p w14:paraId="7D0839A1">
                  <w:pPr>
                    <w:jc w:val="left"/>
                    <w:rPr>
                      <w:color w:val="auto"/>
                      <w:sz w:val="21"/>
                      <w:szCs w:val="21"/>
                    </w:rPr>
                  </w:pPr>
                  <w:r>
                    <w:rPr>
                      <w:rFonts w:hint="eastAsia"/>
                      <w:color w:val="auto"/>
                      <w:sz w:val="21"/>
                      <w:szCs w:val="21"/>
                    </w:rPr>
                    <w:t>项目涉及的风险物质主要为机修废油等油类物质。项目在机械维修、设备运行中产生机修废油。</w:t>
                  </w:r>
                </w:p>
              </w:tc>
            </w:tr>
            <w:tr w14:paraId="75FB6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36" w:type="dxa"/>
                  <w:vAlign w:val="center"/>
                </w:tcPr>
                <w:p w14:paraId="280B605B">
                  <w:pPr>
                    <w:jc w:val="center"/>
                    <w:rPr>
                      <w:b/>
                      <w:color w:val="auto"/>
                      <w:sz w:val="21"/>
                      <w:szCs w:val="21"/>
                    </w:rPr>
                  </w:pPr>
                  <w:r>
                    <w:rPr>
                      <w:b/>
                      <w:color w:val="auto"/>
                      <w:sz w:val="21"/>
                      <w:szCs w:val="21"/>
                    </w:rPr>
                    <w:t>环境影响途径及危害后果（大气、地表水、地下水等）</w:t>
                  </w:r>
                </w:p>
              </w:tc>
              <w:tc>
                <w:tcPr>
                  <w:tcW w:w="6262" w:type="dxa"/>
                  <w:gridSpan w:val="5"/>
                  <w:vAlign w:val="center"/>
                </w:tcPr>
                <w:p w14:paraId="21E4F1E4">
                  <w:pPr>
                    <w:jc w:val="left"/>
                    <w:rPr>
                      <w:color w:val="auto"/>
                      <w:sz w:val="21"/>
                      <w:szCs w:val="21"/>
                    </w:rPr>
                  </w:pPr>
                  <w:r>
                    <w:rPr>
                      <w:rFonts w:hint="eastAsia"/>
                      <w:color w:val="auto"/>
                      <w:sz w:val="21"/>
                      <w:szCs w:val="21"/>
                    </w:rPr>
                    <w:t>（1）</w:t>
                  </w:r>
                  <w:r>
                    <w:rPr>
                      <w:color w:val="auto"/>
                      <w:sz w:val="21"/>
                      <w:szCs w:val="21"/>
                    </w:rPr>
                    <w:t>危险废物机修废油泄漏</w:t>
                  </w:r>
                </w:p>
                <w:p w14:paraId="210C2287">
                  <w:pPr>
                    <w:ind w:firstLine="420" w:firstLineChars="200"/>
                    <w:jc w:val="left"/>
                    <w:rPr>
                      <w:color w:val="auto"/>
                      <w:sz w:val="21"/>
                      <w:szCs w:val="21"/>
                    </w:rPr>
                  </w:pPr>
                  <w:r>
                    <w:rPr>
                      <w:color w:val="auto"/>
                      <w:sz w:val="21"/>
                      <w:szCs w:val="21"/>
                    </w:rPr>
                    <w:t>本项目产生的危险废物在</w:t>
                  </w:r>
                  <w:r>
                    <w:rPr>
                      <w:rFonts w:hint="eastAsia"/>
                      <w:color w:val="auto"/>
                      <w:sz w:val="21"/>
                      <w:szCs w:val="21"/>
                    </w:rPr>
                    <w:t>转移</w:t>
                  </w:r>
                  <w:r>
                    <w:rPr>
                      <w:color w:val="auto"/>
                      <w:sz w:val="21"/>
                      <w:szCs w:val="21"/>
                    </w:rPr>
                    <w:t>过程中若未做好相应防范措施，泄漏至露天外环境中，被雨水冲刷</w:t>
                  </w:r>
                  <w:r>
                    <w:rPr>
                      <w:rFonts w:hint="eastAsia"/>
                      <w:color w:val="auto"/>
                      <w:sz w:val="21"/>
                      <w:szCs w:val="21"/>
                    </w:rPr>
                    <w:t>浸泡</w:t>
                  </w:r>
                  <w:r>
                    <w:rPr>
                      <w:color w:val="auto"/>
                      <w:sz w:val="21"/>
                      <w:szCs w:val="21"/>
                    </w:rPr>
                    <w:t>后，有毒有害物质进入附近水体，对水体造成污染；其次，危险废物丢弃、遗弃到外环境中，对丢弃、遗弃点的土壤环境造成污染影响；同时，</w:t>
                  </w:r>
                  <w:r>
                    <w:rPr>
                      <w:rFonts w:hint="eastAsia"/>
                      <w:color w:val="auto"/>
                      <w:sz w:val="21"/>
                      <w:szCs w:val="21"/>
                    </w:rPr>
                    <w:t>机修废油</w:t>
                  </w:r>
                  <w:r>
                    <w:rPr>
                      <w:color w:val="auto"/>
                      <w:sz w:val="21"/>
                      <w:szCs w:val="21"/>
                    </w:rPr>
                    <w:t>挥发后会对周边空气环境造成污染。</w:t>
                  </w:r>
                </w:p>
                <w:p w14:paraId="0A64D3AC">
                  <w:pPr>
                    <w:jc w:val="left"/>
                    <w:rPr>
                      <w:color w:val="auto"/>
                      <w:sz w:val="21"/>
                      <w:szCs w:val="21"/>
                    </w:rPr>
                  </w:pPr>
                  <w:r>
                    <w:rPr>
                      <w:rFonts w:hint="eastAsia"/>
                      <w:color w:val="auto"/>
                      <w:sz w:val="21"/>
                      <w:szCs w:val="21"/>
                    </w:rPr>
                    <w:t>（2）</w:t>
                  </w:r>
                  <w:r>
                    <w:rPr>
                      <w:color w:val="auto"/>
                      <w:sz w:val="21"/>
                      <w:szCs w:val="21"/>
                    </w:rPr>
                    <w:t>危险废物机修废油遇火</w:t>
                  </w:r>
                </w:p>
                <w:p w14:paraId="7844345E">
                  <w:pPr>
                    <w:ind w:firstLine="420" w:firstLineChars="200"/>
                    <w:jc w:val="left"/>
                    <w:rPr>
                      <w:color w:val="auto"/>
                      <w:sz w:val="21"/>
                      <w:szCs w:val="21"/>
                    </w:rPr>
                  </w:pPr>
                  <w:r>
                    <w:rPr>
                      <w:color w:val="auto"/>
                      <w:sz w:val="21"/>
                      <w:szCs w:val="21"/>
                    </w:rPr>
                    <w:t>本项目生产过程的</w:t>
                  </w:r>
                  <w:r>
                    <w:rPr>
                      <w:rFonts w:hint="eastAsia"/>
                      <w:color w:val="auto"/>
                      <w:sz w:val="21"/>
                      <w:szCs w:val="21"/>
                    </w:rPr>
                    <w:t>机修废油</w:t>
                  </w:r>
                  <w:r>
                    <w:rPr>
                      <w:color w:val="auto"/>
                      <w:sz w:val="21"/>
                      <w:szCs w:val="21"/>
                    </w:rPr>
                    <w:t>为可燃物质，遇火后造成火灾甚至爆炸，首先会对周围人群、建筑物及财产造成一定影响；其次，一旦发生火灾爆炸事故，完全燃烧的产物是CO</w:t>
                  </w:r>
                  <w:r>
                    <w:rPr>
                      <w:color w:val="auto"/>
                      <w:sz w:val="21"/>
                      <w:szCs w:val="21"/>
                      <w:vertAlign w:val="subscript"/>
                    </w:rPr>
                    <w:t>2</w:t>
                  </w:r>
                  <w:r>
                    <w:rPr>
                      <w:color w:val="auto"/>
                      <w:sz w:val="21"/>
                      <w:szCs w:val="21"/>
                    </w:rPr>
                    <w:t>和H</w:t>
                  </w:r>
                  <w:r>
                    <w:rPr>
                      <w:color w:val="auto"/>
                      <w:sz w:val="21"/>
                      <w:szCs w:val="21"/>
                      <w:vertAlign w:val="subscript"/>
                    </w:rPr>
                    <w:t>2</w:t>
                  </w:r>
                  <w:r>
                    <w:rPr>
                      <w:color w:val="auto"/>
                      <w:sz w:val="21"/>
                      <w:szCs w:val="21"/>
                    </w:rPr>
                    <w:t>O，不完全燃烧的产物有二甲苯和一氧化碳等气体，苯系物和CO有毒性，将对环境空气造成伴生污染；堵漏过程中可能使用的大量拦截、堵漏材料，掺杂一定的物料，若事故排放后随意丢弃、排放，将对环境产生二次污染。</w:t>
                  </w:r>
                </w:p>
                <w:p w14:paraId="0CBF62DC">
                  <w:pPr>
                    <w:jc w:val="left"/>
                    <w:rPr>
                      <w:color w:val="auto"/>
                      <w:sz w:val="21"/>
                      <w:szCs w:val="21"/>
                    </w:rPr>
                  </w:pPr>
                  <w:r>
                    <w:rPr>
                      <w:rFonts w:hint="eastAsia"/>
                      <w:color w:val="auto"/>
                      <w:sz w:val="21"/>
                      <w:szCs w:val="21"/>
                    </w:rPr>
                    <w:t>（3）</w:t>
                  </w:r>
                  <w:r>
                    <w:rPr>
                      <w:color w:val="auto"/>
                      <w:sz w:val="21"/>
                      <w:szCs w:val="21"/>
                    </w:rPr>
                    <w:t>熟化及成品堆场防渗措施遭到破坏</w:t>
                  </w:r>
                </w:p>
                <w:p w14:paraId="5B2E085C">
                  <w:pPr>
                    <w:ind w:firstLine="420" w:firstLineChars="200"/>
                    <w:jc w:val="left"/>
                    <w:rPr>
                      <w:color w:val="auto"/>
                      <w:sz w:val="21"/>
                      <w:szCs w:val="21"/>
                    </w:rPr>
                  </w:pPr>
                  <w:r>
                    <w:rPr>
                      <w:color w:val="auto"/>
                      <w:sz w:val="21"/>
                      <w:szCs w:val="21"/>
                    </w:rPr>
                    <w:t>熟化及成品堆场防渗措施遭到破坏</w:t>
                  </w:r>
                  <w:r>
                    <w:rPr>
                      <w:rFonts w:hint="eastAsia"/>
                      <w:color w:val="auto"/>
                      <w:sz w:val="21"/>
                      <w:szCs w:val="21"/>
                    </w:rPr>
                    <w:t>，污染物垂直渗入对区域地下水、土壤等均会造成污染。</w:t>
                  </w:r>
                </w:p>
                <w:p w14:paraId="4874AE95">
                  <w:pPr>
                    <w:jc w:val="left"/>
                    <w:rPr>
                      <w:color w:val="auto"/>
                      <w:sz w:val="21"/>
                      <w:szCs w:val="21"/>
                    </w:rPr>
                  </w:pPr>
                  <w:r>
                    <w:rPr>
                      <w:rFonts w:hint="eastAsia"/>
                      <w:color w:val="auto"/>
                      <w:sz w:val="21"/>
                      <w:szCs w:val="21"/>
                    </w:rPr>
                    <w:t>（4）废气治理设施异常</w:t>
                  </w:r>
                </w:p>
                <w:p w14:paraId="18ED0137">
                  <w:pPr>
                    <w:ind w:firstLine="420" w:firstLineChars="200"/>
                    <w:jc w:val="left"/>
                    <w:rPr>
                      <w:color w:val="auto"/>
                      <w:sz w:val="21"/>
                      <w:szCs w:val="21"/>
                    </w:rPr>
                  </w:pPr>
                  <w:r>
                    <w:rPr>
                      <w:rFonts w:hint="eastAsia"/>
                      <w:color w:val="auto"/>
                      <w:sz w:val="21"/>
                      <w:szCs w:val="21"/>
                    </w:rPr>
                    <w:t>若生石灰料斗、皮带运输机、</w:t>
                  </w:r>
                  <w:r>
                    <w:rPr>
                      <w:rFonts w:hint="eastAsia"/>
                      <w:color w:val="auto"/>
                      <w:sz w:val="21"/>
                      <w:szCs w:val="21"/>
                      <w:lang w:val="en-US" w:eastAsia="zh-CN"/>
                    </w:rPr>
                    <w:t>筛分机</w:t>
                  </w:r>
                  <w:r>
                    <w:rPr>
                      <w:rFonts w:hint="eastAsia"/>
                      <w:color w:val="auto"/>
                      <w:sz w:val="21"/>
                      <w:szCs w:val="21"/>
                    </w:rPr>
                    <w:t>等生产设备的废气治理设施异常，会导致生产过程中废气的污染物（主要为颗粒物）超标排放，经排气筒排放后，污染物随风向向下风向飘落，对途径区域环境空气质量造成污染，落入地表后，对地表植物、土壤、水体造成污染。</w:t>
                  </w:r>
                </w:p>
              </w:tc>
            </w:tr>
            <w:tr w14:paraId="2B6FB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36" w:type="dxa"/>
                  <w:vAlign w:val="center"/>
                </w:tcPr>
                <w:p w14:paraId="7FBB6DA6">
                  <w:pPr>
                    <w:jc w:val="center"/>
                    <w:rPr>
                      <w:b/>
                      <w:color w:val="auto"/>
                      <w:sz w:val="21"/>
                      <w:szCs w:val="21"/>
                    </w:rPr>
                  </w:pPr>
                  <w:r>
                    <w:rPr>
                      <w:b/>
                      <w:color w:val="auto"/>
                      <w:sz w:val="21"/>
                      <w:szCs w:val="21"/>
                    </w:rPr>
                    <w:t>风险防范措施要求</w:t>
                  </w:r>
                </w:p>
              </w:tc>
              <w:tc>
                <w:tcPr>
                  <w:tcW w:w="6262" w:type="dxa"/>
                  <w:gridSpan w:val="5"/>
                  <w:vAlign w:val="center"/>
                </w:tcPr>
                <w:p w14:paraId="096B0262">
                  <w:pPr>
                    <w:jc w:val="left"/>
                    <w:rPr>
                      <w:color w:val="auto"/>
                      <w:sz w:val="21"/>
                      <w:szCs w:val="21"/>
                    </w:rPr>
                  </w:pPr>
                  <w:r>
                    <w:rPr>
                      <w:rFonts w:hint="eastAsia"/>
                      <w:color w:val="auto"/>
                      <w:sz w:val="21"/>
                      <w:szCs w:val="21"/>
                    </w:rPr>
                    <w:t>（1）</w:t>
                  </w:r>
                  <w:r>
                    <w:rPr>
                      <w:color w:val="auto"/>
                      <w:sz w:val="21"/>
                      <w:szCs w:val="21"/>
                    </w:rPr>
                    <w:t>危险废物机修废油泄漏事故风险防范措施要求</w:t>
                  </w:r>
                </w:p>
                <w:p w14:paraId="33389DF9">
                  <w:pPr>
                    <w:jc w:val="left"/>
                    <w:rPr>
                      <w:bCs/>
                      <w:color w:val="auto"/>
                      <w:sz w:val="21"/>
                      <w:szCs w:val="21"/>
                    </w:rPr>
                  </w:pPr>
                  <w:r>
                    <w:rPr>
                      <w:color w:val="auto"/>
                      <w:sz w:val="21"/>
                      <w:szCs w:val="21"/>
                    </w:rPr>
                    <w:fldChar w:fldCharType="begin"/>
                  </w:r>
                  <w:r>
                    <w:rPr>
                      <w:color w:val="auto"/>
                      <w:sz w:val="21"/>
                      <w:szCs w:val="21"/>
                    </w:rPr>
                    <w:instrText xml:space="preserve"> = 1 \* GB3 </w:instrText>
                  </w:r>
                  <w:r>
                    <w:rPr>
                      <w:color w:val="auto"/>
                      <w:sz w:val="21"/>
                      <w:szCs w:val="21"/>
                    </w:rPr>
                    <w:fldChar w:fldCharType="separate"/>
                  </w:r>
                  <w:r>
                    <w:rPr>
                      <w:rFonts w:hint="eastAsia" w:ascii="宋体" w:hAnsi="宋体" w:cs="宋体"/>
                      <w:color w:val="auto"/>
                      <w:sz w:val="21"/>
                      <w:szCs w:val="21"/>
                    </w:rPr>
                    <w:t>①</w:t>
                  </w:r>
                  <w:r>
                    <w:rPr>
                      <w:color w:val="auto"/>
                      <w:sz w:val="21"/>
                      <w:szCs w:val="21"/>
                    </w:rPr>
                    <w:fldChar w:fldCharType="end"/>
                  </w:r>
                  <w:r>
                    <w:rPr>
                      <w:rFonts w:hint="eastAsia"/>
                      <w:color w:val="auto"/>
                      <w:sz w:val="21"/>
                      <w:szCs w:val="21"/>
                    </w:rPr>
                    <w:t>不同种类的危险废物分别存在不同的容器中，不得混装，分区储存；危险废物暂存间粘贴危险废物标示</w:t>
                  </w:r>
                  <w:r>
                    <w:rPr>
                      <w:bCs/>
                      <w:color w:val="auto"/>
                      <w:sz w:val="21"/>
                      <w:szCs w:val="21"/>
                    </w:rPr>
                    <w:t>。</w:t>
                  </w:r>
                </w:p>
                <w:p w14:paraId="3B6C470A">
                  <w:pPr>
                    <w:jc w:val="left"/>
                    <w:rPr>
                      <w:bCs/>
                      <w:color w:val="auto"/>
                      <w:sz w:val="21"/>
                      <w:szCs w:val="21"/>
                    </w:rPr>
                  </w:pPr>
                  <w:r>
                    <w:rPr>
                      <w:color w:val="auto"/>
                      <w:sz w:val="21"/>
                      <w:szCs w:val="21"/>
                    </w:rPr>
                    <w:fldChar w:fldCharType="begin"/>
                  </w:r>
                  <w:r>
                    <w:rPr>
                      <w:color w:val="auto"/>
                      <w:sz w:val="21"/>
                      <w:szCs w:val="21"/>
                    </w:rPr>
                    <w:instrText xml:space="preserve"> = 2 \* GB3 </w:instrText>
                  </w:r>
                  <w:r>
                    <w:rPr>
                      <w:color w:val="auto"/>
                      <w:sz w:val="21"/>
                      <w:szCs w:val="21"/>
                    </w:rPr>
                    <w:fldChar w:fldCharType="separate"/>
                  </w:r>
                  <w:r>
                    <w:rPr>
                      <w:rFonts w:hint="eastAsia" w:ascii="宋体" w:hAnsi="宋体" w:cs="宋体"/>
                      <w:color w:val="auto"/>
                      <w:sz w:val="21"/>
                      <w:szCs w:val="21"/>
                    </w:rPr>
                    <w:t>②</w:t>
                  </w:r>
                  <w:r>
                    <w:rPr>
                      <w:color w:val="auto"/>
                      <w:sz w:val="21"/>
                      <w:szCs w:val="21"/>
                    </w:rPr>
                    <w:fldChar w:fldCharType="end"/>
                  </w:r>
                  <w:r>
                    <w:rPr>
                      <w:rFonts w:hint="eastAsia"/>
                      <w:color w:val="auto"/>
                      <w:sz w:val="21"/>
                      <w:szCs w:val="21"/>
                    </w:rPr>
                    <w:t>固体危险废物包装完整，不得渗漏；液体危险废物包装容器密封，有盖</w:t>
                  </w:r>
                  <w:r>
                    <w:rPr>
                      <w:color w:val="auto"/>
                      <w:sz w:val="21"/>
                      <w:szCs w:val="21"/>
                    </w:rPr>
                    <w:t>。</w:t>
                  </w:r>
                </w:p>
                <w:p w14:paraId="574EAFAC">
                  <w:pPr>
                    <w:jc w:val="left"/>
                    <w:rPr>
                      <w:color w:val="auto"/>
                      <w:sz w:val="21"/>
                      <w:szCs w:val="21"/>
                    </w:rPr>
                  </w:pPr>
                  <w:r>
                    <w:rPr>
                      <w:rFonts w:hint="eastAsia"/>
                      <w:color w:val="auto"/>
                      <w:sz w:val="21"/>
                      <w:szCs w:val="21"/>
                    </w:rPr>
                    <w:t>③危险废物暂存间应采用防渗、防外溢播施；危废暂存间应设置收集池、灭火器等应急设施</w:t>
                  </w:r>
                  <w:r>
                    <w:rPr>
                      <w:color w:val="auto"/>
                      <w:sz w:val="21"/>
                      <w:szCs w:val="21"/>
                    </w:rPr>
                    <w:t>。</w:t>
                  </w:r>
                </w:p>
                <w:p w14:paraId="4BFEAC8A">
                  <w:pPr>
                    <w:jc w:val="left"/>
                    <w:rPr>
                      <w:color w:val="auto"/>
                      <w:sz w:val="21"/>
                      <w:szCs w:val="21"/>
                    </w:rPr>
                  </w:pPr>
                  <w:r>
                    <w:rPr>
                      <w:rFonts w:hint="eastAsia"/>
                      <w:color w:val="auto"/>
                      <w:sz w:val="21"/>
                      <w:szCs w:val="21"/>
                    </w:rPr>
                    <w:t>④暂存的危险废物不得超过一年，确需要延长期限的，必须报环保主管部门批准；按规范要求建立危险废物管理制度及管理台账</w:t>
                  </w:r>
                  <w:r>
                    <w:rPr>
                      <w:color w:val="auto"/>
                      <w:sz w:val="21"/>
                      <w:szCs w:val="21"/>
                    </w:rPr>
                    <w:t>。</w:t>
                  </w:r>
                </w:p>
                <w:p w14:paraId="370E6BB9">
                  <w:pPr>
                    <w:jc w:val="left"/>
                    <w:rPr>
                      <w:bCs/>
                      <w:color w:val="auto"/>
                      <w:sz w:val="21"/>
                      <w:szCs w:val="21"/>
                    </w:rPr>
                  </w:pPr>
                  <w:r>
                    <w:rPr>
                      <w:rFonts w:hint="eastAsia"/>
                      <w:color w:val="auto"/>
                      <w:sz w:val="21"/>
                      <w:szCs w:val="21"/>
                    </w:rPr>
                    <w:t>⑤危险废物处置必须委托有资质的单位进行处理转移处置</w:t>
                  </w:r>
                  <w:r>
                    <w:rPr>
                      <w:bCs/>
                      <w:color w:val="auto"/>
                      <w:sz w:val="21"/>
                      <w:szCs w:val="21"/>
                    </w:rPr>
                    <w:t>。</w:t>
                  </w:r>
                </w:p>
                <w:p w14:paraId="3F7D5F26">
                  <w:pPr>
                    <w:jc w:val="left"/>
                    <w:rPr>
                      <w:color w:val="auto"/>
                      <w:sz w:val="21"/>
                      <w:szCs w:val="21"/>
                    </w:rPr>
                  </w:pPr>
                  <w:r>
                    <w:rPr>
                      <w:rFonts w:hint="eastAsia"/>
                      <w:color w:val="auto"/>
                      <w:sz w:val="21"/>
                      <w:szCs w:val="21"/>
                    </w:rPr>
                    <w:t>（2）</w:t>
                  </w:r>
                  <w:r>
                    <w:rPr>
                      <w:color w:val="auto"/>
                      <w:sz w:val="21"/>
                      <w:szCs w:val="21"/>
                    </w:rPr>
                    <w:t>火灾、爆炸事故风险防范措施要求</w:t>
                  </w:r>
                </w:p>
                <w:p w14:paraId="34AE2C0F">
                  <w:pPr>
                    <w:jc w:val="left"/>
                    <w:rPr>
                      <w:color w:val="auto"/>
                      <w:sz w:val="21"/>
                      <w:szCs w:val="21"/>
                    </w:rPr>
                  </w:pPr>
                  <w:r>
                    <w:rPr>
                      <w:rFonts w:hint="eastAsia"/>
                      <w:color w:val="auto"/>
                      <w:sz w:val="21"/>
                      <w:szCs w:val="21"/>
                    </w:rPr>
                    <w:t>①易燃物品定点、分类存放，员工严禁私自储存或携带。</w:t>
                  </w:r>
                </w:p>
                <w:p w14:paraId="2D2E8569">
                  <w:pPr>
                    <w:jc w:val="left"/>
                    <w:rPr>
                      <w:color w:val="auto"/>
                      <w:sz w:val="21"/>
                      <w:szCs w:val="21"/>
                    </w:rPr>
                  </w:pPr>
                  <w:r>
                    <w:rPr>
                      <w:rFonts w:hint="eastAsia"/>
                      <w:color w:val="auto"/>
                      <w:sz w:val="21"/>
                      <w:szCs w:val="21"/>
                    </w:rPr>
                    <w:t>②不使用易燃、挥发性液体擦洗设备</w:t>
                  </w:r>
                  <w:r>
                    <w:rPr>
                      <w:color w:val="auto"/>
                      <w:sz w:val="21"/>
                      <w:szCs w:val="21"/>
                    </w:rPr>
                    <w:t>。</w:t>
                  </w:r>
                </w:p>
                <w:p w14:paraId="60A17359">
                  <w:pPr>
                    <w:jc w:val="left"/>
                    <w:rPr>
                      <w:color w:val="auto"/>
                      <w:sz w:val="21"/>
                      <w:szCs w:val="21"/>
                    </w:rPr>
                  </w:pPr>
                  <w:r>
                    <w:rPr>
                      <w:rFonts w:hint="eastAsia"/>
                      <w:color w:val="auto"/>
                      <w:sz w:val="21"/>
                      <w:szCs w:val="21"/>
                    </w:rPr>
                    <w:t>③生产厂区内严格控制火源、进入易燃易爆区域车辆安装阻火器。</w:t>
                  </w:r>
                </w:p>
                <w:p w14:paraId="09E86E97">
                  <w:pPr>
                    <w:jc w:val="left"/>
                    <w:rPr>
                      <w:color w:val="auto"/>
                      <w:sz w:val="21"/>
                      <w:szCs w:val="21"/>
                    </w:rPr>
                  </w:pPr>
                  <w:r>
                    <w:rPr>
                      <w:rFonts w:hint="eastAsia"/>
                      <w:color w:val="auto"/>
                      <w:sz w:val="21"/>
                      <w:szCs w:val="21"/>
                    </w:rPr>
                    <w:t>（3）</w:t>
                  </w:r>
                  <w:r>
                    <w:rPr>
                      <w:color w:val="auto"/>
                      <w:sz w:val="21"/>
                      <w:szCs w:val="21"/>
                    </w:rPr>
                    <w:t>熟化及成品堆场防渗措施遭到破坏</w:t>
                  </w:r>
                  <w:r>
                    <w:rPr>
                      <w:rFonts w:hint="eastAsia"/>
                      <w:color w:val="auto"/>
                      <w:sz w:val="21"/>
                      <w:szCs w:val="21"/>
                    </w:rPr>
                    <w:t>事件风险防范措施要求</w:t>
                  </w:r>
                </w:p>
                <w:p w14:paraId="46B69295">
                  <w:pPr>
                    <w:ind w:firstLine="420" w:firstLineChars="200"/>
                    <w:jc w:val="left"/>
                    <w:rPr>
                      <w:color w:val="auto"/>
                      <w:sz w:val="21"/>
                      <w:szCs w:val="21"/>
                    </w:rPr>
                  </w:pPr>
                  <w:r>
                    <w:rPr>
                      <w:rFonts w:hint="eastAsia"/>
                      <w:color w:val="auto"/>
                      <w:sz w:val="21"/>
                      <w:szCs w:val="21"/>
                    </w:rPr>
                    <w:t>若遇</w:t>
                  </w:r>
                  <w:r>
                    <w:rPr>
                      <w:color w:val="auto"/>
                      <w:sz w:val="21"/>
                      <w:szCs w:val="21"/>
                    </w:rPr>
                    <w:t>熟化及成品堆场防渗措施遭到破坏</w:t>
                  </w:r>
                  <w:r>
                    <w:rPr>
                      <w:rFonts w:hint="eastAsia"/>
                      <w:color w:val="auto"/>
                      <w:sz w:val="21"/>
                      <w:szCs w:val="21"/>
                    </w:rPr>
                    <w:t>，首先停止物料的继续堆存，并将防渗措施被破坏的堆场上的物料及时转移至未被破坏的堆场，待防渗重新设置好后，再将继续堆存物料。</w:t>
                  </w:r>
                </w:p>
                <w:p w14:paraId="1AEBA91E">
                  <w:pPr>
                    <w:jc w:val="left"/>
                    <w:rPr>
                      <w:color w:val="auto"/>
                      <w:sz w:val="21"/>
                      <w:szCs w:val="21"/>
                    </w:rPr>
                  </w:pPr>
                  <w:r>
                    <w:rPr>
                      <w:rFonts w:hint="eastAsia"/>
                      <w:color w:val="auto"/>
                      <w:sz w:val="21"/>
                      <w:szCs w:val="21"/>
                    </w:rPr>
                    <w:t>（4）废气治理设施异常污染事件风险防范措施要求</w:t>
                  </w:r>
                </w:p>
                <w:p w14:paraId="0CFD5AF8">
                  <w:pPr>
                    <w:jc w:val="left"/>
                    <w:rPr>
                      <w:color w:val="auto"/>
                      <w:sz w:val="21"/>
                      <w:szCs w:val="21"/>
                    </w:rPr>
                  </w:pPr>
                  <w:r>
                    <w:rPr>
                      <w:rFonts w:hint="eastAsia"/>
                      <w:color w:val="auto"/>
                      <w:sz w:val="21"/>
                      <w:szCs w:val="21"/>
                    </w:rPr>
                    <w:t>①制定一套完整严格的故障处理制度，并有专人负责执行，以便发生故障及时处理。</w:t>
                  </w:r>
                </w:p>
                <w:p w14:paraId="13B7B86B">
                  <w:pPr>
                    <w:jc w:val="left"/>
                    <w:rPr>
                      <w:color w:val="auto"/>
                      <w:sz w:val="21"/>
                      <w:szCs w:val="21"/>
                    </w:rPr>
                  </w:pPr>
                  <w:r>
                    <w:rPr>
                      <w:rFonts w:hint="eastAsia"/>
                      <w:color w:val="auto"/>
                      <w:sz w:val="21"/>
                      <w:szCs w:val="21"/>
                    </w:rPr>
                    <w:t>②建立定时巡检制度，发现问题及时处理；</w:t>
                  </w:r>
                </w:p>
                <w:p w14:paraId="5822D615">
                  <w:pPr>
                    <w:jc w:val="left"/>
                    <w:rPr>
                      <w:color w:val="auto"/>
                      <w:sz w:val="21"/>
                      <w:szCs w:val="21"/>
                    </w:rPr>
                  </w:pPr>
                  <w:r>
                    <w:rPr>
                      <w:rFonts w:hint="eastAsia"/>
                      <w:color w:val="auto"/>
                      <w:sz w:val="21"/>
                      <w:szCs w:val="21"/>
                    </w:rPr>
                    <w:t>③制定设备检修计划，定期对设施、装置进行检修。</w:t>
                  </w:r>
                </w:p>
              </w:tc>
            </w:tr>
            <w:tr w14:paraId="063E4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498" w:type="dxa"/>
                  <w:gridSpan w:val="6"/>
                  <w:vAlign w:val="center"/>
                </w:tcPr>
                <w:p w14:paraId="6A60FFA4">
                  <w:pPr>
                    <w:jc w:val="center"/>
                    <w:rPr>
                      <w:b/>
                      <w:color w:val="auto"/>
                      <w:sz w:val="21"/>
                      <w:szCs w:val="21"/>
                    </w:rPr>
                  </w:pPr>
                  <w:r>
                    <w:rPr>
                      <w:b/>
                      <w:color w:val="auto"/>
                      <w:sz w:val="21"/>
                      <w:szCs w:val="21"/>
                    </w:rPr>
                    <w:t>填表说明（列出项目相关信息及评价说明）</w:t>
                  </w:r>
                </w:p>
              </w:tc>
            </w:tr>
          </w:tbl>
          <w:p w14:paraId="55657484">
            <w:pPr>
              <w:spacing w:before="120" w:beforeLines="50" w:line="360" w:lineRule="auto"/>
              <w:ind w:firstLine="723" w:firstLineChars="300"/>
              <w:rPr>
                <w:b/>
                <w:color w:val="auto"/>
                <w:sz w:val="24"/>
              </w:rPr>
            </w:pPr>
            <w:r>
              <w:rPr>
                <w:rFonts w:hint="eastAsia" w:hAnsi="宋体"/>
                <w:b/>
                <w:color w:val="auto"/>
                <w:sz w:val="24"/>
              </w:rPr>
              <w:t>（九）</w:t>
            </w:r>
            <w:r>
              <w:rPr>
                <w:rFonts w:hAnsi="宋体"/>
                <w:b/>
                <w:color w:val="auto"/>
                <w:sz w:val="24"/>
              </w:rPr>
              <w:t>环境风险评价结论及建议</w:t>
            </w:r>
          </w:p>
          <w:p w14:paraId="3370864E">
            <w:pPr>
              <w:spacing w:line="360" w:lineRule="auto"/>
              <w:ind w:firstLine="480" w:firstLineChars="200"/>
              <w:rPr>
                <w:rFonts w:hAnsi="宋体"/>
                <w:color w:val="auto"/>
                <w:sz w:val="24"/>
              </w:rPr>
            </w:pPr>
            <w:r>
              <w:rPr>
                <w:rFonts w:hAnsi="宋体"/>
                <w:color w:val="auto"/>
                <w:sz w:val="24"/>
              </w:rPr>
              <w:t>通过分析，项目建成后对环境产生的风险主要表现在相关污染治理设备和必要防护设施的故障，通过采取本评价中的</w:t>
            </w:r>
            <w:r>
              <w:rPr>
                <w:rFonts w:hint="eastAsia" w:hAnsi="宋体"/>
                <w:color w:val="auto"/>
                <w:sz w:val="24"/>
              </w:rPr>
              <w:t>相关</w:t>
            </w:r>
            <w:r>
              <w:rPr>
                <w:rFonts w:hAnsi="宋体"/>
                <w:color w:val="auto"/>
                <w:sz w:val="24"/>
              </w:rPr>
              <w:t>措施后，可在较大程度上避免风险的产生，同时项目建设方针对本评价提出的环境风险，建设单位应编制本项目突发环境事件应急预案，并上报</w:t>
            </w:r>
            <w:r>
              <w:rPr>
                <w:color w:val="auto"/>
                <w:sz w:val="24"/>
              </w:rPr>
              <w:t>昆明市生态环境局寻甸分局备案</w:t>
            </w:r>
            <w:r>
              <w:rPr>
                <w:rFonts w:hAnsi="宋体"/>
                <w:color w:val="auto"/>
                <w:sz w:val="24"/>
              </w:rPr>
              <w:t>，可在较短时间内控制风险对环境的影响范围和程度，因此项目方在项目建设阶段就应充分考虑风险的发生及处理措施、方案，将可能的风险产生及影响降低到最低。</w:t>
            </w:r>
          </w:p>
          <w:p w14:paraId="1FEF0009">
            <w:pPr>
              <w:spacing w:line="360" w:lineRule="auto"/>
              <w:ind w:firstLine="723" w:firstLineChars="300"/>
              <w:rPr>
                <w:b/>
                <w:bCs/>
                <w:color w:val="auto"/>
                <w:sz w:val="24"/>
              </w:rPr>
            </w:pPr>
            <w:r>
              <w:rPr>
                <w:rFonts w:hint="eastAsia"/>
                <w:b/>
                <w:bCs/>
                <w:color w:val="auto"/>
                <w:sz w:val="24"/>
                <w:szCs w:val="24"/>
              </w:rPr>
              <w:t>（十）项目“三本账”情况</w:t>
            </w:r>
          </w:p>
          <w:p w14:paraId="5F3B76AC">
            <w:pPr>
              <w:spacing w:line="360" w:lineRule="auto"/>
              <w:ind w:firstLine="480" w:firstLineChars="200"/>
              <w:rPr>
                <w:rFonts w:hint="eastAsia" w:hAnsi="宋体" w:eastAsia="宋体"/>
                <w:color w:val="auto"/>
                <w:sz w:val="24"/>
                <w:lang w:eastAsia="zh-CN"/>
              </w:rPr>
            </w:pPr>
            <w:r>
              <w:rPr>
                <w:rFonts w:hAnsi="宋体"/>
                <w:color w:val="auto"/>
                <w:sz w:val="24"/>
              </w:rPr>
              <w:t>本项目</w:t>
            </w:r>
            <w:r>
              <w:rPr>
                <w:rFonts w:hint="eastAsia" w:hAnsi="宋体"/>
                <w:color w:val="auto"/>
                <w:sz w:val="24"/>
              </w:rPr>
              <w:t>改扩建完成</w:t>
            </w:r>
            <w:r>
              <w:rPr>
                <w:rFonts w:hAnsi="宋体"/>
                <w:color w:val="auto"/>
                <w:sz w:val="24"/>
              </w:rPr>
              <w:t>后，整个厂区内污染物排放增减量见表4-</w:t>
            </w:r>
            <w:r>
              <w:rPr>
                <w:rFonts w:hint="eastAsia" w:hAnsi="宋体"/>
                <w:color w:val="auto"/>
                <w:sz w:val="24"/>
                <w:lang w:val="en-US" w:eastAsia="zh-CN"/>
              </w:rPr>
              <w:t>19</w:t>
            </w:r>
            <w:r>
              <w:rPr>
                <w:rFonts w:hAnsi="宋体"/>
                <w:color w:val="auto"/>
                <w:sz w:val="24"/>
              </w:rPr>
              <w:t>所示</w:t>
            </w:r>
            <w:r>
              <w:rPr>
                <w:rFonts w:hint="eastAsia" w:hAnsi="宋体"/>
                <w:color w:val="auto"/>
                <w:sz w:val="24"/>
                <w:lang w:eastAsia="zh-CN"/>
              </w:rPr>
              <w:t>。</w:t>
            </w:r>
          </w:p>
          <w:p w14:paraId="67CDE4EF">
            <w:pPr>
              <w:jc w:val="center"/>
              <w:rPr>
                <w:b/>
                <w:bCs/>
                <w:color w:val="auto"/>
                <w:sz w:val="24"/>
              </w:rPr>
            </w:pPr>
            <w:r>
              <w:rPr>
                <w:b/>
                <w:bCs/>
                <w:color w:val="auto"/>
                <w:sz w:val="24"/>
                <w:szCs w:val="24"/>
              </w:rPr>
              <w:t>表4-</w:t>
            </w:r>
            <w:r>
              <w:rPr>
                <w:rFonts w:hint="eastAsia"/>
                <w:b/>
                <w:bCs/>
                <w:color w:val="auto"/>
                <w:sz w:val="24"/>
                <w:szCs w:val="24"/>
                <w:lang w:val="en-US" w:eastAsia="zh-CN"/>
              </w:rPr>
              <w:t>19</w:t>
            </w:r>
            <w:r>
              <w:rPr>
                <w:b/>
                <w:bCs/>
                <w:color w:val="auto"/>
                <w:sz w:val="24"/>
                <w:szCs w:val="24"/>
              </w:rPr>
              <w:t xml:space="preserve">  项目“三本账”汇总一览表</w:t>
            </w:r>
          </w:p>
          <w:tbl>
            <w:tblPr>
              <w:tblStyle w:val="45"/>
              <w:tblW w:w="8220" w:type="dxa"/>
              <w:tblInd w:w="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07"/>
              <w:gridCol w:w="771"/>
              <w:gridCol w:w="1031"/>
              <w:gridCol w:w="1050"/>
              <w:gridCol w:w="1282"/>
              <w:gridCol w:w="927"/>
              <w:gridCol w:w="914"/>
              <w:gridCol w:w="886"/>
              <w:gridCol w:w="952"/>
            </w:tblGrid>
            <w:tr w14:paraId="5E4866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407" w:type="dxa"/>
                  <w:vMerge w:val="restart"/>
                  <w:vAlign w:val="center"/>
                </w:tcPr>
                <w:p w14:paraId="589466DE">
                  <w:pPr>
                    <w:adjustRightInd w:val="0"/>
                    <w:snapToGrid w:val="0"/>
                    <w:jc w:val="center"/>
                    <w:rPr>
                      <w:b/>
                      <w:bCs/>
                      <w:color w:val="auto"/>
                      <w:szCs w:val="21"/>
                    </w:rPr>
                  </w:pPr>
                  <w:r>
                    <w:rPr>
                      <w:b/>
                      <w:bCs/>
                      <w:color w:val="auto"/>
                      <w:szCs w:val="21"/>
                    </w:rPr>
                    <w:t>污染源</w:t>
                  </w:r>
                </w:p>
              </w:tc>
              <w:tc>
                <w:tcPr>
                  <w:tcW w:w="771" w:type="dxa"/>
                  <w:vMerge w:val="restart"/>
                  <w:vAlign w:val="center"/>
                </w:tcPr>
                <w:p w14:paraId="2DBCAB25">
                  <w:pPr>
                    <w:adjustRightInd w:val="0"/>
                    <w:snapToGrid w:val="0"/>
                    <w:jc w:val="center"/>
                    <w:rPr>
                      <w:b/>
                      <w:bCs/>
                      <w:color w:val="auto"/>
                      <w:szCs w:val="21"/>
                    </w:rPr>
                  </w:pPr>
                  <w:r>
                    <w:rPr>
                      <w:b/>
                      <w:bCs/>
                      <w:color w:val="auto"/>
                      <w:szCs w:val="21"/>
                    </w:rPr>
                    <w:t>污染物名称</w:t>
                  </w:r>
                </w:p>
              </w:tc>
              <w:tc>
                <w:tcPr>
                  <w:tcW w:w="1031" w:type="dxa"/>
                  <w:vMerge w:val="restart"/>
                  <w:vAlign w:val="center"/>
                </w:tcPr>
                <w:p w14:paraId="311355D4">
                  <w:pPr>
                    <w:adjustRightInd w:val="0"/>
                    <w:snapToGrid w:val="0"/>
                    <w:jc w:val="center"/>
                    <w:rPr>
                      <w:b/>
                      <w:bCs/>
                      <w:color w:val="auto"/>
                      <w:szCs w:val="21"/>
                    </w:rPr>
                  </w:pPr>
                  <w:r>
                    <w:rPr>
                      <w:b/>
                      <w:bCs/>
                      <w:color w:val="auto"/>
                      <w:szCs w:val="21"/>
                    </w:rPr>
                    <w:t>现有工程排放量（t/a）</w:t>
                  </w:r>
                </w:p>
              </w:tc>
              <w:tc>
                <w:tcPr>
                  <w:tcW w:w="1050" w:type="dxa"/>
                  <w:vMerge w:val="restart"/>
                  <w:vAlign w:val="center"/>
                </w:tcPr>
                <w:p w14:paraId="2B1C37A0">
                  <w:pPr>
                    <w:adjustRightInd w:val="0"/>
                    <w:snapToGrid w:val="0"/>
                    <w:jc w:val="center"/>
                    <w:rPr>
                      <w:b/>
                      <w:bCs/>
                      <w:color w:val="auto"/>
                      <w:szCs w:val="21"/>
                    </w:rPr>
                  </w:pPr>
                  <w:r>
                    <w:rPr>
                      <w:b/>
                      <w:bCs/>
                      <w:color w:val="auto"/>
                      <w:szCs w:val="21"/>
                    </w:rPr>
                    <w:t>现有许可排放量（t/a）</w:t>
                  </w:r>
                </w:p>
              </w:tc>
              <w:tc>
                <w:tcPr>
                  <w:tcW w:w="2209" w:type="dxa"/>
                  <w:gridSpan w:val="2"/>
                  <w:vAlign w:val="center"/>
                </w:tcPr>
                <w:p w14:paraId="4455F371">
                  <w:pPr>
                    <w:adjustRightInd w:val="0"/>
                    <w:snapToGrid w:val="0"/>
                    <w:jc w:val="center"/>
                    <w:rPr>
                      <w:b/>
                      <w:bCs/>
                      <w:color w:val="auto"/>
                      <w:szCs w:val="21"/>
                    </w:rPr>
                  </w:pPr>
                  <w:r>
                    <w:rPr>
                      <w:b/>
                      <w:bCs/>
                      <w:color w:val="auto"/>
                      <w:szCs w:val="21"/>
                    </w:rPr>
                    <w:t>改扩建工程</w:t>
                  </w:r>
                </w:p>
              </w:tc>
              <w:tc>
                <w:tcPr>
                  <w:tcW w:w="914" w:type="dxa"/>
                  <w:vMerge w:val="restart"/>
                  <w:vAlign w:val="center"/>
                </w:tcPr>
                <w:p w14:paraId="4A97B9D2">
                  <w:pPr>
                    <w:adjustRightInd w:val="0"/>
                    <w:snapToGrid w:val="0"/>
                    <w:jc w:val="center"/>
                    <w:rPr>
                      <w:b/>
                      <w:bCs/>
                      <w:color w:val="auto"/>
                      <w:szCs w:val="21"/>
                    </w:rPr>
                  </w:pPr>
                  <w:r>
                    <w:rPr>
                      <w:b/>
                      <w:bCs/>
                      <w:color w:val="auto"/>
                      <w:szCs w:val="21"/>
                    </w:rPr>
                    <w:t>以新带老消减量（t/a）</w:t>
                  </w:r>
                </w:p>
              </w:tc>
              <w:tc>
                <w:tcPr>
                  <w:tcW w:w="886" w:type="dxa"/>
                  <w:vMerge w:val="restart"/>
                  <w:vAlign w:val="center"/>
                </w:tcPr>
                <w:p w14:paraId="620E3A5D">
                  <w:pPr>
                    <w:adjustRightInd w:val="0"/>
                    <w:snapToGrid w:val="0"/>
                    <w:jc w:val="center"/>
                    <w:rPr>
                      <w:b/>
                      <w:bCs/>
                      <w:color w:val="auto"/>
                      <w:szCs w:val="21"/>
                    </w:rPr>
                  </w:pPr>
                  <w:r>
                    <w:rPr>
                      <w:b/>
                      <w:bCs/>
                      <w:color w:val="auto"/>
                      <w:szCs w:val="21"/>
                    </w:rPr>
                    <w:t>总排放量（t/a）</w:t>
                  </w:r>
                </w:p>
              </w:tc>
              <w:tc>
                <w:tcPr>
                  <w:tcW w:w="952" w:type="dxa"/>
                  <w:vMerge w:val="restart"/>
                  <w:vAlign w:val="center"/>
                </w:tcPr>
                <w:p w14:paraId="37EB18CD">
                  <w:pPr>
                    <w:adjustRightInd w:val="0"/>
                    <w:snapToGrid w:val="0"/>
                    <w:jc w:val="center"/>
                    <w:rPr>
                      <w:b/>
                      <w:bCs/>
                      <w:color w:val="auto"/>
                      <w:szCs w:val="21"/>
                    </w:rPr>
                  </w:pPr>
                  <w:r>
                    <w:rPr>
                      <w:b/>
                      <w:bCs/>
                      <w:color w:val="auto"/>
                      <w:szCs w:val="21"/>
                    </w:rPr>
                    <w:t>增减量变化（t/a）</w:t>
                  </w:r>
                </w:p>
              </w:tc>
            </w:tr>
            <w:tr w14:paraId="4E35AB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407" w:type="dxa"/>
                  <w:vMerge w:val="continue"/>
                  <w:vAlign w:val="center"/>
                </w:tcPr>
                <w:p w14:paraId="14B44DB3">
                  <w:pPr>
                    <w:adjustRightInd w:val="0"/>
                    <w:snapToGrid w:val="0"/>
                    <w:jc w:val="center"/>
                    <w:rPr>
                      <w:color w:val="auto"/>
                      <w:szCs w:val="21"/>
                    </w:rPr>
                  </w:pPr>
                </w:p>
              </w:tc>
              <w:tc>
                <w:tcPr>
                  <w:tcW w:w="771" w:type="dxa"/>
                  <w:vMerge w:val="continue"/>
                  <w:vAlign w:val="center"/>
                </w:tcPr>
                <w:p w14:paraId="6C557397">
                  <w:pPr>
                    <w:adjustRightInd w:val="0"/>
                    <w:snapToGrid w:val="0"/>
                    <w:jc w:val="center"/>
                    <w:rPr>
                      <w:color w:val="auto"/>
                      <w:szCs w:val="21"/>
                    </w:rPr>
                  </w:pPr>
                </w:p>
              </w:tc>
              <w:tc>
                <w:tcPr>
                  <w:tcW w:w="1031" w:type="dxa"/>
                  <w:vMerge w:val="continue"/>
                  <w:vAlign w:val="center"/>
                </w:tcPr>
                <w:p w14:paraId="159332C6">
                  <w:pPr>
                    <w:adjustRightInd w:val="0"/>
                    <w:snapToGrid w:val="0"/>
                    <w:jc w:val="center"/>
                    <w:rPr>
                      <w:color w:val="auto"/>
                      <w:szCs w:val="21"/>
                    </w:rPr>
                  </w:pPr>
                </w:p>
              </w:tc>
              <w:tc>
                <w:tcPr>
                  <w:tcW w:w="1050" w:type="dxa"/>
                  <w:vMerge w:val="continue"/>
                  <w:vAlign w:val="center"/>
                </w:tcPr>
                <w:p w14:paraId="0AC2D280">
                  <w:pPr>
                    <w:adjustRightInd w:val="0"/>
                    <w:snapToGrid w:val="0"/>
                    <w:jc w:val="center"/>
                    <w:rPr>
                      <w:color w:val="auto"/>
                      <w:szCs w:val="21"/>
                    </w:rPr>
                  </w:pPr>
                </w:p>
              </w:tc>
              <w:tc>
                <w:tcPr>
                  <w:tcW w:w="1282" w:type="dxa"/>
                  <w:vAlign w:val="center"/>
                </w:tcPr>
                <w:p w14:paraId="7858BD50">
                  <w:pPr>
                    <w:adjustRightInd w:val="0"/>
                    <w:snapToGrid w:val="0"/>
                    <w:jc w:val="center"/>
                    <w:rPr>
                      <w:b/>
                      <w:bCs/>
                      <w:color w:val="auto"/>
                      <w:szCs w:val="21"/>
                    </w:rPr>
                  </w:pPr>
                  <w:r>
                    <w:rPr>
                      <w:b/>
                      <w:bCs/>
                      <w:color w:val="auto"/>
                      <w:szCs w:val="21"/>
                    </w:rPr>
                    <w:t>产生量（t/a）</w:t>
                  </w:r>
                </w:p>
              </w:tc>
              <w:tc>
                <w:tcPr>
                  <w:tcW w:w="927" w:type="dxa"/>
                  <w:vAlign w:val="center"/>
                </w:tcPr>
                <w:p w14:paraId="462441A3">
                  <w:pPr>
                    <w:adjustRightInd w:val="0"/>
                    <w:snapToGrid w:val="0"/>
                    <w:jc w:val="center"/>
                    <w:rPr>
                      <w:b/>
                      <w:bCs/>
                      <w:color w:val="auto"/>
                      <w:szCs w:val="21"/>
                    </w:rPr>
                  </w:pPr>
                  <w:r>
                    <w:rPr>
                      <w:b/>
                      <w:bCs/>
                      <w:color w:val="auto"/>
                      <w:szCs w:val="21"/>
                    </w:rPr>
                    <w:t>排放量（t/a）</w:t>
                  </w:r>
                </w:p>
              </w:tc>
              <w:tc>
                <w:tcPr>
                  <w:tcW w:w="914" w:type="dxa"/>
                  <w:vMerge w:val="continue"/>
                  <w:vAlign w:val="center"/>
                </w:tcPr>
                <w:p w14:paraId="518858D6">
                  <w:pPr>
                    <w:adjustRightInd w:val="0"/>
                    <w:snapToGrid w:val="0"/>
                    <w:jc w:val="center"/>
                    <w:rPr>
                      <w:color w:val="auto"/>
                      <w:szCs w:val="21"/>
                    </w:rPr>
                  </w:pPr>
                </w:p>
              </w:tc>
              <w:tc>
                <w:tcPr>
                  <w:tcW w:w="886" w:type="dxa"/>
                  <w:vMerge w:val="continue"/>
                  <w:vAlign w:val="center"/>
                </w:tcPr>
                <w:p w14:paraId="2B3C67FE">
                  <w:pPr>
                    <w:adjustRightInd w:val="0"/>
                    <w:snapToGrid w:val="0"/>
                    <w:jc w:val="center"/>
                    <w:rPr>
                      <w:color w:val="auto"/>
                      <w:szCs w:val="21"/>
                    </w:rPr>
                  </w:pPr>
                </w:p>
              </w:tc>
              <w:tc>
                <w:tcPr>
                  <w:tcW w:w="952" w:type="dxa"/>
                  <w:vMerge w:val="continue"/>
                  <w:vAlign w:val="center"/>
                </w:tcPr>
                <w:p w14:paraId="09DFA87F">
                  <w:pPr>
                    <w:adjustRightInd w:val="0"/>
                    <w:snapToGrid w:val="0"/>
                    <w:jc w:val="center"/>
                    <w:rPr>
                      <w:color w:val="auto"/>
                      <w:szCs w:val="21"/>
                    </w:rPr>
                  </w:pPr>
                </w:p>
              </w:tc>
            </w:tr>
            <w:tr w14:paraId="186868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407" w:type="dxa"/>
                  <w:vMerge w:val="restart"/>
                  <w:vAlign w:val="center"/>
                </w:tcPr>
                <w:p w14:paraId="2099470B">
                  <w:pPr>
                    <w:adjustRightInd w:val="0"/>
                    <w:snapToGrid w:val="0"/>
                    <w:jc w:val="center"/>
                    <w:rPr>
                      <w:color w:val="auto"/>
                      <w:szCs w:val="21"/>
                    </w:rPr>
                  </w:pPr>
                  <w:r>
                    <w:rPr>
                      <w:color w:val="auto"/>
                      <w:szCs w:val="21"/>
                    </w:rPr>
                    <w:t>废水</w:t>
                  </w:r>
                </w:p>
              </w:tc>
              <w:tc>
                <w:tcPr>
                  <w:tcW w:w="771" w:type="dxa"/>
                  <w:vAlign w:val="center"/>
                </w:tcPr>
                <w:p w14:paraId="380A5BE6">
                  <w:pPr>
                    <w:adjustRightInd w:val="0"/>
                    <w:snapToGrid w:val="0"/>
                    <w:jc w:val="center"/>
                    <w:rPr>
                      <w:color w:val="auto"/>
                      <w:szCs w:val="21"/>
                    </w:rPr>
                  </w:pPr>
                  <w:r>
                    <w:rPr>
                      <w:color w:val="auto"/>
                      <w:szCs w:val="21"/>
                    </w:rPr>
                    <w:t>生活废水</w:t>
                  </w:r>
                </w:p>
              </w:tc>
              <w:tc>
                <w:tcPr>
                  <w:tcW w:w="1031" w:type="dxa"/>
                  <w:vAlign w:val="center"/>
                </w:tcPr>
                <w:p w14:paraId="101E51FC">
                  <w:pPr>
                    <w:adjustRightInd w:val="0"/>
                    <w:snapToGrid w:val="0"/>
                    <w:jc w:val="center"/>
                    <w:rPr>
                      <w:color w:val="auto"/>
                      <w:szCs w:val="21"/>
                    </w:rPr>
                  </w:pPr>
                  <w:r>
                    <w:rPr>
                      <w:rFonts w:hint="eastAsia"/>
                      <w:color w:val="auto"/>
                      <w:szCs w:val="21"/>
                    </w:rPr>
                    <w:t>0</w:t>
                  </w:r>
                </w:p>
              </w:tc>
              <w:tc>
                <w:tcPr>
                  <w:tcW w:w="1050" w:type="dxa"/>
                  <w:vAlign w:val="center"/>
                </w:tcPr>
                <w:p w14:paraId="432191F6">
                  <w:pPr>
                    <w:adjustRightInd w:val="0"/>
                    <w:snapToGrid w:val="0"/>
                    <w:jc w:val="center"/>
                    <w:rPr>
                      <w:color w:val="auto"/>
                      <w:szCs w:val="21"/>
                    </w:rPr>
                  </w:pPr>
                  <w:r>
                    <w:rPr>
                      <w:color w:val="auto"/>
                      <w:szCs w:val="21"/>
                    </w:rPr>
                    <w:t>/</w:t>
                  </w:r>
                </w:p>
              </w:tc>
              <w:tc>
                <w:tcPr>
                  <w:tcW w:w="1282" w:type="dxa"/>
                  <w:vAlign w:val="center"/>
                </w:tcPr>
                <w:p w14:paraId="6B2FDB3F">
                  <w:pPr>
                    <w:jc w:val="center"/>
                    <w:rPr>
                      <w:color w:val="auto"/>
                      <w:szCs w:val="21"/>
                    </w:rPr>
                  </w:pPr>
                  <w:r>
                    <w:rPr>
                      <w:rFonts w:hint="eastAsia"/>
                      <w:color w:val="auto"/>
                      <w:szCs w:val="21"/>
                    </w:rPr>
                    <w:t>0</w:t>
                  </w:r>
                </w:p>
              </w:tc>
              <w:tc>
                <w:tcPr>
                  <w:tcW w:w="927" w:type="dxa"/>
                  <w:vAlign w:val="center"/>
                </w:tcPr>
                <w:p w14:paraId="330B9A7C">
                  <w:pPr>
                    <w:jc w:val="center"/>
                    <w:rPr>
                      <w:color w:val="auto"/>
                      <w:szCs w:val="21"/>
                    </w:rPr>
                  </w:pPr>
                  <w:r>
                    <w:rPr>
                      <w:rFonts w:hint="eastAsia"/>
                      <w:color w:val="auto"/>
                      <w:szCs w:val="21"/>
                    </w:rPr>
                    <w:t>0</w:t>
                  </w:r>
                </w:p>
              </w:tc>
              <w:tc>
                <w:tcPr>
                  <w:tcW w:w="914" w:type="dxa"/>
                  <w:vAlign w:val="center"/>
                </w:tcPr>
                <w:p w14:paraId="3C206560">
                  <w:pPr>
                    <w:adjustRightInd w:val="0"/>
                    <w:snapToGrid w:val="0"/>
                    <w:jc w:val="center"/>
                    <w:rPr>
                      <w:color w:val="auto"/>
                      <w:szCs w:val="21"/>
                    </w:rPr>
                  </w:pPr>
                  <w:r>
                    <w:rPr>
                      <w:rFonts w:hint="eastAsia"/>
                      <w:color w:val="auto"/>
                      <w:szCs w:val="21"/>
                    </w:rPr>
                    <w:t>0</w:t>
                  </w:r>
                </w:p>
              </w:tc>
              <w:tc>
                <w:tcPr>
                  <w:tcW w:w="886" w:type="dxa"/>
                  <w:vAlign w:val="center"/>
                </w:tcPr>
                <w:p w14:paraId="789E899A">
                  <w:pPr>
                    <w:jc w:val="center"/>
                    <w:rPr>
                      <w:color w:val="auto"/>
                      <w:szCs w:val="21"/>
                    </w:rPr>
                  </w:pPr>
                  <w:r>
                    <w:rPr>
                      <w:rFonts w:hint="eastAsia"/>
                      <w:color w:val="auto"/>
                      <w:szCs w:val="21"/>
                    </w:rPr>
                    <w:t>0</w:t>
                  </w:r>
                </w:p>
              </w:tc>
              <w:tc>
                <w:tcPr>
                  <w:tcW w:w="952" w:type="dxa"/>
                  <w:vAlign w:val="center"/>
                </w:tcPr>
                <w:p w14:paraId="7458241A">
                  <w:pPr>
                    <w:jc w:val="center"/>
                    <w:rPr>
                      <w:color w:val="auto"/>
                      <w:szCs w:val="21"/>
                    </w:rPr>
                  </w:pPr>
                  <w:r>
                    <w:rPr>
                      <w:rFonts w:hint="eastAsia"/>
                      <w:color w:val="auto"/>
                      <w:szCs w:val="21"/>
                    </w:rPr>
                    <w:t>0</w:t>
                  </w:r>
                </w:p>
              </w:tc>
            </w:tr>
            <w:tr w14:paraId="5F4FEC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407" w:type="dxa"/>
                  <w:vMerge w:val="continue"/>
                  <w:vAlign w:val="center"/>
                </w:tcPr>
                <w:p w14:paraId="3ECB6CBC">
                  <w:pPr>
                    <w:adjustRightInd w:val="0"/>
                    <w:snapToGrid w:val="0"/>
                    <w:jc w:val="center"/>
                    <w:rPr>
                      <w:color w:val="auto"/>
                      <w:szCs w:val="21"/>
                    </w:rPr>
                  </w:pPr>
                </w:p>
              </w:tc>
              <w:tc>
                <w:tcPr>
                  <w:tcW w:w="771" w:type="dxa"/>
                  <w:vAlign w:val="center"/>
                </w:tcPr>
                <w:p w14:paraId="78A334C1">
                  <w:pPr>
                    <w:adjustRightInd w:val="0"/>
                    <w:snapToGrid w:val="0"/>
                    <w:jc w:val="center"/>
                    <w:rPr>
                      <w:rFonts w:hint="eastAsia" w:eastAsia="宋体"/>
                      <w:color w:val="auto"/>
                      <w:szCs w:val="21"/>
                      <w:lang w:val="en-US" w:eastAsia="zh-CN"/>
                    </w:rPr>
                  </w:pPr>
                  <w:r>
                    <w:rPr>
                      <w:rFonts w:hint="eastAsia"/>
                      <w:color w:val="auto"/>
                      <w:szCs w:val="21"/>
                      <w:lang w:val="en-US" w:eastAsia="zh-CN"/>
                    </w:rPr>
                    <w:t>生产废水</w:t>
                  </w:r>
                </w:p>
              </w:tc>
              <w:tc>
                <w:tcPr>
                  <w:tcW w:w="1031" w:type="dxa"/>
                  <w:vAlign w:val="center"/>
                </w:tcPr>
                <w:p w14:paraId="4D5B1144">
                  <w:pPr>
                    <w:jc w:val="center"/>
                    <w:rPr>
                      <w:color w:val="auto"/>
                      <w:szCs w:val="21"/>
                    </w:rPr>
                  </w:pPr>
                  <w:r>
                    <w:rPr>
                      <w:rFonts w:hint="eastAsia"/>
                      <w:color w:val="auto"/>
                      <w:szCs w:val="21"/>
                    </w:rPr>
                    <w:t>0</w:t>
                  </w:r>
                </w:p>
              </w:tc>
              <w:tc>
                <w:tcPr>
                  <w:tcW w:w="1050" w:type="dxa"/>
                  <w:vAlign w:val="center"/>
                </w:tcPr>
                <w:p w14:paraId="132D91EE">
                  <w:pPr>
                    <w:adjustRightInd w:val="0"/>
                    <w:snapToGrid w:val="0"/>
                    <w:jc w:val="center"/>
                    <w:rPr>
                      <w:color w:val="auto"/>
                      <w:szCs w:val="21"/>
                    </w:rPr>
                  </w:pPr>
                  <w:r>
                    <w:rPr>
                      <w:color w:val="auto"/>
                      <w:szCs w:val="21"/>
                    </w:rPr>
                    <w:t>/</w:t>
                  </w:r>
                </w:p>
              </w:tc>
              <w:tc>
                <w:tcPr>
                  <w:tcW w:w="1282" w:type="dxa"/>
                  <w:vAlign w:val="center"/>
                </w:tcPr>
                <w:p w14:paraId="6125AB4B">
                  <w:pPr>
                    <w:jc w:val="center"/>
                    <w:rPr>
                      <w:color w:val="auto"/>
                      <w:szCs w:val="21"/>
                    </w:rPr>
                  </w:pPr>
                  <w:r>
                    <w:rPr>
                      <w:rFonts w:hint="eastAsia"/>
                      <w:color w:val="auto"/>
                      <w:szCs w:val="21"/>
                    </w:rPr>
                    <w:t>0</w:t>
                  </w:r>
                </w:p>
              </w:tc>
              <w:tc>
                <w:tcPr>
                  <w:tcW w:w="927" w:type="dxa"/>
                  <w:vAlign w:val="center"/>
                </w:tcPr>
                <w:p w14:paraId="19ADB11F">
                  <w:pPr>
                    <w:jc w:val="center"/>
                    <w:rPr>
                      <w:color w:val="auto"/>
                      <w:szCs w:val="21"/>
                    </w:rPr>
                  </w:pPr>
                  <w:r>
                    <w:rPr>
                      <w:rFonts w:hint="eastAsia"/>
                      <w:color w:val="auto"/>
                      <w:szCs w:val="21"/>
                    </w:rPr>
                    <w:t>0</w:t>
                  </w:r>
                </w:p>
              </w:tc>
              <w:tc>
                <w:tcPr>
                  <w:tcW w:w="914" w:type="dxa"/>
                  <w:vAlign w:val="center"/>
                </w:tcPr>
                <w:p w14:paraId="6534DBA9">
                  <w:pPr>
                    <w:adjustRightInd w:val="0"/>
                    <w:snapToGrid w:val="0"/>
                    <w:jc w:val="center"/>
                    <w:rPr>
                      <w:color w:val="auto"/>
                      <w:szCs w:val="21"/>
                    </w:rPr>
                  </w:pPr>
                  <w:r>
                    <w:rPr>
                      <w:rFonts w:hint="eastAsia"/>
                      <w:color w:val="auto"/>
                      <w:szCs w:val="21"/>
                    </w:rPr>
                    <w:t>0</w:t>
                  </w:r>
                </w:p>
              </w:tc>
              <w:tc>
                <w:tcPr>
                  <w:tcW w:w="886" w:type="dxa"/>
                  <w:vAlign w:val="center"/>
                </w:tcPr>
                <w:p w14:paraId="3AC235C1">
                  <w:pPr>
                    <w:jc w:val="center"/>
                    <w:rPr>
                      <w:color w:val="auto"/>
                      <w:szCs w:val="21"/>
                    </w:rPr>
                  </w:pPr>
                  <w:r>
                    <w:rPr>
                      <w:rFonts w:hint="eastAsia"/>
                      <w:color w:val="auto"/>
                      <w:szCs w:val="21"/>
                    </w:rPr>
                    <w:t>0</w:t>
                  </w:r>
                </w:p>
              </w:tc>
              <w:tc>
                <w:tcPr>
                  <w:tcW w:w="952" w:type="dxa"/>
                  <w:vAlign w:val="center"/>
                </w:tcPr>
                <w:p w14:paraId="7242E19D">
                  <w:pPr>
                    <w:jc w:val="center"/>
                    <w:rPr>
                      <w:color w:val="auto"/>
                      <w:szCs w:val="21"/>
                    </w:rPr>
                  </w:pPr>
                  <w:r>
                    <w:rPr>
                      <w:rFonts w:hint="eastAsia"/>
                      <w:color w:val="auto"/>
                      <w:szCs w:val="21"/>
                    </w:rPr>
                    <w:t>0</w:t>
                  </w:r>
                </w:p>
              </w:tc>
            </w:tr>
            <w:tr w14:paraId="3CFD21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407" w:type="dxa"/>
                  <w:vAlign w:val="center"/>
                </w:tcPr>
                <w:p w14:paraId="5AECAED8">
                  <w:pPr>
                    <w:adjustRightInd w:val="0"/>
                    <w:snapToGrid w:val="0"/>
                    <w:jc w:val="center"/>
                    <w:rPr>
                      <w:color w:val="auto"/>
                      <w:szCs w:val="21"/>
                    </w:rPr>
                  </w:pPr>
                  <w:r>
                    <w:rPr>
                      <w:rFonts w:hint="eastAsia"/>
                      <w:color w:val="auto"/>
                      <w:szCs w:val="21"/>
                    </w:rPr>
                    <w:t>废气</w:t>
                  </w:r>
                </w:p>
              </w:tc>
              <w:tc>
                <w:tcPr>
                  <w:tcW w:w="771" w:type="dxa"/>
                  <w:vAlign w:val="center"/>
                </w:tcPr>
                <w:p w14:paraId="5442A194">
                  <w:pPr>
                    <w:jc w:val="center"/>
                    <w:rPr>
                      <w:color w:val="auto"/>
                      <w:szCs w:val="21"/>
                    </w:rPr>
                  </w:pPr>
                  <w:r>
                    <w:rPr>
                      <w:rFonts w:hint="eastAsia"/>
                      <w:color w:val="auto"/>
                      <w:szCs w:val="21"/>
                    </w:rPr>
                    <w:t>颗粒物</w:t>
                  </w:r>
                </w:p>
              </w:tc>
              <w:tc>
                <w:tcPr>
                  <w:tcW w:w="1031" w:type="dxa"/>
                  <w:vAlign w:val="center"/>
                </w:tcPr>
                <w:p w14:paraId="2231A52F">
                  <w:pPr>
                    <w:adjustRightInd w:val="0"/>
                    <w:snapToGrid w:val="0"/>
                    <w:jc w:val="center"/>
                    <w:rPr>
                      <w:color w:val="auto"/>
                      <w:szCs w:val="21"/>
                    </w:rPr>
                  </w:pPr>
                  <w:r>
                    <w:rPr>
                      <w:rFonts w:hint="eastAsia"/>
                      <w:snapToGrid w:val="0"/>
                      <w:color w:val="auto"/>
                      <w:kern w:val="21"/>
                      <w:szCs w:val="21"/>
                      <w:lang w:val="en-US" w:eastAsia="zh-CN"/>
                    </w:rPr>
                    <w:t>0.5</w:t>
                  </w:r>
                  <w:r>
                    <w:rPr>
                      <w:rFonts w:hint="eastAsia"/>
                      <w:color w:val="auto"/>
                      <w:szCs w:val="21"/>
                    </w:rPr>
                    <w:t>t/a</w:t>
                  </w:r>
                </w:p>
              </w:tc>
              <w:tc>
                <w:tcPr>
                  <w:tcW w:w="1050" w:type="dxa"/>
                  <w:vAlign w:val="center"/>
                </w:tcPr>
                <w:p w14:paraId="1F6099F7">
                  <w:pPr>
                    <w:adjustRightInd w:val="0"/>
                    <w:snapToGrid w:val="0"/>
                    <w:jc w:val="center"/>
                    <w:rPr>
                      <w:rFonts w:hint="eastAsia" w:eastAsia="宋体"/>
                      <w:color w:val="auto"/>
                      <w:szCs w:val="21"/>
                      <w:lang w:val="en-US" w:eastAsia="zh-CN"/>
                    </w:rPr>
                  </w:pPr>
                  <w:r>
                    <w:rPr>
                      <w:rFonts w:hint="eastAsia"/>
                      <w:color w:val="auto"/>
                      <w:szCs w:val="21"/>
                      <w:lang w:val="en-US" w:eastAsia="zh-CN"/>
                    </w:rPr>
                    <w:t>/</w:t>
                  </w:r>
                </w:p>
              </w:tc>
              <w:tc>
                <w:tcPr>
                  <w:tcW w:w="1282" w:type="dxa"/>
                  <w:vAlign w:val="center"/>
                </w:tcPr>
                <w:p w14:paraId="605CC59D">
                  <w:pPr>
                    <w:jc w:val="center"/>
                    <w:rPr>
                      <w:color w:val="auto"/>
                      <w:szCs w:val="21"/>
                    </w:rPr>
                  </w:pPr>
                  <w:r>
                    <w:rPr>
                      <w:rFonts w:hint="eastAsia"/>
                      <w:color w:val="auto"/>
                      <w:szCs w:val="21"/>
                      <w:lang w:val="en-US" w:eastAsia="zh-CN"/>
                    </w:rPr>
                    <w:t>383.4138</w:t>
                  </w:r>
                  <w:r>
                    <w:rPr>
                      <w:rFonts w:hint="eastAsia"/>
                      <w:color w:val="auto"/>
                      <w:szCs w:val="21"/>
                    </w:rPr>
                    <w:t>t/a</w:t>
                  </w:r>
                </w:p>
              </w:tc>
              <w:tc>
                <w:tcPr>
                  <w:tcW w:w="927" w:type="dxa"/>
                  <w:vAlign w:val="center"/>
                </w:tcPr>
                <w:p w14:paraId="2EA472AA">
                  <w:pPr>
                    <w:jc w:val="center"/>
                    <w:rPr>
                      <w:color w:val="auto"/>
                      <w:szCs w:val="21"/>
                    </w:rPr>
                  </w:pPr>
                  <w:r>
                    <w:rPr>
                      <w:rFonts w:hint="eastAsia"/>
                      <w:color w:val="auto"/>
                      <w:szCs w:val="21"/>
                      <w:lang w:val="en-US" w:eastAsia="zh-CN"/>
                    </w:rPr>
                    <w:t>2.2638</w:t>
                  </w:r>
                  <w:r>
                    <w:rPr>
                      <w:rFonts w:hint="eastAsia"/>
                      <w:color w:val="auto"/>
                      <w:szCs w:val="21"/>
                    </w:rPr>
                    <w:t>t/a</w:t>
                  </w:r>
                </w:p>
              </w:tc>
              <w:tc>
                <w:tcPr>
                  <w:tcW w:w="914" w:type="dxa"/>
                  <w:vAlign w:val="center"/>
                </w:tcPr>
                <w:p w14:paraId="5B45A319">
                  <w:pPr>
                    <w:adjustRightInd w:val="0"/>
                    <w:snapToGrid w:val="0"/>
                    <w:jc w:val="center"/>
                    <w:rPr>
                      <w:color w:val="auto"/>
                      <w:szCs w:val="21"/>
                    </w:rPr>
                  </w:pPr>
                  <w:r>
                    <w:rPr>
                      <w:rFonts w:hint="eastAsia"/>
                      <w:color w:val="auto"/>
                      <w:szCs w:val="21"/>
                    </w:rPr>
                    <w:t>0</w:t>
                  </w:r>
                </w:p>
              </w:tc>
              <w:tc>
                <w:tcPr>
                  <w:tcW w:w="886" w:type="dxa"/>
                  <w:vAlign w:val="center"/>
                </w:tcPr>
                <w:p w14:paraId="356E24BD">
                  <w:pPr>
                    <w:jc w:val="center"/>
                    <w:rPr>
                      <w:color w:val="auto"/>
                      <w:szCs w:val="21"/>
                    </w:rPr>
                  </w:pPr>
                  <w:r>
                    <w:rPr>
                      <w:rFonts w:hint="eastAsia"/>
                      <w:color w:val="auto"/>
                      <w:szCs w:val="21"/>
                      <w:lang w:val="en-US" w:eastAsia="zh-CN"/>
                    </w:rPr>
                    <w:t>2.7638</w:t>
                  </w:r>
                  <w:r>
                    <w:rPr>
                      <w:rFonts w:hint="eastAsia"/>
                      <w:color w:val="auto"/>
                      <w:szCs w:val="21"/>
                    </w:rPr>
                    <w:t>t/a</w:t>
                  </w:r>
                </w:p>
              </w:tc>
              <w:tc>
                <w:tcPr>
                  <w:tcW w:w="952" w:type="dxa"/>
                  <w:vAlign w:val="center"/>
                </w:tcPr>
                <w:p w14:paraId="77FB096A">
                  <w:pPr>
                    <w:adjustRightInd w:val="0"/>
                    <w:snapToGrid w:val="0"/>
                    <w:jc w:val="center"/>
                    <w:rPr>
                      <w:color w:val="auto"/>
                      <w:szCs w:val="21"/>
                    </w:rPr>
                  </w:pPr>
                  <w:r>
                    <w:rPr>
                      <w:rFonts w:hint="eastAsia"/>
                      <w:color w:val="auto"/>
                      <w:szCs w:val="21"/>
                    </w:rPr>
                    <w:t>+</w:t>
                  </w:r>
                  <w:r>
                    <w:rPr>
                      <w:rFonts w:hint="eastAsia"/>
                      <w:color w:val="auto"/>
                      <w:szCs w:val="21"/>
                      <w:lang w:val="en-US" w:eastAsia="zh-CN"/>
                    </w:rPr>
                    <w:t>2.2638</w:t>
                  </w:r>
                  <w:r>
                    <w:rPr>
                      <w:rFonts w:hint="eastAsia"/>
                      <w:color w:val="auto"/>
                      <w:szCs w:val="21"/>
                    </w:rPr>
                    <w:t>t/a</w:t>
                  </w:r>
                </w:p>
              </w:tc>
            </w:tr>
            <w:tr w14:paraId="3AF6B5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407" w:type="dxa"/>
                  <w:vMerge w:val="restart"/>
                  <w:vAlign w:val="center"/>
                </w:tcPr>
                <w:p w14:paraId="5468FA94">
                  <w:pPr>
                    <w:adjustRightInd w:val="0"/>
                    <w:snapToGrid w:val="0"/>
                    <w:jc w:val="center"/>
                    <w:rPr>
                      <w:color w:val="auto"/>
                      <w:szCs w:val="21"/>
                    </w:rPr>
                  </w:pPr>
                  <w:r>
                    <w:rPr>
                      <w:color w:val="auto"/>
                      <w:szCs w:val="21"/>
                    </w:rPr>
                    <w:t>固废</w:t>
                  </w:r>
                </w:p>
              </w:tc>
              <w:tc>
                <w:tcPr>
                  <w:tcW w:w="771" w:type="dxa"/>
                  <w:vAlign w:val="center"/>
                </w:tcPr>
                <w:p w14:paraId="39E7351C">
                  <w:pPr>
                    <w:jc w:val="center"/>
                    <w:rPr>
                      <w:color w:val="auto"/>
                      <w:szCs w:val="21"/>
                    </w:rPr>
                  </w:pPr>
                  <w:r>
                    <w:rPr>
                      <w:rFonts w:hint="eastAsia"/>
                      <w:snapToGrid w:val="0"/>
                      <w:color w:val="auto"/>
                      <w:kern w:val="21"/>
                      <w:szCs w:val="21"/>
                    </w:rPr>
                    <w:t>收尘器收尘</w:t>
                  </w:r>
                  <w:r>
                    <w:rPr>
                      <w:snapToGrid w:val="0"/>
                      <w:color w:val="auto"/>
                      <w:kern w:val="21"/>
                      <w:szCs w:val="21"/>
                    </w:rPr>
                    <w:t>灰</w:t>
                  </w:r>
                </w:p>
              </w:tc>
              <w:tc>
                <w:tcPr>
                  <w:tcW w:w="1031" w:type="dxa"/>
                  <w:vAlign w:val="center"/>
                </w:tcPr>
                <w:p w14:paraId="304E5BB5">
                  <w:pPr>
                    <w:jc w:val="center"/>
                    <w:rPr>
                      <w:snapToGrid w:val="0"/>
                      <w:color w:val="auto"/>
                      <w:kern w:val="21"/>
                      <w:szCs w:val="21"/>
                    </w:rPr>
                  </w:pPr>
                  <w:r>
                    <w:rPr>
                      <w:rFonts w:hint="eastAsia"/>
                      <w:snapToGrid w:val="0"/>
                      <w:color w:val="auto"/>
                      <w:kern w:val="21"/>
                      <w:szCs w:val="21"/>
                    </w:rPr>
                    <w:t>0</w:t>
                  </w:r>
                </w:p>
              </w:tc>
              <w:tc>
                <w:tcPr>
                  <w:tcW w:w="1050" w:type="dxa"/>
                  <w:vAlign w:val="center"/>
                </w:tcPr>
                <w:p w14:paraId="5146C3A8">
                  <w:pPr>
                    <w:adjustRightInd w:val="0"/>
                    <w:snapToGrid w:val="0"/>
                    <w:jc w:val="center"/>
                    <w:rPr>
                      <w:rFonts w:hint="eastAsia" w:eastAsia="宋体"/>
                      <w:color w:val="auto"/>
                      <w:szCs w:val="21"/>
                      <w:lang w:val="en-US" w:eastAsia="zh-CN"/>
                    </w:rPr>
                  </w:pPr>
                  <w:r>
                    <w:rPr>
                      <w:rFonts w:hint="eastAsia"/>
                      <w:color w:val="auto"/>
                      <w:szCs w:val="21"/>
                      <w:lang w:val="en-US" w:eastAsia="zh-CN"/>
                    </w:rPr>
                    <w:t>/</w:t>
                  </w:r>
                </w:p>
              </w:tc>
              <w:tc>
                <w:tcPr>
                  <w:tcW w:w="1282" w:type="dxa"/>
                  <w:vAlign w:val="center"/>
                </w:tcPr>
                <w:p w14:paraId="27DD13FA">
                  <w:pPr>
                    <w:jc w:val="center"/>
                    <w:rPr>
                      <w:snapToGrid w:val="0"/>
                      <w:color w:val="auto"/>
                      <w:kern w:val="21"/>
                      <w:szCs w:val="21"/>
                    </w:rPr>
                  </w:pPr>
                  <w:r>
                    <w:rPr>
                      <w:rFonts w:hint="eastAsia"/>
                      <w:color w:val="auto"/>
                      <w:szCs w:val="21"/>
                      <w:lang w:val="en-US" w:eastAsia="zh-CN"/>
                    </w:rPr>
                    <w:t>8.21</w:t>
                  </w:r>
                  <w:r>
                    <w:rPr>
                      <w:rFonts w:hint="eastAsia"/>
                      <w:color w:val="auto"/>
                      <w:szCs w:val="21"/>
                    </w:rPr>
                    <w:t>t/a</w:t>
                  </w:r>
                </w:p>
              </w:tc>
              <w:tc>
                <w:tcPr>
                  <w:tcW w:w="927" w:type="dxa"/>
                  <w:vAlign w:val="center"/>
                </w:tcPr>
                <w:p w14:paraId="4E82546F">
                  <w:pPr>
                    <w:jc w:val="center"/>
                    <w:rPr>
                      <w:snapToGrid w:val="0"/>
                      <w:color w:val="auto"/>
                      <w:kern w:val="21"/>
                      <w:szCs w:val="21"/>
                    </w:rPr>
                  </w:pPr>
                  <w:r>
                    <w:rPr>
                      <w:rFonts w:hint="eastAsia"/>
                      <w:color w:val="auto"/>
                      <w:szCs w:val="21"/>
                    </w:rPr>
                    <w:t>0</w:t>
                  </w:r>
                </w:p>
              </w:tc>
              <w:tc>
                <w:tcPr>
                  <w:tcW w:w="914" w:type="dxa"/>
                  <w:vAlign w:val="center"/>
                </w:tcPr>
                <w:p w14:paraId="74E11516">
                  <w:pPr>
                    <w:adjustRightInd w:val="0"/>
                    <w:snapToGrid w:val="0"/>
                    <w:jc w:val="center"/>
                    <w:rPr>
                      <w:color w:val="auto"/>
                      <w:szCs w:val="21"/>
                    </w:rPr>
                  </w:pPr>
                  <w:r>
                    <w:rPr>
                      <w:rFonts w:hint="eastAsia"/>
                      <w:color w:val="auto"/>
                      <w:szCs w:val="21"/>
                    </w:rPr>
                    <w:t>0</w:t>
                  </w:r>
                </w:p>
              </w:tc>
              <w:tc>
                <w:tcPr>
                  <w:tcW w:w="886" w:type="dxa"/>
                  <w:vAlign w:val="center"/>
                </w:tcPr>
                <w:p w14:paraId="60C6D3F7">
                  <w:pPr>
                    <w:jc w:val="center"/>
                    <w:rPr>
                      <w:color w:val="auto"/>
                      <w:szCs w:val="21"/>
                    </w:rPr>
                  </w:pPr>
                  <w:r>
                    <w:rPr>
                      <w:rFonts w:hint="eastAsia"/>
                      <w:color w:val="auto"/>
                      <w:szCs w:val="21"/>
                    </w:rPr>
                    <w:t>0</w:t>
                  </w:r>
                </w:p>
              </w:tc>
              <w:tc>
                <w:tcPr>
                  <w:tcW w:w="952" w:type="dxa"/>
                  <w:vAlign w:val="center"/>
                </w:tcPr>
                <w:p w14:paraId="5CB9A708">
                  <w:pPr>
                    <w:jc w:val="center"/>
                    <w:rPr>
                      <w:color w:val="auto"/>
                      <w:szCs w:val="21"/>
                    </w:rPr>
                  </w:pPr>
                  <w:r>
                    <w:rPr>
                      <w:rFonts w:hint="eastAsia"/>
                      <w:color w:val="auto"/>
                      <w:szCs w:val="21"/>
                    </w:rPr>
                    <w:t>0</w:t>
                  </w:r>
                </w:p>
              </w:tc>
            </w:tr>
            <w:tr w14:paraId="007A74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407" w:type="dxa"/>
                  <w:vMerge w:val="continue"/>
                  <w:vAlign w:val="center"/>
                </w:tcPr>
                <w:p w14:paraId="0B7B1CA6">
                  <w:pPr>
                    <w:adjustRightInd w:val="0"/>
                    <w:snapToGrid w:val="0"/>
                    <w:jc w:val="center"/>
                    <w:rPr>
                      <w:color w:val="auto"/>
                      <w:szCs w:val="21"/>
                    </w:rPr>
                  </w:pPr>
                </w:p>
              </w:tc>
              <w:tc>
                <w:tcPr>
                  <w:tcW w:w="771" w:type="dxa"/>
                  <w:vAlign w:val="center"/>
                </w:tcPr>
                <w:p w14:paraId="1E5B3687">
                  <w:pPr>
                    <w:jc w:val="center"/>
                    <w:rPr>
                      <w:color w:val="auto"/>
                      <w:szCs w:val="21"/>
                    </w:rPr>
                  </w:pPr>
                  <w:r>
                    <w:rPr>
                      <w:color w:val="auto"/>
                      <w:szCs w:val="21"/>
                    </w:rPr>
                    <w:t>生活垃圾</w:t>
                  </w:r>
                </w:p>
              </w:tc>
              <w:tc>
                <w:tcPr>
                  <w:tcW w:w="1031" w:type="dxa"/>
                  <w:vAlign w:val="center"/>
                </w:tcPr>
                <w:p w14:paraId="5F7F98F2">
                  <w:pPr>
                    <w:jc w:val="center"/>
                    <w:rPr>
                      <w:rFonts w:hint="default" w:eastAsia="宋体"/>
                      <w:color w:val="auto"/>
                      <w:szCs w:val="21"/>
                      <w:lang w:val="en-US" w:eastAsia="zh-CN"/>
                    </w:rPr>
                  </w:pPr>
                  <w:r>
                    <w:rPr>
                      <w:rFonts w:hint="eastAsia"/>
                      <w:snapToGrid w:val="0"/>
                      <w:color w:val="auto"/>
                      <w:kern w:val="21"/>
                      <w:szCs w:val="21"/>
                      <w:lang w:val="en-US" w:eastAsia="zh-CN"/>
                    </w:rPr>
                    <w:t>39t/a</w:t>
                  </w:r>
                </w:p>
              </w:tc>
              <w:tc>
                <w:tcPr>
                  <w:tcW w:w="1050" w:type="dxa"/>
                  <w:vAlign w:val="center"/>
                </w:tcPr>
                <w:p w14:paraId="6C287CEB">
                  <w:pPr>
                    <w:adjustRightInd w:val="0"/>
                    <w:snapToGrid w:val="0"/>
                    <w:jc w:val="center"/>
                    <w:rPr>
                      <w:color w:val="auto"/>
                      <w:szCs w:val="21"/>
                    </w:rPr>
                  </w:pPr>
                  <w:r>
                    <w:rPr>
                      <w:color w:val="auto"/>
                      <w:szCs w:val="21"/>
                    </w:rPr>
                    <w:t>/</w:t>
                  </w:r>
                </w:p>
              </w:tc>
              <w:tc>
                <w:tcPr>
                  <w:tcW w:w="1282" w:type="dxa"/>
                  <w:vAlign w:val="center"/>
                </w:tcPr>
                <w:p w14:paraId="6CFBD681">
                  <w:pPr>
                    <w:jc w:val="center"/>
                    <w:rPr>
                      <w:rFonts w:hint="eastAsia" w:eastAsia="宋体"/>
                      <w:color w:val="auto"/>
                      <w:szCs w:val="21"/>
                      <w:lang w:eastAsia="zh-CN"/>
                    </w:rPr>
                  </w:pPr>
                  <w:r>
                    <w:rPr>
                      <w:rFonts w:hint="eastAsia"/>
                      <w:color w:val="auto"/>
                      <w:szCs w:val="21"/>
                      <w:lang w:val="en-US" w:eastAsia="zh-CN"/>
                    </w:rPr>
                    <w:t>0</w:t>
                  </w:r>
                </w:p>
              </w:tc>
              <w:tc>
                <w:tcPr>
                  <w:tcW w:w="927" w:type="dxa"/>
                  <w:vAlign w:val="center"/>
                </w:tcPr>
                <w:p w14:paraId="1DF1E323">
                  <w:pPr>
                    <w:jc w:val="center"/>
                    <w:rPr>
                      <w:rFonts w:hint="eastAsia" w:eastAsia="宋体"/>
                      <w:color w:val="auto"/>
                      <w:szCs w:val="21"/>
                      <w:lang w:eastAsia="zh-CN"/>
                    </w:rPr>
                  </w:pPr>
                  <w:r>
                    <w:rPr>
                      <w:rFonts w:hint="eastAsia"/>
                      <w:color w:val="auto"/>
                      <w:szCs w:val="21"/>
                      <w:lang w:val="en-US" w:eastAsia="zh-CN"/>
                    </w:rPr>
                    <w:t>0</w:t>
                  </w:r>
                </w:p>
              </w:tc>
              <w:tc>
                <w:tcPr>
                  <w:tcW w:w="914" w:type="dxa"/>
                  <w:vAlign w:val="center"/>
                </w:tcPr>
                <w:p w14:paraId="7D30DB1E">
                  <w:pPr>
                    <w:adjustRightInd w:val="0"/>
                    <w:snapToGrid w:val="0"/>
                    <w:jc w:val="center"/>
                    <w:rPr>
                      <w:color w:val="auto"/>
                      <w:szCs w:val="21"/>
                    </w:rPr>
                  </w:pPr>
                  <w:r>
                    <w:rPr>
                      <w:rFonts w:hint="eastAsia"/>
                      <w:color w:val="auto"/>
                      <w:szCs w:val="21"/>
                    </w:rPr>
                    <w:t>0</w:t>
                  </w:r>
                </w:p>
              </w:tc>
              <w:tc>
                <w:tcPr>
                  <w:tcW w:w="886" w:type="dxa"/>
                  <w:vAlign w:val="center"/>
                </w:tcPr>
                <w:p w14:paraId="1A6E4145">
                  <w:pPr>
                    <w:jc w:val="center"/>
                    <w:rPr>
                      <w:color w:val="auto"/>
                      <w:szCs w:val="21"/>
                    </w:rPr>
                  </w:pPr>
                  <w:r>
                    <w:rPr>
                      <w:rFonts w:hint="eastAsia"/>
                      <w:color w:val="auto"/>
                      <w:szCs w:val="21"/>
                      <w:lang w:val="en-US" w:eastAsia="zh-CN"/>
                    </w:rPr>
                    <w:t>39</w:t>
                  </w:r>
                  <w:r>
                    <w:rPr>
                      <w:rFonts w:hint="eastAsia"/>
                      <w:color w:val="auto"/>
                      <w:szCs w:val="21"/>
                    </w:rPr>
                    <w:t>t/a</w:t>
                  </w:r>
                </w:p>
              </w:tc>
              <w:tc>
                <w:tcPr>
                  <w:tcW w:w="952" w:type="dxa"/>
                  <w:vAlign w:val="center"/>
                </w:tcPr>
                <w:p w14:paraId="33FD3E03">
                  <w:pPr>
                    <w:jc w:val="center"/>
                    <w:rPr>
                      <w:rFonts w:hint="eastAsia" w:eastAsia="宋体"/>
                      <w:color w:val="auto"/>
                      <w:szCs w:val="21"/>
                      <w:lang w:eastAsia="zh-CN"/>
                    </w:rPr>
                  </w:pPr>
                  <w:r>
                    <w:rPr>
                      <w:rFonts w:hint="eastAsia"/>
                      <w:color w:val="auto"/>
                      <w:szCs w:val="21"/>
                      <w:lang w:val="en-US" w:eastAsia="zh-CN"/>
                    </w:rPr>
                    <w:t>0</w:t>
                  </w:r>
                </w:p>
              </w:tc>
            </w:tr>
            <w:tr w14:paraId="256909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407" w:type="dxa"/>
                  <w:vMerge w:val="continue"/>
                  <w:vAlign w:val="center"/>
                </w:tcPr>
                <w:p w14:paraId="3A56D0B5">
                  <w:pPr>
                    <w:adjustRightInd w:val="0"/>
                    <w:snapToGrid w:val="0"/>
                    <w:jc w:val="center"/>
                    <w:rPr>
                      <w:color w:val="auto"/>
                      <w:szCs w:val="21"/>
                    </w:rPr>
                  </w:pPr>
                </w:p>
              </w:tc>
              <w:tc>
                <w:tcPr>
                  <w:tcW w:w="771" w:type="dxa"/>
                  <w:vAlign w:val="center"/>
                </w:tcPr>
                <w:p w14:paraId="75528D98">
                  <w:pPr>
                    <w:jc w:val="center"/>
                    <w:rPr>
                      <w:color w:val="auto"/>
                      <w:szCs w:val="21"/>
                    </w:rPr>
                  </w:pPr>
                  <w:r>
                    <w:rPr>
                      <w:rFonts w:hint="eastAsia"/>
                      <w:color w:val="auto"/>
                      <w:szCs w:val="21"/>
                    </w:rPr>
                    <w:t>废矿物油</w:t>
                  </w:r>
                </w:p>
              </w:tc>
              <w:tc>
                <w:tcPr>
                  <w:tcW w:w="1031" w:type="dxa"/>
                  <w:vAlign w:val="center"/>
                </w:tcPr>
                <w:p w14:paraId="787A3737">
                  <w:pPr>
                    <w:jc w:val="center"/>
                    <w:rPr>
                      <w:color w:val="auto"/>
                      <w:szCs w:val="21"/>
                    </w:rPr>
                  </w:pPr>
                  <w:r>
                    <w:rPr>
                      <w:rFonts w:hint="eastAsia"/>
                      <w:snapToGrid w:val="0"/>
                      <w:color w:val="auto"/>
                      <w:kern w:val="21"/>
                      <w:szCs w:val="21"/>
                      <w:lang w:val="en-US" w:eastAsia="zh-CN"/>
                    </w:rPr>
                    <w:t>0.45</w:t>
                  </w:r>
                  <w:r>
                    <w:rPr>
                      <w:snapToGrid w:val="0"/>
                      <w:color w:val="auto"/>
                      <w:kern w:val="21"/>
                      <w:szCs w:val="21"/>
                    </w:rPr>
                    <w:t>t/a</w:t>
                  </w:r>
                </w:p>
              </w:tc>
              <w:tc>
                <w:tcPr>
                  <w:tcW w:w="1050" w:type="dxa"/>
                  <w:vAlign w:val="center"/>
                </w:tcPr>
                <w:p w14:paraId="198D9CD0">
                  <w:pPr>
                    <w:adjustRightInd w:val="0"/>
                    <w:snapToGrid w:val="0"/>
                    <w:jc w:val="center"/>
                    <w:rPr>
                      <w:color w:val="auto"/>
                      <w:szCs w:val="21"/>
                    </w:rPr>
                  </w:pPr>
                  <w:r>
                    <w:rPr>
                      <w:color w:val="auto"/>
                      <w:szCs w:val="21"/>
                    </w:rPr>
                    <w:t>/</w:t>
                  </w:r>
                </w:p>
              </w:tc>
              <w:tc>
                <w:tcPr>
                  <w:tcW w:w="1282" w:type="dxa"/>
                  <w:vAlign w:val="center"/>
                </w:tcPr>
                <w:p w14:paraId="63C07788">
                  <w:pPr>
                    <w:jc w:val="center"/>
                    <w:rPr>
                      <w:color w:val="auto"/>
                      <w:szCs w:val="21"/>
                    </w:rPr>
                  </w:pPr>
                  <w:r>
                    <w:rPr>
                      <w:rFonts w:hint="eastAsia"/>
                      <w:color w:val="auto"/>
                      <w:sz w:val="21"/>
                      <w:szCs w:val="21"/>
                    </w:rPr>
                    <w:t>0.0</w:t>
                  </w:r>
                  <w:r>
                    <w:rPr>
                      <w:rFonts w:hint="eastAsia"/>
                      <w:color w:val="auto"/>
                      <w:sz w:val="21"/>
                      <w:szCs w:val="21"/>
                      <w:lang w:val="en-US" w:eastAsia="zh-CN"/>
                    </w:rPr>
                    <w:t>1</w:t>
                  </w:r>
                  <w:r>
                    <w:rPr>
                      <w:snapToGrid w:val="0"/>
                      <w:color w:val="auto"/>
                      <w:kern w:val="21"/>
                      <w:szCs w:val="21"/>
                    </w:rPr>
                    <w:t>t/a</w:t>
                  </w:r>
                </w:p>
              </w:tc>
              <w:tc>
                <w:tcPr>
                  <w:tcW w:w="927" w:type="dxa"/>
                  <w:vAlign w:val="center"/>
                </w:tcPr>
                <w:p w14:paraId="7B848A08">
                  <w:pPr>
                    <w:jc w:val="center"/>
                    <w:rPr>
                      <w:color w:val="auto"/>
                      <w:szCs w:val="21"/>
                    </w:rPr>
                  </w:pPr>
                  <w:r>
                    <w:rPr>
                      <w:rFonts w:hint="eastAsia"/>
                      <w:color w:val="auto"/>
                      <w:sz w:val="21"/>
                      <w:szCs w:val="21"/>
                      <w:lang w:val="en-US" w:eastAsia="zh-CN"/>
                    </w:rPr>
                    <w:t>0.01</w:t>
                  </w:r>
                  <w:r>
                    <w:rPr>
                      <w:snapToGrid w:val="0"/>
                      <w:color w:val="auto"/>
                      <w:kern w:val="21"/>
                      <w:szCs w:val="21"/>
                    </w:rPr>
                    <w:t>t/a</w:t>
                  </w:r>
                </w:p>
              </w:tc>
              <w:tc>
                <w:tcPr>
                  <w:tcW w:w="914" w:type="dxa"/>
                  <w:vAlign w:val="center"/>
                </w:tcPr>
                <w:p w14:paraId="4A695D2A">
                  <w:pPr>
                    <w:adjustRightInd w:val="0"/>
                    <w:snapToGrid w:val="0"/>
                    <w:jc w:val="center"/>
                    <w:rPr>
                      <w:color w:val="auto"/>
                      <w:szCs w:val="21"/>
                    </w:rPr>
                  </w:pPr>
                  <w:r>
                    <w:rPr>
                      <w:rFonts w:hint="eastAsia"/>
                      <w:color w:val="auto"/>
                      <w:szCs w:val="21"/>
                    </w:rPr>
                    <w:t>0</w:t>
                  </w:r>
                </w:p>
              </w:tc>
              <w:tc>
                <w:tcPr>
                  <w:tcW w:w="886" w:type="dxa"/>
                  <w:vAlign w:val="center"/>
                </w:tcPr>
                <w:p w14:paraId="1F01DBD4">
                  <w:pPr>
                    <w:jc w:val="center"/>
                    <w:rPr>
                      <w:color w:val="auto"/>
                      <w:szCs w:val="21"/>
                    </w:rPr>
                  </w:pPr>
                  <w:r>
                    <w:rPr>
                      <w:rFonts w:hint="eastAsia"/>
                      <w:color w:val="auto"/>
                      <w:szCs w:val="21"/>
                      <w:lang w:val="en-US" w:eastAsia="zh-CN"/>
                    </w:rPr>
                    <w:t>0.46</w:t>
                  </w:r>
                  <w:r>
                    <w:rPr>
                      <w:rFonts w:hint="eastAsia"/>
                      <w:color w:val="auto"/>
                      <w:szCs w:val="21"/>
                    </w:rPr>
                    <w:t>t</w:t>
                  </w:r>
                  <w:r>
                    <w:rPr>
                      <w:snapToGrid w:val="0"/>
                      <w:color w:val="auto"/>
                      <w:kern w:val="21"/>
                      <w:szCs w:val="21"/>
                    </w:rPr>
                    <w:t>/a</w:t>
                  </w:r>
                </w:p>
              </w:tc>
              <w:tc>
                <w:tcPr>
                  <w:tcW w:w="952" w:type="dxa"/>
                  <w:vAlign w:val="center"/>
                </w:tcPr>
                <w:p w14:paraId="3B23A9EC">
                  <w:pPr>
                    <w:jc w:val="center"/>
                    <w:rPr>
                      <w:color w:val="auto"/>
                      <w:szCs w:val="21"/>
                    </w:rPr>
                  </w:pPr>
                  <w:r>
                    <w:rPr>
                      <w:rFonts w:hint="eastAsia"/>
                      <w:snapToGrid w:val="0"/>
                      <w:color w:val="auto"/>
                      <w:kern w:val="21"/>
                      <w:szCs w:val="21"/>
                    </w:rPr>
                    <w:t>+</w:t>
                  </w:r>
                  <w:r>
                    <w:rPr>
                      <w:rFonts w:hint="eastAsia"/>
                      <w:color w:val="auto"/>
                      <w:sz w:val="21"/>
                      <w:szCs w:val="21"/>
                    </w:rPr>
                    <w:t>0.0</w:t>
                  </w:r>
                  <w:r>
                    <w:rPr>
                      <w:rFonts w:hint="eastAsia"/>
                      <w:color w:val="auto"/>
                      <w:sz w:val="21"/>
                      <w:szCs w:val="21"/>
                      <w:lang w:val="en-US" w:eastAsia="zh-CN"/>
                    </w:rPr>
                    <w:t>1</w:t>
                  </w:r>
                  <w:r>
                    <w:rPr>
                      <w:snapToGrid w:val="0"/>
                      <w:color w:val="auto"/>
                      <w:kern w:val="21"/>
                      <w:szCs w:val="21"/>
                    </w:rPr>
                    <w:t>t/a</w:t>
                  </w:r>
                </w:p>
              </w:tc>
            </w:tr>
            <w:tr w14:paraId="1AC860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407" w:type="dxa"/>
                  <w:vAlign w:val="center"/>
                </w:tcPr>
                <w:p w14:paraId="22E8C85A">
                  <w:pPr>
                    <w:adjustRightInd w:val="0"/>
                    <w:snapToGrid w:val="0"/>
                    <w:jc w:val="center"/>
                    <w:rPr>
                      <w:color w:val="auto"/>
                      <w:szCs w:val="21"/>
                    </w:rPr>
                  </w:pPr>
                  <w:r>
                    <w:rPr>
                      <w:color w:val="auto"/>
                      <w:szCs w:val="21"/>
                    </w:rPr>
                    <w:t>备注</w:t>
                  </w:r>
                </w:p>
              </w:tc>
              <w:tc>
                <w:tcPr>
                  <w:tcW w:w="7813" w:type="dxa"/>
                  <w:gridSpan w:val="8"/>
                  <w:vAlign w:val="center"/>
                </w:tcPr>
                <w:p w14:paraId="44B2BB29">
                  <w:pPr>
                    <w:numPr>
                      <w:ilvl w:val="0"/>
                      <w:numId w:val="1"/>
                    </w:numPr>
                    <w:adjustRightInd w:val="0"/>
                    <w:snapToGrid w:val="0"/>
                    <w:jc w:val="left"/>
                    <w:rPr>
                      <w:color w:val="auto"/>
                      <w:szCs w:val="21"/>
                    </w:rPr>
                  </w:pPr>
                  <w:r>
                    <w:rPr>
                      <w:color w:val="auto"/>
                      <w:szCs w:val="21"/>
                    </w:rPr>
                    <w:t>固体废物所填数据为产生量。</w:t>
                  </w:r>
                </w:p>
                <w:p w14:paraId="4C84E3CA">
                  <w:pPr>
                    <w:numPr>
                      <w:ilvl w:val="0"/>
                      <w:numId w:val="1"/>
                    </w:numPr>
                    <w:adjustRightInd w:val="0"/>
                    <w:snapToGrid w:val="0"/>
                    <w:jc w:val="left"/>
                    <w:rPr>
                      <w:color w:val="auto"/>
                      <w:szCs w:val="21"/>
                    </w:rPr>
                  </w:pPr>
                  <w:r>
                    <w:rPr>
                      <w:color w:val="auto"/>
                      <w:szCs w:val="21"/>
                    </w:rPr>
                    <w:t>总排放量=现有工程排放量+改扩建工程排放量-以新带老消减量；</w:t>
                  </w:r>
                </w:p>
                <w:p w14:paraId="615FA7B3">
                  <w:pPr>
                    <w:numPr>
                      <w:ilvl w:val="0"/>
                      <w:numId w:val="1"/>
                    </w:numPr>
                    <w:adjustRightInd w:val="0"/>
                    <w:snapToGrid w:val="0"/>
                    <w:jc w:val="left"/>
                    <w:rPr>
                      <w:color w:val="auto"/>
                      <w:szCs w:val="21"/>
                    </w:rPr>
                  </w:pPr>
                  <w:r>
                    <w:rPr>
                      <w:color w:val="auto"/>
                      <w:szCs w:val="21"/>
                    </w:rPr>
                    <w:t>项目现有工程排放量为根据原环评报告</w:t>
                  </w:r>
                  <w:r>
                    <w:rPr>
                      <w:rFonts w:hint="eastAsia"/>
                      <w:color w:val="auto"/>
                      <w:szCs w:val="21"/>
                    </w:rPr>
                    <w:t>及实际情况</w:t>
                  </w:r>
                  <w:r>
                    <w:rPr>
                      <w:color w:val="auto"/>
                      <w:szCs w:val="21"/>
                    </w:rPr>
                    <w:t>计算；</w:t>
                  </w:r>
                </w:p>
                <w:p w14:paraId="2A448F82">
                  <w:pPr>
                    <w:adjustRightInd w:val="0"/>
                    <w:snapToGrid w:val="0"/>
                    <w:jc w:val="left"/>
                    <w:rPr>
                      <w:color w:val="auto"/>
                      <w:szCs w:val="21"/>
                    </w:rPr>
                  </w:pPr>
                  <w:r>
                    <w:rPr>
                      <w:color w:val="auto"/>
                      <w:szCs w:val="21"/>
                    </w:rPr>
                    <w:t>4、增减量变化列中“+”表示在现有工程排放量基础上增加，“-”表示在现有工程排放量基础上减少。</w:t>
                  </w:r>
                </w:p>
              </w:tc>
            </w:tr>
          </w:tbl>
          <w:p w14:paraId="20EC9ECA">
            <w:pPr>
              <w:pStyle w:val="2"/>
              <w:rPr>
                <w:rFonts w:hint="eastAsia"/>
                <w:color w:val="auto"/>
              </w:rPr>
            </w:pPr>
          </w:p>
          <w:p w14:paraId="51734D3D">
            <w:pPr>
              <w:rPr>
                <w:rFonts w:hint="eastAsia"/>
                <w:color w:val="auto"/>
              </w:rPr>
            </w:pPr>
          </w:p>
          <w:p w14:paraId="7FF798A4">
            <w:pPr>
              <w:pStyle w:val="2"/>
              <w:ind w:left="0" w:firstLine="0"/>
              <w:jc w:val="both"/>
              <w:rPr>
                <w:color w:val="auto"/>
              </w:rPr>
            </w:pPr>
          </w:p>
          <w:p w14:paraId="54146347">
            <w:pPr>
              <w:rPr>
                <w:color w:val="auto"/>
              </w:rPr>
            </w:pPr>
          </w:p>
          <w:p w14:paraId="493D8756">
            <w:pPr>
              <w:rPr>
                <w:color w:val="auto"/>
              </w:rPr>
            </w:pPr>
          </w:p>
          <w:p w14:paraId="79DA6CCA">
            <w:pPr>
              <w:rPr>
                <w:color w:val="auto"/>
              </w:rPr>
            </w:pPr>
          </w:p>
          <w:p w14:paraId="302A7EDF">
            <w:pPr>
              <w:rPr>
                <w:color w:val="auto"/>
              </w:rPr>
            </w:pPr>
          </w:p>
          <w:p w14:paraId="66B5EFFF">
            <w:pPr>
              <w:rPr>
                <w:color w:val="auto"/>
              </w:rPr>
            </w:pPr>
          </w:p>
          <w:p w14:paraId="2829AE64">
            <w:pPr>
              <w:rPr>
                <w:color w:val="auto"/>
              </w:rPr>
            </w:pPr>
          </w:p>
          <w:p w14:paraId="21F59683">
            <w:pPr>
              <w:rPr>
                <w:color w:val="auto"/>
              </w:rPr>
            </w:pPr>
          </w:p>
          <w:p w14:paraId="5C10EC8B">
            <w:pPr>
              <w:rPr>
                <w:color w:val="auto"/>
              </w:rPr>
            </w:pPr>
          </w:p>
          <w:p w14:paraId="7F8AAB75">
            <w:pPr>
              <w:rPr>
                <w:color w:val="auto"/>
              </w:rPr>
            </w:pPr>
          </w:p>
          <w:p w14:paraId="683D48F4">
            <w:pPr>
              <w:rPr>
                <w:color w:val="auto"/>
              </w:rPr>
            </w:pPr>
          </w:p>
          <w:p w14:paraId="63D01A4E">
            <w:pPr>
              <w:rPr>
                <w:color w:val="auto"/>
              </w:rPr>
            </w:pPr>
          </w:p>
          <w:p w14:paraId="0484C73F">
            <w:pPr>
              <w:rPr>
                <w:color w:val="auto"/>
              </w:rPr>
            </w:pPr>
          </w:p>
          <w:p w14:paraId="31C79E49">
            <w:pPr>
              <w:rPr>
                <w:color w:val="auto"/>
              </w:rPr>
            </w:pPr>
          </w:p>
          <w:p w14:paraId="18BEFCC5">
            <w:pPr>
              <w:rPr>
                <w:color w:val="auto"/>
              </w:rPr>
            </w:pPr>
          </w:p>
          <w:p w14:paraId="1A86C6DE">
            <w:pPr>
              <w:rPr>
                <w:color w:val="auto"/>
              </w:rPr>
            </w:pPr>
          </w:p>
          <w:p w14:paraId="35E579DD">
            <w:pPr>
              <w:rPr>
                <w:color w:val="auto"/>
              </w:rPr>
            </w:pPr>
          </w:p>
          <w:p w14:paraId="22FEC474">
            <w:pPr>
              <w:rPr>
                <w:color w:val="auto"/>
              </w:rPr>
            </w:pPr>
          </w:p>
          <w:p w14:paraId="05532484">
            <w:pPr>
              <w:rPr>
                <w:color w:val="auto"/>
              </w:rPr>
            </w:pPr>
          </w:p>
          <w:p w14:paraId="7DBFB2D1">
            <w:pPr>
              <w:rPr>
                <w:color w:val="auto"/>
              </w:rPr>
            </w:pPr>
          </w:p>
          <w:p w14:paraId="1A6AD178">
            <w:pPr>
              <w:rPr>
                <w:color w:val="auto"/>
              </w:rPr>
            </w:pPr>
          </w:p>
          <w:p w14:paraId="7DABC30A">
            <w:pPr>
              <w:rPr>
                <w:color w:val="auto"/>
              </w:rPr>
            </w:pPr>
          </w:p>
          <w:p w14:paraId="01D0F1CC">
            <w:pPr>
              <w:rPr>
                <w:color w:val="auto"/>
              </w:rPr>
            </w:pPr>
          </w:p>
          <w:p w14:paraId="6085D7DC">
            <w:pPr>
              <w:rPr>
                <w:color w:val="auto"/>
              </w:rPr>
            </w:pPr>
          </w:p>
          <w:p w14:paraId="43F40CE0">
            <w:pPr>
              <w:rPr>
                <w:color w:val="auto"/>
              </w:rPr>
            </w:pPr>
          </w:p>
          <w:p w14:paraId="2A8B3E9E">
            <w:pPr>
              <w:rPr>
                <w:color w:val="auto"/>
              </w:rPr>
            </w:pPr>
          </w:p>
          <w:p w14:paraId="1AF29C61">
            <w:pPr>
              <w:rPr>
                <w:color w:val="auto"/>
              </w:rPr>
            </w:pPr>
          </w:p>
          <w:p w14:paraId="4C5D47D4">
            <w:pPr>
              <w:rPr>
                <w:color w:val="auto"/>
              </w:rPr>
            </w:pPr>
          </w:p>
          <w:p w14:paraId="2A01D888">
            <w:pPr>
              <w:rPr>
                <w:color w:val="auto"/>
              </w:rPr>
            </w:pPr>
          </w:p>
          <w:p w14:paraId="47D1D71C">
            <w:pPr>
              <w:rPr>
                <w:color w:val="auto"/>
              </w:rPr>
            </w:pPr>
          </w:p>
          <w:p w14:paraId="66DE7033">
            <w:pPr>
              <w:rPr>
                <w:color w:val="auto"/>
              </w:rPr>
            </w:pPr>
          </w:p>
        </w:tc>
      </w:tr>
    </w:tbl>
    <w:p w14:paraId="36A3DD7D">
      <w:pPr>
        <w:rPr>
          <w:color w:val="auto"/>
        </w:rPr>
        <w:sectPr>
          <w:pgSz w:w="11907" w:h="16840"/>
          <w:pgMar w:top="1701" w:right="1531" w:bottom="2127"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4FB19104">
      <w:pPr>
        <w:pStyle w:val="41"/>
        <w:spacing w:before="0" w:beforeAutospacing="0" w:after="0" w:afterAutospacing="0"/>
        <w:jc w:val="center"/>
        <w:outlineLvl w:val="0"/>
        <w:rPr>
          <w:b/>
          <w:snapToGrid w:val="0"/>
          <w:color w:val="auto"/>
          <w:sz w:val="30"/>
          <w:szCs w:val="30"/>
        </w:rPr>
      </w:pPr>
      <w:bookmarkStart w:id="9" w:name="_Toc69399406"/>
      <w:r>
        <w:rPr>
          <w:rFonts w:hint="eastAsia"/>
          <w:b/>
          <w:snapToGrid w:val="0"/>
          <w:color w:val="auto"/>
          <w:sz w:val="30"/>
          <w:szCs w:val="30"/>
        </w:rPr>
        <w:t>五、</w:t>
      </w:r>
      <w:bookmarkStart w:id="10" w:name="_Hlk54167917"/>
      <w:r>
        <w:rPr>
          <w:rFonts w:hint="eastAsia"/>
          <w:b/>
          <w:snapToGrid w:val="0"/>
          <w:color w:val="auto"/>
          <w:sz w:val="30"/>
          <w:szCs w:val="30"/>
        </w:rPr>
        <w:t>环境保护措施监督检查清单</w:t>
      </w:r>
      <w:bookmarkEnd w:id="9"/>
      <w:bookmarkEnd w:id="10"/>
    </w:p>
    <w:tbl>
      <w:tblPr>
        <w:tblStyle w:val="45"/>
        <w:tblW w:w="9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3"/>
        <w:gridCol w:w="1776"/>
        <w:gridCol w:w="1100"/>
        <w:gridCol w:w="3309"/>
        <w:gridCol w:w="1535"/>
      </w:tblGrid>
      <w:tr w14:paraId="60FD0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3" w:type="dxa"/>
            <w:vAlign w:val="center"/>
          </w:tcPr>
          <w:p w14:paraId="4CC0407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mc:AlternateContent>
                <mc:Choice Requires="wps">
                  <w:drawing>
                    <wp:anchor distT="0" distB="0" distL="114300" distR="114300" simplePos="0" relativeHeight="251659264" behindDoc="0" locked="0" layoutInCell="1" allowOverlap="1">
                      <wp:simplePos x="0" y="0"/>
                      <wp:positionH relativeFrom="column">
                        <wp:posOffset>-62865</wp:posOffset>
                      </wp:positionH>
                      <wp:positionV relativeFrom="paragraph">
                        <wp:posOffset>-5715</wp:posOffset>
                      </wp:positionV>
                      <wp:extent cx="969010" cy="372110"/>
                      <wp:effectExtent l="1905" t="4445" r="19685" b="4445"/>
                      <wp:wrapNone/>
                      <wp:docPr id="15" name="自选图形 3"/>
                      <wp:cNvGraphicFramePr/>
                      <a:graphic xmlns:a="http://schemas.openxmlformats.org/drawingml/2006/main">
                        <a:graphicData uri="http://schemas.microsoft.com/office/word/2010/wordprocessingShape">
                          <wps:wsp>
                            <wps:cNvCnPr>
                              <a:cxnSpLocks noChangeShapeType="1"/>
                            </wps:cNvCnPr>
                            <wps:spPr bwMode="auto">
                              <a:xfrm>
                                <a:off x="0" y="0"/>
                                <a:ext cx="969010" cy="372110"/>
                              </a:xfrm>
                              <a:prstGeom prst="straightConnector1">
                                <a:avLst/>
                              </a:prstGeom>
                              <a:noFill/>
                              <a:ln w="6350">
                                <a:solidFill>
                                  <a:srgbClr val="000000"/>
                                </a:solidFill>
                                <a:round/>
                              </a:ln>
                            </wps:spPr>
                            <wps:bodyPr/>
                          </wps:wsp>
                        </a:graphicData>
                      </a:graphic>
                    </wp:anchor>
                  </w:drawing>
                </mc:Choice>
                <mc:Fallback>
                  <w:pict>
                    <v:shape id="自选图形 3" o:spid="_x0000_s1026" o:spt="32" type="#_x0000_t32" style="position:absolute;left:0pt;margin-left:-4.95pt;margin-top:-0.45pt;height:29.3pt;width:76.3pt;z-index:251659264;mso-width-relative:page;mso-height-relative:page;" filled="f" stroked="t" coordsize="21600,21600" o:gfxdata="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OVyGo1QAAAAcBAAAPAAAAAAAAAAEAIAAAACIAAABkcnMvZG93bnJldi54bWxQSwECFAAUAAAA&#10;CACHTuJAEtG/+vEBAAC6AwAADgAAAAAAAAABACAAAAAkAQAAZHJzL2Uyb0RvYy54bWxQSwUGAAAA&#10;AAYABgBZAQAAhwUAAAAA&#10;">
                      <v:fill on="f" focussize="0,0"/>
                      <v:stroke weight="0.5pt" color="#000000" joinstyle="round"/>
                      <v:imagedata o:title=""/>
                      <o:lock v:ext="edit" aspectratio="f"/>
                    </v:shape>
                  </w:pict>
                </mc:Fallback>
              </mc:AlternateContent>
            </w:r>
            <w:r>
              <w:rPr>
                <w:rFonts w:hint="eastAsia"/>
                <w:color w:val="auto"/>
                <w:sz w:val="21"/>
                <w:szCs w:val="21"/>
              </w:rPr>
              <w:t xml:space="preserve">    </w:t>
            </w:r>
            <w:r>
              <w:rPr>
                <w:color w:val="auto"/>
                <w:sz w:val="21"/>
                <w:szCs w:val="21"/>
              </w:rPr>
              <w:t>内容</w:t>
            </w:r>
          </w:p>
          <w:p w14:paraId="1EFCC6D4">
            <w:pPr>
              <w:keepNext w:val="0"/>
              <w:keepLines w:val="0"/>
              <w:pageBreakBefore w:val="0"/>
              <w:widowControl w:val="0"/>
              <w:kinsoku/>
              <w:wordWrap/>
              <w:overflowPunct/>
              <w:topLinePunct w:val="0"/>
              <w:autoSpaceDE/>
              <w:autoSpaceDN/>
              <w:bidi w:val="0"/>
              <w:spacing w:line="240" w:lineRule="auto"/>
              <w:ind w:firstLine="0" w:firstLineChars="0"/>
              <w:textAlignment w:val="auto"/>
              <w:rPr>
                <w:color w:val="auto"/>
                <w:sz w:val="21"/>
                <w:szCs w:val="21"/>
              </w:rPr>
            </w:pPr>
            <w:r>
              <w:rPr>
                <w:color w:val="auto"/>
                <w:sz w:val="21"/>
                <w:szCs w:val="21"/>
              </w:rPr>
              <w:t>要素</w:t>
            </w:r>
          </w:p>
        </w:tc>
        <w:tc>
          <w:tcPr>
            <w:tcW w:w="1776" w:type="dxa"/>
            <w:vAlign w:val="center"/>
          </w:tcPr>
          <w:p w14:paraId="48DB4FC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排放口(编号、名称)/污染源</w:t>
            </w:r>
          </w:p>
        </w:tc>
        <w:tc>
          <w:tcPr>
            <w:tcW w:w="1100" w:type="dxa"/>
            <w:vAlign w:val="center"/>
          </w:tcPr>
          <w:p w14:paraId="5AAC557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污染物项目</w:t>
            </w:r>
          </w:p>
        </w:tc>
        <w:tc>
          <w:tcPr>
            <w:tcW w:w="3309" w:type="dxa"/>
            <w:vAlign w:val="center"/>
          </w:tcPr>
          <w:p w14:paraId="7BE5ED8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环境保护措施</w:t>
            </w:r>
          </w:p>
        </w:tc>
        <w:tc>
          <w:tcPr>
            <w:tcW w:w="1535" w:type="dxa"/>
            <w:vAlign w:val="center"/>
          </w:tcPr>
          <w:p w14:paraId="4D3DC12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执行标准</w:t>
            </w:r>
          </w:p>
        </w:tc>
      </w:tr>
      <w:tr w14:paraId="6580C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3" w:type="dxa"/>
            <w:vMerge w:val="restart"/>
            <w:vAlign w:val="center"/>
          </w:tcPr>
          <w:p w14:paraId="1E20B10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大气环境</w:t>
            </w:r>
          </w:p>
        </w:tc>
        <w:tc>
          <w:tcPr>
            <w:tcW w:w="1776" w:type="dxa"/>
            <w:vAlign w:val="center"/>
          </w:tcPr>
          <w:p w14:paraId="0FC9378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rFonts w:hint="eastAsia"/>
                <w:color w:val="auto"/>
                <w:sz w:val="21"/>
                <w:szCs w:val="21"/>
                <w:lang w:val="en-US" w:eastAsia="zh-CN"/>
              </w:rPr>
              <w:t>电石渣筛分</w:t>
            </w:r>
            <w:r>
              <w:rPr>
                <w:rFonts w:hint="eastAsia"/>
                <w:color w:val="auto"/>
                <w:sz w:val="21"/>
                <w:szCs w:val="21"/>
              </w:rPr>
              <w:t>和生石灰筒仓进料</w:t>
            </w:r>
          </w:p>
        </w:tc>
        <w:tc>
          <w:tcPr>
            <w:tcW w:w="1100" w:type="dxa"/>
            <w:vAlign w:val="center"/>
          </w:tcPr>
          <w:p w14:paraId="7D58FD1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Ansi="宋体"/>
                <w:color w:val="auto"/>
                <w:sz w:val="21"/>
                <w:szCs w:val="21"/>
              </w:rPr>
            </w:pPr>
            <w:r>
              <w:rPr>
                <w:rFonts w:hint="eastAsia"/>
                <w:color w:val="auto"/>
                <w:sz w:val="21"/>
                <w:szCs w:val="21"/>
              </w:rPr>
              <w:t>有</w:t>
            </w:r>
            <w:r>
              <w:rPr>
                <w:color w:val="auto"/>
                <w:sz w:val="21"/>
                <w:szCs w:val="21"/>
              </w:rPr>
              <w:t>组织颗粒物</w:t>
            </w:r>
          </w:p>
        </w:tc>
        <w:tc>
          <w:tcPr>
            <w:tcW w:w="3309" w:type="dxa"/>
            <w:vAlign w:val="center"/>
          </w:tcPr>
          <w:p w14:paraId="179B313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Ansi="宋体"/>
                <w:color w:val="auto"/>
                <w:sz w:val="21"/>
                <w:szCs w:val="21"/>
              </w:rPr>
            </w:pPr>
            <w:r>
              <w:rPr>
                <w:rFonts w:hint="eastAsia"/>
                <w:color w:val="auto"/>
                <w:sz w:val="21"/>
                <w:szCs w:val="21"/>
                <w:lang w:val="en-US" w:eastAsia="zh-CN"/>
              </w:rPr>
              <w:t>在电石渣筛分机上方设置集气罩，</w:t>
            </w:r>
            <w:r>
              <w:rPr>
                <w:rFonts w:hint="eastAsia"/>
                <w:color w:val="auto"/>
                <w:sz w:val="21"/>
                <w:szCs w:val="21"/>
              </w:rPr>
              <w:t>生石灰筒仓产生的</w:t>
            </w:r>
            <w:r>
              <w:rPr>
                <w:rFonts w:hint="eastAsia"/>
                <w:color w:val="auto"/>
                <w:sz w:val="21"/>
                <w:szCs w:val="21"/>
                <w:lang w:val="en-US" w:eastAsia="zh-CN"/>
              </w:rPr>
              <w:t>粉尘经仓顶除尘器（处理效率为99%）处理后</w:t>
            </w:r>
            <w:r>
              <w:rPr>
                <w:rFonts w:hint="eastAsia"/>
                <w:bCs/>
                <w:color w:val="auto"/>
                <w:sz w:val="21"/>
                <w:szCs w:val="21"/>
              </w:rPr>
              <w:t>与</w:t>
            </w:r>
            <w:r>
              <w:rPr>
                <w:rFonts w:hint="eastAsia"/>
                <w:bCs/>
                <w:color w:val="auto"/>
                <w:sz w:val="21"/>
                <w:szCs w:val="21"/>
                <w:lang w:val="en-US" w:eastAsia="zh-CN"/>
              </w:rPr>
              <w:t>收集的电石渣筛分</w:t>
            </w:r>
            <w:r>
              <w:rPr>
                <w:rFonts w:hint="eastAsia"/>
                <w:bCs/>
                <w:color w:val="auto"/>
                <w:sz w:val="21"/>
                <w:szCs w:val="21"/>
              </w:rPr>
              <w:t>产生的粉尘一起进入一套布袋除尘器处理后，经15m高排气筒DA0</w:t>
            </w:r>
            <w:r>
              <w:rPr>
                <w:rFonts w:hint="eastAsia"/>
                <w:bCs/>
                <w:color w:val="auto"/>
                <w:sz w:val="21"/>
                <w:szCs w:val="21"/>
                <w:lang w:val="en-US" w:eastAsia="zh-CN"/>
              </w:rPr>
              <w:t>08</w:t>
            </w:r>
            <w:r>
              <w:rPr>
                <w:rFonts w:hint="eastAsia" w:hAnsi="宋体"/>
                <w:bCs/>
                <w:color w:val="auto"/>
                <w:sz w:val="21"/>
                <w:szCs w:val="21"/>
              </w:rPr>
              <w:t>（φ0.5m×15m）有组织排放</w:t>
            </w:r>
          </w:p>
        </w:tc>
        <w:tc>
          <w:tcPr>
            <w:tcW w:w="1535" w:type="dxa"/>
            <w:vMerge w:val="restart"/>
            <w:vAlign w:val="center"/>
          </w:tcPr>
          <w:p w14:paraId="5EED2EA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rFonts w:hint="eastAsia"/>
                <w:color w:val="auto"/>
                <w:sz w:val="21"/>
                <w:szCs w:val="21"/>
              </w:rPr>
              <w:t>执行</w:t>
            </w:r>
            <w:r>
              <w:rPr>
                <w:rFonts w:hint="eastAsia"/>
                <w:bCs/>
                <w:color w:val="auto"/>
                <w:sz w:val="21"/>
                <w:szCs w:val="21"/>
              </w:rPr>
              <w:t>《大气污染物综合排放标准》（GB 16297-1996）</w:t>
            </w:r>
          </w:p>
        </w:tc>
      </w:tr>
      <w:tr w14:paraId="040B3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3" w:type="dxa"/>
            <w:vMerge w:val="continue"/>
            <w:vAlign w:val="center"/>
          </w:tcPr>
          <w:p w14:paraId="2AFF3B2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p>
        </w:tc>
        <w:tc>
          <w:tcPr>
            <w:tcW w:w="1776" w:type="dxa"/>
            <w:vAlign w:val="center"/>
          </w:tcPr>
          <w:p w14:paraId="56A88AD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rFonts w:hint="eastAsia"/>
                <w:color w:val="auto"/>
                <w:sz w:val="21"/>
                <w:szCs w:val="21"/>
                <w:lang w:val="en-US" w:eastAsia="zh-CN"/>
              </w:rPr>
              <w:t>原料及成品堆场</w:t>
            </w:r>
          </w:p>
        </w:tc>
        <w:tc>
          <w:tcPr>
            <w:tcW w:w="1100" w:type="dxa"/>
            <w:vAlign w:val="center"/>
          </w:tcPr>
          <w:p w14:paraId="0EE8C1A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bCs/>
                <w:color w:val="auto"/>
                <w:spacing w:val="-10"/>
                <w:sz w:val="21"/>
                <w:szCs w:val="21"/>
              </w:rPr>
              <w:t>无组织颗粒物</w:t>
            </w:r>
          </w:p>
        </w:tc>
        <w:tc>
          <w:tcPr>
            <w:tcW w:w="3309" w:type="dxa"/>
            <w:vAlign w:val="center"/>
          </w:tcPr>
          <w:p w14:paraId="6CA31AA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bCs/>
                <w:color w:val="auto"/>
                <w:sz w:val="21"/>
                <w:szCs w:val="21"/>
              </w:rPr>
            </w:pPr>
            <w:r>
              <w:rPr>
                <w:rFonts w:hint="eastAsia" w:ascii="Times New Roman" w:hAnsi="Times New Roman" w:cs="Times New Roman"/>
                <w:color w:val="auto"/>
                <w:sz w:val="21"/>
                <w:szCs w:val="21"/>
                <w:lang w:val="en-US" w:eastAsia="zh-CN"/>
              </w:rPr>
              <w:t>物料入库，库房顶棚遮挡+三面围挡，物料编织覆盖</w:t>
            </w:r>
          </w:p>
        </w:tc>
        <w:tc>
          <w:tcPr>
            <w:tcW w:w="1535" w:type="dxa"/>
            <w:vMerge w:val="continue"/>
            <w:vAlign w:val="center"/>
          </w:tcPr>
          <w:p w14:paraId="3AA7B84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p>
        </w:tc>
      </w:tr>
      <w:tr w14:paraId="60D11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3" w:type="dxa"/>
            <w:vMerge w:val="continue"/>
            <w:vAlign w:val="center"/>
          </w:tcPr>
          <w:p w14:paraId="19D04E3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p>
        </w:tc>
        <w:tc>
          <w:tcPr>
            <w:tcW w:w="1776" w:type="dxa"/>
            <w:vAlign w:val="center"/>
          </w:tcPr>
          <w:p w14:paraId="2A90991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rFonts w:hint="eastAsia"/>
                <w:color w:val="auto"/>
                <w:sz w:val="21"/>
                <w:szCs w:val="21"/>
                <w:lang w:val="en-US" w:eastAsia="zh-CN"/>
              </w:rPr>
              <w:t>装载机压碎电石渣粉尘</w:t>
            </w:r>
          </w:p>
        </w:tc>
        <w:tc>
          <w:tcPr>
            <w:tcW w:w="1100" w:type="dxa"/>
            <w:vAlign w:val="center"/>
          </w:tcPr>
          <w:p w14:paraId="2101E80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rFonts w:hint="eastAsia"/>
                <w:color w:val="auto"/>
                <w:sz w:val="21"/>
                <w:szCs w:val="21"/>
              </w:rPr>
              <w:t>无组织颗粒物</w:t>
            </w:r>
          </w:p>
        </w:tc>
        <w:tc>
          <w:tcPr>
            <w:tcW w:w="3309" w:type="dxa"/>
            <w:vAlign w:val="center"/>
          </w:tcPr>
          <w:p w14:paraId="3A8CB44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rFonts w:hint="eastAsia"/>
                <w:color w:val="auto"/>
                <w:sz w:val="21"/>
                <w:szCs w:val="21"/>
                <w:lang w:val="en-US" w:eastAsia="zh-CN"/>
              </w:rPr>
              <w:t>在车间内沉降</w:t>
            </w:r>
          </w:p>
        </w:tc>
        <w:tc>
          <w:tcPr>
            <w:tcW w:w="1535" w:type="dxa"/>
            <w:vMerge w:val="continue"/>
            <w:vAlign w:val="center"/>
          </w:tcPr>
          <w:p w14:paraId="10C9A45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p>
        </w:tc>
      </w:tr>
      <w:tr w14:paraId="4C443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3" w:type="dxa"/>
            <w:vMerge w:val="continue"/>
            <w:vAlign w:val="center"/>
          </w:tcPr>
          <w:p w14:paraId="747EF86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p>
        </w:tc>
        <w:tc>
          <w:tcPr>
            <w:tcW w:w="1776" w:type="dxa"/>
            <w:vAlign w:val="center"/>
          </w:tcPr>
          <w:p w14:paraId="6CF77D6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搅拌</w:t>
            </w:r>
          </w:p>
        </w:tc>
        <w:tc>
          <w:tcPr>
            <w:tcW w:w="1100" w:type="dxa"/>
            <w:vAlign w:val="center"/>
          </w:tcPr>
          <w:p w14:paraId="1956ABD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color w:val="auto"/>
                <w:sz w:val="21"/>
                <w:szCs w:val="21"/>
              </w:rPr>
            </w:pPr>
            <w:r>
              <w:rPr>
                <w:rFonts w:hint="eastAsia"/>
                <w:color w:val="auto"/>
                <w:sz w:val="21"/>
                <w:szCs w:val="21"/>
              </w:rPr>
              <w:t>无组织颗粒物</w:t>
            </w:r>
          </w:p>
        </w:tc>
        <w:tc>
          <w:tcPr>
            <w:tcW w:w="3309" w:type="dxa"/>
            <w:vAlign w:val="center"/>
          </w:tcPr>
          <w:p w14:paraId="09F345E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rPr>
              <w:t>整套双轴搅拌机设备机身为封闭式，下料口连接皮带输送系统</w:t>
            </w:r>
          </w:p>
        </w:tc>
        <w:tc>
          <w:tcPr>
            <w:tcW w:w="1535" w:type="dxa"/>
            <w:vMerge w:val="continue"/>
            <w:vAlign w:val="center"/>
          </w:tcPr>
          <w:p w14:paraId="644F516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color w:val="auto"/>
                <w:sz w:val="21"/>
                <w:szCs w:val="21"/>
              </w:rPr>
            </w:pPr>
          </w:p>
        </w:tc>
      </w:tr>
      <w:tr w14:paraId="02CFA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3" w:type="dxa"/>
            <w:vMerge w:val="continue"/>
            <w:vAlign w:val="center"/>
          </w:tcPr>
          <w:p w14:paraId="74C2B9F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p>
        </w:tc>
        <w:tc>
          <w:tcPr>
            <w:tcW w:w="1776" w:type="dxa"/>
            <w:vAlign w:val="center"/>
          </w:tcPr>
          <w:p w14:paraId="532CFDA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rFonts w:hAnsi="宋体"/>
                <w:color w:val="auto"/>
                <w:sz w:val="21"/>
                <w:szCs w:val="21"/>
              </w:rPr>
              <w:t>物料皮带输送和</w:t>
            </w:r>
            <w:r>
              <w:rPr>
                <w:rFonts w:hint="eastAsia" w:hAnsi="宋体"/>
                <w:color w:val="auto"/>
                <w:sz w:val="21"/>
                <w:szCs w:val="21"/>
              </w:rPr>
              <w:t>计量</w:t>
            </w:r>
            <w:r>
              <w:rPr>
                <w:rFonts w:hAnsi="宋体"/>
                <w:color w:val="auto"/>
                <w:sz w:val="21"/>
                <w:szCs w:val="21"/>
              </w:rPr>
              <w:t>过程</w:t>
            </w:r>
          </w:p>
        </w:tc>
        <w:tc>
          <w:tcPr>
            <w:tcW w:w="1100" w:type="dxa"/>
            <w:vAlign w:val="center"/>
          </w:tcPr>
          <w:p w14:paraId="6280F5A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bCs/>
                <w:color w:val="auto"/>
                <w:spacing w:val="-10"/>
                <w:sz w:val="21"/>
                <w:szCs w:val="21"/>
              </w:rPr>
            </w:pPr>
            <w:r>
              <w:rPr>
                <w:color w:val="auto"/>
                <w:sz w:val="21"/>
                <w:szCs w:val="21"/>
              </w:rPr>
              <w:t>无组织颗粒物</w:t>
            </w:r>
          </w:p>
        </w:tc>
        <w:tc>
          <w:tcPr>
            <w:tcW w:w="3309" w:type="dxa"/>
            <w:vAlign w:val="center"/>
          </w:tcPr>
          <w:p w14:paraId="5EDC500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rFonts w:hint="eastAsia"/>
                <w:color w:val="auto"/>
                <w:sz w:val="21"/>
                <w:szCs w:val="21"/>
              </w:rPr>
              <w:t>整套皮带运输、计量系统设备采用彩钢瓦全封闭</w:t>
            </w:r>
          </w:p>
        </w:tc>
        <w:tc>
          <w:tcPr>
            <w:tcW w:w="1535" w:type="dxa"/>
            <w:vMerge w:val="continue"/>
            <w:vAlign w:val="center"/>
          </w:tcPr>
          <w:p w14:paraId="76D90E0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bCs/>
                <w:color w:val="auto"/>
                <w:sz w:val="21"/>
                <w:szCs w:val="21"/>
              </w:rPr>
            </w:pPr>
          </w:p>
        </w:tc>
      </w:tr>
      <w:tr w14:paraId="7AD00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3" w:type="dxa"/>
            <w:vMerge w:val="continue"/>
            <w:vAlign w:val="center"/>
          </w:tcPr>
          <w:p w14:paraId="56DD0FC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p>
        </w:tc>
        <w:tc>
          <w:tcPr>
            <w:tcW w:w="1776" w:type="dxa"/>
            <w:vAlign w:val="center"/>
          </w:tcPr>
          <w:p w14:paraId="7D5DB22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Ansi="宋体"/>
                <w:color w:val="auto"/>
                <w:sz w:val="21"/>
                <w:szCs w:val="21"/>
              </w:rPr>
            </w:pPr>
            <w:r>
              <w:rPr>
                <w:rFonts w:hAnsi="宋体"/>
                <w:color w:val="auto"/>
                <w:sz w:val="21"/>
                <w:szCs w:val="21"/>
              </w:rPr>
              <w:t>运输车辆行驶过程</w:t>
            </w:r>
          </w:p>
        </w:tc>
        <w:tc>
          <w:tcPr>
            <w:tcW w:w="1100" w:type="dxa"/>
            <w:vAlign w:val="center"/>
          </w:tcPr>
          <w:p w14:paraId="73D7361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Ansi="宋体"/>
                <w:color w:val="auto"/>
                <w:sz w:val="21"/>
                <w:szCs w:val="21"/>
              </w:rPr>
            </w:pPr>
            <w:r>
              <w:rPr>
                <w:color w:val="auto"/>
                <w:sz w:val="21"/>
                <w:szCs w:val="21"/>
              </w:rPr>
              <w:t>无组织颗粒物</w:t>
            </w:r>
          </w:p>
        </w:tc>
        <w:tc>
          <w:tcPr>
            <w:tcW w:w="3309" w:type="dxa"/>
            <w:vAlign w:val="center"/>
          </w:tcPr>
          <w:p w14:paraId="486A25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道路硬化、覆盖运输、运输道路洒水降尘</w:t>
            </w:r>
          </w:p>
        </w:tc>
        <w:tc>
          <w:tcPr>
            <w:tcW w:w="1535" w:type="dxa"/>
            <w:vMerge w:val="continue"/>
            <w:vAlign w:val="center"/>
          </w:tcPr>
          <w:p w14:paraId="6D59ECA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p>
        </w:tc>
      </w:tr>
      <w:tr w14:paraId="205A8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3" w:type="dxa"/>
            <w:vAlign w:val="center"/>
          </w:tcPr>
          <w:p w14:paraId="4BD477D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地表水环境</w:t>
            </w:r>
          </w:p>
        </w:tc>
        <w:tc>
          <w:tcPr>
            <w:tcW w:w="1776" w:type="dxa"/>
            <w:vAlign w:val="center"/>
          </w:tcPr>
          <w:p w14:paraId="5AFD306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1100" w:type="dxa"/>
            <w:vAlign w:val="center"/>
          </w:tcPr>
          <w:p w14:paraId="0D41F0B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3309" w:type="dxa"/>
            <w:vAlign w:val="center"/>
          </w:tcPr>
          <w:p w14:paraId="4D16E1F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1535" w:type="dxa"/>
            <w:vAlign w:val="center"/>
          </w:tcPr>
          <w:p w14:paraId="6E4B38B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r>
      <w:tr w14:paraId="1DD06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3" w:type="dxa"/>
            <w:vAlign w:val="center"/>
          </w:tcPr>
          <w:p w14:paraId="648E214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声环境</w:t>
            </w:r>
          </w:p>
        </w:tc>
        <w:tc>
          <w:tcPr>
            <w:tcW w:w="1776" w:type="dxa"/>
            <w:vAlign w:val="center"/>
          </w:tcPr>
          <w:p w14:paraId="286CF91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生产设备</w:t>
            </w:r>
          </w:p>
        </w:tc>
        <w:tc>
          <w:tcPr>
            <w:tcW w:w="1100" w:type="dxa"/>
            <w:vAlign w:val="center"/>
          </w:tcPr>
          <w:p w14:paraId="6AE539E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等效连续A声级，Leq</w:t>
            </w:r>
          </w:p>
        </w:tc>
        <w:tc>
          <w:tcPr>
            <w:tcW w:w="3309" w:type="dxa"/>
            <w:vAlign w:val="center"/>
          </w:tcPr>
          <w:p w14:paraId="3D55DB1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bCs/>
                <w:color w:val="auto"/>
                <w:sz w:val="21"/>
                <w:szCs w:val="21"/>
              </w:rPr>
              <w:t>合理布置、部分设备设置减振基础、建筑物隔挡；加强管理，定期维护维修</w:t>
            </w:r>
          </w:p>
        </w:tc>
        <w:tc>
          <w:tcPr>
            <w:tcW w:w="1535" w:type="dxa"/>
            <w:vAlign w:val="center"/>
          </w:tcPr>
          <w:p w14:paraId="32CDC1D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bCs/>
                <w:color w:val="auto"/>
                <w:sz w:val="21"/>
                <w:szCs w:val="21"/>
              </w:rPr>
              <w:t>《工业企业厂界环境噪声排放标准》（GB 12348-2008）</w:t>
            </w:r>
            <w:r>
              <w:rPr>
                <w:rFonts w:hint="eastAsia"/>
                <w:bCs/>
                <w:color w:val="auto"/>
                <w:sz w:val="21"/>
                <w:szCs w:val="21"/>
                <w:lang w:val="en-US" w:eastAsia="zh-CN"/>
              </w:rPr>
              <w:t>2</w:t>
            </w:r>
            <w:r>
              <w:rPr>
                <w:bCs/>
                <w:color w:val="auto"/>
                <w:sz w:val="21"/>
                <w:szCs w:val="21"/>
              </w:rPr>
              <w:t>类标准</w:t>
            </w:r>
          </w:p>
        </w:tc>
      </w:tr>
      <w:tr w14:paraId="0D187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3" w:type="dxa"/>
            <w:vAlign w:val="center"/>
          </w:tcPr>
          <w:p w14:paraId="2B089B1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电磁辐射</w:t>
            </w:r>
          </w:p>
        </w:tc>
        <w:tc>
          <w:tcPr>
            <w:tcW w:w="1776" w:type="dxa"/>
            <w:vAlign w:val="center"/>
          </w:tcPr>
          <w:p w14:paraId="52A447E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无</w:t>
            </w:r>
          </w:p>
        </w:tc>
        <w:tc>
          <w:tcPr>
            <w:tcW w:w="1100" w:type="dxa"/>
            <w:vAlign w:val="center"/>
          </w:tcPr>
          <w:p w14:paraId="1F58723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无</w:t>
            </w:r>
          </w:p>
        </w:tc>
        <w:tc>
          <w:tcPr>
            <w:tcW w:w="3309" w:type="dxa"/>
            <w:vAlign w:val="center"/>
          </w:tcPr>
          <w:p w14:paraId="15219C4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无</w:t>
            </w:r>
          </w:p>
        </w:tc>
        <w:tc>
          <w:tcPr>
            <w:tcW w:w="1535" w:type="dxa"/>
            <w:vAlign w:val="center"/>
          </w:tcPr>
          <w:p w14:paraId="62AE70F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无</w:t>
            </w:r>
          </w:p>
        </w:tc>
      </w:tr>
      <w:tr w14:paraId="231CA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1533" w:type="dxa"/>
            <w:vMerge w:val="restart"/>
            <w:vAlign w:val="center"/>
          </w:tcPr>
          <w:p w14:paraId="4945ECA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固体废物</w:t>
            </w:r>
          </w:p>
        </w:tc>
        <w:tc>
          <w:tcPr>
            <w:tcW w:w="1776" w:type="dxa"/>
            <w:vAlign w:val="center"/>
          </w:tcPr>
          <w:p w14:paraId="28BEBC35">
            <w:pPr>
              <w:pStyle w:val="95"/>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kern w:val="0"/>
                <w:szCs w:val="21"/>
              </w:rPr>
            </w:pPr>
            <w:r>
              <w:rPr>
                <w:color w:val="auto"/>
                <w:kern w:val="0"/>
                <w:szCs w:val="21"/>
              </w:rPr>
              <w:t>布袋除尘器收集的粉尘</w:t>
            </w:r>
          </w:p>
        </w:tc>
        <w:tc>
          <w:tcPr>
            <w:tcW w:w="1100" w:type="dxa"/>
            <w:vAlign w:val="center"/>
          </w:tcPr>
          <w:p w14:paraId="5BBC033C">
            <w:pPr>
              <w:pStyle w:val="95"/>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kern w:val="0"/>
                <w:szCs w:val="21"/>
              </w:rPr>
            </w:pPr>
            <w:r>
              <w:rPr>
                <w:rFonts w:hint="eastAsia"/>
                <w:color w:val="auto"/>
                <w:kern w:val="0"/>
                <w:szCs w:val="21"/>
              </w:rPr>
              <w:t>颗粒物</w:t>
            </w:r>
          </w:p>
        </w:tc>
        <w:tc>
          <w:tcPr>
            <w:tcW w:w="3309" w:type="dxa"/>
            <w:vAlign w:val="center"/>
          </w:tcPr>
          <w:p w14:paraId="56BFB1F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bCs/>
                <w:color w:val="auto"/>
                <w:sz w:val="21"/>
                <w:szCs w:val="21"/>
              </w:rPr>
            </w:pPr>
            <w:r>
              <w:rPr>
                <w:bCs/>
                <w:color w:val="auto"/>
                <w:sz w:val="21"/>
                <w:szCs w:val="21"/>
              </w:rPr>
              <w:t>收集后回用于生产</w:t>
            </w:r>
          </w:p>
        </w:tc>
        <w:tc>
          <w:tcPr>
            <w:tcW w:w="1535" w:type="dxa"/>
            <w:vAlign w:val="center"/>
          </w:tcPr>
          <w:p w14:paraId="22B1A62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rFonts w:hint="eastAsia"/>
                <w:color w:val="auto"/>
                <w:sz w:val="21"/>
                <w:szCs w:val="21"/>
              </w:rPr>
              <w:t>《一般工业固体废物贮存和填埋污染控制标准》（GB 18599-2020）</w:t>
            </w:r>
          </w:p>
        </w:tc>
      </w:tr>
      <w:tr w14:paraId="745EA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3" w:type="dxa"/>
            <w:vMerge w:val="continue"/>
            <w:vAlign w:val="center"/>
          </w:tcPr>
          <w:p w14:paraId="54174C4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p>
        </w:tc>
        <w:tc>
          <w:tcPr>
            <w:tcW w:w="1776" w:type="dxa"/>
            <w:vAlign w:val="center"/>
          </w:tcPr>
          <w:p w14:paraId="13CD498D">
            <w:pPr>
              <w:pStyle w:val="95"/>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kern w:val="0"/>
                <w:szCs w:val="21"/>
              </w:rPr>
            </w:pPr>
            <w:r>
              <w:rPr>
                <w:rFonts w:hint="eastAsia"/>
                <w:color w:val="auto"/>
                <w:kern w:val="0"/>
                <w:szCs w:val="21"/>
              </w:rPr>
              <w:t>机械维修</w:t>
            </w:r>
          </w:p>
        </w:tc>
        <w:tc>
          <w:tcPr>
            <w:tcW w:w="1100" w:type="dxa"/>
            <w:vAlign w:val="center"/>
          </w:tcPr>
          <w:p w14:paraId="031931AE">
            <w:pPr>
              <w:pStyle w:val="95"/>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kern w:val="0"/>
                <w:szCs w:val="21"/>
              </w:rPr>
            </w:pPr>
            <w:r>
              <w:rPr>
                <w:rFonts w:hint="eastAsia"/>
                <w:color w:val="auto"/>
                <w:kern w:val="0"/>
                <w:szCs w:val="21"/>
              </w:rPr>
              <w:t>机修废油</w:t>
            </w:r>
          </w:p>
        </w:tc>
        <w:tc>
          <w:tcPr>
            <w:tcW w:w="3309" w:type="dxa"/>
            <w:vAlign w:val="center"/>
          </w:tcPr>
          <w:p w14:paraId="1A14C38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bCs/>
                <w:color w:val="auto"/>
                <w:sz w:val="21"/>
                <w:szCs w:val="21"/>
              </w:rPr>
            </w:pPr>
            <w:r>
              <w:rPr>
                <w:rFonts w:hint="eastAsia"/>
                <w:bCs/>
                <w:color w:val="auto"/>
                <w:sz w:val="21"/>
                <w:szCs w:val="21"/>
              </w:rPr>
              <w:t>经收集后暂存于</w:t>
            </w:r>
            <w:r>
              <w:rPr>
                <w:rFonts w:hint="eastAsia"/>
                <w:bCs/>
                <w:color w:val="auto"/>
                <w:sz w:val="21"/>
                <w:szCs w:val="21"/>
                <w:lang w:eastAsia="zh-CN"/>
              </w:rPr>
              <w:t>云南常青树化工有限公司</w:t>
            </w:r>
            <w:r>
              <w:rPr>
                <w:rFonts w:hint="eastAsia"/>
                <w:bCs/>
                <w:color w:val="auto"/>
                <w:sz w:val="21"/>
                <w:szCs w:val="21"/>
              </w:rPr>
              <w:t>现有危废暂存间，并委托</w:t>
            </w:r>
            <w:r>
              <w:rPr>
                <w:rFonts w:hint="eastAsia"/>
                <w:bCs/>
                <w:color w:val="auto"/>
                <w:sz w:val="21"/>
                <w:szCs w:val="21"/>
                <w:lang w:eastAsia="zh-CN"/>
              </w:rPr>
              <w:t>云南协快再生资源回收有限公司</w:t>
            </w:r>
            <w:r>
              <w:rPr>
                <w:rFonts w:hint="eastAsia"/>
                <w:bCs/>
                <w:color w:val="auto"/>
                <w:sz w:val="21"/>
                <w:szCs w:val="21"/>
              </w:rPr>
              <w:t>处理</w:t>
            </w:r>
          </w:p>
        </w:tc>
        <w:tc>
          <w:tcPr>
            <w:tcW w:w="1535" w:type="dxa"/>
            <w:vAlign w:val="center"/>
          </w:tcPr>
          <w:p w14:paraId="40C20A8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bCs/>
                <w:color w:val="auto"/>
                <w:sz w:val="21"/>
                <w:szCs w:val="21"/>
              </w:rPr>
            </w:pPr>
            <w:r>
              <w:rPr>
                <w:bCs/>
                <w:color w:val="auto"/>
                <w:sz w:val="21"/>
                <w:szCs w:val="21"/>
              </w:rPr>
              <w:t>《危险废物贮存污染控制标准》（GB</w:t>
            </w:r>
            <w:r>
              <w:rPr>
                <w:rFonts w:hint="eastAsia"/>
                <w:bCs/>
                <w:color w:val="auto"/>
                <w:sz w:val="21"/>
                <w:szCs w:val="21"/>
              </w:rPr>
              <w:t xml:space="preserve"> </w:t>
            </w:r>
            <w:r>
              <w:rPr>
                <w:bCs/>
                <w:color w:val="auto"/>
                <w:sz w:val="21"/>
                <w:szCs w:val="21"/>
              </w:rPr>
              <w:t>18597-20</w:t>
            </w:r>
            <w:r>
              <w:rPr>
                <w:rFonts w:hint="eastAsia"/>
                <w:bCs/>
                <w:color w:val="auto"/>
                <w:sz w:val="21"/>
                <w:szCs w:val="21"/>
              </w:rPr>
              <w:t>23</w:t>
            </w:r>
            <w:r>
              <w:rPr>
                <w:bCs/>
                <w:color w:val="auto"/>
                <w:sz w:val="21"/>
                <w:szCs w:val="21"/>
              </w:rPr>
              <w:t>）</w:t>
            </w:r>
            <w:r>
              <w:rPr>
                <w:rFonts w:hint="eastAsia"/>
                <w:color w:val="auto"/>
                <w:sz w:val="21"/>
                <w:szCs w:val="21"/>
              </w:rPr>
              <w:t>的有关规定</w:t>
            </w:r>
          </w:p>
        </w:tc>
      </w:tr>
      <w:tr w14:paraId="71E65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3" w:type="dxa"/>
            <w:vAlign w:val="center"/>
          </w:tcPr>
          <w:p w14:paraId="135608A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土壤及地下水</w:t>
            </w:r>
          </w:p>
          <w:p w14:paraId="1560500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污染防治措施</w:t>
            </w:r>
          </w:p>
        </w:tc>
        <w:tc>
          <w:tcPr>
            <w:tcW w:w="7720" w:type="dxa"/>
            <w:gridSpan w:val="4"/>
            <w:vAlign w:val="center"/>
          </w:tcPr>
          <w:p w14:paraId="7C88FA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z w:val="21"/>
                <w:szCs w:val="21"/>
              </w:rPr>
            </w:pPr>
            <w:r>
              <w:rPr>
                <w:rFonts w:hint="eastAsia"/>
                <w:color w:val="auto"/>
                <w:sz w:val="21"/>
                <w:szCs w:val="21"/>
              </w:rPr>
              <w:t>（</w:t>
            </w:r>
            <w:r>
              <w:rPr>
                <w:color w:val="auto"/>
                <w:sz w:val="21"/>
                <w:szCs w:val="21"/>
              </w:rPr>
              <w:t>1）做好项目废气、废水、固废污染物处置措施，严防污染物事故排放影响土壤环境；</w:t>
            </w:r>
          </w:p>
          <w:p w14:paraId="2C7509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z w:val="21"/>
                <w:szCs w:val="21"/>
              </w:rPr>
            </w:pPr>
            <w:r>
              <w:rPr>
                <w:color w:val="auto"/>
                <w:sz w:val="21"/>
                <w:szCs w:val="21"/>
              </w:rPr>
              <w:t>（2）做好废机油的收集、暂存、转运工作，严格按照《危险废物贮存污染控制标准》</w:t>
            </w:r>
            <w:r>
              <w:rPr>
                <w:rFonts w:hAnsi="宋体"/>
                <w:color w:val="auto"/>
                <w:sz w:val="21"/>
                <w:szCs w:val="21"/>
              </w:rPr>
              <w:t>（GB</w:t>
            </w:r>
            <w:r>
              <w:rPr>
                <w:rFonts w:hint="eastAsia" w:hAnsi="宋体"/>
                <w:color w:val="auto"/>
                <w:sz w:val="21"/>
                <w:szCs w:val="21"/>
              </w:rPr>
              <w:t xml:space="preserve"> </w:t>
            </w:r>
            <w:r>
              <w:rPr>
                <w:rFonts w:hAnsi="宋体"/>
                <w:color w:val="auto"/>
                <w:sz w:val="21"/>
                <w:szCs w:val="21"/>
              </w:rPr>
              <w:t>18597-20</w:t>
            </w:r>
            <w:r>
              <w:rPr>
                <w:rFonts w:hint="eastAsia" w:hAnsi="宋体"/>
                <w:color w:val="auto"/>
                <w:sz w:val="21"/>
                <w:szCs w:val="21"/>
              </w:rPr>
              <w:t>23</w:t>
            </w:r>
            <w:r>
              <w:rPr>
                <w:rFonts w:hAnsi="宋体"/>
                <w:color w:val="auto"/>
                <w:sz w:val="21"/>
                <w:szCs w:val="21"/>
              </w:rPr>
              <w:t>）</w:t>
            </w:r>
            <w:r>
              <w:rPr>
                <w:color w:val="auto"/>
                <w:sz w:val="21"/>
                <w:szCs w:val="21"/>
              </w:rPr>
              <w:t>的相关要求进行，做好转移记录，</w:t>
            </w:r>
            <w:r>
              <w:rPr>
                <w:rFonts w:hint="eastAsia"/>
                <w:color w:val="auto"/>
                <w:sz w:val="21"/>
                <w:szCs w:val="21"/>
              </w:rPr>
              <w:t>并委托</w:t>
            </w:r>
            <w:r>
              <w:rPr>
                <w:rFonts w:hint="eastAsia"/>
                <w:color w:val="auto"/>
                <w:sz w:val="21"/>
                <w:szCs w:val="21"/>
                <w:lang w:eastAsia="zh-CN"/>
              </w:rPr>
              <w:t>云南协快再生资源回收有限公司</w:t>
            </w:r>
            <w:r>
              <w:rPr>
                <w:rFonts w:hint="eastAsia"/>
                <w:color w:val="auto"/>
                <w:sz w:val="21"/>
                <w:szCs w:val="21"/>
              </w:rPr>
              <w:t>处理</w:t>
            </w:r>
            <w:r>
              <w:rPr>
                <w:color w:val="auto"/>
                <w:sz w:val="21"/>
                <w:szCs w:val="21"/>
              </w:rPr>
              <w:t>。</w:t>
            </w:r>
          </w:p>
          <w:p w14:paraId="31680F46">
            <w:pPr>
              <w:pStyle w:val="138"/>
              <w:keepNext w:val="0"/>
              <w:keepLines w:val="0"/>
              <w:pageBreakBefore w:val="0"/>
              <w:widowControl w:val="0"/>
              <w:kinsoku/>
              <w:wordWrap/>
              <w:overflowPunct/>
              <w:topLinePunct w:val="0"/>
              <w:autoSpaceDE/>
              <w:autoSpaceDN/>
              <w:bidi w:val="0"/>
              <w:spacing w:line="240" w:lineRule="auto"/>
              <w:ind w:right="0" w:firstLine="0" w:firstLineChars="0"/>
              <w:jc w:val="left"/>
              <w:textAlignment w:val="auto"/>
              <w:rPr>
                <w:color w:val="auto"/>
                <w:sz w:val="21"/>
                <w:szCs w:val="21"/>
              </w:rPr>
            </w:pPr>
            <w:r>
              <w:rPr>
                <w:color w:val="auto"/>
                <w:sz w:val="21"/>
                <w:szCs w:val="21"/>
              </w:rPr>
              <w:t>（</w:t>
            </w:r>
            <w:r>
              <w:rPr>
                <w:rFonts w:hint="eastAsia"/>
                <w:color w:val="auto"/>
                <w:sz w:val="21"/>
                <w:szCs w:val="21"/>
              </w:rPr>
              <w:t>3</w:t>
            </w:r>
            <w:r>
              <w:rPr>
                <w:color w:val="auto"/>
                <w:sz w:val="21"/>
                <w:szCs w:val="21"/>
              </w:rPr>
              <w:t>）</w:t>
            </w:r>
            <w:r>
              <w:rPr>
                <w:rFonts w:hint="eastAsia"/>
                <w:color w:val="auto"/>
                <w:sz w:val="21"/>
                <w:szCs w:val="21"/>
              </w:rPr>
              <w:t>熟化及成品堆场</w:t>
            </w:r>
            <w:r>
              <w:rPr>
                <w:color w:val="auto"/>
                <w:sz w:val="21"/>
                <w:szCs w:val="21"/>
              </w:rPr>
              <w:t>防渗系统：</w:t>
            </w:r>
            <w:r>
              <w:rPr>
                <w:rFonts w:hint="eastAsia"/>
                <w:color w:val="auto"/>
                <w:sz w:val="21"/>
                <w:szCs w:val="21"/>
                <w:lang w:val="en-US" w:eastAsia="zh-CN"/>
              </w:rPr>
              <w:t>粘土铺地压实（</w:t>
            </w:r>
            <w:r>
              <w:rPr>
                <w:color w:val="auto"/>
                <w:sz w:val="21"/>
                <w:szCs w:val="21"/>
              </w:rPr>
              <w:t>厚度</w:t>
            </w:r>
            <w:r>
              <w:rPr>
                <w:rFonts w:hint="eastAsia"/>
                <w:color w:val="auto"/>
                <w:sz w:val="21"/>
                <w:szCs w:val="21"/>
              </w:rPr>
              <w:t>0.75</w:t>
            </w:r>
            <w:r>
              <w:rPr>
                <w:color w:val="auto"/>
                <w:sz w:val="21"/>
                <w:szCs w:val="21"/>
              </w:rPr>
              <w:t>m，K≤1×10</w:t>
            </w:r>
            <w:r>
              <w:rPr>
                <w:color w:val="auto"/>
                <w:sz w:val="21"/>
                <w:szCs w:val="21"/>
                <w:vertAlign w:val="superscript"/>
              </w:rPr>
              <w:t>-7</w:t>
            </w:r>
            <w:r>
              <w:rPr>
                <w:color w:val="auto"/>
                <w:sz w:val="21"/>
                <w:szCs w:val="21"/>
              </w:rPr>
              <w:t>cm/s</w:t>
            </w:r>
            <w:r>
              <w:rPr>
                <w:rFonts w:hint="eastAsia"/>
                <w:color w:val="auto"/>
                <w:sz w:val="21"/>
                <w:szCs w:val="21"/>
                <w:lang w:val="en-US" w:eastAsia="zh-CN"/>
              </w:rPr>
              <w:t>）、再在上层铺设</w:t>
            </w:r>
            <w:r>
              <w:rPr>
                <w:rFonts w:hint="eastAsia"/>
                <w:color w:val="auto"/>
                <w:sz w:val="21"/>
                <w:szCs w:val="21"/>
              </w:rPr>
              <w:t>C</w:t>
            </w:r>
            <w:r>
              <w:rPr>
                <w:rFonts w:hint="eastAsia"/>
                <w:color w:val="auto"/>
                <w:sz w:val="21"/>
                <w:szCs w:val="21"/>
                <w:lang w:val="en-US" w:eastAsia="zh-CN"/>
              </w:rPr>
              <w:t>3</w:t>
            </w:r>
            <w:r>
              <w:rPr>
                <w:rFonts w:hint="eastAsia"/>
                <w:color w:val="auto"/>
                <w:sz w:val="21"/>
                <w:szCs w:val="21"/>
              </w:rPr>
              <w:t>0</w:t>
            </w:r>
            <w:r>
              <w:rPr>
                <w:color w:val="auto"/>
                <w:sz w:val="21"/>
                <w:szCs w:val="21"/>
              </w:rPr>
              <w:t>混凝土（厚度</w:t>
            </w:r>
            <w:r>
              <w:rPr>
                <w:rFonts w:hint="eastAsia"/>
                <w:color w:val="auto"/>
                <w:sz w:val="21"/>
                <w:szCs w:val="21"/>
                <w:lang w:val="en-US" w:eastAsia="zh-CN"/>
              </w:rPr>
              <w:t>300</w:t>
            </w:r>
            <w:r>
              <w:rPr>
                <w:rFonts w:hint="eastAsia"/>
                <w:color w:val="auto"/>
                <w:sz w:val="21"/>
                <w:szCs w:val="21"/>
              </w:rPr>
              <w:t>mm</w:t>
            </w:r>
            <w:r>
              <w:rPr>
                <w:rFonts w:hint="eastAsia"/>
                <w:color w:val="auto"/>
                <w:sz w:val="21"/>
                <w:szCs w:val="21"/>
                <w:lang w:eastAsia="zh-CN"/>
              </w:rPr>
              <w:t>、</w:t>
            </w:r>
            <w:r>
              <w:rPr>
                <w:rFonts w:hint="eastAsia"/>
                <w:color w:val="auto"/>
                <w:sz w:val="21"/>
                <w:szCs w:val="21"/>
                <w:lang w:val="en-US" w:eastAsia="zh-CN"/>
              </w:rPr>
              <w:t>抗渗等级为P8</w:t>
            </w:r>
            <w:r>
              <w:rPr>
                <w:color w:val="auto"/>
                <w:sz w:val="21"/>
                <w:szCs w:val="21"/>
              </w:rPr>
              <w:t>）</w:t>
            </w:r>
            <w:r>
              <w:rPr>
                <w:rFonts w:hint="eastAsia"/>
                <w:color w:val="auto"/>
                <w:sz w:val="21"/>
                <w:szCs w:val="21"/>
                <w:lang w:eastAsia="zh-CN"/>
              </w:rPr>
              <w:t>，</w:t>
            </w:r>
            <w:r>
              <w:rPr>
                <w:color w:val="auto"/>
                <w:sz w:val="21"/>
                <w:szCs w:val="21"/>
              </w:rPr>
              <w:t>满足《一般工业固体废物贮存和填埋污染控制标准》中Ⅱ类场技术要求。</w:t>
            </w:r>
          </w:p>
          <w:p w14:paraId="291D07A7">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bCs/>
                <w:color w:val="auto"/>
                <w:sz w:val="21"/>
                <w:szCs w:val="21"/>
              </w:rPr>
            </w:pPr>
            <w:r>
              <w:rPr>
                <w:color w:val="auto"/>
                <w:sz w:val="21"/>
                <w:szCs w:val="21"/>
              </w:rPr>
              <w:t>（</w:t>
            </w:r>
            <w:r>
              <w:rPr>
                <w:rFonts w:hint="eastAsia"/>
                <w:color w:val="auto"/>
                <w:sz w:val="21"/>
                <w:szCs w:val="21"/>
              </w:rPr>
              <w:t>4</w:t>
            </w:r>
            <w:r>
              <w:rPr>
                <w:color w:val="auto"/>
                <w:sz w:val="21"/>
                <w:szCs w:val="21"/>
              </w:rPr>
              <w:t>）其他区域依托混凝土浇筑，水泥硬化。</w:t>
            </w:r>
          </w:p>
        </w:tc>
      </w:tr>
      <w:tr w14:paraId="4A281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3" w:type="dxa"/>
            <w:vAlign w:val="center"/>
          </w:tcPr>
          <w:p w14:paraId="4CD6E98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生态保护措施</w:t>
            </w:r>
          </w:p>
        </w:tc>
        <w:tc>
          <w:tcPr>
            <w:tcW w:w="7720" w:type="dxa"/>
            <w:gridSpan w:val="4"/>
            <w:vAlign w:val="center"/>
          </w:tcPr>
          <w:p w14:paraId="3ADAF22D">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color w:val="auto"/>
                <w:sz w:val="21"/>
                <w:szCs w:val="21"/>
              </w:rPr>
              <w:t>无</w:t>
            </w:r>
          </w:p>
        </w:tc>
      </w:tr>
      <w:tr w14:paraId="7A74D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3" w:type="dxa"/>
            <w:vAlign w:val="center"/>
          </w:tcPr>
          <w:p w14:paraId="3128B07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pacing w:val="-8"/>
                <w:sz w:val="21"/>
                <w:szCs w:val="21"/>
              </w:rPr>
            </w:pPr>
            <w:r>
              <w:rPr>
                <w:color w:val="auto"/>
                <w:spacing w:val="-8"/>
                <w:sz w:val="21"/>
                <w:szCs w:val="21"/>
              </w:rPr>
              <w:t>环境风险</w:t>
            </w:r>
          </w:p>
          <w:p w14:paraId="1DA8BD9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pacing w:val="-8"/>
                <w:sz w:val="21"/>
                <w:szCs w:val="21"/>
              </w:rPr>
            </w:pPr>
            <w:r>
              <w:rPr>
                <w:color w:val="auto"/>
                <w:spacing w:val="-8"/>
                <w:sz w:val="21"/>
                <w:szCs w:val="21"/>
              </w:rPr>
              <w:t>防范措施</w:t>
            </w:r>
          </w:p>
        </w:tc>
        <w:tc>
          <w:tcPr>
            <w:tcW w:w="7720" w:type="dxa"/>
            <w:gridSpan w:val="4"/>
            <w:vAlign w:val="center"/>
          </w:tcPr>
          <w:p w14:paraId="40E8CC3B">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rFonts w:hint="eastAsia"/>
                <w:color w:val="auto"/>
                <w:sz w:val="21"/>
                <w:szCs w:val="21"/>
              </w:rPr>
              <w:t>（1）</w:t>
            </w:r>
            <w:r>
              <w:rPr>
                <w:color w:val="auto"/>
                <w:sz w:val="21"/>
                <w:szCs w:val="21"/>
              </w:rPr>
              <w:t>危险废物泄漏事故风险防范措施</w:t>
            </w:r>
          </w:p>
          <w:p w14:paraId="33E83D28">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bCs/>
                <w:color w:val="auto"/>
                <w:sz w:val="21"/>
                <w:szCs w:val="21"/>
              </w:rPr>
            </w:pPr>
            <w:r>
              <w:rPr>
                <w:color w:val="auto"/>
                <w:sz w:val="21"/>
                <w:szCs w:val="21"/>
              </w:rPr>
              <w:fldChar w:fldCharType="begin"/>
            </w:r>
            <w:r>
              <w:rPr>
                <w:color w:val="auto"/>
                <w:sz w:val="21"/>
                <w:szCs w:val="21"/>
              </w:rPr>
              <w:instrText xml:space="preserve"> = 1 \* GB3 </w:instrText>
            </w:r>
            <w:r>
              <w:rPr>
                <w:color w:val="auto"/>
                <w:sz w:val="21"/>
                <w:szCs w:val="21"/>
              </w:rPr>
              <w:fldChar w:fldCharType="separate"/>
            </w:r>
            <w:r>
              <w:rPr>
                <w:rFonts w:hint="eastAsia" w:ascii="宋体" w:hAnsi="宋体" w:cs="宋体"/>
                <w:color w:val="auto"/>
                <w:sz w:val="21"/>
                <w:szCs w:val="21"/>
              </w:rPr>
              <w:t>①</w:t>
            </w:r>
            <w:r>
              <w:rPr>
                <w:color w:val="auto"/>
                <w:sz w:val="21"/>
                <w:szCs w:val="21"/>
              </w:rPr>
              <w:fldChar w:fldCharType="end"/>
            </w:r>
            <w:r>
              <w:rPr>
                <w:rFonts w:hint="eastAsia"/>
                <w:color w:val="auto"/>
                <w:sz w:val="21"/>
                <w:szCs w:val="21"/>
              </w:rPr>
              <w:t>不同种类的危险废物分别存在不同的容器中，不得混装，分区储存；危险废物暂存间粘贴危险废物标示</w:t>
            </w:r>
            <w:r>
              <w:rPr>
                <w:bCs/>
                <w:color w:val="auto"/>
                <w:sz w:val="21"/>
                <w:szCs w:val="21"/>
              </w:rPr>
              <w:t>。</w:t>
            </w:r>
          </w:p>
          <w:p w14:paraId="5D2F9E51">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bCs/>
                <w:color w:val="auto"/>
                <w:sz w:val="21"/>
                <w:szCs w:val="21"/>
              </w:rPr>
            </w:pPr>
            <w:r>
              <w:rPr>
                <w:color w:val="auto"/>
                <w:sz w:val="21"/>
                <w:szCs w:val="21"/>
              </w:rPr>
              <w:fldChar w:fldCharType="begin"/>
            </w:r>
            <w:r>
              <w:rPr>
                <w:color w:val="auto"/>
                <w:sz w:val="21"/>
                <w:szCs w:val="21"/>
              </w:rPr>
              <w:instrText xml:space="preserve"> = 2 \* GB3 </w:instrText>
            </w:r>
            <w:r>
              <w:rPr>
                <w:color w:val="auto"/>
                <w:sz w:val="21"/>
                <w:szCs w:val="21"/>
              </w:rPr>
              <w:fldChar w:fldCharType="separate"/>
            </w:r>
            <w:r>
              <w:rPr>
                <w:rFonts w:hint="eastAsia" w:ascii="宋体" w:hAnsi="宋体" w:cs="宋体"/>
                <w:color w:val="auto"/>
                <w:sz w:val="21"/>
                <w:szCs w:val="21"/>
              </w:rPr>
              <w:t>②</w:t>
            </w:r>
            <w:r>
              <w:rPr>
                <w:color w:val="auto"/>
                <w:sz w:val="21"/>
                <w:szCs w:val="21"/>
              </w:rPr>
              <w:fldChar w:fldCharType="end"/>
            </w:r>
            <w:r>
              <w:rPr>
                <w:rFonts w:hint="eastAsia"/>
                <w:color w:val="auto"/>
                <w:sz w:val="21"/>
                <w:szCs w:val="21"/>
              </w:rPr>
              <w:t>固体危险废物包装完整，不得渗漏；液体危险废物包装容器密封，有盖</w:t>
            </w:r>
            <w:r>
              <w:rPr>
                <w:color w:val="auto"/>
                <w:sz w:val="21"/>
                <w:szCs w:val="21"/>
              </w:rPr>
              <w:t>。</w:t>
            </w:r>
          </w:p>
          <w:p w14:paraId="2A8F19BC">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rFonts w:hint="eastAsia"/>
                <w:color w:val="auto"/>
                <w:sz w:val="21"/>
                <w:szCs w:val="21"/>
              </w:rPr>
              <w:t>③危险废物暂存间应采用防渗、防外溢播施；危废暂存间应设置收集池、灭火器等应急设施</w:t>
            </w:r>
            <w:r>
              <w:rPr>
                <w:color w:val="auto"/>
                <w:sz w:val="21"/>
                <w:szCs w:val="21"/>
              </w:rPr>
              <w:t>。</w:t>
            </w:r>
          </w:p>
          <w:p w14:paraId="781D5A8F">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rFonts w:hint="eastAsia"/>
                <w:color w:val="auto"/>
                <w:sz w:val="21"/>
                <w:szCs w:val="21"/>
              </w:rPr>
              <w:t>④暂存的危险废物不得超过一年，确需要延长期限的，必须报环保主管部门批准；按规范要求建立危险废物管理制度及管理台账</w:t>
            </w:r>
            <w:r>
              <w:rPr>
                <w:color w:val="auto"/>
                <w:sz w:val="21"/>
                <w:szCs w:val="21"/>
              </w:rPr>
              <w:t>。</w:t>
            </w:r>
          </w:p>
          <w:p w14:paraId="591D2360">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bCs/>
                <w:color w:val="auto"/>
                <w:sz w:val="21"/>
                <w:szCs w:val="21"/>
              </w:rPr>
            </w:pPr>
            <w:r>
              <w:rPr>
                <w:rFonts w:hint="eastAsia"/>
                <w:color w:val="auto"/>
                <w:sz w:val="21"/>
                <w:szCs w:val="21"/>
              </w:rPr>
              <w:t>⑤危险废物处置必须委托有资质的单位进行处理转移处置</w:t>
            </w:r>
            <w:r>
              <w:rPr>
                <w:bCs/>
                <w:color w:val="auto"/>
                <w:sz w:val="21"/>
                <w:szCs w:val="21"/>
              </w:rPr>
              <w:t>。</w:t>
            </w:r>
          </w:p>
          <w:p w14:paraId="3B0AC0D1">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rFonts w:hint="eastAsia"/>
                <w:color w:val="auto"/>
                <w:sz w:val="21"/>
                <w:szCs w:val="21"/>
              </w:rPr>
              <w:t>（2）</w:t>
            </w:r>
            <w:r>
              <w:rPr>
                <w:color w:val="auto"/>
                <w:sz w:val="21"/>
                <w:szCs w:val="21"/>
              </w:rPr>
              <w:t>火灾、爆炸事故风险防范措施</w:t>
            </w:r>
          </w:p>
          <w:p w14:paraId="32B849A4">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rFonts w:hint="eastAsia"/>
                <w:color w:val="auto"/>
                <w:sz w:val="21"/>
                <w:szCs w:val="21"/>
              </w:rPr>
              <w:t>①易燃物品定点、分类存放，员工严禁私自储存或携带。</w:t>
            </w:r>
          </w:p>
          <w:p w14:paraId="74D1B1FC">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rFonts w:hint="eastAsia"/>
                <w:color w:val="auto"/>
                <w:sz w:val="21"/>
                <w:szCs w:val="21"/>
              </w:rPr>
              <w:t>②不使用易燃、挥发性液体擦洗设备</w:t>
            </w:r>
            <w:r>
              <w:rPr>
                <w:color w:val="auto"/>
                <w:sz w:val="21"/>
                <w:szCs w:val="21"/>
              </w:rPr>
              <w:t>。</w:t>
            </w:r>
          </w:p>
          <w:p w14:paraId="5C12EFC9">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rFonts w:hint="eastAsia"/>
                <w:color w:val="auto"/>
                <w:sz w:val="21"/>
                <w:szCs w:val="21"/>
              </w:rPr>
              <w:t>③生产厂区内严格控制火源、进入易燃易爆区域车辆安装阻火器。</w:t>
            </w:r>
          </w:p>
          <w:p w14:paraId="277A4787">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rFonts w:hint="eastAsia"/>
                <w:color w:val="auto"/>
                <w:sz w:val="21"/>
                <w:szCs w:val="21"/>
              </w:rPr>
              <w:t>④富氧环境内严禁动火作业。</w:t>
            </w:r>
          </w:p>
          <w:p w14:paraId="1263350C">
            <w:pPr>
              <w:pStyle w:val="97"/>
              <w:keepNext w:val="0"/>
              <w:keepLines w:val="0"/>
              <w:pageBreakBefore w:val="0"/>
              <w:widowControl w:val="0"/>
              <w:kinsoku/>
              <w:wordWrap/>
              <w:overflowPunct/>
              <w:topLinePunct w:val="0"/>
              <w:autoSpaceDE/>
              <w:autoSpaceDN/>
              <w:bidi w:val="0"/>
              <w:spacing w:line="240" w:lineRule="auto"/>
              <w:ind w:firstLine="0" w:firstLineChars="0"/>
              <w:textAlignment w:val="auto"/>
              <w:rPr>
                <w:color w:val="auto"/>
                <w:sz w:val="21"/>
                <w:szCs w:val="21"/>
              </w:rPr>
            </w:pPr>
            <w:r>
              <w:rPr>
                <w:rFonts w:hint="eastAsia"/>
                <w:color w:val="auto"/>
                <w:sz w:val="21"/>
                <w:szCs w:val="21"/>
              </w:rPr>
              <w:t>（3）</w:t>
            </w:r>
            <w:r>
              <w:rPr>
                <w:color w:val="auto"/>
                <w:sz w:val="21"/>
                <w:szCs w:val="21"/>
              </w:rPr>
              <w:t>熟化及成品堆场防渗措施遭到破坏</w:t>
            </w:r>
            <w:r>
              <w:rPr>
                <w:rFonts w:hint="eastAsia" w:hAnsi="宋体"/>
                <w:color w:val="auto"/>
                <w:sz w:val="21"/>
                <w:szCs w:val="21"/>
              </w:rPr>
              <w:t>事件风险防范措施</w:t>
            </w:r>
          </w:p>
          <w:p w14:paraId="1017743A">
            <w:pPr>
              <w:pStyle w:val="97"/>
              <w:keepNext w:val="0"/>
              <w:keepLines w:val="0"/>
              <w:pageBreakBefore w:val="0"/>
              <w:widowControl w:val="0"/>
              <w:kinsoku/>
              <w:wordWrap/>
              <w:overflowPunct/>
              <w:topLinePunct w:val="0"/>
              <w:autoSpaceDE/>
              <w:autoSpaceDN/>
              <w:bidi w:val="0"/>
              <w:spacing w:line="240" w:lineRule="auto"/>
              <w:ind w:firstLine="0" w:firstLineChars="0"/>
              <w:textAlignment w:val="auto"/>
              <w:rPr>
                <w:color w:val="auto"/>
                <w:sz w:val="21"/>
                <w:szCs w:val="21"/>
              </w:rPr>
            </w:pPr>
            <w:r>
              <w:rPr>
                <w:rFonts w:hint="eastAsia" w:hAnsi="宋体"/>
                <w:color w:val="auto"/>
                <w:sz w:val="21"/>
                <w:szCs w:val="21"/>
              </w:rPr>
              <w:t>若遇</w:t>
            </w:r>
            <w:r>
              <w:rPr>
                <w:color w:val="auto"/>
                <w:sz w:val="21"/>
                <w:szCs w:val="21"/>
              </w:rPr>
              <w:t>熟化及成品堆场防渗措施遭到破坏</w:t>
            </w:r>
            <w:r>
              <w:rPr>
                <w:rFonts w:hint="eastAsia" w:hAnsi="宋体"/>
                <w:color w:val="auto"/>
                <w:sz w:val="21"/>
                <w:szCs w:val="21"/>
              </w:rPr>
              <w:t>，首先停止物料的继续堆存，并将防渗措施被破坏的堆场上的物料及时转移至未被破坏的堆场，待防渗重新设置好后，再将继续堆存物料。</w:t>
            </w:r>
          </w:p>
          <w:p w14:paraId="7EB2BC73">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rFonts w:hint="eastAsia"/>
                <w:color w:val="auto"/>
                <w:sz w:val="21"/>
                <w:szCs w:val="21"/>
              </w:rPr>
              <w:t>（4）废气治理设施异常污染事件风险防范措施</w:t>
            </w:r>
          </w:p>
          <w:p w14:paraId="68BDA97A">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rFonts w:hint="eastAsia"/>
                <w:color w:val="auto"/>
                <w:sz w:val="21"/>
                <w:szCs w:val="21"/>
              </w:rPr>
              <w:t>①制定一套完整严格的故障处理制度，并有专人负责执行，以便发生故障及时处理。</w:t>
            </w:r>
          </w:p>
          <w:p w14:paraId="3AE0C26B">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rFonts w:hint="eastAsia"/>
                <w:color w:val="auto"/>
                <w:sz w:val="21"/>
                <w:szCs w:val="21"/>
              </w:rPr>
              <w:t>②建立定时巡检制度，发现问题及时处理；</w:t>
            </w:r>
          </w:p>
          <w:p w14:paraId="7291FCE2">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rFonts w:hint="eastAsia"/>
                <w:color w:val="auto"/>
                <w:sz w:val="21"/>
                <w:szCs w:val="21"/>
              </w:rPr>
              <w:t>③制定设备检修计划，定期对设施、装置进行检修。</w:t>
            </w:r>
          </w:p>
          <w:p w14:paraId="67861E6D">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color w:val="auto"/>
                <w:sz w:val="21"/>
                <w:szCs w:val="21"/>
              </w:rPr>
              <w:t>（</w:t>
            </w:r>
            <w:r>
              <w:rPr>
                <w:rFonts w:hint="eastAsia"/>
                <w:color w:val="auto"/>
                <w:sz w:val="21"/>
                <w:szCs w:val="21"/>
              </w:rPr>
              <w:t>6</w:t>
            </w:r>
            <w:r>
              <w:rPr>
                <w:color w:val="auto"/>
                <w:sz w:val="21"/>
                <w:szCs w:val="21"/>
              </w:rPr>
              <w:t>）事故应急措施</w:t>
            </w:r>
          </w:p>
          <w:p w14:paraId="43CBAC5B">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color w:val="auto"/>
                <w:sz w:val="21"/>
                <w:szCs w:val="21"/>
              </w:rPr>
              <w:t>为保证企业及人民生命财产的安全，防止突发性重大化学事故发生，并在发生事故时，能迅速有序地开展救援工作，尽最大努力减少事故的危害和损失。根据突发环境事件的结果，对于本项目可能造成的突发环境事件制定应急预案纲要，根据应急预案编制要求，至少每三年对环境应急预案进行一次回顾性评估。有下列情形之一的，及时修订：</w:t>
            </w:r>
          </w:p>
          <w:p w14:paraId="54E34FDE">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color w:val="auto"/>
                <w:sz w:val="21"/>
                <w:szCs w:val="21"/>
              </w:rPr>
              <w:t>（一）面临的环境风险发生重大变化，需要重新进行环境风险评估的；</w:t>
            </w:r>
          </w:p>
          <w:p w14:paraId="53453D18">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color w:val="auto"/>
                <w:sz w:val="21"/>
                <w:szCs w:val="21"/>
              </w:rPr>
              <w:t>（二）应急管理组织指挥体系与职责发生重大变化的；</w:t>
            </w:r>
          </w:p>
          <w:p w14:paraId="0AD63B38">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color w:val="auto"/>
                <w:sz w:val="21"/>
                <w:szCs w:val="21"/>
              </w:rPr>
              <w:t>（三）环境应急监测预警及报告机制、应对流程和措施、应急保障措施发生重大变化的；</w:t>
            </w:r>
          </w:p>
          <w:p w14:paraId="08033876">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color w:val="auto"/>
                <w:sz w:val="21"/>
                <w:szCs w:val="21"/>
              </w:rPr>
              <w:t>（四）重要应急资源发生重大变化的；</w:t>
            </w:r>
          </w:p>
          <w:p w14:paraId="0453A831">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color w:val="auto"/>
                <w:sz w:val="21"/>
                <w:szCs w:val="21"/>
              </w:rPr>
              <w:t>（五）在突发事件实际应对和应急演练中发现问题，需要对环境应急预案</w:t>
            </w:r>
          </w:p>
          <w:p w14:paraId="14C581D5">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color w:val="auto"/>
                <w:sz w:val="21"/>
                <w:szCs w:val="21"/>
              </w:rPr>
              <w:t>作出重大调整的；</w:t>
            </w:r>
          </w:p>
          <w:p w14:paraId="0B394C4B">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color w:val="auto"/>
                <w:sz w:val="21"/>
                <w:szCs w:val="21"/>
              </w:rPr>
              <w:t>（六）其他需要修订的情况。</w:t>
            </w:r>
          </w:p>
          <w:p w14:paraId="79FA953E">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color w:val="auto"/>
                <w:sz w:val="21"/>
                <w:szCs w:val="21"/>
              </w:rPr>
              <w:t>对环境应急预案进行重大修订的，修订工作参照环境应急预案制定步骤进行。对环境应急预案个别内容进行调整的，修订工作可适当简化。</w:t>
            </w:r>
            <w:r>
              <w:rPr>
                <w:rFonts w:hint="eastAsia"/>
                <w:color w:val="auto"/>
                <w:sz w:val="21"/>
                <w:szCs w:val="21"/>
                <w:lang w:eastAsia="zh-CN"/>
              </w:rPr>
              <w:t>云南常青树化工有限公司</w:t>
            </w:r>
            <w:r>
              <w:rPr>
                <w:color w:val="auto"/>
                <w:sz w:val="21"/>
                <w:szCs w:val="21"/>
              </w:rPr>
              <w:t>应及时编制及更新《突发环境事件应急预案》，并报予行政主管部门进行备案。</w:t>
            </w:r>
          </w:p>
        </w:tc>
      </w:tr>
      <w:tr w14:paraId="7227E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3" w:type="dxa"/>
            <w:vAlign w:val="center"/>
          </w:tcPr>
          <w:p w14:paraId="26094BB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pacing w:val="-8"/>
                <w:sz w:val="21"/>
                <w:szCs w:val="21"/>
              </w:rPr>
            </w:pPr>
            <w:r>
              <w:rPr>
                <w:color w:val="auto"/>
                <w:spacing w:val="-8"/>
                <w:sz w:val="21"/>
                <w:szCs w:val="21"/>
              </w:rPr>
              <w:t>其他环境</w:t>
            </w:r>
          </w:p>
          <w:p w14:paraId="01078A3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pacing w:val="-8"/>
                <w:sz w:val="21"/>
                <w:szCs w:val="21"/>
              </w:rPr>
            </w:pPr>
            <w:r>
              <w:rPr>
                <w:color w:val="auto"/>
                <w:spacing w:val="-8"/>
                <w:sz w:val="21"/>
                <w:szCs w:val="21"/>
              </w:rPr>
              <w:t>管理要求</w:t>
            </w:r>
          </w:p>
        </w:tc>
        <w:tc>
          <w:tcPr>
            <w:tcW w:w="7720" w:type="dxa"/>
            <w:gridSpan w:val="4"/>
            <w:vAlign w:val="center"/>
          </w:tcPr>
          <w:p w14:paraId="7FE7C0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z w:val="21"/>
                <w:szCs w:val="21"/>
              </w:rPr>
            </w:pPr>
            <w:r>
              <w:rPr>
                <w:color w:val="auto"/>
                <w:sz w:val="21"/>
                <w:szCs w:val="21"/>
              </w:rPr>
              <w:t>（1）制定环境管理方案，完善环境管理制度；</w:t>
            </w:r>
          </w:p>
          <w:p w14:paraId="661562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z w:val="21"/>
                <w:szCs w:val="21"/>
              </w:rPr>
            </w:pPr>
            <w:r>
              <w:rPr>
                <w:color w:val="auto"/>
                <w:sz w:val="21"/>
                <w:szCs w:val="21"/>
              </w:rPr>
              <w:t>（2）做好员工上岗培训工作；</w:t>
            </w:r>
          </w:p>
          <w:p w14:paraId="593119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z w:val="21"/>
                <w:szCs w:val="21"/>
              </w:rPr>
            </w:pPr>
            <w:r>
              <w:rPr>
                <w:color w:val="auto"/>
                <w:sz w:val="21"/>
                <w:szCs w:val="21"/>
              </w:rPr>
              <w:t>（3）制度自行监测方案，做好环境监测工作</w:t>
            </w:r>
            <w:r>
              <w:rPr>
                <w:rFonts w:hint="eastAsia"/>
                <w:color w:val="auto"/>
                <w:sz w:val="21"/>
                <w:szCs w:val="21"/>
              </w:rPr>
              <w:t>；</w:t>
            </w:r>
          </w:p>
          <w:p w14:paraId="12B883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z w:val="21"/>
                <w:szCs w:val="21"/>
              </w:rPr>
            </w:pPr>
            <w:r>
              <w:rPr>
                <w:rFonts w:hint="eastAsia"/>
                <w:color w:val="auto"/>
                <w:sz w:val="21"/>
                <w:szCs w:val="21"/>
              </w:rPr>
              <w:t>（4）根据《固定污染源排污许可分类管理名录（2019年版）》，本项目属于“</w:t>
            </w:r>
            <w:r>
              <w:rPr>
                <w:color w:val="auto"/>
                <w:sz w:val="21"/>
                <w:szCs w:val="21"/>
              </w:rPr>
              <w:t>三十七、废弃资源综合利用业42</w:t>
            </w:r>
            <w:r>
              <w:rPr>
                <w:rFonts w:hint="eastAsia"/>
                <w:color w:val="auto"/>
                <w:sz w:val="21"/>
                <w:szCs w:val="21"/>
              </w:rPr>
              <w:t>其他”，需进行登记管理。</w:t>
            </w:r>
          </w:p>
        </w:tc>
      </w:tr>
    </w:tbl>
    <w:p w14:paraId="410FCA9D">
      <w:pPr>
        <w:pStyle w:val="41"/>
        <w:spacing w:before="0" w:beforeAutospacing="0" w:after="0" w:afterAutospacing="0"/>
        <w:jc w:val="center"/>
        <w:outlineLvl w:val="0"/>
        <w:rPr>
          <w:rFonts w:ascii="黑体" w:hAnsi="黑体" w:eastAsia="黑体"/>
          <w:snapToGrid w:val="0"/>
          <w:color w:val="auto"/>
          <w:sz w:val="30"/>
          <w:szCs w:val="30"/>
        </w:rPr>
      </w:pPr>
      <w:r>
        <w:rPr>
          <w:snapToGrid w:val="0"/>
          <w:color w:val="auto"/>
        </w:rPr>
        <w:br w:type="page"/>
      </w:r>
      <w:bookmarkStart w:id="11" w:name="_Toc69399407"/>
      <w:r>
        <w:rPr>
          <w:rFonts w:hint="eastAsia"/>
          <w:b/>
          <w:snapToGrid w:val="0"/>
          <w:color w:val="auto"/>
          <w:sz w:val="30"/>
          <w:szCs w:val="30"/>
        </w:rPr>
        <w:t>六、结论</w:t>
      </w:r>
      <w:bookmarkEnd w:id="11"/>
    </w:p>
    <w:tbl>
      <w:tblPr>
        <w:tblStyle w:val="4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E2785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48904314">
            <w:pPr>
              <w:spacing w:line="360" w:lineRule="auto"/>
              <w:ind w:firstLine="480" w:firstLineChars="200"/>
              <w:rPr>
                <w:color w:val="auto"/>
                <w:sz w:val="24"/>
              </w:rPr>
            </w:pPr>
            <w:r>
              <w:rPr>
                <w:rFonts w:hint="eastAsia"/>
                <w:color w:val="auto"/>
                <w:sz w:val="24"/>
                <w:lang w:eastAsia="zh-CN"/>
              </w:rPr>
              <w:t>云南常青树化工有限公司磷石膏综合利用改扩建项目</w:t>
            </w:r>
            <w:r>
              <w:rPr>
                <w:color w:val="auto"/>
                <w:sz w:val="24"/>
              </w:rPr>
              <w:t>的建</w:t>
            </w:r>
            <w:r>
              <w:rPr>
                <w:rFonts w:hAnsi="宋体"/>
                <w:color w:val="auto"/>
                <w:sz w:val="24"/>
              </w:rPr>
              <w:t>设，</w:t>
            </w:r>
            <w:r>
              <w:rPr>
                <w:color w:val="auto"/>
                <w:sz w:val="24"/>
              </w:rPr>
              <w:t>符合国家产业政策及相关规划</w:t>
            </w:r>
            <w:r>
              <w:rPr>
                <w:rFonts w:hint="eastAsia"/>
                <w:color w:val="auto"/>
                <w:sz w:val="24"/>
              </w:rPr>
              <w:t>、</w:t>
            </w:r>
            <w:r>
              <w:rPr>
                <w:color w:val="auto"/>
                <w:sz w:val="24"/>
              </w:rPr>
              <w:t>选址合理。项目的建设具有明显的环境效益、经济效益和社会效益，工程实施对提高地区经济、社会发展起到积极作用。工程建设区不涉及自然保护区、世界遗产地、风景名胜区、重点文物保护单位、水源地保护区等环境敏感区，无重大环境制约因素。施工期产生的污染物经采取相应措施后对环境影响较小。项目运营期固体废物可得到妥善处置；项目废气经过采取相应措施后可做到达标排放；项目废水、噪声按要求采取减防治措施后，对项目自身和周围环境的影响不大。总之，项目的建设不会降低当地环境功能，项目所产生污染物的处置符合达标排放原则</w:t>
            </w:r>
            <w:r>
              <w:rPr>
                <w:rFonts w:hAnsi="宋体"/>
                <w:color w:val="auto"/>
                <w:sz w:val="24"/>
              </w:rPr>
              <w:t>。</w:t>
            </w:r>
          </w:p>
          <w:p w14:paraId="33AC6889">
            <w:pPr>
              <w:spacing w:line="360" w:lineRule="auto"/>
              <w:ind w:firstLine="480" w:firstLineChars="200"/>
              <w:rPr>
                <w:color w:val="auto"/>
                <w:sz w:val="24"/>
              </w:rPr>
            </w:pPr>
            <w:r>
              <w:rPr>
                <w:rFonts w:hint="eastAsia"/>
                <w:color w:val="auto"/>
                <w:sz w:val="24"/>
              </w:rPr>
              <w:t>综上所述，本项目在严格执行国家和云南省的有关环保法规和条例，并采取本报告提出的相应的环保治理对策措施后，可实现污染物达标排放；从环境保护角度分析，本项目可行。</w:t>
            </w:r>
          </w:p>
          <w:p w14:paraId="2588DBC1">
            <w:pPr>
              <w:pStyle w:val="23"/>
              <w:rPr>
                <w:color w:val="auto"/>
              </w:rPr>
            </w:pPr>
          </w:p>
          <w:p w14:paraId="209818CC">
            <w:pPr>
              <w:pStyle w:val="16"/>
              <w:rPr>
                <w:color w:val="auto"/>
              </w:rPr>
            </w:pPr>
          </w:p>
          <w:p w14:paraId="6924E42E">
            <w:pPr>
              <w:rPr>
                <w:color w:val="auto"/>
              </w:rPr>
            </w:pPr>
          </w:p>
          <w:p w14:paraId="67B1CDC2">
            <w:pPr>
              <w:pStyle w:val="23"/>
              <w:rPr>
                <w:color w:val="auto"/>
              </w:rPr>
            </w:pPr>
          </w:p>
          <w:p w14:paraId="48ACD0A9">
            <w:pPr>
              <w:pStyle w:val="16"/>
              <w:rPr>
                <w:color w:val="auto"/>
              </w:rPr>
            </w:pPr>
          </w:p>
          <w:p w14:paraId="744FBFAB">
            <w:pPr>
              <w:rPr>
                <w:color w:val="auto"/>
              </w:rPr>
            </w:pPr>
          </w:p>
          <w:p w14:paraId="76BC5060">
            <w:pPr>
              <w:pStyle w:val="23"/>
              <w:rPr>
                <w:color w:val="auto"/>
              </w:rPr>
            </w:pPr>
          </w:p>
          <w:p w14:paraId="4A5A8995">
            <w:pPr>
              <w:pStyle w:val="16"/>
              <w:rPr>
                <w:color w:val="auto"/>
              </w:rPr>
            </w:pPr>
          </w:p>
          <w:p w14:paraId="5DD97474">
            <w:pPr>
              <w:rPr>
                <w:color w:val="auto"/>
              </w:rPr>
            </w:pPr>
          </w:p>
          <w:p w14:paraId="2B96E7E9">
            <w:pPr>
              <w:pStyle w:val="23"/>
              <w:rPr>
                <w:color w:val="auto"/>
              </w:rPr>
            </w:pPr>
          </w:p>
          <w:p w14:paraId="69AB3BD0">
            <w:pPr>
              <w:pStyle w:val="16"/>
              <w:rPr>
                <w:color w:val="auto"/>
              </w:rPr>
            </w:pPr>
          </w:p>
          <w:p w14:paraId="2A386AE0">
            <w:pPr>
              <w:rPr>
                <w:color w:val="auto"/>
              </w:rPr>
            </w:pPr>
          </w:p>
          <w:p w14:paraId="022E0220">
            <w:pPr>
              <w:pStyle w:val="23"/>
              <w:rPr>
                <w:color w:val="auto"/>
              </w:rPr>
            </w:pPr>
          </w:p>
          <w:p w14:paraId="7AA469CA">
            <w:pPr>
              <w:pStyle w:val="16"/>
              <w:rPr>
                <w:color w:val="auto"/>
              </w:rPr>
            </w:pPr>
          </w:p>
          <w:p w14:paraId="11E609C0">
            <w:pPr>
              <w:rPr>
                <w:color w:val="auto"/>
              </w:rPr>
            </w:pPr>
          </w:p>
          <w:p w14:paraId="16FD144A">
            <w:pPr>
              <w:pStyle w:val="23"/>
              <w:rPr>
                <w:color w:val="auto"/>
              </w:rPr>
            </w:pPr>
          </w:p>
          <w:p w14:paraId="24DFCCF9">
            <w:pPr>
              <w:pStyle w:val="16"/>
              <w:rPr>
                <w:color w:val="auto"/>
              </w:rPr>
            </w:pPr>
          </w:p>
          <w:p w14:paraId="161BE0E6">
            <w:pPr>
              <w:rPr>
                <w:color w:val="auto"/>
              </w:rPr>
            </w:pPr>
          </w:p>
          <w:p w14:paraId="57420B83">
            <w:pPr>
              <w:pStyle w:val="23"/>
              <w:rPr>
                <w:color w:val="auto"/>
              </w:rPr>
            </w:pPr>
          </w:p>
          <w:p w14:paraId="00FBCFAF">
            <w:pPr>
              <w:pStyle w:val="16"/>
              <w:rPr>
                <w:color w:val="auto"/>
              </w:rPr>
            </w:pPr>
          </w:p>
          <w:p w14:paraId="4D1B1570">
            <w:pPr>
              <w:rPr>
                <w:color w:val="auto"/>
              </w:rPr>
            </w:pPr>
          </w:p>
          <w:p w14:paraId="1D2340FB">
            <w:pPr>
              <w:pStyle w:val="23"/>
              <w:rPr>
                <w:color w:val="auto"/>
              </w:rPr>
            </w:pPr>
          </w:p>
          <w:p w14:paraId="04CD4347">
            <w:pPr>
              <w:pStyle w:val="16"/>
              <w:rPr>
                <w:color w:val="auto"/>
              </w:rPr>
            </w:pPr>
          </w:p>
          <w:p w14:paraId="7962E76C">
            <w:pPr>
              <w:rPr>
                <w:color w:val="auto"/>
              </w:rPr>
            </w:pPr>
          </w:p>
          <w:p w14:paraId="77DACEEC">
            <w:pPr>
              <w:pStyle w:val="23"/>
              <w:rPr>
                <w:color w:val="auto"/>
              </w:rPr>
            </w:pPr>
          </w:p>
          <w:p w14:paraId="1123C0BF">
            <w:pPr>
              <w:pStyle w:val="16"/>
              <w:rPr>
                <w:color w:val="auto"/>
              </w:rPr>
            </w:pPr>
          </w:p>
          <w:p w14:paraId="7D33A395">
            <w:pPr>
              <w:rPr>
                <w:color w:val="auto"/>
              </w:rPr>
            </w:pPr>
          </w:p>
          <w:p w14:paraId="1AFCBE62">
            <w:pPr>
              <w:rPr>
                <w:color w:val="auto"/>
              </w:rPr>
            </w:pPr>
          </w:p>
        </w:tc>
      </w:tr>
    </w:tbl>
    <w:p w14:paraId="7B79724C">
      <w:pPr>
        <w:rPr>
          <w:rFonts w:ascii="宋体"/>
          <w:color w:val="auto"/>
        </w:rPr>
        <w:sectPr>
          <w:footerReference r:id="rId9" w:type="default"/>
          <w:footerReference r:id="rId10" w:type="even"/>
          <w:pgSz w:w="11906" w:h="16838"/>
          <w:pgMar w:top="1701" w:right="1531" w:bottom="1701"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4A510575">
      <w:pPr>
        <w:pStyle w:val="41"/>
        <w:adjustRightInd w:val="0"/>
        <w:snapToGrid w:val="0"/>
        <w:spacing w:before="0" w:beforeAutospacing="0" w:after="0" w:afterAutospacing="0"/>
        <w:outlineLvl w:val="0"/>
        <w:rPr>
          <w:rFonts w:ascii="黑体" w:hAnsi="黑体" w:eastAsia="黑体"/>
          <w:snapToGrid w:val="0"/>
          <w:color w:val="auto"/>
          <w:sz w:val="32"/>
          <w:szCs w:val="32"/>
        </w:rPr>
      </w:pPr>
      <w:bookmarkStart w:id="12" w:name="_Toc69399408"/>
      <w:bookmarkStart w:id="13" w:name="_Toc69399409"/>
      <w:r>
        <w:rPr>
          <w:rFonts w:hint="eastAsia" w:ascii="黑体" w:hAnsi="黑体" w:eastAsia="黑体"/>
          <w:snapToGrid w:val="0"/>
          <w:color w:val="auto"/>
          <w:sz w:val="32"/>
          <w:szCs w:val="32"/>
        </w:rPr>
        <w:t>附表</w:t>
      </w:r>
      <w:bookmarkEnd w:id="12"/>
    </w:p>
    <w:p w14:paraId="3DF99D08">
      <w:pPr>
        <w:pStyle w:val="41"/>
        <w:adjustRightInd w:val="0"/>
        <w:snapToGrid w:val="0"/>
        <w:spacing w:before="0" w:beforeAutospacing="0" w:after="0" w:afterAutospacing="0"/>
        <w:jc w:val="center"/>
        <w:outlineLvl w:val="0"/>
        <w:rPr>
          <w:rFonts w:ascii="方正小标宋_GBK" w:hAnsi="黑体" w:eastAsia="方正小标宋_GBK"/>
          <w:snapToGrid w:val="0"/>
          <w:color w:val="auto"/>
          <w:sz w:val="38"/>
          <w:szCs w:val="38"/>
        </w:rPr>
      </w:pPr>
      <w:r>
        <w:rPr>
          <w:rFonts w:hint="eastAsia" w:ascii="方正小标宋_GBK" w:hAnsi="黑体" w:eastAsia="方正小标宋_GBK"/>
          <w:snapToGrid w:val="0"/>
          <w:color w:val="auto"/>
          <w:sz w:val="38"/>
          <w:szCs w:val="38"/>
        </w:rPr>
        <w:t>建设项目污染物排放量汇总表</w:t>
      </w:r>
      <w:bookmarkEnd w:id="13"/>
    </w:p>
    <w:tbl>
      <w:tblPr>
        <w:tblStyle w:val="45"/>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1824"/>
        <w:gridCol w:w="1701"/>
        <w:gridCol w:w="1276"/>
        <w:gridCol w:w="1701"/>
        <w:gridCol w:w="1559"/>
        <w:gridCol w:w="1761"/>
        <w:gridCol w:w="1499"/>
        <w:gridCol w:w="1286"/>
      </w:tblGrid>
      <w:tr w14:paraId="6EAF92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1" w:type="dxa"/>
            <w:tcBorders>
              <w:tl2br w:val="single" w:color="auto" w:sz="4" w:space="0"/>
            </w:tcBorders>
            <w:tcMar>
              <w:left w:w="28" w:type="dxa"/>
              <w:right w:w="28" w:type="dxa"/>
            </w:tcMar>
            <w:vAlign w:val="center"/>
          </w:tcPr>
          <w:p w14:paraId="017D0B82">
            <w:pPr>
              <w:pStyle w:val="87"/>
              <w:spacing w:beforeLines="0" w:afterLines="0" w:line="240" w:lineRule="auto"/>
              <w:jc w:val="right"/>
              <w:rPr>
                <w:rFonts w:ascii="黑体" w:hAnsi="黑体" w:eastAsia="黑体" w:cs="宋体"/>
                <w:snapToGrid w:val="0"/>
                <w:color w:val="auto"/>
                <w:spacing w:val="-6"/>
                <w:kern w:val="21"/>
                <w:sz w:val="21"/>
                <w:szCs w:val="21"/>
              </w:rPr>
            </w:pPr>
            <w:r>
              <w:rPr>
                <w:rFonts w:hint="eastAsia" w:ascii="黑体" w:hAnsi="黑体" w:eastAsia="黑体" w:cs="宋体"/>
                <w:snapToGrid w:val="0"/>
                <w:color w:val="auto"/>
                <w:spacing w:val="-6"/>
                <w:kern w:val="21"/>
                <w:sz w:val="21"/>
                <w:szCs w:val="21"/>
              </w:rPr>
              <w:t>项目</w:t>
            </w:r>
          </w:p>
          <w:p w14:paraId="2D5DC1DE">
            <w:pPr>
              <w:pStyle w:val="87"/>
              <w:spacing w:beforeLines="0" w:afterLines="0" w:line="240" w:lineRule="auto"/>
              <w:jc w:val="left"/>
              <w:rPr>
                <w:rFonts w:ascii="黑体" w:hAnsi="黑体" w:eastAsia="黑体" w:cs="宋体"/>
                <w:snapToGrid w:val="0"/>
                <w:color w:val="auto"/>
                <w:spacing w:val="-6"/>
                <w:kern w:val="21"/>
                <w:sz w:val="21"/>
                <w:szCs w:val="21"/>
              </w:rPr>
            </w:pPr>
            <w:r>
              <w:rPr>
                <w:rFonts w:hint="eastAsia" w:ascii="黑体" w:hAnsi="黑体" w:eastAsia="黑体" w:cs="宋体"/>
                <w:snapToGrid w:val="0"/>
                <w:color w:val="auto"/>
                <w:spacing w:val="-6"/>
                <w:kern w:val="21"/>
                <w:sz w:val="21"/>
                <w:szCs w:val="21"/>
              </w:rPr>
              <w:t>分类</w:t>
            </w:r>
          </w:p>
        </w:tc>
        <w:tc>
          <w:tcPr>
            <w:tcW w:w="1824" w:type="dxa"/>
            <w:tcMar>
              <w:left w:w="28" w:type="dxa"/>
              <w:right w:w="28" w:type="dxa"/>
            </w:tcMar>
            <w:vAlign w:val="center"/>
          </w:tcPr>
          <w:p w14:paraId="5F318AE4">
            <w:pPr>
              <w:pStyle w:val="87"/>
              <w:spacing w:beforeLines="0" w:afterLines="0" w:line="240" w:lineRule="auto"/>
              <w:rPr>
                <w:rFonts w:ascii="黑体" w:hAnsi="黑体" w:eastAsia="黑体" w:cs="宋体"/>
                <w:snapToGrid w:val="0"/>
                <w:color w:val="auto"/>
                <w:spacing w:val="-6"/>
                <w:kern w:val="21"/>
                <w:sz w:val="21"/>
                <w:szCs w:val="21"/>
              </w:rPr>
            </w:pPr>
            <w:r>
              <w:rPr>
                <w:rFonts w:hint="eastAsia" w:ascii="黑体" w:hAnsi="黑体" w:eastAsia="黑体" w:cs="宋体"/>
                <w:snapToGrid w:val="0"/>
                <w:color w:val="auto"/>
                <w:spacing w:val="-6"/>
                <w:kern w:val="21"/>
                <w:sz w:val="21"/>
                <w:szCs w:val="21"/>
              </w:rPr>
              <w:t>污染物名称</w:t>
            </w:r>
          </w:p>
        </w:tc>
        <w:tc>
          <w:tcPr>
            <w:tcW w:w="1701" w:type="dxa"/>
            <w:tcMar>
              <w:left w:w="28" w:type="dxa"/>
              <w:right w:w="28" w:type="dxa"/>
            </w:tcMar>
            <w:vAlign w:val="center"/>
          </w:tcPr>
          <w:p w14:paraId="4493A8CB">
            <w:pPr>
              <w:pStyle w:val="87"/>
              <w:spacing w:beforeLines="0" w:afterLines="0" w:line="240" w:lineRule="auto"/>
              <w:rPr>
                <w:rFonts w:ascii="黑体" w:hAnsi="黑体" w:eastAsia="黑体"/>
                <w:snapToGrid w:val="0"/>
                <w:color w:val="auto"/>
                <w:spacing w:val="-6"/>
                <w:kern w:val="21"/>
                <w:sz w:val="21"/>
                <w:szCs w:val="21"/>
              </w:rPr>
            </w:pPr>
            <w:r>
              <w:rPr>
                <w:rFonts w:ascii="黑体" w:hAnsi="黑体" w:eastAsia="黑体"/>
                <w:snapToGrid w:val="0"/>
                <w:color w:val="auto"/>
                <w:spacing w:val="-6"/>
                <w:kern w:val="21"/>
                <w:sz w:val="21"/>
                <w:szCs w:val="21"/>
              </w:rPr>
              <w:t>现有工程排放量（固</w:t>
            </w:r>
            <w:r>
              <w:rPr>
                <w:rFonts w:hint="eastAsia" w:ascii="黑体" w:hAnsi="黑体" w:eastAsia="黑体"/>
                <w:snapToGrid w:val="0"/>
                <w:color w:val="auto"/>
                <w:spacing w:val="-6"/>
                <w:kern w:val="21"/>
                <w:sz w:val="21"/>
                <w:szCs w:val="21"/>
              </w:rPr>
              <w:t>体</w:t>
            </w:r>
            <w:r>
              <w:rPr>
                <w:rFonts w:ascii="黑体" w:hAnsi="黑体" w:eastAsia="黑体"/>
                <w:snapToGrid w:val="0"/>
                <w:color w:val="auto"/>
                <w:spacing w:val="-6"/>
                <w:kern w:val="21"/>
                <w:sz w:val="21"/>
                <w:szCs w:val="21"/>
              </w:rPr>
              <w:t>废</w:t>
            </w:r>
            <w:r>
              <w:rPr>
                <w:rFonts w:hint="eastAsia" w:ascii="黑体" w:hAnsi="黑体" w:eastAsia="黑体"/>
                <w:snapToGrid w:val="0"/>
                <w:color w:val="auto"/>
                <w:spacing w:val="-6"/>
                <w:kern w:val="21"/>
                <w:sz w:val="21"/>
                <w:szCs w:val="21"/>
              </w:rPr>
              <w:t>物</w:t>
            </w:r>
            <w:r>
              <w:rPr>
                <w:rFonts w:ascii="黑体" w:hAnsi="黑体" w:eastAsia="黑体"/>
                <w:snapToGrid w:val="0"/>
                <w:color w:val="auto"/>
                <w:spacing w:val="-6"/>
                <w:kern w:val="21"/>
                <w:sz w:val="21"/>
                <w:szCs w:val="21"/>
              </w:rPr>
              <w:t>产生量）</w:t>
            </w:r>
            <w:r>
              <w:rPr>
                <w:rFonts w:ascii="黑体" w:hAnsi="黑体" w:eastAsia="黑体"/>
                <w:snapToGrid w:val="0"/>
                <w:color w:val="auto"/>
                <w:spacing w:val="-6"/>
                <w:kern w:val="21"/>
                <w:sz w:val="21"/>
                <w:szCs w:val="21"/>
              </w:rPr>
              <w:fldChar w:fldCharType="begin"/>
            </w:r>
            <w:r>
              <w:rPr>
                <w:rFonts w:ascii="黑体" w:hAnsi="黑体" w:eastAsia="黑体"/>
                <w:snapToGrid w:val="0"/>
                <w:color w:val="auto"/>
                <w:spacing w:val="-6"/>
                <w:kern w:val="21"/>
                <w:sz w:val="21"/>
                <w:szCs w:val="21"/>
              </w:rPr>
              <w:instrText xml:space="preserve"> = 1 \* GB3 \* MERGEFORMAT </w:instrText>
            </w:r>
            <w:r>
              <w:rPr>
                <w:rFonts w:ascii="黑体" w:hAnsi="黑体" w:eastAsia="黑体"/>
                <w:snapToGrid w:val="0"/>
                <w:color w:val="auto"/>
                <w:spacing w:val="-6"/>
                <w:kern w:val="21"/>
                <w:sz w:val="21"/>
                <w:szCs w:val="21"/>
              </w:rPr>
              <w:fldChar w:fldCharType="separate"/>
            </w:r>
            <w:r>
              <w:rPr>
                <w:rFonts w:hint="eastAsia" w:ascii="黑体" w:hAnsi="黑体" w:eastAsia="黑体" w:cs="宋体"/>
                <w:color w:val="auto"/>
                <w:kern w:val="2"/>
                <w:sz w:val="21"/>
                <w:szCs w:val="21"/>
              </w:rPr>
              <w:t>①</w:t>
            </w:r>
            <w:r>
              <w:rPr>
                <w:rFonts w:ascii="黑体" w:hAnsi="黑体" w:eastAsia="黑体"/>
                <w:snapToGrid w:val="0"/>
                <w:color w:val="auto"/>
                <w:spacing w:val="-6"/>
                <w:kern w:val="21"/>
                <w:sz w:val="21"/>
                <w:szCs w:val="21"/>
              </w:rPr>
              <w:fldChar w:fldCharType="end"/>
            </w:r>
          </w:p>
        </w:tc>
        <w:tc>
          <w:tcPr>
            <w:tcW w:w="1276" w:type="dxa"/>
            <w:tcMar>
              <w:left w:w="28" w:type="dxa"/>
              <w:right w:w="28" w:type="dxa"/>
            </w:tcMar>
            <w:vAlign w:val="center"/>
          </w:tcPr>
          <w:p w14:paraId="3C7984E6">
            <w:pPr>
              <w:pStyle w:val="87"/>
              <w:spacing w:beforeLines="0" w:afterLines="0" w:line="240" w:lineRule="auto"/>
              <w:rPr>
                <w:rFonts w:ascii="黑体" w:hAnsi="黑体" w:eastAsia="黑体"/>
                <w:snapToGrid w:val="0"/>
                <w:color w:val="auto"/>
                <w:spacing w:val="-6"/>
                <w:kern w:val="21"/>
                <w:sz w:val="21"/>
                <w:szCs w:val="21"/>
              </w:rPr>
            </w:pPr>
            <w:r>
              <w:rPr>
                <w:rFonts w:ascii="黑体" w:hAnsi="黑体" w:eastAsia="黑体"/>
                <w:snapToGrid w:val="0"/>
                <w:color w:val="auto"/>
                <w:spacing w:val="-6"/>
                <w:kern w:val="21"/>
                <w:sz w:val="21"/>
                <w:szCs w:val="21"/>
              </w:rPr>
              <w:t>现有工程许可排放量</w:t>
            </w:r>
          </w:p>
          <w:p w14:paraId="0CB211CE">
            <w:pPr>
              <w:pStyle w:val="87"/>
              <w:spacing w:beforeLines="0" w:afterLines="0" w:line="240" w:lineRule="auto"/>
              <w:rPr>
                <w:rFonts w:ascii="黑体" w:hAnsi="黑体" w:eastAsia="黑体"/>
                <w:snapToGrid w:val="0"/>
                <w:color w:val="auto"/>
                <w:spacing w:val="-6"/>
                <w:kern w:val="21"/>
                <w:sz w:val="21"/>
                <w:szCs w:val="21"/>
              </w:rPr>
            </w:pPr>
            <w:r>
              <w:rPr>
                <w:rFonts w:ascii="黑体" w:hAnsi="黑体" w:eastAsia="黑体"/>
                <w:snapToGrid w:val="0"/>
                <w:color w:val="auto"/>
                <w:spacing w:val="-6"/>
                <w:kern w:val="21"/>
                <w:sz w:val="21"/>
                <w:szCs w:val="21"/>
              </w:rPr>
              <w:fldChar w:fldCharType="begin"/>
            </w:r>
            <w:r>
              <w:rPr>
                <w:rFonts w:ascii="黑体" w:hAnsi="黑体" w:eastAsia="黑体"/>
                <w:snapToGrid w:val="0"/>
                <w:color w:val="auto"/>
                <w:spacing w:val="-6"/>
                <w:kern w:val="21"/>
                <w:sz w:val="21"/>
                <w:szCs w:val="21"/>
              </w:rPr>
              <w:instrText xml:space="preserve"> = 2 \* GB3 \* MERGEFORMAT </w:instrText>
            </w:r>
            <w:r>
              <w:rPr>
                <w:rFonts w:ascii="黑体" w:hAnsi="黑体" w:eastAsia="黑体"/>
                <w:snapToGrid w:val="0"/>
                <w:color w:val="auto"/>
                <w:spacing w:val="-6"/>
                <w:kern w:val="21"/>
                <w:sz w:val="21"/>
                <w:szCs w:val="21"/>
              </w:rPr>
              <w:fldChar w:fldCharType="separate"/>
            </w:r>
            <w:r>
              <w:rPr>
                <w:rFonts w:hint="eastAsia" w:ascii="黑体" w:hAnsi="黑体" w:eastAsia="黑体" w:cs="宋体"/>
                <w:snapToGrid w:val="0"/>
                <w:color w:val="auto"/>
                <w:spacing w:val="-6"/>
                <w:kern w:val="21"/>
                <w:sz w:val="21"/>
                <w:szCs w:val="21"/>
              </w:rPr>
              <w:t>②</w:t>
            </w:r>
            <w:r>
              <w:rPr>
                <w:rFonts w:ascii="黑体" w:hAnsi="黑体" w:eastAsia="黑体"/>
                <w:snapToGrid w:val="0"/>
                <w:color w:val="auto"/>
                <w:spacing w:val="-6"/>
                <w:kern w:val="21"/>
                <w:sz w:val="21"/>
                <w:szCs w:val="21"/>
              </w:rPr>
              <w:fldChar w:fldCharType="end"/>
            </w:r>
          </w:p>
        </w:tc>
        <w:tc>
          <w:tcPr>
            <w:tcW w:w="1701" w:type="dxa"/>
            <w:tcMar>
              <w:left w:w="28" w:type="dxa"/>
              <w:right w:w="28" w:type="dxa"/>
            </w:tcMar>
            <w:vAlign w:val="center"/>
          </w:tcPr>
          <w:p w14:paraId="3E3248EB">
            <w:pPr>
              <w:pStyle w:val="87"/>
              <w:spacing w:beforeLines="0" w:afterLines="0" w:line="240" w:lineRule="auto"/>
              <w:rPr>
                <w:rFonts w:ascii="黑体" w:hAnsi="黑体" w:eastAsia="黑体"/>
                <w:snapToGrid w:val="0"/>
                <w:color w:val="auto"/>
                <w:spacing w:val="-6"/>
                <w:kern w:val="21"/>
                <w:sz w:val="21"/>
                <w:szCs w:val="21"/>
              </w:rPr>
            </w:pPr>
            <w:r>
              <w:rPr>
                <w:rFonts w:ascii="黑体" w:hAnsi="黑体" w:eastAsia="黑体"/>
                <w:snapToGrid w:val="0"/>
                <w:color w:val="auto"/>
                <w:spacing w:val="-6"/>
                <w:kern w:val="21"/>
                <w:sz w:val="21"/>
                <w:szCs w:val="21"/>
              </w:rPr>
              <w:t>在建工程排放量（固</w:t>
            </w:r>
            <w:r>
              <w:rPr>
                <w:rFonts w:hint="eastAsia" w:ascii="黑体" w:hAnsi="黑体" w:eastAsia="黑体"/>
                <w:snapToGrid w:val="0"/>
                <w:color w:val="auto"/>
                <w:spacing w:val="-6"/>
                <w:kern w:val="21"/>
                <w:sz w:val="21"/>
                <w:szCs w:val="21"/>
              </w:rPr>
              <w:t>体</w:t>
            </w:r>
            <w:r>
              <w:rPr>
                <w:rFonts w:ascii="黑体" w:hAnsi="黑体" w:eastAsia="黑体"/>
                <w:snapToGrid w:val="0"/>
                <w:color w:val="auto"/>
                <w:spacing w:val="-6"/>
                <w:kern w:val="21"/>
                <w:sz w:val="21"/>
                <w:szCs w:val="21"/>
              </w:rPr>
              <w:t>废</w:t>
            </w:r>
            <w:r>
              <w:rPr>
                <w:rFonts w:hint="eastAsia" w:ascii="黑体" w:hAnsi="黑体" w:eastAsia="黑体"/>
                <w:snapToGrid w:val="0"/>
                <w:color w:val="auto"/>
                <w:spacing w:val="-6"/>
                <w:kern w:val="21"/>
                <w:sz w:val="21"/>
                <w:szCs w:val="21"/>
              </w:rPr>
              <w:t>物</w:t>
            </w:r>
            <w:r>
              <w:rPr>
                <w:rFonts w:ascii="黑体" w:hAnsi="黑体" w:eastAsia="黑体"/>
                <w:snapToGrid w:val="0"/>
                <w:color w:val="auto"/>
                <w:spacing w:val="-6"/>
                <w:kern w:val="21"/>
                <w:sz w:val="21"/>
                <w:szCs w:val="21"/>
              </w:rPr>
              <w:t>产生量）</w:t>
            </w:r>
            <w:r>
              <w:rPr>
                <w:rFonts w:ascii="黑体" w:hAnsi="黑体" w:eastAsia="黑体"/>
                <w:snapToGrid w:val="0"/>
                <w:color w:val="auto"/>
                <w:spacing w:val="-6"/>
                <w:kern w:val="21"/>
                <w:sz w:val="21"/>
                <w:szCs w:val="21"/>
              </w:rPr>
              <w:fldChar w:fldCharType="begin"/>
            </w:r>
            <w:r>
              <w:rPr>
                <w:rFonts w:ascii="黑体" w:hAnsi="黑体" w:eastAsia="黑体"/>
                <w:snapToGrid w:val="0"/>
                <w:color w:val="auto"/>
                <w:spacing w:val="-6"/>
                <w:kern w:val="21"/>
                <w:sz w:val="21"/>
                <w:szCs w:val="21"/>
              </w:rPr>
              <w:instrText xml:space="preserve"> = 3 \* GB3 \* MERGEFORMAT </w:instrText>
            </w:r>
            <w:r>
              <w:rPr>
                <w:rFonts w:ascii="黑体" w:hAnsi="黑体" w:eastAsia="黑体"/>
                <w:snapToGrid w:val="0"/>
                <w:color w:val="auto"/>
                <w:spacing w:val="-6"/>
                <w:kern w:val="21"/>
                <w:sz w:val="21"/>
                <w:szCs w:val="21"/>
              </w:rPr>
              <w:fldChar w:fldCharType="separate"/>
            </w:r>
            <w:r>
              <w:rPr>
                <w:rFonts w:hint="eastAsia" w:ascii="黑体" w:hAnsi="黑体" w:eastAsia="黑体" w:cs="宋体"/>
                <w:color w:val="auto"/>
                <w:kern w:val="2"/>
                <w:sz w:val="21"/>
                <w:szCs w:val="21"/>
              </w:rPr>
              <w:t>③</w:t>
            </w:r>
            <w:r>
              <w:rPr>
                <w:rFonts w:ascii="黑体" w:hAnsi="黑体" w:eastAsia="黑体"/>
                <w:snapToGrid w:val="0"/>
                <w:color w:val="auto"/>
                <w:spacing w:val="-6"/>
                <w:kern w:val="21"/>
                <w:sz w:val="21"/>
                <w:szCs w:val="21"/>
              </w:rPr>
              <w:fldChar w:fldCharType="end"/>
            </w:r>
          </w:p>
        </w:tc>
        <w:tc>
          <w:tcPr>
            <w:tcW w:w="1559" w:type="dxa"/>
            <w:tcMar>
              <w:left w:w="28" w:type="dxa"/>
              <w:right w:w="28" w:type="dxa"/>
            </w:tcMar>
            <w:vAlign w:val="center"/>
          </w:tcPr>
          <w:p w14:paraId="277F6549">
            <w:pPr>
              <w:pStyle w:val="87"/>
              <w:spacing w:beforeLines="0" w:afterLines="0" w:line="240" w:lineRule="auto"/>
              <w:rPr>
                <w:rFonts w:ascii="黑体" w:hAnsi="黑体" w:eastAsia="黑体"/>
                <w:snapToGrid w:val="0"/>
                <w:color w:val="auto"/>
                <w:spacing w:val="-6"/>
                <w:kern w:val="21"/>
                <w:sz w:val="21"/>
                <w:szCs w:val="21"/>
              </w:rPr>
            </w:pPr>
            <w:r>
              <w:rPr>
                <w:rFonts w:ascii="黑体" w:hAnsi="黑体" w:eastAsia="黑体"/>
                <w:snapToGrid w:val="0"/>
                <w:color w:val="auto"/>
                <w:spacing w:val="-6"/>
                <w:kern w:val="21"/>
                <w:sz w:val="21"/>
                <w:szCs w:val="21"/>
              </w:rPr>
              <w:t>本项目排放量（固</w:t>
            </w:r>
            <w:r>
              <w:rPr>
                <w:rFonts w:hint="eastAsia" w:ascii="黑体" w:hAnsi="黑体" w:eastAsia="黑体"/>
                <w:snapToGrid w:val="0"/>
                <w:color w:val="auto"/>
                <w:spacing w:val="-6"/>
                <w:kern w:val="21"/>
                <w:sz w:val="21"/>
                <w:szCs w:val="21"/>
              </w:rPr>
              <w:t>体</w:t>
            </w:r>
            <w:r>
              <w:rPr>
                <w:rFonts w:ascii="黑体" w:hAnsi="黑体" w:eastAsia="黑体"/>
                <w:snapToGrid w:val="0"/>
                <w:color w:val="auto"/>
                <w:spacing w:val="-6"/>
                <w:kern w:val="21"/>
                <w:sz w:val="21"/>
                <w:szCs w:val="21"/>
              </w:rPr>
              <w:t>废</w:t>
            </w:r>
            <w:r>
              <w:rPr>
                <w:rFonts w:hint="eastAsia" w:ascii="黑体" w:hAnsi="黑体" w:eastAsia="黑体"/>
                <w:snapToGrid w:val="0"/>
                <w:color w:val="auto"/>
                <w:spacing w:val="-6"/>
                <w:kern w:val="21"/>
                <w:sz w:val="21"/>
                <w:szCs w:val="21"/>
              </w:rPr>
              <w:t>物</w:t>
            </w:r>
            <w:r>
              <w:rPr>
                <w:rFonts w:ascii="黑体" w:hAnsi="黑体" w:eastAsia="黑体"/>
                <w:snapToGrid w:val="0"/>
                <w:color w:val="auto"/>
                <w:spacing w:val="-6"/>
                <w:kern w:val="21"/>
                <w:sz w:val="21"/>
                <w:szCs w:val="21"/>
              </w:rPr>
              <w:t>产生量）</w:t>
            </w:r>
            <w:r>
              <w:rPr>
                <w:rFonts w:ascii="黑体" w:hAnsi="黑体" w:eastAsia="黑体"/>
                <w:snapToGrid w:val="0"/>
                <w:color w:val="auto"/>
                <w:spacing w:val="-6"/>
                <w:kern w:val="21"/>
                <w:sz w:val="21"/>
                <w:szCs w:val="21"/>
              </w:rPr>
              <w:fldChar w:fldCharType="begin"/>
            </w:r>
            <w:r>
              <w:rPr>
                <w:rFonts w:ascii="黑体" w:hAnsi="黑体" w:eastAsia="黑体"/>
                <w:snapToGrid w:val="0"/>
                <w:color w:val="auto"/>
                <w:spacing w:val="-6"/>
                <w:kern w:val="21"/>
                <w:sz w:val="21"/>
                <w:szCs w:val="21"/>
              </w:rPr>
              <w:instrText xml:space="preserve"> = 4 \* GB3 \* MERGEFORMAT </w:instrText>
            </w:r>
            <w:r>
              <w:rPr>
                <w:rFonts w:ascii="黑体" w:hAnsi="黑体" w:eastAsia="黑体"/>
                <w:snapToGrid w:val="0"/>
                <w:color w:val="auto"/>
                <w:spacing w:val="-6"/>
                <w:kern w:val="21"/>
                <w:sz w:val="21"/>
                <w:szCs w:val="21"/>
              </w:rPr>
              <w:fldChar w:fldCharType="separate"/>
            </w:r>
            <w:r>
              <w:rPr>
                <w:rFonts w:hint="eastAsia" w:ascii="黑体" w:hAnsi="黑体" w:eastAsia="黑体" w:cs="宋体"/>
                <w:color w:val="auto"/>
                <w:kern w:val="2"/>
                <w:sz w:val="21"/>
                <w:szCs w:val="21"/>
              </w:rPr>
              <w:t>④</w:t>
            </w:r>
            <w:r>
              <w:rPr>
                <w:rFonts w:ascii="黑体" w:hAnsi="黑体" w:eastAsia="黑体"/>
                <w:snapToGrid w:val="0"/>
                <w:color w:val="auto"/>
                <w:spacing w:val="-6"/>
                <w:kern w:val="21"/>
                <w:sz w:val="21"/>
                <w:szCs w:val="21"/>
              </w:rPr>
              <w:fldChar w:fldCharType="end"/>
            </w:r>
          </w:p>
        </w:tc>
        <w:tc>
          <w:tcPr>
            <w:tcW w:w="1761" w:type="dxa"/>
            <w:tcMar>
              <w:left w:w="28" w:type="dxa"/>
              <w:right w:w="28" w:type="dxa"/>
            </w:tcMar>
            <w:vAlign w:val="center"/>
          </w:tcPr>
          <w:p w14:paraId="08E5BF00">
            <w:pPr>
              <w:pStyle w:val="87"/>
              <w:spacing w:beforeLines="0" w:afterLines="0" w:line="240" w:lineRule="auto"/>
              <w:rPr>
                <w:rFonts w:ascii="黑体" w:hAnsi="黑体" w:eastAsia="黑体"/>
                <w:snapToGrid w:val="0"/>
                <w:color w:val="auto"/>
                <w:spacing w:val="-16"/>
                <w:kern w:val="21"/>
                <w:sz w:val="21"/>
                <w:szCs w:val="21"/>
              </w:rPr>
            </w:pPr>
            <w:r>
              <w:rPr>
                <w:rFonts w:ascii="黑体" w:hAnsi="黑体" w:eastAsia="黑体"/>
                <w:snapToGrid w:val="0"/>
                <w:color w:val="auto"/>
                <w:spacing w:val="-16"/>
                <w:kern w:val="21"/>
                <w:sz w:val="21"/>
                <w:szCs w:val="21"/>
              </w:rPr>
              <w:t>以新带老削减量</w:t>
            </w:r>
          </w:p>
          <w:p w14:paraId="1A880689">
            <w:pPr>
              <w:pStyle w:val="87"/>
              <w:spacing w:beforeLines="0" w:afterLines="0" w:line="240" w:lineRule="auto"/>
              <w:rPr>
                <w:rFonts w:ascii="黑体" w:hAnsi="黑体" w:eastAsia="黑体"/>
                <w:snapToGrid w:val="0"/>
                <w:color w:val="auto"/>
                <w:spacing w:val="-16"/>
                <w:kern w:val="21"/>
                <w:sz w:val="21"/>
                <w:szCs w:val="21"/>
              </w:rPr>
            </w:pPr>
            <w:r>
              <w:rPr>
                <w:rFonts w:ascii="黑体" w:hAnsi="黑体" w:eastAsia="黑体"/>
                <w:snapToGrid w:val="0"/>
                <w:color w:val="auto"/>
                <w:spacing w:val="-16"/>
                <w:kern w:val="21"/>
                <w:sz w:val="21"/>
                <w:szCs w:val="21"/>
              </w:rPr>
              <w:t>（新建项目不填）</w:t>
            </w:r>
            <w:r>
              <w:rPr>
                <w:rFonts w:ascii="黑体" w:hAnsi="黑体" w:eastAsia="黑体"/>
                <w:snapToGrid w:val="0"/>
                <w:color w:val="auto"/>
                <w:spacing w:val="-16"/>
                <w:kern w:val="21"/>
                <w:sz w:val="21"/>
                <w:szCs w:val="21"/>
              </w:rPr>
              <w:fldChar w:fldCharType="begin"/>
            </w:r>
            <w:r>
              <w:rPr>
                <w:rFonts w:ascii="黑体" w:hAnsi="黑体" w:eastAsia="黑体"/>
                <w:snapToGrid w:val="0"/>
                <w:color w:val="auto"/>
                <w:spacing w:val="-16"/>
                <w:kern w:val="21"/>
                <w:sz w:val="21"/>
                <w:szCs w:val="21"/>
              </w:rPr>
              <w:instrText xml:space="preserve"> = 5 \* GB3 \* MERGEFORMAT </w:instrText>
            </w:r>
            <w:r>
              <w:rPr>
                <w:rFonts w:ascii="黑体" w:hAnsi="黑体" w:eastAsia="黑体"/>
                <w:snapToGrid w:val="0"/>
                <w:color w:val="auto"/>
                <w:spacing w:val="-16"/>
                <w:kern w:val="21"/>
                <w:sz w:val="21"/>
                <w:szCs w:val="21"/>
              </w:rPr>
              <w:fldChar w:fldCharType="separate"/>
            </w:r>
            <w:r>
              <w:rPr>
                <w:rFonts w:hint="eastAsia" w:ascii="黑体" w:hAnsi="黑体" w:eastAsia="黑体" w:cs="宋体"/>
                <w:color w:val="auto"/>
                <w:kern w:val="2"/>
                <w:sz w:val="21"/>
                <w:szCs w:val="21"/>
              </w:rPr>
              <w:t>⑤</w:t>
            </w:r>
            <w:r>
              <w:rPr>
                <w:rFonts w:ascii="黑体" w:hAnsi="黑体" w:eastAsia="黑体"/>
                <w:snapToGrid w:val="0"/>
                <w:color w:val="auto"/>
                <w:spacing w:val="-16"/>
                <w:kern w:val="21"/>
                <w:sz w:val="21"/>
                <w:szCs w:val="21"/>
              </w:rPr>
              <w:fldChar w:fldCharType="end"/>
            </w:r>
          </w:p>
        </w:tc>
        <w:tc>
          <w:tcPr>
            <w:tcW w:w="1499" w:type="dxa"/>
            <w:tcMar>
              <w:left w:w="28" w:type="dxa"/>
              <w:right w:w="28" w:type="dxa"/>
            </w:tcMar>
            <w:vAlign w:val="center"/>
          </w:tcPr>
          <w:p w14:paraId="32F2FE1C">
            <w:pPr>
              <w:pStyle w:val="87"/>
              <w:spacing w:beforeLines="0" w:afterLines="0" w:line="240" w:lineRule="auto"/>
              <w:rPr>
                <w:rFonts w:ascii="黑体" w:hAnsi="黑体" w:eastAsia="黑体"/>
                <w:snapToGrid w:val="0"/>
                <w:color w:val="auto"/>
                <w:spacing w:val="-16"/>
                <w:kern w:val="21"/>
                <w:sz w:val="21"/>
                <w:szCs w:val="21"/>
              </w:rPr>
            </w:pPr>
            <w:r>
              <w:rPr>
                <w:rFonts w:ascii="黑体" w:hAnsi="黑体" w:eastAsia="黑体"/>
                <w:snapToGrid w:val="0"/>
                <w:color w:val="auto"/>
                <w:spacing w:val="-16"/>
                <w:kern w:val="21"/>
                <w:sz w:val="21"/>
                <w:szCs w:val="21"/>
              </w:rPr>
              <w:t>本项目建成后</w:t>
            </w:r>
            <w:r>
              <w:rPr>
                <w:rFonts w:hint="eastAsia" w:ascii="黑体" w:hAnsi="黑体" w:eastAsia="黑体"/>
                <w:snapToGrid w:val="0"/>
                <w:color w:val="auto"/>
                <w:spacing w:val="-16"/>
                <w:kern w:val="21"/>
                <w:sz w:val="21"/>
                <w:szCs w:val="21"/>
              </w:rPr>
              <w:t>全厂</w:t>
            </w:r>
            <w:r>
              <w:rPr>
                <w:rFonts w:ascii="黑体" w:hAnsi="黑体" w:eastAsia="黑体"/>
                <w:snapToGrid w:val="0"/>
                <w:color w:val="auto"/>
                <w:spacing w:val="-16"/>
                <w:kern w:val="21"/>
                <w:sz w:val="21"/>
                <w:szCs w:val="21"/>
              </w:rPr>
              <w:t>排放量（固</w:t>
            </w:r>
            <w:r>
              <w:rPr>
                <w:rFonts w:hint="eastAsia" w:ascii="黑体" w:hAnsi="黑体" w:eastAsia="黑体"/>
                <w:snapToGrid w:val="0"/>
                <w:color w:val="auto"/>
                <w:spacing w:val="-16"/>
                <w:kern w:val="21"/>
                <w:sz w:val="21"/>
                <w:szCs w:val="21"/>
              </w:rPr>
              <w:t>体</w:t>
            </w:r>
            <w:r>
              <w:rPr>
                <w:rFonts w:ascii="黑体" w:hAnsi="黑体" w:eastAsia="黑体"/>
                <w:snapToGrid w:val="0"/>
                <w:color w:val="auto"/>
                <w:spacing w:val="-16"/>
                <w:kern w:val="21"/>
                <w:sz w:val="21"/>
                <w:szCs w:val="21"/>
              </w:rPr>
              <w:t>废</w:t>
            </w:r>
            <w:r>
              <w:rPr>
                <w:rFonts w:hint="eastAsia" w:ascii="黑体" w:hAnsi="黑体" w:eastAsia="黑体"/>
                <w:snapToGrid w:val="0"/>
                <w:color w:val="auto"/>
                <w:spacing w:val="-16"/>
                <w:kern w:val="21"/>
                <w:sz w:val="21"/>
                <w:szCs w:val="21"/>
              </w:rPr>
              <w:t>物</w:t>
            </w:r>
            <w:r>
              <w:rPr>
                <w:rFonts w:ascii="黑体" w:hAnsi="黑体" w:eastAsia="黑体"/>
                <w:snapToGrid w:val="0"/>
                <w:color w:val="auto"/>
                <w:spacing w:val="-16"/>
                <w:kern w:val="21"/>
                <w:sz w:val="21"/>
                <w:szCs w:val="21"/>
              </w:rPr>
              <w:t>产生量）</w:t>
            </w:r>
            <w:r>
              <w:rPr>
                <w:rFonts w:ascii="黑体" w:hAnsi="黑体" w:eastAsia="黑体"/>
                <w:snapToGrid w:val="0"/>
                <w:color w:val="auto"/>
                <w:spacing w:val="-16"/>
                <w:kern w:val="21"/>
                <w:sz w:val="21"/>
                <w:szCs w:val="21"/>
              </w:rPr>
              <w:fldChar w:fldCharType="begin"/>
            </w:r>
            <w:r>
              <w:rPr>
                <w:rFonts w:ascii="黑体" w:hAnsi="黑体" w:eastAsia="黑体"/>
                <w:snapToGrid w:val="0"/>
                <w:color w:val="auto"/>
                <w:spacing w:val="-16"/>
                <w:kern w:val="21"/>
                <w:sz w:val="21"/>
                <w:szCs w:val="21"/>
              </w:rPr>
              <w:instrText xml:space="preserve"> = 6 \* GB3 \* MERGEFORMAT </w:instrText>
            </w:r>
            <w:r>
              <w:rPr>
                <w:rFonts w:ascii="黑体" w:hAnsi="黑体" w:eastAsia="黑体"/>
                <w:snapToGrid w:val="0"/>
                <w:color w:val="auto"/>
                <w:spacing w:val="-16"/>
                <w:kern w:val="21"/>
                <w:sz w:val="21"/>
                <w:szCs w:val="21"/>
              </w:rPr>
              <w:fldChar w:fldCharType="separate"/>
            </w:r>
            <w:r>
              <w:rPr>
                <w:rFonts w:hint="eastAsia" w:ascii="黑体" w:hAnsi="黑体" w:eastAsia="黑体" w:cs="宋体"/>
                <w:color w:val="auto"/>
                <w:kern w:val="2"/>
                <w:sz w:val="21"/>
                <w:szCs w:val="21"/>
              </w:rPr>
              <w:t>⑥</w:t>
            </w:r>
            <w:r>
              <w:rPr>
                <w:rFonts w:ascii="黑体" w:hAnsi="黑体" w:eastAsia="黑体"/>
                <w:snapToGrid w:val="0"/>
                <w:color w:val="auto"/>
                <w:spacing w:val="-16"/>
                <w:kern w:val="21"/>
                <w:sz w:val="21"/>
                <w:szCs w:val="21"/>
              </w:rPr>
              <w:fldChar w:fldCharType="end"/>
            </w:r>
          </w:p>
        </w:tc>
        <w:tc>
          <w:tcPr>
            <w:tcW w:w="1286" w:type="dxa"/>
            <w:tcMar>
              <w:left w:w="28" w:type="dxa"/>
              <w:right w:w="28" w:type="dxa"/>
            </w:tcMar>
            <w:vAlign w:val="center"/>
          </w:tcPr>
          <w:p w14:paraId="7FAFC135">
            <w:pPr>
              <w:pStyle w:val="87"/>
              <w:spacing w:beforeLines="0" w:afterLines="0" w:line="240" w:lineRule="auto"/>
              <w:rPr>
                <w:rFonts w:ascii="黑体" w:hAnsi="黑体" w:eastAsia="黑体"/>
                <w:snapToGrid w:val="0"/>
                <w:color w:val="auto"/>
                <w:spacing w:val="-6"/>
                <w:kern w:val="21"/>
                <w:sz w:val="21"/>
                <w:szCs w:val="21"/>
              </w:rPr>
            </w:pPr>
            <w:r>
              <w:rPr>
                <w:rFonts w:ascii="黑体" w:hAnsi="黑体" w:eastAsia="黑体"/>
                <w:snapToGrid w:val="0"/>
                <w:color w:val="auto"/>
                <w:spacing w:val="-6"/>
                <w:kern w:val="21"/>
                <w:sz w:val="21"/>
                <w:szCs w:val="21"/>
              </w:rPr>
              <w:t>变化量</w:t>
            </w:r>
          </w:p>
          <w:p w14:paraId="2E5BB871">
            <w:pPr>
              <w:pStyle w:val="87"/>
              <w:spacing w:beforeLines="0" w:afterLines="0" w:line="240" w:lineRule="auto"/>
              <w:rPr>
                <w:rFonts w:ascii="黑体" w:hAnsi="黑体" w:eastAsia="黑体"/>
                <w:snapToGrid w:val="0"/>
                <w:color w:val="auto"/>
                <w:spacing w:val="-6"/>
                <w:kern w:val="21"/>
                <w:sz w:val="21"/>
                <w:szCs w:val="21"/>
              </w:rPr>
            </w:pPr>
            <w:r>
              <w:rPr>
                <w:rFonts w:ascii="黑体" w:hAnsi="黑体" w:eastAsia="黑体"/>
                <w:snapToGrid w:val="0"/>
                <w:color w:val="auto"/>
                <w:spacing w:val="-6"/>
                <w:kern w:val="21"/>
                <w:sz w:val="21"/>
                <w:szCs w:val="21"/>
              </w:rPr>
              <w:fldChar w:fldCharType="begin"/>
            </w:r>
            <w:r>
              <w:rPr>
                <w:rFonts w:ascii="黑体" w:hAnsi="黑体" w:eastAsia="黑体"/>
                <w:snapToGrid w:val="0"/>
                <w:color w:val="auto"/>
                <w:spacing w:val="-6"/>
                <w:kern w:val="21"/>
                <w:sz w:val="21"/>
                <w:szCs w:val="21"/>
              </w:rPr>
              <w:instrText xml:space="preserve"> = 7 \* GB3 \* MERGEFORMAT </w:instrText>
            </w:r>
            <w:r>
              <w:rPr>
                <w:rFonts w:ascii="黑体" w:hAnsi="黑体" w:eastAsia="黑体"/>
                <w:snapToGrid w:val="0"/>
                <w:color w:val="auto"/>
                <w:spacing w:val="-6"/>
                <w:kern w:val="21"/>
                <w:sz w:val="21"/>
                <w:szCs w:val="21"/>
              </w:rPr>
              <w:fldChar w:fldCharType="separate"/>
            </w:r>
            <w:r>
              <w:rPr>
                <w:rFonts w:hint="eastAsia" w:ascii="黑体" w:hAnsi="黑体" w:eastAsia="黑体" w:cs="宋体"/>
                <w:color w:val="auto"/>
                <w:kern w:val="2"/>
                <w:sz w:val="21"/>
                <w:szCs w:val="21"/>
              </w:rPr>
              <w:t>⑦</w:t>
            </w:r>
            <w:r>
              <w:rPr>
                <w:rFonts w:ascii="黑体" w:hAnsi="黑体" w:eastAsia="黑体"/>
                <w:snapToGrid w:val="0"/>
                <w:color w:val="auto"/>
                <w:spacing w:val="-6"/>
                <w:kern w:val="21"/>
                <w:sz w:val="21"/>
                <w:szCs w:val="21"/>
              </w:rPr>
              <w:fldChar w:fldCharType="end"/>
            </w:r>
          </w:p>
        </w:tc>
      </w:tr>
      <w:tr w14:paraId="00094F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1" w:type="dxa"/>
            <w:vAlign w:val="center"/>
          </w:tcPr>
          <w:p w14:paraId="044C9BF9">
            <w:pPr>
              <w:pStyle w:val="87"/>
              <w:spacing w:beforeLines="0" w:afterLines="0" w:line="240" w:lineRule="auto"/>
              <w:rPr>
                <w:rFonts w:hAnsi="宋体" w:cs="宋体"/>
                <w:snapToGrid w:val="0"/>
                <w:color w:val="auto"/>
                <w:kern w:val="21"/>
                <w:sz w:val="21"/>
                <w:szCs w:val="21"/>
              </w:rPr>
            </w:pPr>
            <w:r>
              <w:rPr>
                <w:rFonts w:hint="eastAsia" w:hAnsi="宋体" w:cs="宋体"/>
                <w:snapToGrid w:val="0"/>
                <w:color w:val="auto"/>
                <w:kern w:val="21"/>
                <w:sz w:val="21"/>
                <w:szCs w:val="21"/>
              </w:rPr>
              <w:t>废气</w:t>
            </w:r>
          </w:p>
        </w:tc>
        <w:tc>
          <w:tcPr>
            <w:tcW w:w="1824" w:type="dxa"/>
            <w:vAlign w:val="center"/>
          </w:tcPr>
          <w:p w14:paraId="1708C676">
            <w:pPr>
              <w:pStyle w:val="87"/>
              <w:adjustRightInd/>
              <w:snapToGrid/>
              <w:spacing w:before="24" w:after="24" w:line="240" w:lineRule="auto"/>
              <w:rPr>
                <w:rFonts w:ascii="Times New Roman"/>
                <w:snapToGrid w:val="0"/>
                <w:color w:val="auto"/>
                <w:kern w:val="21"/>
                <w:sz w:val="21"/>
                <w:szCs w:val="21"/>
              </w:rPr>
            </w:pPr>
            <w:r>
              <w:rPr>
                <w:rFonts w:hint="eastAsia" w:ascii="Times New Roman"/>
                <w:bCs/>
                <w:color w:val="auto"/>
                <w:spacing w:val="-10"/>
                <w:sz w:val="21"/>
                <w:szCs w:val="21"/>
              </w:rPr>
              <w:t>颗粒物</w:t>
            </w:r>
          </w:p>
        </w:tc>
        <w:tc>
          <w:tcPr>
            <w:tcW w:w="1701" w:type="dxa"/>
            <w:vAlign w:val="center"/>
          </w:tcPr>
          <w:p w14:paraId="0378FD59">
            <w:pPr>
              <w:adjustRightInd w:val="0"/>
              <w:snapToGrid w:val="0"/>
              <w:jc w:val="center"/>
              <w:rPr>
                <w:rFonts w:hint="default" w:eastAsia="宋体"/>
                <w:color w:val="auto"/>
                <w:szCs w:val="21"/>
                <w:lang w:val="en-US" w:eastAsia="zh-CN"/>
              </w:rPr>
            </w:pPr>
            <w:r>
              <w:rPr>
                <w:rFonts w:hint="eastAsia"/>
                <w:color w:val="auto"/>
                <w:szCs w:val="21"/>
                <w:lang w:val="en-US" w:eastAsia="zh-CN"/>
              </w:rPr>
              <w:t>0.5t/a</w:t>
            </w:r>
          </w:p>
        </w:tc>
        <w:tc>
          <w:tcPr>
            <w:tcW w:w="1276" w:type="dxa"/>
            <w:vAlign w:val="center"/>
          </w:tcPr>
          <w:p w14:paraId="29195311">
            <w:pPr>
              <w:pStyle w:val="87"/>
              <w:spacing w:beforeLines="0" w:afterLines="0" w:line="240" w:lineRule="auto"/>
              <w:rPr>
                <w:rFonts w:hAnsi="宋体" w:cs="宋体"/>
                <w:snapToGrid w:val="0"/>
                <w:color w:val="auto"/>
                <w:kern w:val="21"/>
                <w:sz w:val="21"/>
                <w:szCs w:val="21"/>
              </w:rPr>
            </w:pPr>
          </w:p>
        </w:tc>
        <w:tc>
          <w:tcPr>
            <w:tcW w:w="1701" w:type="dxa"/>
            <w:vAlign w:val="center"/>
          </w:tcPr>
          <w:p w14:paraId="3B11DCAF">
            <w:pPr>
              <w:pStyle w:val="87"/>
              <w:spacing w:beforeLines="0" w:afterLines="0" w:line="240" w:lineRule="auto"/>
              <w:rPr>
                <w:rFonts w:hAnsi="宋体" w:cs="宋体"/>
                <w:snapToGrid w:val="0"/>
                <w:color w:val="auto"/>
                <w:kern w:val="21"/>
                <w:sz w:val="21"/>
                <w:szCs w:val="21"/>
              </w:rPr>
            </w:pPr>
          </w:p>
        </w:tc>
        <w:tc>
          <w:tcPr>
            <w:tcW w:w="1559" w:type="dxa"/>
            <w:vAlign w:val="center"/>
          </w:tcPr>
          <w:p w14:paraId="6E74A3C2">
            <w:pPr>
              <w:jc w:val="center"/>
              <w:rPr>
                <w:rFonts w:hint="default" w:eastAsia="宋体"/>
                <w:color w:val="auto"/>
                <w:sz w:val="21"/>
                <w:szCs w:val="21"/>
                <w:lang w:val="en-US" w:eastAsia="zh-CN"/>
              </w:rPr>
            </w:pPr>
            <w:r>
              <w:rPr>
                <w:rFonts w:hint="eastAsia"/>
                <w:color w:val="auto"/>
                <w:sz w:val="21"/>
                <w:szCs w:val="21"/>
                <w:lang w:val="en-US" w:eastAsia="zh-CN"/>
              </w:rPr>
              <w:t>2.2638t/a</w:t>
            </w:r>
          </w:p>
        </w:tc>
        <w:tc>
          <w:tcPr>
            <w:tcW w:w="1761" w:type="dxa"/>
            <w:vAlign w:val="center"/>
          </w:tcPr>
          <w:p w14:paraId="1E0DAD13">
            <w:pPr>
              <w:jc w:val="center"/>
              <w:rPr>
                <w:color w:val="auto"/>
                <w:sz w:val="21"/>
                <w:szCs w:val="21"/>
              </w:rPr>
            </w:pPr>
          </w:p>
        </w:tc>
        <w:tc>
          <w:tcPr>
            <w:tcW w:w="1499" w:type="dxa"/>
            <w:vAlign w:val="center"/>
          </w:tcPr>
          <w:p w14:paraId="795265FB">
            <w:pPr>
              <w:jc w:val="center"/>
              <w:rPr>
                <w:rFonts w:ascii="Times New Roman" w:hAnsi="Times New Roman" w:eastAsia="宋体" w:cs="Times New Roman"/>
                <w:color w:val="auto"/>
                <w:szCs w:val="21"/>
                <w:lang w:val="en-US" w:eastAsia="zh-CN" w:bidi="ar-SA"/>
              </w:rPr>
            </w:pPr>
            <w:r>
              <w:rPr>
                <w:rFonts w:hint="eastAsia"/>
                <w:color w:val="auto"/>
                <w:szCs w:val="21"/>
                <w:lang w:val="en-US" w:eastAsia="zh-CN"/>
              </w:rPr>
              <w:t>2.7638</w:t>
            </w:r>
            <w:r>
              <w:rPr>
                <w:rFonts w:hint="eastAsia"/>
                <w:color w:val="auto"/>
                <w:szCs w:val="21"/>
              </w:rPr>
              <w:t>t/a</w:t>
            </w:r>
          </w:p>
        </w:tc>
        <w:tc>
          <w:tcPr>
            <w:tcW w:w="1286" w:type="dxa"/>
            <w:vAlign w:val="center"/>
          </w:tcPr>
          <w:p w14:paraId="0DC97D81">
            <w:pPr>
              <w:adjustRightInd w:val="0"/>
              <w:snapToGrid w:val="0"/>
              <w:jc w:val="center"/>
              <w:rPr>
                <w:rFonts w:ascii="Times New Roman" w:hAnsi="Times New Roman" w:eastAsia="宋体" w:cs="Times New Roman"/>
                <w:color w:val="auto"/>
                <w:szCs w:val="21"/>
                <w:lang w:val="en-US" w:eastAsia="zh-CN" w:bidi="ar-SA"/>
              </w:rPr>
            </w:pPr>
            <w:r>
              <w:rPr>
                <w:rFonts w:hint="eastAsia"/>
                <w:color w:val="auto"/>
                <w:szCs w:val="21"/>
              </w:rPr>
              <w:t>+</w:t>
            </w:r>
            <w:r>
              <w:rPr>
                <w:rFonts w:hint="eastAsia"/>
                <w:color w:val="auto"/>
                <w:szCs w:val="21"/>
                <w:lang w:val="en-US" w:eastAsia="zh-CN"/>
              </w:rPr>
              <w:t>2.2638</w:t>
            </w:r>
            <w:r>
              <w:rPr>
                <w:rFonts w:hint="eastAsia"/>
                <w:color w:val="auto"/>
                <w:szCs w:val="21"/>
              </w:rPr>
              <w:t>t/a</w:t>
            </w:r>
          </w:p>
        </w:tc>
      </w:tr>
      <w:tr w14:paraId="2BD300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1" w:type="dxa"/>
            <w:vMerge w:val="restart"/>
            <w:vAlign w:val="center"/>
          </w:tcPr>
          <w:p w14:paraId="2532056D">
            <w:pPr>
              <w:pStyle w:val="87"/>
              <w:spacing w:beforeLines="0" w:afterLines="0" w:line="240" w:lineRule="auto"/>
              <w:rPr>
                <w:rFonts w:hAnsi="宋体" w:cs="宋体"/>
                <w:snapToGrid w:val="0"/>
                <w:color w:val="auto"/>
                <w:kern w:val="21"/>
                <w:sz w:val="21"/>
                <w:szCs w:val="21"/>
              </w:rPr>
            </w:pPr>
            <w:r>
              <w:rPr>
                <w:rFonts w:hint="eastAsia" w:hAnsi="宋体" w:cs="宋体"/>
                <w:snapToGrid w:val="0"/>
                <w:color w:val="auto"/>
                <w:kern w:val="21"/>
                <w:sz w:val="21"/>
                <w:szCs w:val="21"/>
              </w:rPr>
              <w:t>废水</w:t>
            </w:r>
          </w:p>
        </w:tc>
        <w:tc>
          <w:tcPr>
            <w:tcW w:w="1824" w:type="dxa"/>
            <w:vAlign w:val="center"/>
          </w:tcPr>
          <w:p w14:paraId="14F2FAB1">
            <w:pPr>
              <w:pStyle w:val="87"/>
              <w:adjustRightInd/>
              <w:snapToGrid/>
              <w:spacing w:before="24" w:after="24" w:line="240" w:lineRule="auto"/>
              <w:rPr>
                <w:rFonts w:ascii="Times New Roman"/>
                <w:snapToGrid w:val="0"/>
                <w:color w:val="auto"/>
                <w:kern w:val="21"/>
                <w:sz w:val="21"/>
                <w:szCs w:val="21"/>
              </w:rPr>
            </w:pPr>
            <w:r>
              <w:rPr>
                <w:rFonts w:ascii="Times New Roman"/>
                <w:bCs/>
                <w:color w:val="auto"/>
                <w:sz w:val="21"/>
                <w:szCs w:val="21"/>
              </w:rPr>
              <w:t>COD</w:t>
            </w:r>
            <w:r>
              <w:rPr>
                <w:rFonts w:ascii="Times New Roman"/>
                <w:bCs/>
                <w:color w:val="auto"/>
                <w:sz w:val="21"/>
                <w:szCs w:val="21"/>
                <w:vertAlign w:val="subscript"/>
              </w:rPr>
              <w:t>cr</w:t>
            </w:r>
          </w:p>
        </w:tc>
        <w:tc>
          <w:tcPr>
            <w:tcW w:w="1701" w:type="dxa"/>
            <w:vAlign w:val="center"/>
          </w:tcPr>
          <w:p w14:paraId="519F743A">
            <w:pPr>
              <w:pStyle w:val="87"/>
              <w:spacing w:beforeLines="0" w:afterLines="0" w:line="240" w:lineRule="auto"/>
              <w:rPr>
                <w:rFonts w:hAnsi="宋体" w:cs="宋体"/>
                <w:snapToGrid w:val="0"/>
                <w:color w:val="auto"/>
                <w:kern w:val="21"/>
                <w:sz w:val="21"/>
                <w:szCs w:val="21"/>
              </w:rPr>
            </w:pPr>
          </w:p>
        </w:tc>
        <w:tc>
          <w:tcPr>
            <w:tcW w:w="1276" w:type="dxa"/>
            <w:vAlign w:val="center"/>
          </w:tcPr>
          <w:p w14:paraId="46674211">
            <w:pPr>
              <w:pStyle w:val="87"/>
              <w:spacing w:beforeLines="0" w:afterLines="0" w:line="240" w:lineRule="auto"/>
              <w:rPr>
                <w:rFonts w:hAnsi="宋体" w:cs="宋体"/>
                <w:snapToGrid w:val="0"/>
                <w:color w:val="auto"/>
                <w:kern w:val="21"/>
                <w:sz w:val="21"/>
                <w:szCs w:val="21"/>
              </w:rPr>
            </w:pPr>
          </w:p>
        </w:tc>
        <w:tc>
          <w:tcPr>
            <w:tcW w:w="1701" w:type="dxa"/>
            <w:vAlign w:val="center"/>
          </w:tcPr>
          <w:p w14:paraId="0297B4B4">
            <w:pPr>
              <w:pStyle w:val="87"/>
              <w:spacing w:beforeLines="0" w:afterLines="0" w:line="240" w:lineRule="auto"/>
              <w:rPr>
                <w:rFonts w:hAnsi="宋体" w:cs="宋体"/>
                <w:snapToGrid w:val="0"/>
                <w:color w:val="auto"/>
                <w:kern w:val="21"/>
                <w:sz w:val="21"/>
                <w:szCs w:val="21"/>
              </w:rPr>
            </w:pPr>
          </w:p>
        </w:tc>
        <w:tc>
          <w:tcPr>
            <w:tcW w:w="1559" w:type="dxa"/>
            <w:vAlign w:val="center"/>
          </w:tcPr>
          <w:p w14:paraId="6B3E0582">
            <w:pPr>
              <w:pStyle w:val="87"/>
              <w:spacing w:beforeLines="0" w:afterLines="0" w:line="240" w:lineRule="auto"/>
              <w:rPr>
                <w:rFonts w:ascii="Times New Roman"/>
                <w:color w:val="auto"/>
                <w:sz w:val="21"/>
                <w:szCs w:val="21"/>
              </w:rPr>
            </w:pPr>
          </w:p>
        </w:tc>
        <w:tc>
          <w:tcPr>
            <w:tcW w:w="1761" w:type="dxa"/>
            <w:vAlign w:val="center"/>
          </w:tcPr>
          <w:p w14:paraId="34EE267C">
            <w:pPr>
              <w:pStyle w:val="87"/>
              <w:spacing w:beforeLines="0" w:afterLines="0" w:line="240" w:lineRule="auto"/>
              <w:rPr>
                <w:rFonts w:hAnsi="宋体" w:cs="宋体"/>
                <w:snapToGrid w:val="0"/>
                <w:color w:val="auto"/>
                <w:kern w:val="21"/>
                <w:sz w:val="21"/>
                <w:szCs w:val="21"/>
              </w:rPr>
            </w:pPr>
          </w:p>
        </w:tc>
        <w:tc>
          <w:tcPr>
            <w:tcW w:w="1499" w:type="dxa"/>
            <w:vAlign w:val="center"/>
          </w:tcPr>
          <w:p w14:paraId="3F8480EE">
            <w:pPr>
              <w:pStyle w:val="87"/>
              <w:spacing w:beforeLines="0" w:afterLines="0" w:line="240" w:lineRule="auto"/>
              <w:rPr>
                <w:rFonts w:ascii="Times New Roman"/>
                <w:snapToGrid w:val="0"/>
                <w:color w:val="auto"/>
                <w:kern w:val="21"/>
                <w:sz w:val="21"/>
                <w:szCs w:val="21"/>
              </w:rPr>
            </w:pPr>
          </w:p>
        </w:tc>
        <w:tc>
          <w:tcPr>
            <w:tcW w:w="1286" w:type="dxa"/>
            <w:vAlign w:val="center"/>
          </w:tcPr>
          <w:p w14:paraId="44F0C126">
            <w:pPr>
              <w:pStyle w:val="87"/>
              <w:spacing w:beforeLines="0" w:afterLines="0" w:line="240" w:lineRule="auto"/>
              <w:rPr>
                <w:rFonts w:ascii="Times New Roman"/>
                <w:snapToGrid w:val="0"/>
                <w:color w:val="auto"/>
                <w:kern w:val="21"/>
                <w:sz w:val="21"/>
                <w:szCs w:val="21"/>
              </w:rPr>
            </w:pPr>
          </w:p>
        </w:tc>
      </w:tr>
      <w:tr w14:paraId="5597F1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1" w:type="dxa"/>
            <w:vMerge w:val="continue"/>
            <w:vAlign w:val="center"/>
          </w:tcPr>
          <w:p w14:paraId="7277EA32">
            <w:pPr>
              <w:pStyle w:val="87"/>
              <w:spacing w:beforeLines="0" w:afterLines="0" w:line="240" w:lineRule="auto"/>
              <w:rPr>
                <w:rFonts w:hAnsi="宋体" w:cs="宋体"/>
                <w:snapToGrid w:val="0"/>
                <w:color w:val="auto"/>
                <w:kern w:val="21"/>
                <w:sz w:val="21"/>
                <w:szCs w:val="21"/>
              </w:rPr>
            </w:pPr>
          </w:p>
        </w:tc>
        <w:tc>
          <w:tcPr>
            <w:tcW w:w="1824" w:type="dxa"/>
            <w:vAlign w:val="center"/>
          </w:tcPr>
          <w:p w14:paraId="083A4A64">
            <w:pPr>
              <w:pStyle w:val="87"/>
              <w:adjustRightInd/>
              <w:snapToGrid/>
              <w:spacing w:before="24" w:after="24" w:line="240" w:lineRule="auto"/>
              <w:rPr>
                <w:rFonts w:ascii="Times New Roman"/>
                <w:snapToGrid w:val="0"/>
                <w:color w:val="auto"/>
                <w:kern w:val="21"/>
                <w:sz w:val="21"/>
                <w:szCs w:val="21"/>
              </w:rPr>
            </w:pPr>
            <w:r>
              <w:rPr>
                <w:rFonts w:ascii="Times New Roman"/>
                <w:bCs/>
                <w:color w:val="auto"/>
                <w:sz w:val="21"/>
                <w:szCs w:val="21"/>
              </w:rPr>
              <w:t>BOD</w:t>
            </w:r>
            <w:r>
              <w:rPr>
                <w:rFonts w:ascii="Times New Roman"/>
                <w:bCs/>
                <w:color w:val="auto"/>
                <w:sz w:val="21"/>
                <w:szCs w:val="21"/>
                <w:vertAlign w:val="subscript"/>
              </w:rPr>
              <w:t>5</w:t>
            </w:r>
          </w:p>
        </w:tc>
        <w:tc>
          <w:tcPr>
            <w:tcW w:w="1701" w:type="dxa"/>
            <w:vAlign w:val="center"/>
          </w:tcPr>
          <w:p w14:paraId="7AD30BE8">
            <w:pPr>
              <w:pStyle w:val="87"/>
              <w:spacing w:beforeLines="0" w:afterLines="0" w:line="240" w:lineRule="auto"/>
              <w:rPr>
                <w:rFonts w:hAnsi="宋体" w:cs="宋体"/>
                <w:snapToGrid w:val="0"/>
                <w:color w:val="auto"/>
                <w:kern w:val="21"/>
                <w:sz w:val="21"/>
                <w:szCs w:val="21"/>
              </w:rPr>
            </w:pPr>
          </w:p>
        </w:tc>
        <w:tc>
          <w:tcPr>
            <w:tcW w:w="1276" w:type="dxa"/>
            <w:vAlign w:val="center"/>
          </w:tcPr>
          <w:p w14:paraId="2BAF72D4">
            <w:pPr>
              <w:pStyle w:val="87"/>
              <w:spacing w:beforeLines="0" w:afterLines="0" w:line="240" w:lineRule="auto"/>
              <w:rPr>
                <w:rFonts w:hAnsi="宋体" w:cs="宋体"/>
                <w:snapToGrid w:val="0"/>
                <w:color w:val="auto"/>
                <w:kern w:val="21"/>
                <w:sz w:val="21"/>
                <w:szCs w:val="21"/>
              </w:rPr>
            </w:pPr>
          </w:p>
        </w:tc>
        <w:tc>
          <w:tcPr>
            <w:tcW w:w="1701" w:type="dxa"/>
            <w:vAlign w:val="center"/>
          </w:tcPr>
          <w:p w14:paraId="5BA8CA11">
            <w:pPr>
              <w:pStyle w:val="87"/>
              <w:spacing w:beforeLines="0" w:afterLines="0" w:line="240" w:lineRule="auto"/>
              <w:rPr>
                <w:rFonts w:hAnsi="宋体" w:cs="宋体"/>
                <w:snapToGrid w:val="0"/>
                <w:color w:val="auto"/>
                <w:kern w:val="21"/>
                <w:sz w:val="21"/>
                <w:szCs w:val="21"/>
              </w:rPr>
            </w:pPr>
          </w:p>
        </w:tc>
        <w:tc>
          <w:tcPr>
            <w:tcW w:w="1559" w:type="dxa"/>
            <w:vAlign w:val="center"/>
          </w:tcPr>
          <w:p w14:paraId="7F2F763B">
            <w:pPr>
              <w:pStyle w:val="87"/>
              <w:spacing w:beforeLines="0" w:afterLines="0" w:line="240" w:lineRule="auto"/>
              <w:rPr>
                <w:rFonts w:ascii="Times New Roman"/>
                <w:color w:val="auto"/>
                <w:sz w:val="21"/>
                <w:szCs w:val="21"/>
              </w:rPr>
            </w:pPr>
          </w:p>
        </w:tc>
        <w:tc>
          <w:tcPr>
            <w:tcW w:w="1761" w:type="dxa"/>
            <w:vAlign w:val="center"/>
          </w:tcPr>
          <w:p w14:paraId="31B135C3">
            <w:pPr>
              <w:pStyle w:val="87"/>
              <w:spacing w:beforeLines="0" w:afterLines="0" w:line="240" w:lineRule="auto"/>
              <w:rPr>
                <w:rFonts w:hAnsi="宋体" w:cs="宋体"/>
                <w:snapToGrid w:val="0"/>
                <w:color w:val="auto"/>
                <w:kern w:val="21"/>
                <w:sz w:val="21"/>
                <w:szCs w:val="21"/>
              </w:rPr>
            </w:pPr>
          </w:p>
        </w:tc>
        <w:tc>
          <w:tcPr>
            <w:tcW w:w="1499" w:type="dxa"/>
            <w:vAlign w:val="center"/>
          </w:tcPr>
          <w:p w14:paraId="7AF6CE4C">
            <w:pPr>
              <w:pStyle w:val="87"/>
              <w:spacing w:beforeLines="0" w:afterLines="0" w:line="240" w:lineRule="auto"/>
              <w:rPr>
                <w:rFonts w:ascii="Times New Roman"/>
                <w:snapToGrid w:val="0"/>
                <w:color w:val="auto"/>
                <w:kern w:val="21"/>
                <w:sz w:val="21"/>
                <w:szCs w:val="21"/>
              </w:rPr>
            </w:pPr>
          </w:p>
        </w:tc>
        <w:tc>
          <w:tcPr>
            <w:tcW w:w="1286" w:type="dxa"/>
            <w:vAlign w:val="center"/>
          </w:tcPr>
          <w:p w14:paraId="54159F9D">
            <w:pPr>
              <w:pStyle w:val="87"/>
              <w:spacing w:beforeLines="0" w:afterLines="0" w:line="240" w:lineRule="auto"/>
              <w:rPr>
                <w:rFonts w:ascii="Times New Roman"/>
                <w:snapToGrid w:val="0"/>
                <w:color w:val="auto"/>
                <w:kern w:val="21"/>
                <w:sz w:val="21"/>
                <w:szCs w:val="21"/>
              </w:rPr>
            </w:pPr>
          </w:p>
        </w:tc>
      </w:tr>
      <w:tr w14:paraId="38516E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1" w:type="dxa"/>
            <w:vMerge w:val="continue"/>
            <w:vAlign w:val="center"/>
          </w:tcPr>
          <w:p w14:paraId="2734A04F">
            <w:pPr>
              <w:pStyle w:val="87"/>
              <w:spacing w:beforeLines="0" w:afterLines="0" w:line="240" w:lineRule="auto"/>
              <w:rPr>
                <w:rFonts w:hAnsi="宋体" w:cs="宋体"/>
                <w:snapToGrid w:val="0"/>
                <w:color w:val="auto"/>
                <w:kern w:val="21"/>
                <w:sz w:val="21"/>
                <w:szCs w:val="21"/>
              </w:rPr>
            </w:pPr>
          </w:p>
        </w:tc>
        <w:tc>
          <w:tcPr>
            <w:tcW w:w="1824" w:type="dxa"/>
            <w:vAlign w:val="center"/>
          </w:tcPr>
          <w:p w14:paraId="0D9C035C">
            <w:pPr>
              <w:pStyle w:val="87"/>
              <w:adjustRightInd/>
              <w:snapToGrid/>
              <w:spacing w:before="24" w:after="24" w:line="240" w:lineRule="auto"/>
              <w:rPr>
                <w:rFonts w:ascii="Times New Roman"/>
                <w:snapToGrid w:val="0"/>
                <w:color w:val="auto"/>
                <w:kern w:val="21"/>
                <w:sz w:val="21"/>
                <w:szCs w:val="21"/>
              </w:rPr>
            </w:pPr>
            <w:r>
              <w:rPr>
                <w:rFonts w:ascii="Times New Roman"/>
                <w:bCs/>
                <w:color w:val="auto"/>
                <w:sz w:val="21"/>
                <w:szCs w:val="21"/>
              </w:rPr>
              <w:t>NH</w:t>
            </w:r>
            <w:r>
              <w:rPr>
                <w:rFonts w:ascii="Times New Roman"/>
                <w:bCs/>
                <w:color w:val="auto"/>
                <w:sz w:val="21"/>
                <w:szCs w:val="21"/>
                <w:vertAlign w:val="subscript"/>
              </w:rPr>
              <w:t>3</w:t>
            </w:r>
            <w:r>
              <w:rPr>
                <w:rFonts w:ascii="Times New Roman"/>
                <w:bCs/>
                <w:color w:val="auto"/>
                <w:sz w:val="21"/>
                <w:szCs w:val="21"/>
              </w:rPr>
              <w:t>-N</w:t>
            </w:r>
          </w:p>
        </w:tc>
        <w:tc>
          <w:tcPr>
            <w:tcW w:w="1701" w:type="dxa"/>
            <w:vAlign w:val="center"/>
          </w:tcPr>
          <w:p w14:paraId="7598A86D">
            <w:pPr>
              <w:pStyle w:val="87"/>
              <w:spacing w:beforeLines="0" w:afterLines="0" w:line="240" w:lineRule="auto"/>
              <w:rPr>
                <w:rFonts w:hAnsi="宋体" w:cs="宋体"/>
                <w:snapToGrid w:val="0"/>
                <w:color w:val="auto"/>
                <w:kern w:val="21"/>
                <w:sz w:val="21"/>
                <w:szCs w:val="21"/>
              </w:rPr>
            </w:pPr>
          </w:p>
        </w:tc>
        <w:tc>
          <w:tcPr>
            <w:tcW w:w="1276" w:type="dxa"/>
            <w:vAlign w:val="center"/>
          </w:tcPr>
          <w:p w14:paraId="585C2ADF">
            <w:pPr>
              <w:pStyle w:val="87"/>
              <w:spacing w:beforeLines="0" w:afterLines="0" w:line="240" w:lineRule="auto"/>
              <w:rPr>
                <w:rFonts w:hAnsi="宋体" w:cs="宋体"/>
                <w:snapToGrid w:val="0"/>
                <w:color w:val="auto"/>
                <w:kern w:val="21"/>
                <w:sz w:val="21"/>
                <w:szCs w:val="21"/>
              </w:rPr>
            </w:pPr>
          </w:p>
        </w:tc>
        <w:tc>
          <w:tcPr>
            <w:tcW w:w="1701" w:type="dxa"/>
            <w:vAlign w:val="center"/>
          </w:tcPr>
          <w:p w14:paraId="2D952FBB">
            <w:pPr>
              <w:pStyle w:val="87"/>
              <w:spacing w:beforeLines="0" w:afterLines="0" w:line="240" w:lineRule="auto"/>
              <w:rPr>
                <w:rFonts w:hAnsi="宋体" w:cs="宋体"/>
                <w:snapToGrid w:val="0"/>
                <w:color w:val="auto"/>
                <w:kern w:val="21"/>
                <w:sz w:val="21"/>
                <w:szCs w:val="21"/>
              </w:rPr>
            </w:pPr>
          </w:p>
        </w:tc>
        <w:tc>
          <w:tcPr>
            <w:tcW w:w="1559" w:type="dxa"/>
            <w:vAlign w:val="center"/>
          </w:tcPr>
          <w:p w14:paraId="4EE7E0BD">
            <w:pPr>
              <w:pStyle w:val="87"/>
              <w:spacing w:beforeLines="0" w:afterLines="0" w:line="240" w:lineRule="auto"/>
              <w:rPr>
                <w:rFonts w:ascii="Times New Roman"/>
                <w:color w:val="auto"/>
                <w:sz w:val="21"/>
                <w:szCs w:val="21"/>
              </w:rPr>
            </w:pPr>
          </w:p>
        </w:tc>
        <w:tc>
          <w:tcPr>
            <w:tcW w:w="1761" w:type="dxa"/>
            <w:vAlign w:val="center"/>
          </w:tcPr>
          <w:p w14:paraId="532A1211">
            <w:pPr>
              <w:pStyle w:val="87"/>
              <w:spacing w:beforeLines="0" w:afterLines="0" w:line="240" w:lineRule="auto"/>
              <w:rPr>
                <w:rFonts w:hAnsi="宋体" w:cs="宋体"/>
                <w:snapToGrid w:val="0"/>
                <w:color w:val="auto"/>
                <w:kern w:val="21"/>
                <w:sz w:val="21"/>
                <w:szCs w:val="21"/>
              </w:rPr>
            </w:pPr>
          </w:p>
        </w:tc>
        <w:tc>
          <w:tcPr>
            <w:tcW w:w="1499" w:type="dxa"/>
            <w:vAlign w:val="center"/>
          </w:tcPr>
          <w:p w14:paraId="267B0105">
            <w:pPr>
              <w:pStyle w:val="87"/>
              <w:spacing w:beforeLines="0" w:afterLines="0" w:line="240" w:lineRule="auto"/>
              <w:rPr>
                <w:rFonts w:ascii="Times New Roman"/>
                <w:snapToGrid w:val="0"/>
                <w:color w:val="auto"/>
                <w:kern w:val="21"/>
                <w:sz w:val="21"/>
                <w:szCs w:val="21"/>
              </w:rPr>
            </w:pPr>
          </w:p>
        </w:tc>
        <w:tc>
          <w:tcPr>
            <w:tcW w:w="1286" w:type="dxa"/>
            <w:vAlign w:val="center"/>
          </w:tcPr>
          <w:p w14:paraId="0B86DD8C">
            <w:pPr>
              <w:pStyle w:val="87"/>
              <w:spacing w:beforeLines="0" w:afterLines="0" w:line="240" w:lineRule="auto"/>
              <w:rPr>
                <w:rFonts w:ascii="Times New Roman"/>
                <w:snapToGrid w:val="0"/>
                <w:color w:val="auto"/>
                <w:kern w:val="21"/>
                <w:sz w:val="21"/>
                <w:szCs w:val="21"/>
              </w:rPr>
            </w:pPr>
          </w:p>
        </w:tc>
      </w:tr>
      <w:tr w14:paraId="160B2E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181" w:type="dxa"/>
            <w:vMerge w:val="restart"/>
            <w:vAlign w:val="center"/>
          </w:tcPr>
          <w:p w14:paraId="557A2755">
            <w:pPr>
              <w:pStyle w:val="87"/>
              <w:spacing w:beforeLines="0" w:afterLines="0" w:line="240" w:lineRule="auto"/>
              <w:rPr>
                <w:rFonts w:hAnsi="宋体" w:cs="宋体"/>
                <w:snapToGrid w:val="0"/>
                <w:color w:val="auto"/>
                <w:kern w:val="21"/>
                <w:sz w:val="21"/>
                <w:szCs w:val="21"/>
              </w:rPr>
            </w:pPr>
            <w:r>
              <w:rPr>
                <w:rFonts w:hint="eastAsia" w:hAnsi="宋体" w:cs="宋体"/>
                <w:snapToGrid w:val="0"/>
                <w:color w:val="auto"/>
                <w:kern w:val="21"/>
                <w:sz w:val="21"/>
                <w:szCs w:val="21"/>
              </w:rPr>
              <w:t>一般工业</w:t>
            </w:r>
          </w:p>
          <w:p w14:paraId="52F63CC4">
            <w:pPr>
              <w:pStyle w:val="87"/>
              <w:spacing w:before="24" w:after="24" w:line="240" w:lineRule="auto"/>
              <w:rPr>
                <w:rFonts w:hAnsi="宋体" w:cs="宋体"/>
                <w:snapToGrid w:val="0"/>
                <w:color w:val="auto"/>
                <w:kern w:val="21"/>
                <w:sz w:val="21"/>
                <w:szCs w:val="21"/>
              </w:rPr>
            </w:pPr>
            <w:r>
              <w:rPr>
                <w:rFonts w:hint="eastAsia" w:hAnsi="宋体" w:cs="宋体"/>
                <w:snapToGrid w:val="0"/>
                <w:color w:val="auto"/>
                <w:kern w:val="21"/>
                <w:sz w:val="21"/>
                <w:szCs w:val="21"/>
              </w:rPr>
              <w:t>固体废物</w:t>
            </w:r>
          </w:p>
        </w:tc>
        <w:tc>
          <w:tcPr>
            <w:tcW w:w="1824" w:type="dxa"/>
            <w:vAlign w:val="center"/>
          </w:tcPr>
          <w:p w14:paraId="555DE5D9">
            <w:pPr>
              <w:pStyle w:val="95"/>
              <w:jc w:val="center"/>
              <w:rPr>
                <w:color w:val="auto"/>
                <w:kern w:val="0"/>
                <w:szCs w:val="21"/>
              </w:rPr>
            </w:pPr>
            <w:r>
              <w:rPr>
                <w:rFonts w:hint="eastAsia"/>
                <w:color w:val="auto"/>
                <w:kern w:val="0"/>
                <w:szCs w:val="21"/>
              </w:rPr>
              <w:t>收尘器收尘</w:t>
            </w:r>
            <w:r>
              <w:rPr>
                <w:color w:val="auto"/>
                <w:kern w:val="0"/>
                <w:szCs w:val="21"/>
              </w:rPr>
              <w:t>灰</w:t>
            </w:r>
          </w:p>
        </w:tc>
        <w:tc>
          <w:tcPr>
            <w:tcW w:w="1701" w:type="dxa"/>
            <w:vAlign w:val="center"/>
          </w:tcPr>
          <w:p w14:paraId="46DB37B3">
            <w:pPr>
              <w:jc w:val="center"/>
              <w:rPr>
                <w:bCs/>
                <w:color w:val="auto"/>
                <w:kern w:val="10"/>
                <w:sz w:val="21"/>
                <w:szCs w:val="21"/>
              </w:rPr>
            </w:pPr>
          </w:p>
        </w:tc>
        <w:tc>
          <w:tcPr>
            <w:tcW w:w="1276" w:type="dxa"/>
            <w:vAlign w:val="center"/>
          </w:tcPr>
          <w:p w14:paraId="3DD8A17B">
            <w:pPr>
              <w:jc w:val="center"/>
              <w:rPr>
                <w:bCs/>
                <w:color w:val="auto"/>
                <w:kern w:val="10"/>
                <w:sz w:val="21"/>
                <w:szCs w:val="21"/>
              </w:rPr>
            </w:pPr>
          </w:p>
        </w:tc>
        <w:tc>
          <w:tcPr>
            <w:tcW w:w="1701" w:type="dxa"/>
            <w:vAlign w:val="center"/>
          </w:tcPr>
          <w:p w14:paraId="3B1BF8D9">
            <w:pPr>
              <w:jc w:val="center"/>
              <w:rPr>
                <w:bCs/>
                <w:color w:val="auto"/>
                <w:kern w:val="10"/>
                <w:sz w:val="21"/>
                <w:szCs w:val="21"/>
              </w:rPr>
            </w:pPr>
          </w:p>
        </w:tc>
        <w:tc>
          <w:tcPr>
            <w:tcW w:w="1559" w:type="dxa"/>
            <w:vAlign w:val="center"/>
          </w:tcPr>
          <w:p w14:paraId="0824B26D">
            <w:pPr>
              <w:jc w:val="center"/>
              <w:rPr>
                <w:color w:val="auto"/>
                <w:sz w:val="21"/>
                <w:szCs w:val="21"/>
              </w:rPr>
            </w:pPr>
            <w:r>
              <w:rPr>
                <w:rFonts w:hint="eastAsia"/>
                <w:color w:val="auto"/>
                <w:sz w:val="21"/>
                <w:szCs w:val="21"/>
                <w:lang w:val="en-US" w:eastAsia="zh-CN"/>
              </w:rPr>
              <w:t>8.21</w:t>
            </w:r>
            <w:r>
              <w:rPr>
                <w:rFonts w:hint="eastAsia"/>
                <w:color w:val="auto"/>
                <w:sz w:val="21"/>
                <w:szCs w:val="21"/>
              </w:rPr>
              <w:t>t/a</w:t>
            </w:r>
          </w:p>
        </w:tc>
        <w:tc>
          <w:tcPr>
            <w:tcW w:w="1761" w:type="dxa"/>
            <w:vAlign w:val="center"/>
          </w:tcPr>
          <w:p w14:paraId="49318ED6">
            <w:pPr>
              <w:jc w:val="center"/>
              <w:rPr>
                <w:bCs/>
                <w:color w:val="auto"/>
                <w:kern w:val="10"/>
                <w:sz w:val="21"/>
                <w:szCs w:val="21"/>
              </w:rPr>
            </w:pPr>
          </w:p>
        </w:tc>
        <w:tc>
          <w:tcPr>
            <w:tcW w:w="1499" w:type="dxa"/>
            <w:vAlign w:val="center"/>
          </w:tcPr>
          <w:p w14:paraId="3333A6C2">
            <w:pPr>
              <w:jc w:val="center"/>
              <w:rPr>
                <w:color w:val="auto"/>
                <w:sz w:val="21"/>
                <w:szCs w:val="21"/>
              </w:rPr>
            </w:pPr>
            <w:r>
              <w:rPr>
                <w:rFonts w:hint="eastAsia"/>
                <w:color w:val="auto"/>
                <w:sz w:val="21"/>
                <w:szCs w:val="21"/>
                <w:lang w:val="en-US" w:eastAsia="zh-CN"/>
              </w:rPr>
              <w:t>8.21</w:t>
            </w:r>
            <w:r>
              <w:rPr>
                <w:rFonts w:hint="eastAsia"/>
                <w:color w:val="auto"/>
                <w:sz w:val="21"/>
                <w:szCs w:val="21"/>
              </w:rPr>
              <w:t>t/a</w:t>
            </w:r>
          </w:p>
        </w:tc>
        <w:tc>
          <w:tcPr>
            <w:tcW w:w="1286" w:type="dxa"/>
            <w:vAlign w:val="center"/>
          </w:tcPr>
          <w:p w14:paraId="4432D706">
            <w:pPr>
              <w:jc w:val="center"/>
              <w:rPr>
                <w:color w:val="auto"/>
                <w:sz w:val="21"/>
                <w:szCs w:val="21"/>
              </w:rPr>
            </w:pPr>
            <w:r>
              <w:rPr>
                <w:rFonts w:hint="eastAsia"/>
                <w:color w:val="auto"/>
                <w:sz w:val="21"/>
                <w:szCs w:val="21"/>
              </w:rPr>
              <w:t>+</w:t>
            </w:r>
            <w:r>
              <w:rPr>
                <w:rFonts w:hint="eastAsia"/>
                <w:color w:val="auto"/>
                <w:sz w:val="21"/>
                <w:szCs w:val="21"/>
                <w:lang w:val="en-US" w:eastAsia="zh-CN"/>
              </w:rPr>
              <w:t>8.21</w:t>
            </w:r>
            <w:r>
              <w:rPr>
                <w:rFonts w:hint="eastAsia"/>
                <w:color w:val="auto"/>
                <w:sz w:val="21"/>
                <w:szCs w:val="21"/>
              </w:rPr>
              <w:t>t/a</w:t>
            </w:r>
          </w:p>
        </w:tc>
      </w:tr>
      <w:tr w14:paraId="1B08A4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181" w:type="dxa"/>
            <w:vMerge w:val="continue"/>
            <w:vAlign w:val="center"/>
          </w:tcPr>
          <w:p w14:paraId="3A87EE18">
            <w:pPr>
              <w:pStyle w:val="87"/>
              <w:spacing w:beforeLines="0" w:afterLines="0" w:line="240" w:lineRule="auto"/>
              <w:rPr>
                <w:rFonts w:hAnsi="宋体" w:cs="宋体"/>
                <w:snapToGrid w:val="0"/>
                <w:color w:val="auto"/>
                <w:kern w:val="21"/>
                <w:sz w:val="21"/>
                <w:szCs w:val="21"/>
              </w:rPr>
            </w:pPr>
          </w:p>
        </w:tc>
        <w:tc>
          <w:tcPr>
            <w:tcW w:w="1824" w:type="dxa"/>
            <w:vAlign w:val="center"/>
          </w:tcPr>
          <w:p w14:paraId="36903081">
            <w:pPr>
              <w:pStyle w:val="95"/>
              <w:jc w:val="center"/>
              <w:rPr>
                <w:color w:val="auto"/>
                <w:kern w:val="0"/>
                <w:szCs w:val="21"/>
              </w:rPr>
            </w:pPr>
            <w:r>
              <w:rPr>
                <w:rFonts w:hint="eastAsia"/>
                <w:color w:val="auto"/>
                <w:kern w:val="0"/>
                <w:szCs w:val="21"/>
              </w:rPr>
              <w:t>生活垃圾</w:t>
            </w:r>
          </w:p>
        </w:tc>
        <w:tc>
          <w:tcPr>
            <w:tcW w:w="1701" w:type="dxa"/>
            <w:vAlign w:val="center"/>
          </w:tcPr>
          <w:p w14:paraId="240A3F31">
            <w:pPr>
              <w:jc w:val="center"/>
              <w:rPr>
                <w:rFonts w:hint="default" w:eastAsia="宋体"/>
                <w:color w:val="auto"/>
                <w:sz w:val="21"/>
                <w:szCs w:val="21"/>
                <w:lang w:val="en-US" w:eastAsia="zh-CN"/>
              </w:rPr>
            </w:pPr>
            <w:r>
              <w:rPr>
                <w:rFonts w:hint="eastAsia"/>
                <w:color w:val="auto"/>
                <w:sz w:val="21"/>
                <w:szCs w:val="21"/>
                <w:lang w:val="en-US" w:eastAsia="zh-CN"/>
              </w:rPr>
              <w:t>39t/a</w:t>
            </w:r>
          </w:p>
        </w:tc>
        <w:tc>
          <w:tcPr>
            <w:tcW w:w="1276" w:type="dxa"/>
            <w:vAlign w:val="center"/>
          </w:tcPr>
          <w:p w14:paraId="342FF379">
            <w:pPr>
              <w:jc w:val="center"/>
              <w:rPr>
                <w:color w:val="auto"/>
                <w:sz w:val="21"/>
                <w:szCs w:val="21"/>
              </w:rPr>
            </w:pPr>
          </w:p>
        </w:tc>
        <w:tc>
          <w:tcPr>
            <w:tcW w:w="1701" w:type="dxa"/>
            <w:vAlign w:val="center"/>
          </w:tcPr>
          <w:p w14:paraId="7191C18A">
            <w:pPr>
              <w:jc w:val="center"/>
              <w:rPr>
                <w:color w:val="auto"/>
                <w:sz w:val="21"/>
                <w:szCs w:val="21"/>
              </w:rPr>
            </w:pPr>
          </w:p>
        </w:tc>
        <w:tc>
          <w:tcPr>
            <w:tcW w:w="1559" w:type="dxa"/>
            <w:vAlign w:val="center"/>
          </w:tcPr>
          <w:p w14:paraId="71BA2D42">
            <w:pPr>
              <w:jc w:val="center"/>
              <w:rPr>
                <w:rFonts w:hint="eastAsia" w:eastAsia="宋体"/>
                <w:color w:val="auto"/>
                <w:sz w:val="21"/>
                <w:szCs w:val="21"/>
                <w:lang w:eastAsia="zh-CN"/>
              </w:rPr>
            </w:pPr>
            <w:r>
              <w:rPr>
                <w:rFonts w:hint="eastAsia"/>
                <w:color w:val="auto"/>
                <w:sz w:val="21"/>
                <w:szCs w:val="21"/>
                <w:lang w:val="en-US" w:eastAsia="zh-CN"/>
              </w:rPr>
              <w:t>0</w:t>
            </w:r>
          </w:p>
        </w:tc>
        <w:tc>
          <w:tcPr>
            <w:tcW w:w="1761" w:type="dxa"/>
            <w:vAlign w:val="center"/>
          </w:tcPr>
          <w:p w14:paraId="3ABA019B">
            <w:pPr>
              <w:jc w:val="center"/>
              <w:rPr>
                <w:color w:val="auto"/>
                <w:sz w:val="21"/>
                <w:szCs w:val="21"/>
              </w:rPr>
            </w:pPr>
          </w:p>
        </w:tc>
        <w:tc>
          <w:tcPr>
            <w:tcW w:w="1499" w:type="dxa"/>
            <w:vAlign w:val="center"/>
          </w:tcPr>
          <w:p w14:paraId="6F7D1E24">
            <w:pPr>
              <w:jc w:val="center"/>
              <w:rPr>
                <w:color w:val="auto"/>
                <w:sz w:val="21"/>
                <w:szCs w:val="21"/>
              </w:rPr>
            </w:pPr>
            <w:r>
              <w:rPr>
                <w:rFonts w:hint="eastAsia"/>
                <w:color w:val="auto"/>
                <w:sz w:val="21"/>
                <w:szCs w:val="21"/>
                <w:lang w:val="en-US" w:eastAsia="zh-CN"/>
              </w:rPr>
              <w:t>39</w:t>
            </w:r>
            <w:r>
              <w:rPr>
                <w:rFonts w:hint="eastAsia"/>
                <w:color w:val="auto"/>
                <w:sz w:val="21"/>
                <w:szCs w:val="21"/>
              </w:rPr>
              <w:t>t/a</w:t>
            </w:r>
          </w:p>
        </w:tc>
        <w:tc>
          <w:tcPr>
            <w:tcW w:w="1286" w:type="dxa"/>
            <w:vAlign w:val="center"/>
          </w:tcPr>
          <w:p w14:paraId="15049779">
            <w:pPr>
              <w:jc w:val="center"/>
              <w:rPr>
                <w:rFonts w:hint="eastAsia" w:eastAsia="宋体"/>
                <w:color w:val="auto"/>
                <w:sz w:val="21"/>
                <w:szCs w:val="21"/>
                <w:lang w:eastAsia="zh-CN"/>
              </w:rPr>
            </w:pPr>
            <w:r>
              <w:rPr>
                <w:rFonts w:hint="eastAsia"/>
                <w:color w:val="auto"/>
                <w:sz w:val="21"/>
                <w:szCs w:val="21"/>
                <w:lang w:val="en-US" w:eastAsia="zh-CN"/>
              </w:rPr>
              <w:t>0</w:t>
            </w:r>
          </w:p>
        </w:tc>
      </w:tr>
      <w:tr w14:paraId="10B7A5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1" w:type="dxa"/>
            <w:vMerge w:val="continue"/>
            <w:vAlign w:val="center"/>
          </w:tcPr>
          <w:p w14:paraId="3BF2C87A">
            <w:pPr>
              <w:pStyle w:val="87"/>
              <w:spacing w:beforeLines="0" w:afterLines="0" w:line="240" w:lineRule="auto"/>
              <w:rPr>
                <w:rFonts w:hAnsi="宋体" w:cs="宋体"/>
                <w:snapToGrid w:val="0"/>
                <w:color w:val="auto"/>
                <w:kern w:val="21"/>
                <w:sz w:val="21"/>
                <w:szCs w:val="21"/>
              </w:rPr>
            </w:pPr>
          </w:p>
        </w:tc>
        <w:tc>
          <w:tcPr>
            <w:tcW w:w="1824" w:type="dxa"/>
            <w:vAlign w:val="center"/>
          </w:tcPr>
          <w:p w14:paraId="35DD4B82">
            <w:pPr>
              <w:jc w:val="center"/>
              <w:rPr>
                <w:rFonts w:hint="eastAsia" w:ascii="Times New Roman" w:hAnsi="Times New Roman" w:eastAsia="宋体" w:cs="Times New Roman"/>
                <w:color w:val="auto"/>
                <w:szCs w:val="21"/>
                <w:lang w:val="en-US" w:eastAsia="zh-CN" w:bidi="ar-SA"/>
              </w:rPr>
            </w:pPr>
          </w:p>
        </w:tc>
        <w:tc>
          <w:tcPr>
            <w:tcW w:w="1701" w:type="dxa"/>
            <w:vAlign w:val="center"/>
          </w:tcPr>
          <w:p w14:paraId="78CCB5AC">
            <w:pPr>
              <w:jc w:val="center"/>
              <w:rPr>
                <w:rFonts w:hint="default" w:ascii="Times New Roman" w:hAnsi="Times New Roman" w:eastAsia="宋体" w:cs="Times New Roman"/>
                <w:color w:val="auto"/>
                <w:szCs w:val="21"/>
                <w:lang w:val="en-US" w:eastAsia="zh-CN" w:bidi="ar-SA"/>
              </w:rPr>
            </w:pPr>
          </w:p>
        </w:tc>
        <w:tc>
          <w:tcPr>
            <w:tcW w:w="1276" w:type="dxa"/>
            <w:vAlign w:val="center"/>
          </w:tcPr>
          <w:p w14:paraId="4E25FAB2">
            <w:pPr>
              <w:jc w:val="center"/>
              <w:rPr>
                <w:bCs/>
                <w:color w:val="auto"/>
                <w:kern w:val="10"/>
                <w:sz w:val="21"/>
                <w:szCs w:val="21"/>
              </w:rPr>
            </w:pPr>
          </w:p>
        </w:tc>
        <w:tc>
          <w:tcPr>
            <w:tcW w:w="1701" w:type="dxa"/>
            <w:vAlign w:val="center"/>
          </w:tcPr>
          <w:p w14:paraId="37438333">
            <w:pPr>
              <w:jc w:val="center"/>
              <w:rPr>
                <w:bCs/>
                <w:color w:val="auto"/>
                <w:kern w:val="10"/>
                <w:sz w:val="21"/>
                <w:szCs w:val="21"/>
              </w:rPr>
            </w:pPr>
          </w:p>
        </w:tc>
        <w:tc>
          <w:tcPr>
            <w:tcW w:w="1559" w:type="dxa"/>
            <w:vAlign w:val="center"/>
          </w:tcPr>
          <w:p w14:paraId="40C5155B">
            <w:pPr>
              <w:jc w:val="center"/>
              <w:rPr>
                <w:rFonts w:hint="eastAsia" w:eastAsia="宋体"/>
                <w:color w:val="auto"/>
                <w:sz w:val="21"/>
                <w:szCs w:val="21"/>
                <w:lang w:val="en-US" w:eastAsia="zh-CN"/>
              </w:rPr>
            </w:pPr>
          </w:p>
        </w:tc>
        <w:tc>
          <w:tcPr>
            <w:tcW w:w="1761" w:type="dxa"/>
            <w:vAlign w:val="center"/>
          </w:tcPr>
          <w:p w14:paraId="0C2627CA">
            <w:pPr>
              <w:jc w:val="center"/>
              <w:rPr>
                <w:bCs/>
                <w:color w:val="auto"/>
                <w:kern w:val="10"/>
                <w:sz w:val="21"/>
                <w:szCs w:val="21"/>
              </w:rPr>
            </w:pPr>
          </w:p>
        </w:tc>
        <w:tc>
          <w:tcPr>
            <w:tcW w:w="1499" w:type="dxa"/>
            <w:vAlign w:val="center"/>
          </w:tcPr>
          <w:p w14:paraId="7FE1028E">
            <w:pPr>
              <w:jc w:val="center"/>
              <w:rPr>
                <w:color w:val="auto"/>
                <w:sz w:val="21"/>
                <w:szCs w:val="21"/>
              </w:rPr>
            </w:pPr>
          </w:p>
        </w:tc>
        <w:tc>
          <w:tcPr>
            <w:tcW w:w="1286" w:type="dxa"/>
            <w:vAlign w:val="center"/>
          </w:tcPr>
          <w:p w14:paraId="76BE628F">
            <w:pPr>
              <w:jc w:val="center"/>
              <w:rPr>
                <w:rFonts w:hint="eastAsia" w:eastAsia="宋体"/>
                <w:color w:val="auto"/>
                <w:sz w:val="21"/>
                <w:szCs w:val="21"/>
                <w:lang w:eastAsia="zh-CN"/>
              </w:rPr>
            </w:pPr>
          </w:p>
        </w:tc>
      </w:tr>
      <w:tr w14:paraId="736577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1" w:type="dxa"/>
            <w:vMerge w:val="continue"/>
            <w:vAlign w:val="center"/>
          </w:tcPr>
          <w:p w14:paraId="36B5BABE">
            <w:pPr>
              <w:pStyle w:val="87"/>
              <w:spacing w:beforeLines="0" w:afterLines="0" w:line="240" w:lineRule="auto"/>
              <w:rPr>
                <w:rFonts w:hAnsi="宋体" w:cs="宋体"/>
                <w:snapToGrid w:val="0"/>
                <w:color w:val="auto"/>
                <w:kern w:val="21"/>
                <w:sz w:val="21"/>
                <w:szCs w:val="21"/>
              </w:rPr>
            </w:pPr>
          </w:p>
        </w:tc>
        <w:tc>
          <w:tcPr>
            <w:tcW w:w="1824" w:type="dxa"/>
            <w:vAlign w:val="center"/>
          </w:tcPr>
          <w:p w14:paraId="231C047D">
            <w:pPr>
              <w:pStyle w:val="95"/>
              <w:jc w:val="center"/>
              <w:rPr>
                <w:color w:val="auto"/>
                <w:kern w:val="0"/>
                <w:szCs w:val="21"/>
              </w:rPr>
            </w:pPr>
          </w:p>
        </w:tc>
        <w:tc>
          <w:tcPr>
            <w:tcW w:w="1701" w:type="dxa"/>
            <w:vAlign w:val="center"/>
          </w:tcPr>
          <w:p w14:paraId="31B1B48E">
            <w:pPr>
              <w:jc w:val="center"/>
              <w:rPr>
                <w:color w:val="auto"/>
                <w:sz w:val="21"/>
                <w:szCs w:val="21"/>
              </w:rPr>
            </w:pPr>
          </w:p>
        </w:tc>
        <w:tc>
          <w:tcPr>
            <w:tcW w:w="1276" w:type="dxa"/>
            <w:vAlign w:val="center"/>
          </w:tcPr>
          <w:p w14:paraId="18F229B0">
            <w:pPr>
              <w:jc w:val="center"/>
              <w:rPr>
                <w:color w:val="auto"/>
                <w:sz w:val="21"/>
                <w:szCs w:val="21"/>
              </w:rPr>
            </w:pPr>
          </w:p>
        </w:tc>
        <w:tc>
          <w:tcPr>
            <w:tcW w:w="1701" w:type="dxa"/>
            <w:vAlign w:val="center"/>
          </w:tcPr>
          <w:p w14:paraId="68F14CEA">
            <w:pPr>
              <w:jc w:val="center"/>
              <w:rPr>
                <w:color w:val="auto"/>
                <w:sz w:val="21"/>
                <w:szCs w:val="21"/>
              </w:rPr>
            </w:pPr>
          </w:p>
        </w:tc>
        <w:tc>
          <w:tcPr>
            <w:tcW w:w="1559" w:type="dxa"/>
            <w:vAlign w:val="center"/>
          </w:tcPr>
          <w:p w14:paraId="385C5EE6">
            <w:pPr>
              <w:jc w:val="center"/>
              <w:rPr>
                <w:color w:val="auto"/>
                <w:sz w:val="21"/>
                <w:szCs w:val="21"/>
              </w:rPr>
            </w:pPr>
          </w:p>
        </w:tc>
        <w:tc>
          <w:tcPr>
            <w:tcW w:w="1761" w:type="dxa"/>
            <w:vAlign w:val="center"/>
          </w:tcPr>
          <w:p w14:paraId="4A093AC7">
            <w:pPr>
              <w:jc w:val="center"/>
              <w:rPr>
                <w:color w:val="auto"/>
                <w:sz w:val="21"/>
                <w:szCs w:val="21"/>
              </w:rPr>
            </w:pPr>
          </w:p>
        </w:tc>
        <w:tc>
          <w:tcPr>
            <w:tcW w:w="1499" w:type="dxa"/>
            <w:vAlign w:val="center"/>
          </w:tcPr>
          <w:p w14:paraId="67B1464B">
            <w:pPr>
              <w:jc w:val="center"/>
              <w:rPr>
                <w:color w:val="auto"/>
                <w:sz w:val="21"/>
                <w:szCs w:val="21"/>
              </w:rPr>
            </w:pPr>
          </w:p>
        </w:tc>
        <w:tc>
          <w:tcPr>
            <w:tcW w:w="1286" w:type="dxa"/>
            <w:vAlign w:val="center"/>
          </w:tcPr>
          <w:p w14:paraId="7C288B49">
            <w:pPr>
              <w:jc w:val="center"/>
              <w:rPr>
                <w:color w:val="auto"/>
                <w:sz w:val="21"/>
                <w:szCs w:val="21"/>
              </w:rPr>
            </w:pPr>
          </w:p>
        </w:tc>
      </w:tr>
      <w:tr w14:paraId="3D05CB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1" w:type="dxa"/>
            <w:vMerge w:val="continue"/>
            <w:vAlign w:val="center"/>
          </w:tcPr>
          <w:p w14:paraId="42F7A8AF">
            <w:pPr>
              <w:pStyle w:val="87"/>
              <w:spacing w:beforeLines="0" w:afterLines="0" w:line="240" w:lineRule="auto"/>
              <w:rPr>
                <w:rFonts w:hAnsi="宋体" w:cs="宋体"/>
                <w:snapToGrid w:val="0"/>
                <w:color w:val="auto"/>
                <w:kern w:val="21"/>
                <w:sz w:val="21"/>
                <w:szCs w:val="21"/>
              </w:rPr>
            </w:pPr>
          </w:p>
        </w:tc>
        <w:tc>
          <w:tcPr>
            <w:tcW w:w="1824" w:type="dxa"/>
            <w:vAlign w:val="center"/>
          </w:tcPr>
          <w:p w14:paraId="4168BA1B">
            <w:pPr>
              <w:pStyle w:val="95"/>
              <w:jc w:val="center"/>
              <w:rPr>
                <w:color w:val="auto"/>
                <w:kern w:val="0"/>
                <w:szCs w:val="21"/>
              </w:rPr>
            </w:pPr>
          </w:p>
        </w:tc>
        <w:tc>
          <w:tcPr>
            <w:tcW w:w="1701" w:type="dxa"/>
            <w:vAlign w:val="center"/>
          </w:tcPr>
          <w:p w14:paraId="331978AA">
            <w:pPr>
              <w:jc w:val="center"/>
              <w:rPr>
                <w:color w:val="auto"/>
                <w:sz w:val="21"/>
                <w:szCs w:val="21"/>
              </w:rPr>
            </w:pPr>
          </w:p>
        </w:tc>
        <w:tc>
          <w:tcPr>
            <w:tcW w:w="1276" w:type="dxa"/>
            <w:vAlign w:val="center"/>
          </w:tcPr>
          <w:p w14:paraId="214B1519">
            <w:pPr>
              <w:jc w:val="center"/>
              <w:rPr>
                <w:color w:val="auto"/>
                <w:sz w:val="21"/>
                <w:szCs w:val="21"/>
              </w:rPr>
            </w:pPr>
          </w:p>
        </w:tc>
        <w:tc>
          <w:tcPr>
            <w:tcW w:w="1701" w:type="dxa"/>
            <w:vAlign w:val="center"/>
          </w:tcPr>
          <w:p w14:paraId="56B60BE3">
            <w:pPr>
              <w:jc w:val="center"/>
              <w:rPr>
                <w:color w:val="auto"/>
                <w:sz w:val="21"/>
                <w:szCs w:val="21"/>
              </w:rPr>
            </w:pPr>
          </w:p>
        </w:tc>
        <w:tc>
          <w:tcPr>
            <w:tcW w:w="1559" w:type="dxa"/>
            <w:vAlign w:val="center"/>
          </w:tcPr>
          <w:p w14:paraId="1A218992">
            <w:pPr>
              <w:jc w:val="center"/>
              <w:rPr>
                <w:color w:val="auto"/>
                <w:sz w:val="21"/>
                <w:szCs w:val="21"/>
              </w:rPr>
            </w:pPr>
          </w:p>
        </w:tc>
        <w:tc>
          <w:tcPr>
            <w:tcW w:w="1761" w:type="dxa"/>
            <w:vAlign w:val="center"/>
          </w:tcPr>
          <w:p w14:paraId="7A538458">
            <w:pPr>
              <w:jc w:val="center"/>
              <w:rPr>
                <w:color w:val="auto"/>
                <w:sz w:val="21"/>
                <w:szCs w:val="21"/>
              </w:rPr>
            </w:pPr>
          </w:p>
        </w:tc>
        <w:tc>
          <w:tcPr>
            <w:tcW w:w="1499" w:type="dxa"/>
            <w:vAlign w:val="center"/>
          </w:tcPr>
          <w:p w14:paraId="3E3870B5">
            <w:pPr>
              <w:jc w:val="center"/>
              <w:rPr>
                <w:color w:val="auto"/>
                <w:sz w:val="21"/>
                <w:szCs w:val="21"/>
              </w:rPr>
            </w:pPr>
          </w:p>
        </w:tc>
        <w:tc>
          <w:tcPr>
            <w:tcW w:w="1286" w:type="dxa"/>
            <w:vAlign w:val="center"/>
          </w:tcPr>
          <w:p w14:paraId="1871860E">
            <w:pPr>
              <w:jc w:val="center"/>
              <w:rPr>
                <w:color w:val="auto"/>
                <w:sz w:val="21"/>
                <w:szCs w:val="21"/>
              </w:rPr>
            </w:pPr>
          </w:p>
        </w:tc>
      </w:tr>
      <w:tr w14:paraId="2696C2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1" w:type="dxa"/>
            <w:vMerge w:val="continue"/>
            <w:vAlign w:val="center"/>
          </w:tcPr>
          <w:p w14:paraId="0B2E6E6B">
            <w:pPr>
              <w:pStyle w:val="87"/>
              <w:spacing w:beforeLines="0" w:afterLines="0" w:line="240" w:lineRule="auto"/>
              <w:rPr>
                <w:rFonts w:hAnsi="宋体" w:cs="宋体"/>
                <w:snapToGrid w:val="0"/>
                <w:color w:val="auto"/>
                <w:kern w:val="21"/>
                <w:sz w:val="21"/>
                <w:szCs w:val="21"/>
              </w:rPr>
            </w:pPr>
          </w:p>
        </w:tc>
        <w:tc>
          <w:tcPr>
            <w:tcW w:w="1824" w:type="dxa"/>
            <w:vAlign w:val="center"/>
          </w:tcPr>
          <w:p w14:paraId="5A1BFBD3">
            <w:pPr>
              <w:pStyle w:val="95"/>
              <w:jc w:val="center"/>
              <w:rPr>
                <w:color w:val="auto"/>
                <w:kern w:val="0"/>
                <w:szCs w:val="21"/>
              </w:rPr>
            </w:pPr>
          </w:p>
        </w:tc>
        <w:tc>
          <w:tcPr>
            <w:tcW w:w="1701" w:type="dxa"/>
            <w:vAlign w:val="center"/>
          </w:tcPr>
          <w:p w14:paraId="36DEA1D9">
            <w:pPr>
              <w:jc w:val="center"/>
              <w:rPr>
                <w:color w:val="auto"/>
                <w:sz w:val="21"/>
                <w:szCs w:val="21"/>
              </w:rPr>
            </w:pPr>
          </w:p>
        </w:tc>
        <w:tc>
          <w:tcPr>
            <w:tcW w:w="1276" w:type="dxa"/>
            <w:vAlign w:val="center"/>
          </w:tcPr>
          <w:p w14:paraId="45C47929">
            <w:pPr>
              <w:jc w:val="center"/>
              <w:rPr>
                <w:color w:val="auto"/>
                <w:sz w:val="21"/>
                <w:szCs w:val="21"/>
              </w:rPr>
            </w:pPr>
          </w:p>
        </w:tc>
        <w:tc>
          <w:tcPr>
            <w:tcW w:w="1701" w:type="dxa"/>
            <w:vAlign w:val="center"/>
          </w:tcPr>
          <w:p w14:paraId="0F8F9DD9">
            <w:pPr>
              <w:jc w:val="center"/>
              <w:rPr>
                <w:color w:val="auto"/>
                <w:sz w:val="21"/>
                <w:szCs w:val="21"/>
              </w:rPr>
            </w:pPr>
          </w:p>
        </w:tc>
        <w:tc>
          <w:tcPr>
            <w:tcW w:w="1559" w:type="dxa"/>
            <w:vAlign w:val="center"/>
          </w:tcPr>
          <w:p w14:paraId="6E7E1305">
            <w:pPr>
              <w:jc w:val="center"/>
              <w:rPr>
                <w:color w:val="auto"/>
                <w:sz w:val="21"/>
                <w:szCs w:val="21"/>
              </w:rPr>
            </w:pPr>
          </w:p>
        </w:tc>
        <w:tc>
          <w:tcPr>
            <w:tcW w:w="1761" w:type="dxa"/>
            <w:vAlign w:val="center"/>
          </w:tcPr>
          <w:p w14:paraId="5CED7C7E">
            <w:pPr>
              <w:jc w:val="center"/>
              <w:rPr>
                <w:color w:val="auto"/>
                <w:sz w:val="21"/>
                <w:szCs w:val="21"/>
              </w:rPr>
            </w:pPr>
          </w:p>
        </w:tc>
        <w:tc>
          <w:tcPr>
            <w:tcW w:w="1499" w:type="dxa"/>
            <w:vAlign w:val="center"/>
          </w:tcPr>
          <w:p w14:paraId="49E47831">
            <w:pPr>
              <w:jc w:val="center"/>
              <w:rPr>
                <w:color w:val="auto"/>
                <w:sz w:val="21"/>
                <w:szCs w:val="21"/>
              </w:rPr>
            </w:pPr>
          </w:p>
        </w:tc>
        <w:tc>
          <w:tcPr>
            <w:tcW w:w="1286" w:type="dxa"/>
            <w:vAlign w:val="center"/>
          </w:tcPr>
          <w:p w14:paraId="6A3ABA60">
            <w:pPr>
              <w:jc w:val="center"/>
              <w:rPr>
                <w:color w:val="auto"/>
                <w:sz w:val="21"/>
                <w:szCs w:val="21"/>
              </w:rPr>
            </w:pPr>
          </w:p>
        </w:tc>
      </w:tr>
      <w:tr w14:paraId="2006C6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181" w:type="dxa"/>
            <w:vAlign w:val="center"/>
          </w:tcPr>
          <w:p w14:paraId="3670AB58">
            <w:pPr>
              <w:pStyle w:val="87"/>
              <w:spacing w:beforeLines="0" w:afterLines="0" w:line="240" w:lineRule="auto"/>
              <w:rPr>
                <w:rFonts w:hAnsi="宋体" w:cs="宋体"/>
                <w:snapToGrid w:val="0"/>
                <w:color w:val="auto"/>
                <w:kern w:val="21"/>
                <w:sz w:val="21"/>
                <w:szCs w:val="21"/>
              </w:rPr>
            </w:pPr>
            <w:r>
              <w:rPr>
                <w:rFonts w:hint="eastAsia" w:hAnsi="宋体" w:cs="宋体"/>
                <w:snapToGrid w:val="0"/>
                <w:color w:val="auto"/>
                <w:kern w:val="21"/>
                <w:sz w:val="21"/>
                <w:szCs w:val="21"/>
              </w:rPr>
              <w:t>危险废物</w:t>
            </w:r>
          </w:p>
        </w:tc>
        <w:tc>
          <w:tcPr>
            <w:tcW w:w="1824" w:type="dxa"/>
            <w:vAlign w:val="center"/>
          </w:tcPr>
          <w:p w14:paraId="6878A1F2">
            <w:pPr>
              <w:pStyle w:val="95"/>
              <w:jc w:val="center"/>
              <w:rPr>
                <w:color w:val="auto"/>
                <w:kern w:val="0"/>
                <w:szCs w:val="21"/>
              </w:rPr>
            </w:pPr>
            <w:r>
              <w:rPr>
                <w:rFonts w:hint="eastAsia"/>
                <w:color w:val="auto"/>
                <w:kern w:val="0"/>
                <w:szCs w:val="21"/>
              </w:rPr>
              <w:t>机修废油</w:t>
            </w:r>
          </w:p>
        </w:tc>
        <w:tc>
          <w:tcPr>
            <w:tcW w:w="1701" w:type="dxa"/>
            <w:vAlign w:val="center"/>
          </w:tcPr>
          <w:p w14:paraId="547A4D52">
            <w:pPr>
              <w:jc w:val="center"/>
              <w:rPr>
                <w:rFonts w:hint="default" w:eastAsia="宋体"/>
                <w:bCs/>
                <w:color w:val="auto"/>
                <w:kern w:val="10"/>
                <w:sz w:val="21"/>
                <w:szCs w:val="21"/>
                <w:lang w:val="en-US" w:eastAsia="zh-CN"/>
              </w:rPr>
            </w:pPr>
            <w:r>
              <w:rPr>
                <w:rFonts w:hint="eastAsia"/>
                <w:bCs/>
                <w:color w:val="auto"/>
                <w:kern w:val="10"/>
                <w:sz w:val="21"/>
                <w:szCs w:val="21"/>
                <w:lang w:val="en-US" w:eastAsia="zh-CN"/>
              </w:rPr>
              <w:t>0.45t/a</w:t>
            </w:r>
          </w:p>
        </w:tc>
        <w:tc>
          <w:tcPr>
            <w:tcW w:w="1276" w:type="dxa"/>
            <w:vAlign w:val="center"/>
          </w:tcPr>
          <w:p w14:paraId="5D5A3C6F">
            <w:pPr>
              <w:jc w:val="center"/>
              <w:rPr>
                <w:bCs/>
                <w:color w:val="auto"/>
                <w:kern w:val="10"/>
                <w:sz w:val="21"/>
                <w:szCs w:val="21"/>
              </w:rPr>
            </w:pPr>
          </w:p>
        </w:tc>
        <w:tc>
          <w:tcPr>
            <w:tcW w:w="1701" w:type="dxa"/>
            <w:vAlign w:val="center"/>
          </w:tcPr>
          <w:p w14:paraId="29322A88">
            <w:pPr>
              <w:jc w:val="center"/>
              <w:rPr>
                <w:bCs/>
                <w:color w:val="auto"/>
                <w:kern w:val="10"/>
                <w:sz w:val="21"/>
                <w:szCs w:val="21"/>
              </w:rPr>
            </w:pPr>
          </w:p>
        </w:tc>
        <w:tc>
          <w:tcPr>
            <w:tcW w:w="1559" w:type="dxa"/>
            <w:vAlign w:val="center"/>
          </w:tcPr>
          <w:p w14:paraId="44BDBFB4">
            <w:pPr>
              <w:jc w:val="center"/>
              <w:rPr>
                <w:color w:val="auto"/>
                <w:sz w:val="21"/>
                <w:szCs w:val="21"/>
              </w:rPr>
            </w:pPr>
            <w:r>
              <w:rPr>
                <w:rFonts w:hint="eastAsia"/>
                <w:color w:val="auto"/>
                <w:sz w:val="21"/>
                <w:szCs w:val="21"/>
              </w:rPr>
              <w:t>0.0</w:t>
            </w:r>
            <w:r>
              <w:rPr>
                <w:rFonts w:hint="eastAsia"/>
                <w:color w:val="auto"/>
                <w:sz w:val="21"/>
                <w:szCs w:val="21"/>
                <w:lang w:val="en-US" w:eastAsia="zh-CN"/>
              </w:rPr>
              <w:t>1</w:t>
            </w:r>
            <w:r>
              <w:rPr>
                <w:rFonts w:hint="eastAsia"/>
                <w:color w:val="auto"/>
                <w:sz w:val="21"/>
                <w:szCs w:val="21"/>
              </w:rPr>
              <w:t>t/a</w:t>
            </w:r>
          </w:p>
        </w:tc>
        <w:tc>
          <w:tcPr>
            <w:tcW w:w="1761" w:type="dxa"/>
            <w:vAlign w:val="center"/>
          </w:tcPr>
          <w:p w14:paraId="563B403D">
            <w:pPr>
              <w:jc w:val="center"/>
              <w:rPr>
                <w:bCs/>
                <w:color w:val="auto"/>
                <w:kern w:val="10"/>
                <w:sz w:val="21"/>
                <w:szCs w:val="21"/>
              </w:rPr>
            </w:pPr>
          </w:p>
        </w:tc>
        <w:tc>
          <w:tcPr>
            <w:tcW w:w="1499" w:type="dxa"/>
            <w:vAlign w:val="center"/>
          </w:tcPr>
          <w:p w14:paraId="53B5C649">
            <w:pPr>
              <w:jc w:val="center"/>
              <w:rPr>
                <w:color w:val="auto"/>
                <w:sz w:val="21"/>
                <w:szCs w:val="21"/>
              </w:rPr>
            </w:pPr>
            <w:r>
              <w:rPr>
                <w:rFonts w:hint="eastAsia"/>
                <w:color w:val="auto"/>
                <w:sz w:val="21"/>
                <w:szCs w:val="21"/>
              </w:rPr>
              <w:t>0.</w:t>
            </w:r>
            <w:r>
              <w:rPr>
                <w:rFonts w:hint="eastAsia"/>
                <w:color w:val="auto"/>
                <w:sz w:val="21"/>
                <w:szCs w:val="21"/>
                <w:lang w:val="en-US" w:eastAsia="zh-CN"/>
              </w:rPr>
              <w:t>46</w:t>
            </w:r>
            <w:r>
              <w:rPr>
                <w:rFonts w:hint="eastAsia"/>
                <w:color w:val="auto"/>
                <w:sz w:val="21"/>
                <w:szCs w:val="21"/>
              </w:rPr>
              <w:t>t/a</w:t>
            </w:r>
          </w:p>
        </w:tc>
        <w:tc>
          <w:tcPr>
            <w:tcW w:w="1286" w:type="dxa"/>
            <w:vAlign w:val="center"/>
          </w:tcPr>
          <w:p w14:paraId="0E1177BF">
            <w:pPr>
              <w:jc w:val="center"/>
              <w:rPr>
                <w:color w:val="auto"/>
                <w:sz w:val="21"/>
                <w:szCs w:val="21"/>
              </w:rPr>
            </w:pPr>
            <w:r>
              <w:rPr>
                <w:rFonts w:hint="eastAsia"/>
                <w:color w:val="auto"/>
                <w:sz w:val="21"/>
                <w:szCs w:val="21"/>
              </w:rPr>
              <w:t>+0.0</w:t>
            </w:r>
            <w:r>
              <w:rPr>
                <w:rFonts w:hint="eastAsia"/>
                <w:color w:val="auto"/>
                <w:sz w:val="21"/>
                <w:szCs w:val="21"/>
                <w:lang w:val="en-US" w:eastAsia="zh-CN"/>
              </w:rPr>
              <w:t>1</w:t>
            </w:r>
            <w:r>
              <w:rPr>
                <w:rFonts w:hint="eastAsia"/>
                <w:color w:val="auto"/>
                <w:sz w:val="21"/>
                <w:szCs w:val="21"/>
              </w:rPr>
              <w:t>t/a</w:t>
            </w:r>
          </w:p>
        </w:tc>
      </w:tr>
    </w:tbl>
    <w:p w14:paraId="3499FE9D">
      <w:pPr>
        <w:pStyle w:val="87"/>
        <w:spacing w:before="192" w:beforeLines="80" w:after="24"/>
        <w:jc w:val="left"/>
        <w:rPr>
          <w:rFonts w:eastAsia="黑体"/>
          <w:color w:val="auto"/>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sectPr>
      <w:footerReference r:id="rId11"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ms Rmn">
    <w:altName w:val="Times New Roman"/>
    <w:panose1 w:val="02020603040505020304"/>
    <w:charset w:val="00"/>
    <w:family w:val="roman"/>
    <w:pitch w:val="default"/>
    <w:sig w:usb0="00000000" w:usb1="00000000" w:usb2="00000000" w:usb3="00000000" w:csb0="00000001" w:csb1="00000000"/>
  </w:font>
  <w:font w:name="華康中楷體">
    <w:altName w:val="Microsoft JhengHei"/>
    <w:panose1 w:val="00000000000000000000"/>
    <w:charset w:val="88"/>
    <w:family w:val="roman"/>
    <w:pitch w:val="default"/>
    <w:sig w:usb0="00000000" w:usb1="00000000" w:usb2="00000010" w:usb3="00000000" w:csb0="00100000" w:csb1="00000000"/>
  </w:font>
  <w:font w:name="Microsoft JhengHei">
    <w:panose1 w:val="020B0604030504040204"/>
    <w:charset w:val="88"/>
    <w:family w:val="auto"/>
    <w:pitch w:val="default"/>
    <w:sig w:usb0="00000087" w:usb1="28AF4000" w:usb2="00000016" w:usb3="00000000" w:csb0="00100009" w:csb1="00000000"/>
  </w:font>
  <w:font w:name="??">
    <w:altName w:val="Times New Roman"/>
    <w:panose1 w:val="00000000000000000000"/>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方正小标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等线 Light">
    <w:altName w:val="Segoe Print"/>
    <w:panose1 w:val="00000000000000000000"/>
    <w:charset w:val="00"/>
    <w:family w:val="auto"/>
    <w:pitch w:val="default"/>
    <w:sig w:usb0="00000000" w:usb1="00000000" w:usb2="00000000" w:usb3="00000000" w:csb0="00000000" w:csb1="00000000"/>
  </w:font>
  <w:font w:name="Cambria Math">
    <w:panose1 w:val="02040503050406030204"/>
    <w:charset w:val="00"/>
    <w:family w:val="auto"/>
    <w:pitch w:val="default"/>
    <w:sig w:usb0="E00002FF" w:usb1="420024FF" w:usb2="00000000" w:usb3="00000000" w:csb0="2000019F" w:csb1="00000000"/>
  </w:font>
  <w:font w:name="MS Gothic">
    <w:panose1 w:val="020B0609070205080204"/>
    <w:charset w:val="80"/>
    <w:family w:val="modern"/>
    <w:pitch w:val="default"/>
    <w:sig w:usb0="E00002FF" w:usb1="6AC7FDFB" w:usb2="00000012" w:usb3="00000000" w:csb0="4002009F" w:csb1="DFD70000"/>
  </w:font>
  <w:font w:name="Wingdings">
    <w:panose1 w:val="05000000000000000000"/>
    <w:charset w:val="00"/>
    <w:family w:val="auto"/>
    <w:pitch w:val="default"/>
    <w:sig w:usb0="00000000" w:usb1="00000000" w:usb2="00000000" w:usb3="00000000" w:csb0="80000000" w:csb1="00000000"/>
  </w:font>
  <w:font w:name="等线">
    <w:altName w:val="微软雅黑"/>
    <w:panose1 w:val="00000000000000000000"/>
    <w:charset w:val="00"/>
    <w:family w:val="auto"/>
    <w:pitch w:val="default"/>
    <w:sig w:usb0="00000000" w:usb1="00000000" w:usb2="00000000" w:usb3="00000000" w:csb0="00000000" w:csb1="00000000"/>
  </w:font>
  <w:font w:name="Kingsoft UE">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16623">
    <w:pPr>
      <w:pStyle w:val="2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B74C4">
    <w:pPr>
      <w:pStyle w:val="2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AB167">
    <w:pPr>
      <w:pStyle w:val="29"/>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8C85E">
    <w:pPr>
      <w:pStyle w:val="29"/>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w:t>
    </w:r>
    <w:r>
      <w:rPr>
        <w:sz w:val="21"/>
        <w:szCs w:val="21"/>
      </w:rPr>
      <w:t xml:space="preserve"> 53 -</w:t>
    </w:r>
    <w:r>
      <w:rPr>
        <w:sz w:val="21"/>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65F3B">
    <w:pPr>
      <w:pStyle w:val="29"/>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w:t>
    </w:r>
    <w:r>
      <w:rPr>
        <w:sz w:val="21"/>
        <w:szCs w:val="21"/>
      </w:rPr>
      <w:t xml:space="preserve"> 54 -</w:t>
    </w:r>
    <w:r>
      <w:rPr>
        <w:sz w:val="21"/>
        <w:szCs w:val="21"/>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22E96">
    <w:pPr>
      <w:pStyle w:val="29"/>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w:t>
    </w:r>
    <w:r>
      <w:rPr>
        <w:sz w:val="21"/>
        <w:szCs w:val="21"/>
      </w:rPr>
      <w:t xml:space="preserve"> 173 -</w:t>
    </w:r>
    <w:r>
      <w:rPr>
        <w:sz w:val="21"/>
        <w:szCs w:val="21"/>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EF0B1">
    <w:pPr>
      <w:pStyle w:val="29"/>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w:t>
    </w:r>
    <w:r>
      <w:rPr>
        <w:sz w:val="21"/>
        <w:szCs w:val="21"/>
      </w:rPr>
      <w:t xml:space="preserve"> 174 -</w:t>
    </w:r>
    <w:r>
      <w:rPr>
        <w:sz w:val="21"/>
        <w:szCs w:val="21"/>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7068E">
    <w:pPr>
      <w:pStyle w:val="29"/>
      <w:framePr w:wrap="around" w:vAnchor="text" w:hAnchor="margin" w:xAlign="outside" w:y="1"/>
      <w:rPr>
        <w:rStyle w:val="50"/>
        <w:sz w:val="28"/>
        <w:szCs w:val="28"/>
      </w:rPr>
    </w:pPr>
    <w:r>
      <w:rPr>
        <w:rStyle w:val="50"/>
        <w:sz w:val="28"/>
        <w:szCs w:val="28"/>
      </w:rPr>
      <w:t>—</w:t>
    </w:r>
    <w:r>
      <w:rPr>
        <w:rStyle w:val="50"/>
        <w:sz w:val="20"/>
      </w:rPr>
      <w:t xml:space="preserve">  </w:t>
    </w:r>
    <w:r>
      <w:rPr>
        <w:sz w:val="26"/>
        <w:szCs w:val="26"/>
      </w:rPr>
      <w:fldChar w:fldCharType="begin"/>
    </w:r>
    <w:r>
      <w:rPr>
        <w:rStyle w:val="50"/>
        <w:sz w:val="26"/>
        <w:szCs w:val="26"/>
      </w:rPr>
      <w:instrText xml:space="preserve">PAGE  </w:instrText>
    </w:r>
    <w:r>
      <w:rPr>
        <w:sz w:val="26"/>
        <w:szCs w:val="26"/>
      </w:rPr>
      <w:fldChar w:fldCharType="separate"/>
    </w:r>
    <w:r>
      <w:rPr>
        <w:rStyle w:val="50"/>
        <w:sz w:val="26"/>
        <w:szCs w:val="26"/>
      </w:rPr>
      <w:t>- 175 -</w:t>
    </w:r>
    <w:r>
      <w:rPr>
        <w:sz w:val="26"/>
        <w:szCs w:val="26"/>
      </w:rPr>
      <w:fldChar w:fldCharType="end"/>
    </w:r>
    <w:r>
      <w:rPr>
        <w:rStyle w:val="50"/>
        <w:sz w:val="20"/>
      </w:rPr>
      <w:t xml:space="preserve">  </w:t>
    </w:r>
    <w:r>
      <w:rPr>
        <w:rStyle w:val="50"/>
        <w:sz w:val="28"/>
        <w:szCs w:val="28"/>
      </w:rPr>
      <w:t>—</w:t>
    </w:r>
  </w:p>
  <w:p w14:paraId="0FDBC205">
    <w:pPr>
      <w:pStyle w:val="29"/>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6F54D"/>
  <w:p w14:paraId="5E3EFA67">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BE5DFA"/>
    <w:multiLevelType w:val="singleLevel"/>
    <w:tmpl w:val="DFBE5DFA"/>
    <w:lvl w:ilvl="0" w:tentative="0">
      <w:start w:val="2"/>
      <w:numFmt w:val="chineseCounting"/>
      <w:suff w:val="nothing"/>
      <w:lvlText w:val="%1、"/>
      <w:lvlJc w:val="left"/>
      <w:rPr>
        <w:rFonts w:hint="eastAsia"/>
      </w:rPr>
    </w:lvl>
  </w:abstractNum>
  <w:abstractNum w:abstractNumId="1">
    <w:nsid w:val="057B6B10"/>
    <w:multiLevelType w:val="multilevel"/>
    <w:tmpl w:val="057B6B10"/>
    <w:lvl w:ilvl="0" w:tentative="0">
      <w:start w:val="3"/>
      <w:numFmt w:val="decimal"/>
      <w:pStyle w:val="244"/>
      <w:suff w:val="space"/>
      <w:lvlText w:val="%1"/>
      <w:lvlJc w:val="left"/>
      <w:pPr>
        <w:ind w:left="142" w:firstLine="0"/>
      </w:pPr>
      <w:rPr>
        <w:rFonts w:hint="default" w:ascii="Times New Roman" w:hAnsi="Times New Roman" w:eastAsia="黑体"/>
        <w:b w:val="0"/>
        <w:i w:val="0"/>
        <w:color w:val="auto"/>
        <w:sz w:val="30"/>
        <w:szCs w:val="30"/>
      </w:rPr>
    </w:lvl>
    <w:lvl w:ilvl="1" w:tentative="0">
      <w:start w:val="1"/>
      <w:numFmt w:val="decimal"/>
      <w:suff w:val="space"/>
      <w:lvlText w:val="%1.%2"/>
      <w:lvlJc w:val="left"/>
      <w:pPr>
        <w:ind w:left="284" w:firstLine="0"/>
      </w:pPr>
      <w:rPr>
        <w:rFonts w:hint="default" w:ascii="Times New Roman" w:hAnsi="Times New Roman" w:eastAsia="宋体"/>
        <w:b w:val="0"/>
        <w:i w:val="0"/>
        <w:sz w:val="28"/>
        <w:szCs w:val="28"/>
      </w:rPr>
    </w:lvl>
    <w:lvl w:ilvl="2" w:tentative="0">
      <w:start w:val="1"/>
      <w:numFmt w:val="decimal"/>
      <w:suff w:val="space"/>
      <w:lvlText w:val="%1.%2.%3"/>
      <w:lvlJc w:val="left"/>
      <w:pPr>
        <w:ind w:left="284" w:firstLine="0"/>
      </w:pPr>
      <w:rPr>
        <w:rFonts w:hint="default" w:ascii="Times New Roman" w:hAnsi="Times New Roman" w:eastAsia="宋体" w:cs="Times New Roman"/>
        <w:b w:val="0"/>
        <w:bCs w:val="0"/>
        <w:i w:val="0"/>
        <w:iCs w:val="0"/>
        <w:caps w:val="0"/>
        <w:smallCaps w:val="0"/>
        <w:strike w:val="0"/>
        <w:dstrike w:val="0"/>
        <w:outline w:val="0"/>
        <w:shadow w:val="0"/>
        <w:emboss w:val="0"/>
        <w:imprint w:val="0"/>
        <w:vanish w:val="0"/>
        <w:spacing w:val="0"/>
        <w:position w:val="0"/>
        <w:sz w:val="24"/>
        <w:szCs w:val="24"/>
        <w:u w:val="none"/>
        <w:vertAlign w:val="baseline"/>
      </w:rPr>
    </w:lvl>
    <w:lvl w:ilvl="3" w:tentative="0">
      <w:start w:val="1"/>
      <w:numFmt w:val="decimal"/>
      <w:suff w:val="space"/>
      <w:lvlText w:val="%1.%2.%3.%4"/>
      <w:lvlJc w:val="left"/>
      <w:pPr>
        <w:ind w:left="851" w:hanging="851"/>
      </w:pPr>
      <w:rPr>
        <w:rFonts w:hint="default" w:ascii="Times New Roman" w:hAnsi="Times New Roman" w:eastAsia="宋体" w:cs="Times New Roman"/>
        <w:b w:val="0"/>
        <w:bCs w:val="0"/>
        <w:i w:val="0"/>
        <w:iCs w:val="0"/>
        <w:caps w:val="0"/>
        <w:smallCaps w:val="0"/>
        <w:strike w:val="0"/>
        <w:dstrike w:val="0"/>
        <w:outline w:val="0"/>
        <w:shadow w:val="0"/>
        <w:emboss w:val="0"/>
        <w:imprint w:val="0"/>
        <w:vanish w:val="0"/>
        <w:spacing w:val="0"/>
        <w:position w:val="0"/>
        <w:sz w:val="24"/>
        <w:szCs w:val="24"/>
        <w:u w:val="none"/>
        <w:vertAlign w:val="baseline"/>
      </w:rPr>
    </w:lvl>
    <w:lvl w:ilvl="4" w:tentative="0">
      <w:start w:val="1"/>
      <w:numFmt w:val="decimal"/>
      <w:lvlRestart w:val="1"/>
      <w:isLgl/>
      <w:lvlText w:val="表%1-%5"/>
      <w:lvlJc w:val="center"/>
      <w:pPr>
        <w:tabs>
          <w:tab w:val="left" w:pos="227"/>
        </w:tabs>
        <w:ind w:left="0" w:firstLine="0"/>
      </w:pPr>
      <w:rPr>
        <w:rFonts w:hint="default" w:ascii="Times New Roman" w:hAnsi="Times New Roman"/>
        <w:b/>
        <w:bCs w:val="0"/>
        <w:i w:val="0"/>
        <w:iCs w:val="0"/>
        <w:caps w:val="0"/>
        <w:smallCaps w:val="0"/>
        <w:strike w:val="0"/>
        <w:dstrike w:val="0"/>
        <w:outline w:val="0"/>
        <w:shadow w:val="0"/>
        <w:emboss w:val="0"/>
        <w:imprint w:val="0"/>
        <w:vanish w:val="0"/>
        <w:spacing w:val="0"/>
        <w:position w:val="0"/>
        <w:u w:val="none"/>
        <w:vertAlign w:val="baseline"/>
        <w:lang w:val="en-US"/>
      </w:rPr>
    </w:lvl>
    <w:lvl w:ilvl="5" w:tentative="0">
      <w:start w:val="1"/>
      <w:numFmt w:val="decimal"/>
      <w:lvlRestart w:val="1"/>
      <w:isLgl/>
      <w:suff w:val="space"/>
      <w:lvlText w:val="图%1-%6"/>
      <w:lvlJc w:val="center"/>
      <w:pPr>
        <w:ind w:left="0" w:firstLine="288"/>
      </w:pPr>
      <w:rPr>
        <w:rFonts w:hint="default" w:ascii="Times New Roman" w:hAnsi="Times New Roman" w:eastAsia="宋体" w:cs="Times New Roman"/>
        <w:b/>
        <w:bCs w:val="0"/>
        <w:i w:val="0"/>
        <w:iCs w:val="0"/>
        <w:caps w:val="0"/>
        <w:smallCaps w:val="0"/>
        <w:strike w:val="0"/>
        <w:dstrike w:val="0"/>
        <w:outline w:val="0"/>
        <w:shadow w:val="0"/>
        <w:emboss w:val="0"/>
        <w:imprint w:val="0"/>
        <w:vanish w:val="0"/>
        <w:spacing w:val="0"/>
        <w:position w:val="0"/>
        <w:sz w:val="24"/>
        <w:szCs w:val="24"/>
        <w:u w:val="none"/>
        <w:vertAlign w:val="baseline"/>
      </w:rPr>
    </w:lvl>
    <w:lvl w:ilvl="6" w:tentative="0">
      <w:start w:val="1"/>
      <w:numFmt w:val="decimal"/>
      <w:lvlRestart w:val="4"/>
      <w:suff w:val="nothing"/>
      <w:lvlText w:val="（%7）"/>
      <w:lvlJc w:val="left"/>
      <w:pPr>
        <w:ind w:left="426" w:hanging="142"/>
      </w:pPr>
      <w:rPr>
        <w:rFonts w:hint="default" w:ascii="Times New Roman" w:hAnsi="Times New Roman" w:eastAsia="宋体"/>
        <w:b w:val="0"/>
        <w:i w:val="0"/>
        <w:sz w:val="24"/>
        <w:szCs w:val="24"/>
        <w:lang w:val="en-US"/>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6AFBDCCE"/>
    <w:multiLevelType w:val="singleLevel"/>
    <w:tmpl w:val="6AFBDCCE"/>
    <w:lvl w:ilvl="0" w:tentative="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evenAndOddHeaders w:val="1"/>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I3YzAwNDVkOTRjNjUwNWNkZGEwYmM3NzQ2YWM0NjIifQ=="/>
    <w:docVar w:name="KSO_WPS_MARK_KEY" w:val="f30cdc46-5ebf-4afe-b807-815e7f9c5e05"/>
  </w:docVars>
  <w:rsids>
    <w:rsidRoot w:val="00172A27"/>
    <w:rsid w:val="000006BB"/>
    <w:rsid w:val="00000B8E"/>
    <w:rsid w:val="00001CD7"/>
    <w:rsid w:val="000021C4"/>
    <w:rsid w:val="000027EC"/>
    <w:rsid w:val="00004172"/>
    <w:rsid w:val="000041DB"/>
    <w:rsid w:val="00004FBB"/>
    <w:rsid w:val="00005204"/>
    <w:rsid w:val="000060B3"/>
    <w:rsid w:val="000063CE"/>
    <w:rsid w:val="000065F1"/>
    <w:rsid w:val="00007462"/>
    <w:rsid w:val="00011855"/>
    <w:rsid w:val="00011B49"/>
    <w:rsid w:val="00011F90"/>
    <w:rsid w:val="0001398C"/>
    <w:rsid w:val="000144D1"/>
    <w:rsid w:val="000164CC"/>
    <w:rsid w:val="00017890"/>
    <w:rsid w:val="00020E8E"/>
    <w:rsid w:val="00022807"/>
    <w:rsid w:val="000228A0"/>
    <w:rsid w:val="000244C4"/>
    <w:rsid w:val="00024789"/>
    <w:rsid w:val="00025279"/>
    <w:rsid w:val="000265D6"/>
    <w:rsid w:val="000267FD"/>
    <w:rsid w:val="00027BE0"/>
    <w:rsid w:val="00030917"/>
    <w:rsid w:val="000312C1"/>
    <w:rsid w:val="00032EF1"/>
    <w:rsid w:val="000338E5"/>
    <w:rsid w:val="0003577E"/>
    <w:rsid w:val="00035A86"/>
    <w:rsid w:val="00036773"/>
    <w:rsid w:val="000371A4"/>
    <w:rsid w:val="00037FFE"/>
    <w:rsid w:val="00040F3B"/>
    <w:rsid w:val="000424F8"/>
    <w:rsid w:val="00042DCA"/>
    <w:rsid w:val="00043103"/>
    <w:rsid w:val="0004364B"/>
    <w:rsid w:val="000436CD"/>
    <w:rsid w:val="000445A0"/>
    <w:rsid w:val="00044AE3"/>
    <w:rsid w:val="000454F3"/>
    <w:rsid w:val="00045687"/>
    <w:rsid w:val="00045C64"/>
    <w:rsid w:val="0004613D"/>
    <w:rsid w:val="0004642A"/>
    <w:rsid w:val="00046B77"/>
    <w:rsid w:val="000477C2"/>
    <w:rsid w:val="000478A1"/>
    <w:rsid w:val="000479E5"/>
    <w:rsid w:val="000479FA"/>
    <w:rsid w:val="00052A85"/>
    <w:rsid w:val="000533EB"/>
    <w:rsid w:val="00054903"/>
    <w:rsid w:val="00054D4D"/>
    <w:rsid w:val="000579D5"/>
    <w:rsid w:val="00060071"/>
    <w:rsid w:val="0006057D"/>
    <w:rsid w:val="000610B9"/>
    <w:rsid w:val="00061B1F"/>
    <w:rsid w:val="00062064"/>
    <w:rsid w:val="000622D8"/>
    <w:rsid w:val="000626DF"/>
    <w:rsid w:val="00065021"/>
    <w:rsid w:val="000655BE"/>
    <w:rsid w:val="0006791E"/>
    <w:rsid w:val="00070400"/>
    <w:rsid w:val="0007049A"/>
    <w:rsid w:val="00070E50"/>
    <w:rsid w:val="00071472"/>
    <w:rsid w:val="00071DE4"/>
    <w:rsid w:val="00071FCE"/>
    <w:rsid w:val="000733C4"/>
    <w:rsid w:val="0007360A"/>
    <w:rsid w:val="00073975"/>
    <w:rsid w:val="00073B0A"/>
    <w:rsid w:val="0007406D"/>
    <w:rsid w:val="00074783"/>
    <w:rsid w:val="00074C11"/>
    <w:rsid w:val="00075E46"/>
    <w:rsid w:val="00075FF4"/>
    <w:rsid w:val="000776DA"/>
    <w:rsid w:val="0008070B"/>
    <w:rsid w:val="000810AC"/>
    <w:rsid w:val="0008158F"/>
    <w:rsid w:val="0008159E"/>
    <w:rsid w:val="00081A02"/>
    <w:rsid w:val="00081B9F"/>
    <w:rsid w:val="00081C30"/>
    <w:rsid w:val="00081D4F"/>
    <w:rsid w:val="00082142"/>
    <w:rsid w:val="00082231"/>
    <w:rsid w:val="00082D18"/>
    <w:rsid w:val="00082EBB"/>
    <w:rsid w:val="000868E1"/>
    <w:rsid w:val="00086B71"/>
    <w:rsid w:val="000901D8"/>
    <w:rsid w:val="000903D1"/>
    <w:rsid w:val="00091A1D"/>
    <w:rsid w:val="00091B41"/>
    <w:rsid w:val="00091F53"/>
    <w:rsid w:val="00092659"/>
    <w:rsid w:val="00092CD6"/>
    <w:rsid w:val="00092D38"/>
    <w:rsid w:val="00092DC2"/>
    <w:rsid w:val="0009377B"/>
    <w:rsid w:val="00093C1B"/>
    <w:rsid w:val="00093D8E"/>
    <w:rsid w:val="00094165"/>
    <w:rsid w:val="000957AF"/>
    <w:rsid w:val="00095D89"/>
    <w:rsid w:val="00096258"/>
    <w:rsid w:val="0009759D"/>
    <w:rsid w:val="00097E67"/>
    <w:rsid w:val="000A03B4"/>
    <w:rsid w:val="000A20C9"/>
    <w:rsid w:val="000A2D73"/>
    <w:rsid w:val="000A37A1"/>
    <w:rsid w:val="000A3F47"/>
    <w:rsid w:val="000A40B5"/>
    <w:rsid w:val="000A4BBD"/>
    <w:rsid w:val="000A521F"/>
    <w:rsid w:val="000A58A6"/>
    <w:rsid w:val="000A5D9C"/>
    <w:rsid w:val="000A7054"/>
    <w:rsid w:val="000A7136"/>
    <w:rsid w:val="000B058F"/>
    <w:rsid w:val="000B179D"/>
    <w:rsid w:val="000B274C"/>
    <w:rsid w:val="000B30CA"/>
    <w:rsid w:val="000B4467"/>
    <w:rsid w:val="000B4DB0"/>
    <w:rsid w:val="000B4DB9"/>
    <w:rsid w:val="000B4FCF"/>
    <w:rsid w:val="000B5399"/>
    <w:rsid w:val="000B5C0F"/>
    <w:rsid w:val="000B5D39"/>
    <w:rsid w:val="000B5E2A"/>
    <w:rsid w:val="000B6CAE"/>
    <w:rsid w:val="000B7524"/>
    <w:rsid w:val="000B75BC"/>
    <w:rsid w:val="000C0670"/>
    <w:rsid w:val="000C09AC"/>
    <w:rsid w:val="000C0AE4"/>
    <w:rsid w:val="000C3914"/>
    <w:rsid w:val="000C3EAD"/>
    <w:rsid w:val="000C4BA1"/>
    <w:rsid w:val="000C5C9E"/>
    <w:rsid w:val="000C66A6"/>
    <w:rsid w:val="000C6EB0"/>
    <w:rsid w:val="000C767F"/>
    <w:rsid w:val="000C76E5"/>
    <w:rsid w:val="000C7918"/>
    <w:rsid w:val="000D03BA"/>
    <w:rsid w:val="000D0443"/>
    <w:rsid w:val="000D048D"/>
    <w:rsid w:val="000D0F97"/>
    <w:rsid w:val="000D1127"/>
    <w:rsid w:val="000D3349"/>
    <w:rsid w:val="000D4279"/>
    <w:rsid w:val="000D497C"/>
    <w:rsid w:val="000D4CC6"/>
    <w:rsid w:val="000D517B"/>
    <w:rsid w:val="000D5632"/>
    <w:rsid w:val="000D57E3"/>
    <w:rsid w:val="000D58D9"/>
    <w:rsid w:val="000D5A44"/>
    <w:rsid w:val="000D5C47"/>
    <w:rsid w:val="000D6DFA"/>
    <w:rsid w:val="000D72F9"/>
    <w:rsid w:val="000E0834"/>
    <w:rsid w:val="000E164A"/>
    <w:rsid w:val="000E3698"/>
    <w:rsid w:val="000E3ED2"/>
    <w:rsid w:val="000E455D"/>
    <w:rsid w:val="000E4850"/>
    <w:rsid w:val="000E4B8E"/>
    <w:rsid w:val="000E5220"/>
    <w:rsid w:val="000E68E4"/>
    <w:rsid w:val="000E69F1"/>
    <w:rsid w:val="000E6E63"/>
    <w:rsid w:val="000E7091"/>
    <w:rsid w:val="000E71DA"/>
    <w:rsid w:val="000F0064"/>
    <w:rsid w:val="000F032B"/>
    <w:rsid w:val="000F0885"/>
    <w:rsid w:val="000F0D5C"/>
    <w:rsid w:val="000F12E1"/>
    <w:rsid w:val="000F4258"/>
    <w:rsid w:val="000F43B5"/>
    <w:rsid w:val="000F5052"/>
    <w:rsid w:val="000F5E56"/>
    <w:rsid w:val="000F62FF"/>
    <w:rsid w:val="000F63F9"/>
    <w:rsid w:val="000F7119"/>
    <w:rsid w:val="000F748E"/>
    <w:rsid w:val="000F77C8"/>
    <w:rsid w:val="000F7E89"/>
    <w:rsid w:val="000F7FB1"/>
    <w:rsid w:val="001002C2"/>
    <w:rsid w:val="00100A80"/>
    <w:rsid w:val="00100EE9"/>
    <w:rsid w:val="001011E1"/>
    <w:rsid w:val="0010131D"/>
    <w:rsid w:val="00101965"/>
    <w:rsid w:val="001021E7"/>
    <w:rsid w:val="001046B4"/>
    <w:rsid w:val="00104B9E"/>
    <w:rsid w:val="00106071"/>
    <w:rsid w:val="00106950"/>
    <w:rsid w:val="0010762C"/>
    <w:rsid w:val="00110548"/>
    <w:rsid w:val="001105BD"/>
    <w:rsid w:val="00110951"/>
    <w:rsid w:val="00111129"/>
    <w:rsid w:val="001113BE"/>
    <w:rsid w:val="0011299F"/>
    <w:rsid w:val="00112B6A"/>
    <w:rsid w:val="00112F7F"/>
    <w:rsid w:val="00113076"/>
    <w:rsid w:val="0011309B"/>
    <w:rsid w:val="00114254"/>
    <w:rsid w:val="001156F2"/>
    <w:rsid w:val="00116F51"/>
    <w:rsid w:val="00117525"/>
    <w:rsid w:val="00117C19"/>
    <w:rsid w:val="00120B01"/>
    <w:rsid w:val="00122351"/>
    <w:rsid w:val="001227FE"/>
    <w:rsid w:val="00122BFC"/>
    <w:rsid w:val="00123034"/>
    <w:rsid w:val="00124E53"/>
    <w:rsid w:val="001268FC"/>
    <w:rsid w:val="001272ED"/>
    <w:rsid w:val="001305DB"/>
    <w:rsid w:val="00130BD9"/>
    <w:rsid w:val="00130F45"/>
    <w:rsid w:val="00131AB8"/>
    <w:rsid w:val="00131F42"/>
    <w:rsid w:val="001321D7"/>
    <w:rsid w:val="001324B8"/>
    <w:rsid w:val="0013254E"/>
    <w:rsid w:val="00132562"/>
    <w:rsid w:val="001327AB"/>
    <w:rsid w:val="00132F57"/>
    <w:rsid w:val="00133D74"/>
    <w:rsid w:val="001357F1"/>
    <w:rsid w:val="00135BEA"/>
    <w:rsid w:val="00136C67"/>
    <w:rsid w:val="00137883"/>
    <w:rsid w:val="001405AD"/>
    <w:rsid w:val="00140FA8"/>
    <w:rsid w:val="0014116E"/>
    <w:rsid w:val="00142105"/>
    <w:rsid w:val="00142C89"/>
    <w:rsid w:val="00142D3C"/>
    <w:rsid w:val="00142FEB"/>
    <w:rsid w:val="00143A2D"/>
    <w:rsid w:val="00143ECA"/>
    <w:rsid w:val="00143F11"/>
    <w:rsid w:val="001454D5"/>
    <w:rsid w:val="0014550B"/>
    <w:rsid w:val="00145A41"/>
    <w:rsid w:val="00145CB9"/>
    <w:rsid w:val="00146A0D"/>
    <w:rsid w:val="00146D71"/>
    <w:rsid w:val="00146F28"/>
    <w:rsid w:val="00147172"/>
    <w:rsid w:val="001473B4"/>
    <w:rsid w:val="00150020"/>
    <w:rsid w:val="0015129C"/>
    <w:rsid w:val="00151675"/>
    <w:rsid w:val="001518B4"/>
    <w:rsid w:val="00151963"/>
    <w:rsid w:val="00152CE6"/>
    <w:rsid w:val="001534BB"/>
    <w:rsid w:val="001536CC"/>
    <w:rsid w:val="00154529"/>
    <w:rsid w:val="00154ED7"/>
    <w:rsid w:val="001555C7"/>
    <w:rsid w:val="001569D6"/>
    <w:rsid w:val="00156E32"/>
    <w:rsid w:val="00157129"/>
    <w:rsid w:val="001571B6"/>
    <w:rsid w:val="00157435"/>
    <w:rsid w:val="00157E76"/>
    <w:rsid w:val="001600E0"/>
    <w:rsid w:val="0016010A"/>
    <w:rsid w:val="00160F79"/>
    <w:rsid w:val="001613AC"/>
    <w:rsid w:val="0016205F"/>
    <w:rsid w:val="00162994"/>
    <w:rsid w:val="00162EDD"/>
    <w:rsid w:val="00163949"/>
    <w:rsid w:val="00164A8E"/>
    <w:rsid w:val="0016508B"/>
    <w:rsid w:val="0016535C"/>
    <w:rsid w:val="001660C6"/>
    <w:rsid w:val="0016619D"/>
    <w:rsid w:val="00166295"/>
    <w:rsid w:val="00167730"/>
    <w:rsid w:val="001679B2"/>
    <w:rsid w:val="00171A0C"/>
    <w:rsid w:val="00171BB5"/>
    <w:rsid w:val="00171DE2"/>
    <w:rsid w:val="0017282A"/>
    <w:rsid w:val="00172A27"/>
    <w:rsid w:val="00172A55"/>
    <w:rsid w:val="00172EAA"/>
    <w:rsid w:val="00173466"/>
    <w:rsid w:val="00173EF2"/>
    <w:rsid w:val="00174365"/>
    <w:rsid w:val="0017471D"/>
    <w:rsid w:val="001747A4"/>
    <w:rsid w:val="00174FBF"/>
    <w:rsid w:val="0017504D"/>
    <w:rsid w:val="0017537A"/>
    <w:rsid w:val="0017671A"/>
    <w:rsid w:val="00176E92"/>
    <w:rsid w:val="00177256"/>
    <w:rsid w:val="00177422"/>
    <w:rsid w:val="00180B00"/>
    <w:rsid w:val="00181182"/>
    <w:rsid w:val="00181CFA"/>
    <w:rsid w:val="001820E3"/>
    <w:rsid w:val="0018212F"/>
    <w:rsid w:val="001832D6"/>
    <w:rsid w:val="0018334B"/>
    <w:rsid w:val="001838BE"/>
    <w:rsid w:val="00183F38"/>
    <w:rsid w:val="00184590"/>
    <w:rsid w:val="00186786"/>
    <w:rsid w:val="001870D1"/>
    <w:rsid w:val="0018752C"/>
    <w:rsid w:val="0018781E"/>
    <w:rsid w:val="00187A6A"/>
    <w:rsid w:val="00187B25"/>
    <w:rsid w:val="00187DDC"/>
    <w:rsid w:val="00187E45"/>
    <w:rsid w:val="00190D08"/>
    <w:rsid w:val="00191AC8"/>
    <w:rsid w:val="00191F58"/>
    <w:rsid w:val="00191FF6"/>
    <w:rsid w:val="0019262D"/>
    <w:rsid w:val="00192CC1"/>
    <w:rsid w:val="00193729"/>
    <w:rsid w:val="001954D5"/>
    <w:rsid w:val="0019573C"/>
    <w:rsid w:val="00195D98"/>
    <w:rsid w:val="001960E4"/>
    <w:rsid w:val="00196647"/>
    <w:rsid w:val="00196EBD"/>
    <w:rsid w:val="001A020C"/>
    <w:rsid w:val="001A0440"/>
    <w:rsid w:val="001A0AB5"/>
    <w:rsid w:val="001A1B35"/>
    <w:rsid w:val="001A21BF"/>
    <w:rsid w:val="001A235A"/>
    <w:rsid w:val="001A24FD"/>
    <w:rsid w:val="001A2FBA"/>
    <w:rsid w:val="001A3DC3"/>
    <w:rsid w:val="001A44AF"/>
    <w:rsid w:val="001A48A2"/>
    <w:rsid w:val="001A4A1B"/>
    <w:rsid w:val="001A4DD6"/>
    <w:rsid w:val="001A6CA3"/>
    <w:rsid w:val="001A6D88"/>
    <w:rsid w:val="001A6F61"/>
    <w:rsid w:val="001A74AF"/>
    <w:rsid w:val="001A799A"/>
    <w:rsid w:val="001A7FB6"/>
    <w:rsid w:val="001B0702"/>
    <w:rsid w:val="001B1EE1"/>
    <w:rsid w:val="001B1F26"/>
    <w:rsid w:val="001B1FF8"/>
    <w:rsid w:val="001B2CDC"/>
    <w:rsid w:val="001B2EE0"/>
    <w:rsid w:val="001B2F29"/>
    <w:rsid w:val="001B5505"/>
    <w:rsid w:val="001B6A32"/>
    <w:rsid w:val="001B72B8"/>
    <w:rsid w:val="001B763D"/>
    <w:rsid w:val="001B7EFA"/>
    <w:rsid w:val="001B7EFB"/>
    <w:rsid w:val="001C009A"/>
    <w:rsid w:val="001C0393"/>
    <w:rsid w:val="001C0ED3"/>
    <w:rsid w:val="001C1708"/>
    <w:rsid w:val="001C1FDC"/>
    <w:rsid w:val="001C2701"/>
    <w:rsid w:val="001C5822"/>
    <w:rsid w:val="001C5AF3"/>
    <w:rsid w:val="001C69B3"/>
    <w:rsid w:val="001C6F3F"/>
    <w:rsid w:val="001D0A6B"/>
    <w:rsid w:val="001D127D"/>
    <w:rsid w:val="001D24F9"/>
    <w:rsid w:val="001D2A68"/>
    <w:rsid w:val="001D3931"/>
    <w:rsid w:val="001D3AA9"/>
    <w:rsid w:val="001D4F16"/>
    <w:rsid w:val="001D5501"/>
    <w:rsid w:val="001D5595"/>
    <w:rsid w:val="001D653D"/>
    <w:rsid w:val="001D670C"/>
    <w:rsid w:val="001D685C"/>
    <w:rsid w:val="001D69A0"/>
    <w:rsid w:val="001D6AF1"/>
    <w:rsid w:val="001D6B7D"/>
    <w:rsid w:val="001D6BC0"/>
    <w:rsid w:val="001D7749"/>
    <w:rsid w:val="001D7874"/>
    <w:rsid w:val="001D7F22"/>
    <w:rsid w:val="001E2601"/>
    <w:rsid w:val="001E3B7B"/>
    <w:rsid w:val="001E3D8C"/>
    <w:rsid w:val="001E4709"/>
    <w:rsid w:val="001E7691"/>
    <w:rsid w:val="001F09A7"/>
    <w:rsid w:val="001F0D09"/>
    <w:rsid w:val="001F0F17"/>
    <w:rsid w:val="001F32CD"/>
    <w:rsid w:val="001F3347"/>
    <w:rsid w:val="001F38D1"/>
    <w:rsid w:val="001F3997"/>
    <w:rsid w:val="001F40C5"/>
    <w:rsid w:val="001F4466"/>
    <w:rsid w:val="001F5C74"/>
    <w:rsid w:val="001F67C9"/>
    <w:rsid w:val="001F681F"/>
    <w:rsid w:val="001F687A"/>
    <w:rsid w:val="001F69E4"/>
    <w:rsid w:val="001F6B05"/>
    <w:rsid w:val="00200218"/>
    <w:rsid w:val="0020062A"/>
    <w:rsid w:val="002018A6"/>
    <w:rsid w:val="0020204C"/>
    <w:rsid w:val="00203234"/>
    <w:rsid w:val="00203E34"/>
    <w:rsid w:val="0020454E"/>
    <w:rsid w:val="00204B27"/>
    <w:rsid w:val="00205D78"/>
    <w:rsid w:val="00207939"/>
    <w:rsid w:val="00210765"/>
    <w:rsid w:val="002111EA"/>
    <w:rsid w:val="0021212E"/>
    <w:rsid w:val="002125B4"/>
    <w:rsid w:val="00213831"/>
    <w:rsid w:val="002138A4"/>
    <w:rsid w:val="002139B9"/>
    <w:rsid w:val="00213CCB"/>
    <w:rsid w:val="00214DD6"/>
    <w:rsid w:val="002155B8"/>
    <w:rsid w:val="00217ACB"/>
    <w:rsid w:val="002200D2"/>
    <w:rsid w:val="00220330"/>
    <w:rsid w:val="00222115"/>
    <w:rsid w:val="00222D17"/>
    <w:rsid w:val="0022320C"/>
    <w:rsid w:val="0022356D"/>
    <w:rsid w:val="00223FBD"/>
    <w:rsid w:val="002241A3"/>
    <w:rsid w:val="00224839"/>
    <w:rsid w:val="002249B2"/>
    <w:rsid w:val="00224FD4"/>
    <w:rsid w:val="002257F1"/>
    <w:rsid w:val="00225F84"/>
    <w:rsid w:val="00226506"/>
    <w:rsid w:val="00226574"/>
    <w:rsid w:val="002278EC"/>
    <w:rsid w:val="002279C5"/>
    <w:rsid w:val="00227E1F"/>
    <w:rsid w:val="00230D6B"/>
    <w:rsid w:val="00230F71"/>
    <w:rsid w:val="00231A28"/>
    <w:rsid w:val="0023280E"/>
    <w:rsid w:val="00233E2E"/>
    <w:rsid w:val="00234CB0"/>
    <w:rsid w:val="00234F5B"/>
    <w:rsid w:val="00234FCC"/>
    <w:rsid w:val="002353E1"/>
    <w:rsid w:val="00235ABC"/>
    <w:rsid w:val="00236759"/>
    <w:rsid w:val="002368AE"/>
    <w:rsid w:val="002377D1"/>
    <w:rsid w:val="00240B89"/>
    <w:rsid w:val="0024335B"/>
    <w:rsid w:val="002433A0"/>
    <w:rsid w:val="00243CAC"/>
    <w:rsid w:val="0024442E"/>
    <w:rsid w:val="00244C4F"/>
    <w:rsid w:val="00245861"/>
    <w:rsid w:val="00246182"/>
    <w:rsid w:val="002506BC"/>
    <w:rsid w:val="00252122"/>
    <w:rsid w:val="00254144"/>
    <w:rsid w:val="00254345"/>
    <w:rsid w:val="00254C7D"/>
    <w:rsid w:val="00254F2F"/>
    <w:rsid w:val="00257912"/>
    <w:rsid w:val="0026044E"/>
    <w:rsid w:val="00260A39"/>
    <w:rsid w:val="00260F1B"/>
    <w:rsid w:val="00261887"/>
    <w:rsid w:val="00262758"/>
    <w:rsid w:val="002632C2"/>
    <w:rsid w:val="002638CD"/>
    <w:rsid w:val="00263F93"/>
    <w:rsid w:val="00264557"/>
    <w:rsid w:val="00264D03"/>
    <w:rsid w:val="00265C0B"/>
    <w:rsid w:val="00270784"/>
    <w:rsid w:val="0027119B"/>
    <w:rsid w:val="0027191D"/>
    <w:rsid w:val="002726D4"/>
    <w:rsid w:val="0027336D"/>
    <w:rsid w:val="00273798"/>
    <w:rsid w:val="00274476"/>
    <w:rsid w:val="0027469D"/>
    <w:rsid w:val="00274D19"/>
    <w:rsid w:val="00275323"/>
    <w:rsid w:val="00275B52"/>
    <w:rsid w:val="00276254"/>
    <w:rsid w:val="00277DA2"/>
    <w:rsid w:val="002805AB"/>
    <w:rsid w:val="00280F07"/>
    <w:rsid w:val="0028143D"/>
    <w:rsid w:val="00281571"/>
    <w:rsid w:val="002816DD"/>
    <w:rsid w:val="00281B34"/>
    <w:rsid w:val="002822AD"/>
    <w:rsid w:val="00283B66"/>
    <w:rsid w:val="00284204"/>
    <w:rsid w:val="002845B2"/>
    <w:rsid w:val="00284BCD"/>
    <w:rsid w:val="002853FF"/>
    <w:rsid w:val="00285B56"/>
    <w:rsid w:val="00285F91"/>
    <w:rsid w:val="002869DA"/>
    <w:rsid w:val="00286C45"/>
    <w:rsid w:val="00286F22"/>
    <w:rsid w:val="00286F87"/>
    <w:rsid w:val="002878CC"/>
    <w:rsid w:val="00287929"/>
    <w:rsid w:val="00291773"/>
    <w:rsid w:val="002920D9"/>
    <w:rsid w:val="00293B75"/>
    <w:rsid w:val="00294126"/>
    <w:rsid w:val="00295703"/>
    <w:rsid w:val="00297584"/>
    <w:rsid w:val="002A168C"/>
    <w:rsid w:val="002A2A3A"/>
    <w:rsid w:val="002A3883"/>
    <w:rsid w:val="002A3DC7"/>
    <w:rsid w:val="002A4008"/>
    <w:rsid w:val="002A46DC"/>
    <w:rsid w:val="002A470A"/>
    <w:rsid w:val="002A5ACE"/>
    <w:rsid w:val="002A5FBA"/>
    <w:rsid w:val="002A619D"/>
    <w:rsid w:val="002B2E58"/>
    <w:rsid w:val="002B3FF3"/>
    <w:rsid w:val="002B417B"/>
    <w:rsid w:val="002B49E2"/>
    <w:rsid w:val="002B4B4C"/>
    <w:rsid w:val="002B4CC5"/>
    <w:rsid w:val="002B4E86"/>
    <w:rsid w:val="002B60FF"/>
    <w:rsid w:val="002B7690"/>
    <w:rsid w:val="002B7B00"/>
    <w:rsid w:val="002B7B93"/>
    <w:rsid w:val="002B7BB7"/>
    <w:rsid w:val="002B7C44"/>
    <w:rsid w:val="002C0E1C"/>
    <w:rsid w:val="002C2B17"/>
    <w:rsid w:val="002C2C2A"/>
    <w:rsid w:val="002C3434"/>
    <w:rsid w:val="002C45C4"/>
    <w:rsid w:val="002C4645"/>
    <w:rsid w:val="002C48CB"/>
    <w:rsid w:val="002C4902"/>
    <w:rsid w:val="002C498A"/>
    <w:rsid w:val="002C5A01"/>
    <w:rsid w:val="002C6E87"/>
    <w:rsid w:val="002C739D"/>
    <w:rsid w:val="002C7AC5"/>
    <w:rsid w:val="002C7EDB"/>
    <w:rsid w:val="002D05A5"/>
    <w:rsid w:val="002D0958"/>
    <w:rsid w:val="002D1078"/>
    <w:rsid w:val="002D1308"/>
    <w:rsid w:val="002D33B5"/>
    <w:rsid w:val="002D3DD0"/>
    <w:rsid w:val="002D3E71"/>
    <w:rsid w:val="002D4605"/>
    <w:rsid w:val="002D5E75"/>
    <w:rsid w:val="002D6038"/>
    <w:rsid w:val="002D6DFA"/>
    <w:rsid w:val="002E1243"/>
    <w:rsid w:val="002E1B89"/>
    <w:rsid w:val="002E1C51"/>
    <w:rsid w:val="002E1E86"/>
    <w:rsid w:val="002E1F3A"/>
    <w:rsid w:val="002E298A"/>
    <w:rsid w:val="002E3CAA"/>
    <w:rsid w:val="002E4734"/>
    <w:rsid w:val="002E4811"/>
    <w:rsid w:val="002E51BD"/>
    <w:rsid w:val="002E578D"/>
    <w:rsid w:val="002E7A9D"/>
    <w:rsid w:val="002E7E8D"/>
    <w:rsid w:val="002F01F9"/>
    <w:rsid w:val="002F073C"/>
    <w:rsid w:val="002F0D22"/>
    <w:rsid w:val="002F171F"/>
    <w:rsid w:val="002F17E1"/>
    <w:rsid w:val="002F1EAE"/>
    <w:rsid w:val="002F32DB"/>
    <w:rsid w:val="002F3F9E"/>
    <w:rsid w:val="002F40AA"/>
    <w:rsid w:val="002F50C0"/>
    <w:rsid w:val="002F57C7"/>
    <w:rsid w:val="002F5910"/>
    <w:rsid w:val="002F5BAE"/>
    <w:rsid w:val="002F6160"/>
    <w:rsid w:val="002F6E82"/>
    <w:rsid w:val="002F7311"/>
    <w:rsid w:val="002F7332"/>
    <w:rsid w:val="002F7E8C"/>
    <w:rsid w:val="00300D13"/>
    <w:rsid w:val="0030166B"/>
    <w:rsid w:val="00301978"/>
    <w:rsid w:val="0030286F"/>
    <w:rsid w:val="0030332C"/>
    <w:rsid w:val="00303333"/>
    <w:rsid w:val="00303D2A"/>
    <w:rsid w:val="003041C4"/>
    <w:rsid w:val="00304983"/>
    <w:rsid w:val="003051C2"/>
    <w:rsid w:val="003054FC"/>
    <w:rsid w:val="003056B8"/>
    <w:rsid w:val="00305CD5"/>
    <w:rsid w:val="00305D75"/>
    <w:rsid w:val="003061D8"/>
    <w:rsid w:val="00307091"/>
    <w:rsid w:val="0030743A"/>
    <w:rsid w:val="00307D8D"/>
    <w:rsid w:val="00311592"/>
    <w:rsid w:val="00311B55"/>
    <w:rsid w:val="00311CF2"/>
    <w:rsid w:val="00312296"/>
    <w:rsid w:val="0031425B"/>
    <w:rsid w:val="00314A69"/>
    <w:rsid w:val="00314F0E"/>
    <w:rsid w:val="00315174"/>
    <w:rsid w:val="0031692F"/>
    <w:rsid w:val="0031716F"/>
    <w:rsid w:val="00317770"/>
    <w:rsid w:val="00320BB3"/>
    <w:rsid w:val="00320CEC"/>
    <w:rsid w:val="00321D8E"/>
    <w:rsid w:val="00322BCF"/>
    <w:rsid w:val="00323191"/>
    <w:rsid w:val="003247C5"/>
    <w:rsid w:val="00325928"/>
    <w:rsid w:val="003277AB"/>
    <w:rsid w:val="00331BFA"/>
    <w:rsid w:val="003322D5"/>
    <w:rsid w:val="0033278F"/>
    <w:rsid w:val="00332863"/>
    <w:rsid w:val="003352E4"/>
    <w:rsid w:val="0033684D"/>
    <w:rsid w:val="00337255"/>
    <w:rsid w:val="0033742B"/>
    <w:rsid w:val="00337B42"/>
    <w:rsid w:val="00337D7D"/>
    <w:rsid w:val="003402B0"/>
    <w:rsid w:val="00340AE7"/>
    <w:rsid w:val="00341B42"/>
    <w:rsid w:val="00342283"/>
    <w:rsid w:val="00342770"/>
    <w:rsid w:val="00342F72"/>
    <w:rsid w:val="0034348F"/>
    <w:rsid w:val="00343584"/>
    <w:rsid w:val="00343E3A"/>
    <w:rsid w:val="00344F7E"/>
    <w:rsid w:val="00346FC6"/>
    <w:rsid w:val="0034774B"/>
    <w:rsid w:val="00347C16"/>
    <w:rsid w:val="00350887"/>
    <w:rsid w:val="00350B9E"/>
    <w:rsid w:val="00350C1C"/>
    <w:rsid w:val="00351B96"/>
    <w:rsid w:val="00352A37"/>
    <w:rsid w:val="00354AEF"/>
    <w:rsid w:val="00354E21"/>
    <w:rsid w:val="00354EB9"/>
    <w:rsid w:val="003553C3"/>
    <w:rsid w:val="00355F73"/>
    <w:rsid w:val="00355FEA"/>
    <w:rsid w:val="00356653"/>
    <w:rsid w:val="00356DC1"/>
    <w:rsid w:val="00356F54"/>
    <w:rsid w:val="0035743F"/>
    <w:rsid w:val="003574D4"/>
    <w:rsid w:val="00357BE2"/>
    <w:rsid w:val="0036170C"/>
    <w:rsid w:val="0036246F"/>
    <w:rsid w:val="0036279F"/>
    <w:rsid w:val="003634D7"/>
    <w:rsid w:val="003641C7"/>
    <w:rsid w:val="00364473"/>
    <w:rsid w:val="0036453A"/>
    <w:rsid w:val="00365CA6"/>
    <w:rsid w:val="003662B0"/>
    <w:rsid w:val="00366377"/>
    <w:rsid w:val="0036657E"/>
    <w:rsid w:val="00366771"/>
    <w:rsid w:val="00366D11"/>
    <w:rsid w:val="00366E0F"/>
    <w:rsid w:val="00367099"/>
    <w:rsid w:val="003671CE"/>
    <w:rsid w:val="00367905"/>
    <w:rsid w:val="003705C9"/>
    <w:rsid w:val="00370AA0"/>
    <w:rsid w:val="00370E64"/>
    <w:rsid w:val="00372B19"/>
    <w:rsid w:val="00372F1B"/>
    <w:rsid w:val="0037384A"/>
    <w:rsid w:val="00373BB3"/>
    <w:rsid w:val="00373E73"/>
    <w:rsid w:val="003742A3"/>
    <w:rsid w:val="00374500"/>
    <w:rsid w:val="00375545"/>
    <w:rsid w:val="0037566A"/>
    <w:rsid w:val="00375AC0"/>
    <w:rsid w:val="00375D53"/>
    <w:rsid w:val="003773F5"/>
    <w:rsid w:val="00377B25"/>
    <w:rsid w:val="00377B50"/>
    <w:rsid w:val="0038023E"/>
    <w:rsid w:val="00380B56"/>
    <w:rsid w:val="00380EA1"/>
    <w:rsid w:val="00381130"/>
    <w:rsid w:val="003811A6"/>
    <w:rsid w:val="00381A72"/>
    <w:rsid w:val="0038211B"/>
    <w:rsid w:val="003825C6"/>
    <w:rsid w:val="0038277E"/>
    <w:rsid w:val="00382B2C"/>
    <w:rsid w:val="00383E81"/>
    <w:rsid w:val="0038427B"/>
    <w:rsid w:val="003844AE"/>
    <w:rsid w:val="00384676"/>
    <w:rsid w:val="00384C66"/>
    <w:rsid w:val="003864B2"/>
    <w:rsid w:val="00387580"/>
    <w:rsid w:val="00387E97"/>
    <w:rsid w:val="00390201"/>
    <w:rsid w:val="0039028E"/>
    <w:rsid w:val="00390857"/>
    <w:rsid w:val="00391036"/>
    <w:rsid w:val="00391946"/>
    <w:rsid w:val="00391EBE"/>
    <w:rsid w:val="00391F75"/>
    <w:rsid w:val="00392267"/>
    <w:rsid w:val="00392524"/>
    <w:rsid w:val="00393BED"/>
    <w:rsid w:val="00393DFD"/>
    <w:rsid w:val="00393FDC"/>
    <w:rsid w:val="00394AA3"/>
    <w:rsid w:val="00394ABE"/>
    <w:rsid w:val="00394C2E"/>
    <w:rsid w:val="0039587D"/>
    <w:rsid w:val="00395965"/>
    <w:rsid w:val="00395BCB"/>
    <w:rsid w:val="00395D24"/>
    <w:rsid w:val="00396915"/>
    <w:rsid w:val="00396957"/>
    <w:rsid w:val="00396EC3"/>
    <w:rsid w:val="00397998"/>
    <w:rsid w:val="003A239B"/>
    <w:rsid w:val="003A294A"/>
    <w:rsid w:val="003A340E"/>
    <w:rsid w:val="003A34FE"/>
    <w:rsid w:val="003A3E6D"/>
    <w:rsid w:val="003A4BE0"/>
    <w:rsid w:val="003A4BF3"/>
    <w:rsid w:val="003A4CD1"/>
    <w:rsid w:val="003A5222"/>
    <w:rsid w:val="003A5585"/>
    <w:rsid w:val="003A70DD"/>
    <w:rsid w:val="003A74F9"/>
    <w:rsid w:val="003B16C3"/>
    <w:rsid w:val="003B1AC1"/>
    <w:rsid w:val="003B1C5B"/>
    <w:rsid w:val="003B26AB"/>
    <w:rsid w:val="003B2E66"/>
    <w:rsid w:val="003B343A"/>
    <w:rsid w:val="003B3F76"/>
    <w:rsid w:val="003B3FAE"/>
    <w:rsid w:val="003B420D"/>
    <w:rsid w:val="003B5AAD"/>
    <w:rsid w:val="003B60C6"/>
    <w:rsid w:val="003B6BE2"/>
    <w:rsid w:val="003B6D78"/>
    <w:rsid w:val="003B7172"/>
    <w:rsid w:val="003B7851"/>
    <w:rsid w:val="003C1231"/>
    <w:rsid w:val="003C1D95"/>
    <w:rsid w:val="003C2698"/>
    <w:rsid w:val="003C43A3"/>
    <w:rsid w:val="003C4911"/>
    <w:rsid w:val="003C4D22"/>
    <w:rsid w:val="003C5C0A"/>
    <w:rsid w:val="003C6C16"/>
    <w:rsid w:val="003C6F23"/>
    <w:rsid w:val="003C7601"/>
    <w:rsid w:val="003C7722"/>
    <w:rsid w:val="003C7B74"/>
    <w:rsid w:val="003C7D10"/>
    <w:rsid w:val="003C7F27"/>
    <w:rsid w:val="003D0395"/>
    <w:rsid w:val="003D08E6"/>
    <w:rsid w:val="003D0CEF"/>
    <w:rsid w:val="003D1A1D"/>
    <w:rsid w:val="003D24EA"/>
    <w:rsid w:val="003D27A8"/>
    <w:rsid w:val="003D39EC"/>
    <w:rsid w:val="003D44A9"/>
    <w:rsid w:val="003D4B0B"/>
    <w:rsid w:val="003D4C2C"/>
    <w:rsid w:val="003D56CC"/>
    <w:rsid w:val="003D794D"/>
    <w:rsid w:val="003E1E5B"/>
    <w:rsid w:val="003E20CB"/>
    <w:rsid w:val="003E3058"/>
    <w:rsid w:val="003E3AC2"/>
    <w:rsid w:val="003E4B88"/>
    <w:rsid w:val="003E5395"/>
    <w:rsid w:val="003E67C0"/>
    <w:rsid w:val="003E76A9"/>
    <w:rsid w:val="003F03E0"/>
    <w:rsid w:val="003F0809"/>
    <w:rsid w:val="003F163D"/>
    <w:rsid w:val="003F1968"/>
    <w:rsid w:val="003F1C7D"/>
    <w:rsid w:val="003F1DFE"/>
    <w:rsid w:val="003F2D3A"/>
    <w:rsid w:val="003F37C8"/>
    <w:rsid w:val="003F4CC7"/>
    <w:rsid w:val="003F6068"/>
    <w:rsid w:val="003F61CE"/>
    <w:rsid w:val="003F6A8C"/>
    <w:rsid w:val="003F755C"/>
    <w:rsid w:val="003F79ED"/>
    <w:rsid w:val="004001E9"/>
    <w:rsid w:val="004007B1"/>
    <w:rsid w:val="004016B4"/>
    <w:rsid w:val="00401AA3"/>
    <w:rsid w:val="00401D64"/>
    <w:rsid w:val="00402EF2"/>
    <w:rsid w:val="00403431"/>
    <w:rsid w:val="004034AA"/>
    <w:rsid w:val="00404344"/>
    <w:rsid w:val="004063FD"/>
    <w:rsid w:val="00406F01"/>
    <w:rsid w:val="00410914"/>
    <w:rsid w:val="00410B14"/>
    <w:rsid w:val="00412151"/>
    <w:rsid w:val="0041256F"/>
    <w:rsid w:val="00412AA1"/>
    <w:rsid w:val="00412CDC"/>
    <w:rsid w:val="004133CC"/>
    <w:rsid w:val="0041404E"/>
    <w:rsid w:val="004145BF"/>
    <w:rsid w:val="00414868"/>
    <w:rsid w:val="0041564A"/>
    <w:rsid w:val="0041567B"/>
    <w:rsid w:val="00416217"/>
    <w:rsid w:val="00416475"/>
    <w:rsid w:val="00416AC8"/>
    <w:rsid w:val="00416C2F"/>
    <w:rsid w:val="00416D50"/>
    <w:rsid w:val="00416FD5"/>
    <w:rsid w:val="004171C6"/>
    <w:rsid w:val="004174AC"/>
    <w:rsid w:val="00417772"/>
    <w:rsid w:val="00417ADF"/>
    <w:rsid w:val="00417B93"/>
    <w:rsid w:val="0042080F"/>
    <w:rsid w:val="00420E6A"/>
    <w:rsid w:val="00421F0D"/>
    <w:rsid w:val="004242BE"/>
    <w:rsid w:val="00424579"/>
    <w:rsid w:val="00425A9E"/>
    <w:rsid w:val="00426801"/>
    <w:rsid w:val="00426D6B"/>
    <w:rsid w:val="004273A5"/>
    <w:rsid w:val="004313C1"/>
    <w:rsid w:val="004316BD"/>
    <w:rsid w:val="0043191C"/>
    <w:rsid w:val="00431E6C"/>
    <w:rsid w:val="00432345"/>
    <w:rsid w:val="00433CE7"/>
    <w:rsid w:val="004349A0"/>
    <w:rsid w:val="00434B32"/>
    <w:rsid w:val="00437C09"/>
    <w:rsid w:val="004409E5"/>
    <w:rsid w:val="00440A3B"/>
    <w:rsid w:val="00440BFF"/>
    <w:rsid w:val="00441663"/>
    <w:rsid w:val="0044196E"/>
    <w:rsid w:val="00443DD9"/>
    <w:rsid w:val="00444303"/>
    <w:rsid w:val="00444A7B"/>
    <w:rsid w:val="004461C5"/>
    <w:rsid w:val="004464ED"/>
    <w:rsid w:val="004472BE"/>
    <w:rsid w:val="00447BDB"/>
    <w:rsid w:val="00451157"/>
    <w:rsid w:val="004513B1"/>
    <w:rsid w:val="00451515"/>
    <w:rsid w:val="00451AAA"/>
    <w:rsid w:val="0045218F"/>
    <w:rsid w:val="00452738"/>
    <w:rsid w:val="00453715"/>
    <w:rsid w:val="00454836"/>
    <w:rsid w:val="00454DBC"/>
    <w:rsid w:val="00455473"/>
    <w:rsid w:val="0045562B"/>
    <w:rsid w:val="00456091"/>
    <w:rsid w:val="00456711"/>
    <w:rsid w:val="00460EFA"/>
    <w:rsid w:val="004622B6"/>
    <w:rsid w:val="0046237E"/>
    <w:rsid w:val="0046289E"/>
    <w:rsid w:val="00462A62"/>
    <w:rsid w:val="00463454"/>
    <w:rsid w:val="00463811"/>
    <w:rsid w:val="00464367"/>
    <w:rsid w:val="004644F2"/>
    <w:rsid w:val="0046530B"/>
    <w:rsid w:val="0046601B"/>
    <w:rsid w:val="00466321"/>
    <w:rsid w:val="004677BD"/>
    <w:rsid w:val="00470AA4"/>
    <w:rsid w:val="00470E26"/>
    <w:rsid w:val="0047141B"/>
    <w:rsid w:val="00472598"/>
    <w:rsid w:val="0047295D"/>
    <w:rsid w:val="00472A34"/>
    <w:rsid w:val="00472E87"/>
    <w:rsid w:val="004737D2"/>
    <w:rsid w:val="00474720"/>
    <w:rsid w:val="00474F46"/>
    <w:rsid w:val="00475C0B"/>
    <w:rsid w:val="00476AD9"/>
    <w:rsid w:val="00480400"/>
    <w:rsid w:val="00480516"/>
    <w:rsid w:val="00480C20"/>
    <w:rsid w:val="00481096"/>
    <w:rsid w:val="0048136C"/>
    <w:rsid w:val="004824E4"/>
    <w:rsid w:val="004844FF"/>
    <w:rsid w:val="00484B9B"/>
    <w:rsid w:val="004855F6"/>
    <w:rsid w:val="0048639C"/>
    <w:rsid w:val="0048661E"/>
    <w:rsid w:val="0048677E"/>
    <w:rsid w:val="00486B37"/>
    <w:rsid w:val="00487716"/>
    <w:rsid w:val="00487F6C"/>
    <w:rsid w:val="004900A9"/>
    <w:rsid w:val="00490120"/>
    <w:rsid w:val="0049191D"/>
    <w:rsid w:val="004930C9"/>
    <w:rsid w:val="004935C8"/>
    <w:rsid w:val="00494670"/>
    <w:rsid w:val="00494756"/>
    <w:rsid w:val="004952FD"/>
    <w:rsid w:val="0049543C"/>
    <w:rsid w:val="00495536"/>
    <w:rsid w:val="00495B4F"/>
    <w:rsid w:val="00495D40"/>
    <w:rsid w:val="00497283"/>
    <w:rsid w:val="004A0056"/>
    <w:rsid w:val="004A1606"/>
    <w:rsid w:val="004A2550"/>
    <w:rsid w:val="004A35FD"/>
    <w:rsid w:val="004A3823"/>
    <w:rsid w:val="004A471D"/>
    <w:rsid w:val="004A4B6E"/>
    <w:rsid w:val="004A4DCF"/>
    <w:rsid w:val="004A68DE"/>
    <w:rsid w:val="004A79DC"/>
    <w:rsid w:val="004B02CB"/>
    <w:rsid w:val="004B06D7"/>
    <w:rsid w:val="004B0736"/>
    <w:rsid w:val="004B1315"/>
    <w:rsid w:val="004B2F2E"/>
    <w:rsid w:val="004B3480"/>
    <w:rsid w:val="004B37C6"/>
    <w:rsid w:val="004B3929"/>
    <w:rsid w:val="004B539F"/>
    <w:rsid w:val="004B5544"/>
    <w:rsid w:val="004B6600"/>
    <w:rsid w:val="004B723A"/>
    <w:rsid w:val="004C024F"/>
    <w:rsid w:val="004C0ED2"/>
    <w:rsid w:val="004C117C"/>
    <w:rsid w:val="004C14E3"/>
    <w:rsid w:val="004C2149"/>
    <w:rsid w:val="004C366B"/>
    <w:rsid w:val="004C46FC"/>
    <w:rsid w:val="004C4FEB"/>
    <w:rsid w:val="004C560C"/>
    <w:rsid w:val="004C5A1B"/>
    <w:rsid w:val="004C65DE"/>
    <w:rsid w:val="004C6789"/>
    <w:rsid w:val="004C72B0"/>
    <w:rsid w:val="004C7CAB"/>
    <w:rsid w:val="004D1077"/>
    <w:rsid w:val="004D211E"/>
    <w:rsid w:val="004D2231"/>
    <w:rsid w:val="004D2F7F"/>
    <w:rsid w:val="004D3E06"/>
    <w:rsid w:val="004D437B"/>
    <w:rsid w:val="004D4B26"/>
    <w:rsid w:val="004D50F4"/>
    <w:rsid w:val="004D6039"/>
    <w:rsid w:val="004D640C"/>
    <w:rsid w:val="004D7795"/>
    <w:rsid w:val="004D7D18"/>
    <w:rsid w:val="004E064A"/>
    <w:rsid w:val="004E0AFF"/>
    <w:rsid w:val="004E1B1B"/>
    <w:rsid w:val="004E3AD9"/>
    <w:rsid w:val="004E43A1"/>
    <w:rsid w:val="004E632A"/>
    <w:rsid w:val="004E6946"/>
    <w:rsid w:val="004E6C31"/>
    <w:rsid w:val="004E78E5"/>
    <w:rsid w:val="004F17DA"/>
    <w:rsid w:val="004F1AD8"/>
    <w:rsid w:val="004F1E0F"/>
    <w:rsid w:val="004F24A8"/>
    <w:rsid w:val="004F3FED"/>
    <w:rsid w:val="004F485D"/>
    <w:rsid w:val="004F70BC"/>
    <w:rsid w:val="004F778F"/>
    <w:rsid w:val="00500158"/>
    <w:rsid w:val="00501F0D"/>
    <w:rsid w:val="00502315"/>
    <w:rsid w:val="0050363D"/>
    <w:rsid w:val="005039CB"/>
    <w:rsid w:val="0050558F"/>
    <w:rsid w:val="00505AEF"/>
    <w:rsid w:val="00506286"/>
    <w:rsid w:val="005067AD"/>
    <w:rsid w:val="005078A0"/>
    <w:rsid w:val="0051017D"/>
    <w:rsid w:val="00510813"/>
    <w:rsid w:val="00510E00"/>
    <w:rsid w:val="005110EA"/>
    <w:rsid w:val="00511990"/>
    <w:rsid w:val="00511DE0"/>
    <w:rsid w:val="00512167"/>
    <w:rsid w:val="00512934"/>
    <w:rsid w:val="005139CD"/>
    <w:rsid w:val="00513D42"/>
    <w:rsid w:val="00514870"/>
    <w:rsid w:val="00514B9B"/>
    <w:rsid w:val="005158A5"/>
    <w:rsid w:val="0051590F"/>
    <w:rsid w:val="00515CFC"/>
    <w:rsid w:val="005171C2"/>
    <w:rsid w:val="00517F02"/>
    <w:rsid w:val="0052065E"/>
    <w:rsid w:val="00521086"/>
    <w:rsid w:val="00521215"/>
    <w:rsid w:val="0052121A"/>
    <w:rsid w:val="00521494"/>
    <w:rsid w:val="00522380"/>
    <w:rsid w:val="005233FF"/>
    <w:rsid w:val="00524303"/>
    <w:rsid w:val="00524D97"/>
    <w:rsid w:val="00524F20"/>
    <w:rsid w:val="005258A2"/>
    <w:rsid w:val="00525B7A"/>
    <w:rsid w:val="005263C2"/>
    <w:rsid w:val="005265A4"/>
    <w:rsid w:val="005267B5"/>
    <w:rsid w:val="005268F4"/>
    <w:rsid w:val="00527AC6"/>
    <w:rsid w:val="00527B4C"/>
    <w:rsid w:val="00527E25"/>
    <w:rsid w:val="005306AC"/>
    <w:rsid w:val="00530E57"/>
    <w:rsid w:val="00531BCB"/>
    <w:rsid w:val="00533477"/>
    <w:rsid w:val="00534E39"/>
    <w:rsid w:val="005367CE"/>
    <w:rsid w:val="005369A8"/>
    <w:rsid w:val="00537700"/>
    <w:rsid w:val="005401AE"/>
    <w:rsid w:val="00540B45"/>
    <w:rsid w:val="00540D44"/>
    <w:rsid w:val="00541798"/>
    <w:rsid w:val="00541973"/>
    <w:rsid w:val="00541DE7"/>
    <w:rsid w:val="00541F02"/>
    <w:rsid w:val="00542A20"/>
    <w:rsid w:val="00542E07"/>
    <w:rsid w:val="00545424"/>
    <w:rsid w:val="0055166D"/>
    <w:rsid w:val="00552E56"/>
    <w:rsid w:val="005534E0"/>
    <w:rsid w:val="005534FD"/>
    <w:rsid w:val="00554A7B"/>
    <w:rsid w:val="00555011"/>
    <w:rsid w:val="005555EE"/>
    <w:rsid w:val="0055572C"/>
    <w:rsid w:val="00555EB6"/>
    <w:rsid w:val="005569E7"/>
    <w:rsid w:val="00556DF6"/>
    <w:rsid w:val="005579B6"/>
    <w:rsid w:val="00557D35"/>
    <w:rsid w:val="0056085D"/>
    <w:rsid w:val="0056095B"/>
    <w:rsid w:val="00560BB1"/>
    <w:rsid w:val="0056106A"/>
    <w:rsid w:val="005613C8"/>
    <w:rsid w:val="0056153C"/>
    <w:rsid w:val="00561B1F"/>
    <w:rsid w:val="00562462"/>
    <w:rsid w:val="0056300C"/>
    <w:rsid w:val="005630C7"/>
    <w:rsid w:val="00563A51"/>
    <w:rsid w:val="00564223"/>
    <w:rsid w:val="00564C14"/>
    <w:rsid w:val="00565484"/>
    <w:rsid w:val="005655DC"/>
    <w:rsid w:val="00566253"/>
    <w:rsid w:val="0056632E"/>
    <w:rsid w:val="00566DCD"/>
    <w:rsid w:val="00566FC3"/>
    <w:rsid w:val="005677FB"/>
    <w:rsid w:val="005702E8"/>
    <w:rsid w:val="00570AA3"/>
    <w:rsid w:val="00571C24"/>
    <w:rsid w:val="00571E65"/>
    <w:rsid w:val="005720AE"/>
    <w:rsid w:val="005731CE"/>
    <w:rsid w:val="00573212"/>
    <w:rsid w:val="0057360A"/>
    <w:rsid w:val="005737A1"/>
    <w:rsid w:val="00573F6D"/>
    <w:rsid w:val="00575232"/>
    <w:rsid w:val="00575F4A"/>
    <w:rsid w:val="005760A1"/>
    <w:rsid w:val="005765F6"/>
    <w:rsid w:val="00576D21"/>
    <w:rsid w:val="005774BD"/>
    <w:rsid w:val="00577550"/>
    <w:rsid w:val="005777FB"/>
    <w:rsid w:val="005778FC"/>
    <w:rsid w:val="00577BD2"/>
    <w:rsid w:val="00580091"/>
    <w:rsid w:val="005806BD"/>
    <w:rsid w:val="0058094E"/>
    <w:rsid w:val="00580B7A"/>
    <w:rsid w:val="00580D07"/>
    <w:rsid w:val="005816BB"/>
    <w:rsid w:val="0058201E"/>
    <w:rsid w:val="00582E1E"/>
    <w:rsid w:val="00583C16"/>
    <w:rsid w:val="00584BE4"/>
    <w:rsid w:val="00584F87"/>
    <w:rsid w:val="005859C2"/>
    <w:rsid w:val="00586B84"/>
    <w:rsid w:val="005879FC"/>
    <w:rsid w:val="00587DC2"/>
    <w:rsid w:val="00590403"/>
    <w:rsid w:val="0059150D"/>
    <w:rsid w:val="00591827"/>
    <w:rsid w:val="005923AC"/>
    <w:rsid w:val="005930E2"/>
    <w:rsid w:val="005938C2"/>
    <w:rsid w:val="00593FD7"/>
    <w:rsid w:val="0059412C"/>
    <w:rsid w:val="005943B0"/>
    <w:rsid w:val="00594A13"/>
    <w:rsid w:val="00594D77"/>
    <w:rsid w:val="00595ECB"/>
    <w:rsid w:val="00595FD8"/>
    <w:rsid w:val="005969E4"/>
    <w:rsid w:val="00596A14"/>
    <w:rsid w:val="005970E5"/>
    <w:rsid w:val="00597ACF"/>
    <w:rsid w:val="00597C94"/>
    <w:rsid w:val="005A00F7"/>
    <w:rsid w:val="005A06B7"/>
    <w:rsid w:val="005A0F38"/>
    <w:rsid w:val="005A1759"/>
    <w:rsid w:val="005A18C9"/>
    <w:rsid w:val="005A19A4"/>
    <w:rsid w:val="005A2795"/>
    <w:rsid w:val="005A3DC0"/>
    <w:rsid w:val="005A4524"/>
    <w:rsid w:val="005A504A"/>
    <w:rsid w:val="005A5BFB"/>
    <w:rsid w:val="005A64CD"/>
    <w:rsid w:val="005A68A7"/>
    <w:rsid w:val="005A6B82"/>
    <w:rsid w:val="005A6FCF"/>
    <w:rsid w:val="005A7922"/>
    <w:rsid w:val="005B1169"/>
    <w:rsid w:val="005B188C"/>
    <w:rsid w:val="005B23D8"/>
    <w:rsid w:val="005B2FBC"/>
    <w:rsid w:val="005B314D"/>
    <w:rsid w:val="005B3358"/>
    <w:rsid w:val="005B487C"/>
    <w:rsid w:val="005B6B9F"/>
    <w:rsid w:val="005B6FF5"/>
    <w:rsid w:val="005B7ABE"/>
    <w:rsid w:val="005C27BC"/>
    <w:rsid w:val="005C2DB1"/>
    <w:rsid w:val="005C2EB2"/>
    <w:rsid w:val="005C33F1"/>
    <w:rsid w:val="005C6047"/>
    <w:rsid w:val="005C7E87"/>
    <w:rsid w:val="005D000A"/>
    <w:rsid w:val="005D0283"/>
    <w:rsid w:val="005D0A15"/>
    <w:rsid w:val="005D1599"/>
    <w:rsid w:val="005D19D4"/>
    <w:rsid w:val="005D1B19"/>
    <w:rsid w:val="005D2753"/>
    <w:rsid w:val="005D36AB"/>
    <w:rsid w:val="005D38AA"/>
    <w:rsid w:val="005D4FEB"/>
    <w:rsid w:val="005D57C5"/>
    <w:rsid w:val="005D5BDD"/>
    <w:rsid w:val="005D63CE"/>
    <w:rsid w:val="005D64C2"/>
    <w:rsid w:val="005D7AB7"/>
    <w:rsid w:val="005E0676"/>
    <w:rsid w:val="005E1155"/>
    <w:rsid w:val="005E1296"/>
    <w:rsid w:val="005E1EBA"/>
    <w:rsid w:val="005E217A"/>
    <w:rsid w:val="005E2D66"/>
    <w:rsid w:val="005E3820"/>
    <w:rsid w:val="005E47F4"/>
    <w:rsid w:val="005E4A12"/>
    <w:rsid w:val="005E6C66"/>
    <w:rsid w:val="005F1940"/>
    <w:rsid w:val="005F276A"/>
    <w:rsid w:val="005F2981"/>
    <w:rsid w:val="005F2C97"/>
    <w:rsid w:val="005F3104"/>
    <w:rsid w:val="005F4274"/>
    <w:rsid w:val="005F4579"/>
    <w:rsid w:val="005F6AC0"/>
    <w:rsid w:val="005F7A00"/>
    <w:rsid w:val="00601022"/>
    <w:rsid w:val="00602AD6"/>
    <w:rsid w:val="006039A7"/>
    <w:rsid w:val="0060417A"/>
    <w:rsid w:val="00605E64"/>
    <w:rsid w:val="006077D4"/>
    <w:rsid w:val="0061017D"/>
    <w:rsid w:val="0061173C"/>
    <w:rsid w:val="00611FA5"/>
    <w:rsid w:val="00612250"/>
    <w:rsid w:val="006127C6"/>
    <w:rsid w:val="00613CD2"/>
    <w:rsid w:val="0061564A"/>
    <w:rsid w:val="00615B92"/>
    <w:rsid w:val="00615D96"/>
    <w:rsid w:val="006162A4"/>
    <w:rsid w:val="006165BC"/>
    <w:rsid w:val="006174F1"/>
    <w:rsid w:val="0061776F"/>
    <w:rsid w:val="00617CC3"/>
    <w:rsid w:val="0062086C"/>
    <w:rsid w:val="00622801"/>
    <w:rsid w:val="00622E96"/>
    <w:rsid w:val="00623D29"/>
    <w:rsid w:val="00625BEB"/>
    <w:rsid w:val="006260FD"/>
    <w:rsid w:val="006262CF"/>
    <w:rsid w:val="00626936"/>
    <w:rsid w:val="0062758B"/>
    <w:rsid w:val="00627A8F"/>
    <w:rsid w:val="00630207"/>
    <w:rsid w:val="006308B4"/>
    <w:rsid w:val="0063104E"/>
    <w:rsid w:val="00631E02"/>
    <w:rsid w:val="00632010"/>
    <w:rsid w:val="0063478D"/>
    <w:rsid w:val="006349CF"/>
    <w:rsid w:val="00634C8D"/>
    <w:rsid w:val="006357CA"/>
    <w:rsid w:val="006357E7"/>
    <w:rsid w:val="0063595C"/>
    <w:rsid w:val="00636355"/>
    <w:rsid w:val="0063706B"/>
    <w:rsid w:val="00637221"/>
    <w:rsid w:val="006377A6"/>
    <w:rsid w:val="00637A3D"/>
    <w:rsid w:val="006402BA"/>
    <w:rsid w:val="006411EF"/>
    <w:rsid w:val="006417F2"/>
    <w:rsid w:val="00642DE2"/>
    <w:rsid w:val="006445A9"/>
    <w:rsid w:val="00646891"/>
    <w:rsid w:val="00646CE2"/>
    <w:rsid w:val="006470C7"/>
    <w:rsid w:val="006473D7"/>
    <w:rsid w:val="00647915"/>
    <w:rsid w:val="006503EF"/>
    <w:rsid w:val="006509B1"/>
    <w:rsid w:val="00650A06"/>
    <w:rsid w:val="00651883"/>
    <w:rsid w:val="00652CD8"/>
    <w:rsid w:val="00653CA0"/>
    <w:rsid w:val="00655555"/>
    <w:rsid w:val="0065654F"/>
    <w:rsid w:val="006569B9"/>
    <w:rsid w:val="00661CF2"/>
    <w:rsid w:val="0066249C"/>
    <w:rsid w:val="006625A0"/>
    <w:rsid w:val="00662E70"/>
    <w:rsid w:val="00663F49"/>
    <w:rsid w:val="00664365"/>
    <w:rsid w:val="00664A4C"/>
    <w:rsid w:val="00664C9E"/>
    <w:rsid w:val="00664E06"/>
    <w:rsid w:val="006667D4"/>
    <w:rsid w:val="006672B8"/>
    <w:rsid w:val="00667919"/>
    <w:rsid w:val="006700C6"/>
    <w:rsid w:val="00670C0C"/>
    <w:rsid w:val="006711AB"/>
    <w:rsid w:val="00672C4A"/>
    <w:rsid w:val="00672D01"/>
    <w:rsid w:val="00672FAF"/>
    <w:rsid w:val="00673FE8"/>
    <w:rsid w:val="006748B8"/>
    <w:rsid w:val="0067582D"/>
    <w:rsid w:val="00675A8B"/>
    <w:rsid w:val="00676051"/>
    <w:rsid w:val="00676EDE"/>
    <w:rsid w:val="006775C3"/>
    <w:rsid w:val="0068044E"/>
    <w:rsid w:val="00681DF7"/>
    <w:rsid w:val="006828DB"/>
    <w:rsid w:val="006846FC"/>
    <w:rsid w:val="00685BF3"/>
    <w:rsid w:val="00685F23"/>
    <w:rsid w:val="00686644"/>
    <w:rsid w:val="0069053E"/>
    <w:rsid w:val="006908CE"/>
    <w:rsid w:val="006920BE"/>
    <w:rsid w:val="00692358"/>
    <w:rsid w:val="0069290A"/>
    <w:rsid w:val="00693408"/>
    <w:rsid w:val="0069427F"/>
    <w:rsid w:val="00694E9F"/>
    <w:rsid w:val="006958C2"/>
    <w:rsid w:val="00696746"/>
    <w:rsid w:val="00696828"/>
    <w:rsid w:val="0069775A"/>
    <w:rsid w:val="00697813"/>
    <w:rsid w:val="006A0719"/>
    <w:rsid w:val="006A09CF"/>
    <w:rsid w:val="006A0C8F"/>
    <w:rsid w:val="006A10E9"/>
    <w:rsid w:val="006A1F5B"/>
    <w:rsid w:val="006A228B"/>
    <w:rsid w:val="006A3EE8"/>
    <w:rsid w:val="006A3F6E"/>
    <w:rsid w:val="006A4F7A"/>
    <w:rsid w:val="006A5105"/>
    <w:rsid w:val="006A526C"/>
    <w:rsid w:val="006A6692"/>
    <w:rsid w:val="006A6BAA"/>
    <w:rsid w:val="006A6C83"/>
    <w:rsid w:val="006A7144"/>
    <w:rsid w:val="006A72BF"/>
    <w:rsid w:val="006B03F2"/>
    <w:rsid w:val="006B0653"/>
    <w:rsid w:val="006B095F"/>
    <w:rsid w:val="006B198C"/>
    <w:rsid w:val="006B1F1F"/>
    <w:rsid w:val="006B2F8E"/>
    <w:rsid w:val="006B3412"/>
    <w:rsid w:val="006B37DC"/>
    <w:rsid w:val="006B4227"/>
    <w:rsid w:val="006B4EC7"/>
    <w:rsid w:val="006B4F68"/>
    <w:rsid w:val="006B53B8"/>
    <w:rsid w:val="006B5C6E"/>
    <w:rsid w:val="006B5CE4"/>
    <w:rsid w:val="006B6EE6"/>
    <w:rsid w:val="006B7C9D"/>
    <w:rsid w:val="006B7E75"/>
    <w:rsid w:val="006B7F31"/>
    <w:rsid w:val="006C030E"/>
    <w:rsid w:val="006C0520"/>
    <w:rsid w:val="006C0592"/>
    <w:rsid w:val="006C1D10"/>
    <w:rsid w:val="006C272E"/>
    <w:rsid w:val="006C2B13"/>
    <w:rsid w:val="006C3054"/>
    <w:rsid w:val="006C416F"/>
    <w:rsid w:val="006C4671"/>
    <w:rsid w:val="006C5479"/>
    <w:rsid w:val="006C6454"/>
    <w:rsid w:val="006C6969"/>
    <w:rsid w:val="006C7E3B"/>
    <w:rsid w:val="006D13B5"/>
    <w:rsid w:val="006D35DA"/>
    <w:rsid w:val="006D43A0"/>
    <w:rsid w:val="006D46DD"/>
    <w:rsid w:val="006D5090"/>
    <w:rsid w:val="006D543D"/>
    <w:rsid w:val="006D5449"/>
    <w:rsid w:val="006D5A17"/>
    <w:rsid w:val="006D5CB9"/>
    <w:rsid w:val="006D70FD"/>
    <w:rsid w:val="006D76ED"/>
    <w:rsid w:val="006E0E68"/>
    <w:rsid w:val="006E1091"/>
    <w:rsid w:val="006E10DB"/>
    <w:rsid w:val="006E12FF"/>
    <w:rsid w:val="006E17A4"/>
    <w:rsid w:val="006E2914"/>
    <w:rsid w:val="006E35B8"/>
    <w:rsid w:val="006E4362"/>
    <w:rsid w:val="006E4DAC"/>
    <w:rsid w:val="006E4F56"/>
    <w:rsid w:val="006E607E"/>
    <w:rsid w:val="006E7321"/>
    <w:rsid w:val="006E750C"/>
    <w:rsid w:val="006E751E"/>
    <w:rsid w:val="006E7FF4"/>
    <w:rsid w:val="006F03B5"/>
    <w:rsid w:val="006F05CE"/>
    <w:rsid w:val="006F0689"/>
    <w:rsid w:val="006F5F91"/>
    <w:rsid w:val="006F7398"/>
    <w:rsid w:val="006F75B2"/>
    <w:rsid w:val="006F79BC"/>
    <w:rsid w:val="0070073D"/>
    <w:rsid w:val="00700D97"/>
    <w:rsid w:val="00700F00"/>
    <w:rsid w:val="0070205A"/>
    <w:rsid w:val="00702B49"/>
    <w:rsid w:val="0070500E"/>
    <w:rsid w:val="007057BF"/>
    <w:rsid w:val="00705B99"/>
    <w:rsid w:val="00706C5D"/>
    <w:rsid w:val="007073BE"/>
    <w:rsid w:val="007104A4"/>
    <w:rsid w:val="0071051A"/>
    <w:rsid w:val="00711E03"/>
    <w:rsid w:val="007144AB"/>
    <w:rsid w:val="00716266"/>
    <w:rsid w:val="007175E7"/>
    <w:rsid w:val="0071775E"/>
    <w:rsid w:val="00717889"/>
    <w:rsid w:val="0071789C"/>
    <w:rsid w:val="00717F70"/>
    <w:rsid w:val="007202CB"/>
    <w:rsid w:val="007218D7"/>
    <w:rsid w:val="00721BB2"/>
    <w:rsid w:val="007228F9"/>
    <w:rsid w:val="00722E31"/>
    <w:rsid w:val="007254B9"/>
    <w:rsid w:val="007259E4"/>
    <w:rsid w:val="0072670D"/>
    <w:rsid w:val="007267CF"/>
    <w:rsid w:val="007304B9"/>
    <w:rsid w:val="00730919"/>
    <w:rsid w:val="00730F2F"/>
    <w:rsid w:val="007318E2"/>
    <w:rsid w:val="00731ADC"/>
    <w:rsid w:val="00732922"/>
    <w:rsid w:val="00733113"/>
    <w:rsid w:val="007344DF"/>
    <w:rsid w:val="00735DEB"/>
    <w:rsid w:val="00735ECC"/>
    <w:rsid w:val="00736C6B"/>
    <w:rsid w:val="00737086"/>
    <w:rsid w:val="007378D4"/>
    <w:rsid w:val="00740F88"/>
    <w:rsid w:val="007410F7"/>
    <w:rsid w:val="007412C2"/>
    <w:rsid w:val="00741EB1"/>
    <w:rsid w:val="0074207F"/>
    <w:rsid w:val="00742223"/>
    <w:rsid w:val="00743657"/>
    <w:rsid w:val="007450CF"/>
    <w:rsid w:val="007465DF"/>
    <w:rsid w:val="00746677"/>
    <w:rsid w:val="00750097"/>
    <w:rsid w:val="007503BE"/>
    <w:rsid w:val="0075162E"/>
    <w:rsid w:val="0075199C"/>
    <w:rsid w:val="00751AA6"/>
    <w:rsid w:val="0075215B"/>
    <w:rsid w:val="007533A7"/>
    <w:rsid w:val="00754034"/>
    <w:rsid w:val="00754D2C"/>
    <w:rsid w:val="00755229"/>
    <w:rsid w:val="0075550B"/>
    <w:rsid w:val="00756338"/>
    <w:rsid w:val="00756556"/>
    <w:rsid w:val="007569B0"/>
    <w:rsid w:val="007578EC"/>
    <w:rsid w:val="00760A3B"/>
    <w:rsid w:val="007618C4"/>
    <w:rsid w:val="00762F90"/>
    <w:rsid w:val="007637E5"/>
    <w:rsid w:val="007639C2"/>
    <w:rsid w:val="007639F6"/>
    <w:rsid w:val="00764673"/>
    <w:rsid w:val="00766A8E"/>
    <w:rsid w:val="00766F8A"/>
    <w:rsid w:val="00767141"/>
    <w:rsid w:val="007677EF"/>
    <w:rsid w:val="00767980"/>
    <w:rsid w:val="00770B19"/>
    <w:rsid w:val="00770BEF"/>
    <w:rsid w:val="00773454"/>
    <w:rsid w:val="00773517"/>
    <w:rsid w:val="00773F58"/>
    <w:rsid w:val="007745D1"/>
    <w:rsid w:val="0077463F"/>
    <w:rsid w:val="00774F2B"/>
    <w:rsid w:val="007753AD"/>
    <w:rsid w:val="00775947"/>
    <w:rsid w:val="00775ED3"/>
    <w:rsid w:val="00776F4D"/>
    <w:rsid w:val="0077762E"/>
    <w:rsid w:val="00780A7C"/>
    <w:rsid w:val="00780D73"/>
    <w:rsid w:val="00781C2A"/>
    <w:rsid w:val="00782FD5"/>
    <w:rsid w:val="007836EA"/>
    <w:rsid w:val="00784CDA"/>
    <w:rsid w:val="00786B1D"/>
    <w:rsid w:val="00787354"/>
    <w:rsid w:val="00787814"/>
    <w:rsid w:val="00787A23"/>
    <w:rsid w:val="007906C4"/>
    <w:rsid w:val="007909CD"/>
    <w:rsid w:val="00790D86"/>
    <w:rsid w:val="0079136E"/>
    <w:rsid w:val="007915E1"/>
    <w:rsid w:val="00791B70"/>
    <w:rsid w:val="007931D1"/>
    <w:rsid w:val="00793EB8"/>
    <w:rsid w:val="007940EA"/>
    <w:rsid w:val="00795A4F"/>
    <w:rsid w:val="007967E8"/>
    <w:rsid w:val="0079713E"/>
    <w:rsid w:val="00797B3C"/>
    <w:rsid w:val="007A1F8D"/>
    <w:rsid w:val="007A2170"/>
    <w:rsid w:val="007A22BF"/>
    <w:rsid w:val="007A262E"/>
    <w:rsid w:val="007A3323"/>
    <w:rsid w:val="007A3CDD"/>
    <w:rsid w:val="007A4929"/>
    <w:rsid w:val="007A4F02"/>
    <w:rsid w:val="007A6A12"/>
    <w:rsid w:val="007A6EC8"/>
    <w:rsid w:val="007B05C9"/>
    <w:rsid w:val="007B08F7"/>
    <w:rsid w:val="007B0BA2"/>
    <w:rsid w:val="007B2917"/>
    <w:rsid w:val="007B38E4"/>
    <w:rsid w:val="007B53AD"/>
    <w:rsid w:val="007B5444"/>
    <w:rsid w:val="007B72B8"/>
    <w:rsid w:val="007B7A58"/>
    <w:rsid w:val="007C07E2"/>
    <w:rsid w:val="007C21B5"/>
    <w:rsid w:val="007C237D"/>
    <w:rsid w:val="007C23E1"/>
    <w:rsid w:val="007C457C"/>
    <w:rsid w:val="007C4B6E"/>
    <w:rsid w:val="007C52EC"/>
    <w:rsid w:val="007C5489"/>
    <w:rsid w:val="007C6911"/>
    <w:rsid w:val="007C6928"/>
    <w:rsid w:val="007C7088"/>
    <w:rsid w:val="007D1646"/>
    <w:rsid w:val="007D177A"/>
    <w:rsid w:val="007D17C2"/>
    <w:rsid w:val="007D1E46"/>
    <w:rsid w:val="007D26F8"/>
    <w:rsid w:val="007D52C2"/>
    <w:rsid w:val="007D5CDB"/>
    <w:rsid w:val="007D7F0F"/>
    <w:rsid w:val="007E19BF"/>
    <w:rsid w:val="007E1C36"/>
    <w:rsid w:val="007E1C9E"/>
    <w:rsid w:val="007E2E37"/>
    <w:rsid w:val="007E2FCA"/>
    <w:rsid w:val="007E482C"/>
    <w:rsid w:val="007E4A34"/>
    <w:rsid w:val="007E4BD2"/>
    <w:rsid w:val="007E54DA"/>
    <w:rsid w:val="007E69E3"/>
    <w:rsid w:val="007E6AB3"/>
    <w:rsid w:val="007E7D1F"/>
    <w:rsid w:val="007F00E1"/>
    <w:rsid w:val="007F0B20"/>
    <w:rsid w:val="007F0D3B"/>
    <w:rsid w:val="007F1B0A"/>
    <w:rsid w:val="007F1EBA"/>
    <w:rsid w:val="007F2B05"/>
    <w:rsid w:val="007F3549"/>
    <w:rsid w:val="007F37CA"/>
    <w:rsid w:val="007F3A2D"/>
    <w:rsid w:val="007F5993"/>
    <w:rsid w:val="007F7D82"/>
    <w:rsid w:val="007F7E64"/>
    <w:rsid w:val="0080061C"/>
    <w:rsid w:val="0080074F"/>
    <w:rsid w:val="00800DF1"/>
    <w:rsid w:val="00800FBF"/>
    <w:rsid w:val="0080111C"/>
    <w:rsid w:val="00801393"/>
    <w:rsid w:val="0080231A"/>
    <w:rsid w:val="00802DB4"/>
    <w:rsid w:val="00802F88"/>
    <w:rsid w:val="008043A1"/>
    <w:rsid w:val="008045D2"/>
    <w:rsid w:val="00804B6F"/>
    <w:rsid w:val="00805CDE"/>
    <w:rsid w:val="00805D51"/>
    <w:rsid w:val="00806FBA"/>
    <w:rsid w:val="0081176A"/>
    <w:rsid w:val="0081293E"/>
    <w:rsid w:val="00812D1E"/>
    <w:rsid w:val="00813529"/>
    <w:rsid w:val="008141DE"/>
    <w:rsid w:val="00814564"/>
    <w:rsid w:val="008150E3"/>
    <w:rsid w:val="00815134"/>
    <w:rsid w:val="00815465"/>
    <w:rsid w:val="008158DE"/>
    <w:rsid w:val="00816DCF"/>
    <w:rsid w:val="00817D23"/>
    <w:rsid w:val="00817E9A"/>
    <w:rsid w:val="0082148A"/>
    <w:rsid w:val="00822987"/>
    <w:rsid w:val="00823602"/>
    <w:rsid w:val="00824123"/>
    <w:rsid w:val="008241CE"/>
    <w:rsid w:val="008244F3"/>
    <w:rsid w:val="00824A38"/>
    <w:rsid w:val="00824C33"/>
    <w:rsid w:val="00825424"/>
    <w:rsid w:val="00826662"/>
    <w:rsid w:val="00827164"/>
    <w:rsid w:val="008306BD"/>
    <w:rsid w:val="00830CD4"/>
    <w:rsid w:val="00830DEE"/>
    <w:rsid w:val="008312D6"/>
    <w:rsid w:val="00831609"/>
    <w:rsid w:val="0083179D"/>
    <w:rsid w:val="00831A80"/>
    <w:rsid w:val="00831B77"/>
    <w:rsid w:val="00833743"/>
    <w:rsid w:val="00833BF3"/>
    <w:rsid w:val="008340A4"/>
    <w:rsid w:val="0083549F"/>
    <w:rsid w:val="00836362"/>
    <w:rsid w:val="00836A49"/>
    <w:rsid w:val="0083734F"/>
    <w:rsid w:val="008375E0"/>
    <w:rsid w:val="00840891"/>
    <w:rsid w:val="00841120"/>
    <w:rsid w:val="0084215F"/>
    <w:rsid w:val="00844084"/>
    <w:rsid w:val="00846327"/>
    <w:rsid w:val="008468AB"/>
    <w:rsid w:val="008478F3"/>
    <w:rsid w:val="00847A71"/>
    <w:rsid w:val="0085069D"/>
    <w:rsid w:val="00850706"/>
    <w:rsid w:val="00850DC1"/>
    <w:rsid w:val="00851017"/>
    <w:rsid w:val="00852787"/>
    <w:rsid w:val="008527A4"/>
    <w:rsid w:val="008529EC"/>
    <w:rsid w:val="00852FE2"/>
    <w:rsid w:val="00853C93"/>
    <w:rsid w:val="00853E21"/>
    <w:rsid w:val="008543D2"/>
    <w:rsid w:val="0085567D"/>
    <w:rsid w:val="00855DB9"/>
    <w:rsid w:val="0085646D"/>
    <w:rsid w:val="0086063F"/>
    <w:rsid w:val="008608D6"/>
    <w:rsid w:val="00862391"/>
    <w:rsid w:val="00863381"/>
    <w:rsid w:val="00863715"/>
    <w:rsid w:val="0086441D"/>
    <w:rsid w:val="00864782"/>
    <w:rsid w:val="00864B96"/>
    <w:rsid w:val="00864E0A"/>
    <w:rsid w:val="00865410"/>
    <w:rsid w:val="00865B85"/>
    <w:rsid w:val="00865D32"/>
    <w:rsid w:val="00866547"/>
    <w:rsid w:val="00866CDF"/>
    <w:rsid w:val="00866DE2"/>
    <w:rsid w:val="0087135F"/>
    <w:rsid w:val="008717A4"/>
    <w:rsid w:val="00872D94"/>
    <w:rsid w:val="0087321A"/>
    <w:rsid w:val="008739A0"/>
    <w:rsid w:val="00874288"/>
    <w:rsid w:val="008743A0"/>
    <w:rsid w:val="00874617"/>
    <w:rsid w:val="0087636F"/>
    <w:rsid w:val="00877662"/>
    <w:rsid w:val="0088009C"/>
    <w:rsid w:val="00880364"/>
    <w:rsid w:val="0088043D"/>
    <w:rsid w:val="00881E2B"/>
    <w:rsid w:val="00881ECD"/>
    <w:rsid w:val="00882539"/>
    <w:rsid w:val="00882711"/>
    <w:rsid w:val="00884C61"/>
    <w:rsid w:val="00886E69"/>
    <w:rsid w:val="00886F60"/>
    <w:rsid w:val="00887082"/>
    <w:rsid w:val="008875AA"/>
    <w:rsid w:val="00887D73"/>
    <w:rsid w:val="00890401"/>
    <w:rsid w:val="008908BA"/>
    <w:rsid w:val="00891592"/>
    <w:rsid w:val="00891E9E"/>
    <w:rsid w:val="0089379C"/>
    <w:rsid w:val="008946E1"/>
    <w:rsid w:val="008966AE"/>
    <w:rsid w:val="00896A24"/>
    <w:rsid w:val="00897A81"/>
    <w:rsid w:val="008A00EC"/>
    <w:rsid w:val="008A0C4C"/>
    <w:rsid w:val="008A105D"/>
    <w:rsid w:val="008A14A6"/>
    <w:rsid w:val="008A2F68"/>
    <w:rsid w:val="008A2F98"/>
    <w:rsid w:val="008A44D7"/>
    <w:rsid w:val="008A4A91"/>
    <w:rsid w:val="008A6CBE"/>
    <w:rsid w:val="008A78A8"/>
    <w:rsid w:val="008B277C"/>
    <w:rsid w:val="008B2D0E"/>
    <w:rsid w:val="008B317A"/>
    <w:rsid w:val="008B3764"/>
    <w:rsid w:val="008B3994"/>
    <w:rsid w:val="008B3E94"/>
    <w:rsid w:val="008B4F4C"/>
    <w:rsid w:val="008B4FA6"/>
    <w:rsid w:val="008B5282"/>
    <w:rsid w:val="008B6912"/>
    <w:rsid w:val="008B7C17"/>
    <w:rsid w:val="008B7E81"/>
    <w:rsid w:val="008C0427"/>
    <w:rsid w:val="008C19FF"/>
    <w:rsid w:val="008C1F9E"/>
    <w:rsid w:val="008C2D01"/>
    <w:rsid w:val="008C2F46"/>
    <w:rsid w:val="008C3174"/>
    <w:rsid w:val="008C327F"/>
    <w:rsid w:val="008C3C98"/>
    <w:rsid w:val="008C3F42"/>
    <w:rsid w:val="008C40E6"/>
    <w:rsid w:val="008C6D75"/>
    <w:rsid w:val="008C71CF"/>
    <w:rsid w:val="008C76F8"/>
    <w:rsid w:val="008D0B47"/>
    <w:rsid w:val="008D0D8A"/>
    <w:rsid w:val="008D0F7A"/>
    <w:rsid w:val="008D1291"/>
    <w:rsid w:val="008D1B63"/>
    <w:rsid w:val="008D47B9"/>
    <w:rsid w:val="008D58F6"/>
    <w:rsid w:val="008D68E4"/>
    <w:rsid w:val="008D6E45"/>
    <w:rsid w:val="008D6FF2"/>
    <w:rsid w:val="008D7578"/>
    <w:rsid w:val="008D7F0D"/>
    <w:rsid w:val="008E029F"/>
    <w:rsid w:val="008E0506"/>
    <w:rsid w:val="008E0CFF"/>
    <w:rsid w:val="008E1BA8"/>
    <w:rsid w:val="008E1D36"/>
    <w:rsid w:val="008E22FB"/>
    <w:rsid w:val="008E4030"/>
    <w:rsid w:val="008E45F3"/>
    <w:rsid w:val="008E5930"/>
    <w:rsid w:val="008E5D6B"/>
    <w:rsid w:val="008E66A8"/>
    <w:rsid w:val="008E699A"/>
    <w:rsid w:val="008E6AFE"/>
    <w:rsid w:val="008E7451"/>
    <w:rsid w:val="008E76F0"/>
    <w:rsid w:val="008E79C1"/>
    <w:rsid w:val="008E7D06"/>
    <w:rsid w:val="008E7E85"/>
    <w:rsid w:val="008F0564"/>
    <w:rsid w:val="008F15FE"/>
    <w:rsid w:val="008F20AA"/>
    <w:rsid w:val="008F235A"/>
    <w:rsid w:val="008F2764"/>
    <w:rsid w:val="008F2D29"/>
    <w:rsid w:val="008F3677"/>
    <w:rsid w:val="008F434B"/>
    <w:rsid w:val="008F5187"/>
    <w:rsid w:val="008F52D9"/>
    <w:rsid w:val="008F5E60"/>
    <w:rsid w:val="008F60D8"/>
    <w:rsid w:val="008F7A61"/>
    <w:rsid w:val="008F7A72"/>
    <w:rsid w:val="009001A3"/>
    <w:rsid w:val="00900499"/>
    <w:rsid w:val="00901DAF"/>
    <w:rsid w:val="009021F2"/>
    <w:rsid w:val="009024E0"/>
    <w:rsid w:val="00902507"/>
    <w:rsid w:val="00902727"/>
    <w:rsid w:val="00902A52"/>
    <w:rsid w:val="0090312B"/>
    <w:rsid w:val="00903262"/>
    <w:rsid w:val="009042D4"/>
    <w:rsid w:val="0090442E"/>
    <w:rsid w:val="009057D9"/>
    <w:rsid w:val="009073D9"/>
    <w:rsid w:val="0090751E"/>
    <w:rsid w:val="00907CBE"/>
    <w:rsid w:val="00910442"/>
    <w:rsid w:val="00911986"/>
    <w:rsid w:val="00912CA6"/>
    <w:rsid w:val="00913CD3"/>
    <w:rsid w:val="009156D7"/>
    <w:rsid w:val="00915875"/>
    <w:rsid w:val="0091736D"/>
    <w:rsid w:val="00917659"/>
    <w:rsid w:val="00917991"/>
    <w:rsid w:val="0091799F"/>
    <w:rsid w:val="00921CD1"/>
    <w:rsid w:val="00922107"/>
    <w:rsid w:val="00922757"/>
    <w:rsid w:val="00922C5D"/>
    <w:rsid w:val="00923C8D"/>
    <w:rsid w:val="009242F0"/>
    <w:rsid w:val="00924EE4"/>
    <w:rsid w:val="009256E0"/>
    <w:rsid w:val="0093037A"/>
    <w:rsid w:val="00930C54"/>
    <w:rsid w:val="00930EBC"/>
    <w:rsid w:val="00930F82"/>
    <w:rsid w:val="00933C0D"/>
    <w:rsid w:val="00934A9A"/>
    <w:rsid w:val="00935382"/>
    <w:rsid w:val="009353A6"/>
    <w:rsid w:val="00935474"/>
    <w:rsid w:val="00937332"/>
    <w:rsid w:val="00937514"/>
    <w:rsid w:val="00937639"/>
    <w:rsid w:val="00937D4F"/>
    <w:rsid w:val="0094086C"/>
    <w:rsid w:val="009409CE"/>
    <w:rsid w:val="00940E22"/>
    <w:rsid w:val="00941307"/>
    <w:rsid w:val="0094154D"/>
    <w:rsid w:val="00941D6C"/>
    <w:rsid w:val="009429E6"/>
    <w:rsid w:val="00943029"/>
    <w:rsid w:val="00944E76"/>
    <w:rsid w:val="00945024"/>
    <w:rsid w:val="009451F7"/>
    <w:rsid w:val="009455C1"/>
    <w:rsid w:val="009465E5"/>
    <w:rsid w:val="00946F9C"/>
    <w:rsid w:val="00947047"/>
    <w:rsid w:val="00947C90"/>
    <w:rsid w:val="009501FF"/>
    <w:rsid w:val="00950324"/>
    <w:rsid w:val="00950D3C"/>
    <w:rsid w:val="0095155F"/>
    <w:rsid w:val="00952036"/>
    <w:rsid w:val="00952181"/>
    <w:rsid w:val="00952F40"/>
    <w:rsid w:val="00954429"/>
    <w:rsid w:val="00954CD0"/>
    <w:rsid w:val="00955333"/>
    <w:rsid w:val="009556ED"/>
    <w:rsid w:val="00955960"/>
    <w:rsid w:val="00956180"/>
    <w:rsid w:val="009563CE"/>
    <w:rsid w:val="00956FF3"/>
    <w:rsid w:val="0096024D"/>
    <w:rsid w:val="00960262"/>
    <w:rsid w:val="0096040C"/>
    <w:rsid w:val="00960420"/>
    <w:rsid w:val="009605C7"/>
    <w:rsid w:val="00962A33"/>
    <w:rsid w:val="00962D33"/>
    <w:rsid w:val="00963235"/>
    <w:rsid w:val="00963A9E"/>
    <w:rsid w:val="00964986"/>
    <w:rsid w:val="00964AD4"/>
    <w:rsid w:val="00964C9D"/>
    <w:rsid w:val="00966415"/>
    <w:rsid w:val="00967100"/>
    <w:rsid w:val="009671A0"/>
    <w:rsid w:val="00967D6E"/>
    <w:rsid w:val="00967F33"/>
    <w:rsid w:val="009709BC"/>
    <w:rsid w:val="00970A8E"/>
    <w:rsid w:val="00970D6C"/>
    <w:rsid w:val="00970ED7"/>
    <w:rsid w:val="00970F63"/>
    <w:rsid w:val="00971BC1"/>
    <w:rsid w:val="00971D51"/>
    <w:rsid w:val="00972438"/>
    <w:rsid w:val="009726C0"/>
    <w:rsid w:val="00973C94"/>
    <w:rsid w:val="00974E32"/>
    <w:rsid w:val="009758AB"/>
    <w:rsid w:val="00975DCB"/>
    <w:rsid w:val="00976328"/>
    <w:rsid w:val="0097680D"/>
    <w:rsid w:val="00977049"/>
    <w:rsid w:val="0097752A"/>
    <w:rsid w:val="009779BA"/>
    <w:rsid w:val="00980865"/>
    <w:rsid w:val="00980A9C"/>
    <w:rsid w:val="00980DA7"/>
    <w:rsid w:val="009822AA"/>
    <w:rsid w:val="00982438"/>
    <w:rsid w:val="00982735"/>
    <w:rsid w:val="00982878"/>
    <w:rsid w:val="00982C77"/>
    <w:rsid w:val="00982CC2"/>
    <w:rsid w:val="009834F9"/>
    <w:rsid w:val="009836A5"/>
    <w:rsid w:val="00983BCD"/>
    <w:rsid w:val="0098404C"/>
    <w:rsid w:val="00984A24"/>
    <w:rsid w:val="00985283"/>
    <w:rsid w:val="00985C74"/>
    <w:rsid w:val="0098777E"/>
    <w:rsid w:val="00990760"/>
    <w:rsid w:val="00990A21"/>
    <w:rsid w:val="009916AB"/>
    <w:rsid w:val="00992013"/>
    <w:rsid w:val="009920E3"/>
    <w:rsid w:val="009934E5"/>
    <w:rsid w:val="009944B8"/>
    <w:rsid w:val="00994561"/>
    <w:rsid w:val="00994A30"/>
    <w:rsid w:val="00994D40"/>
    <w:rsid w:val="00994D56"/>
    <w:rsid w:val="00995992"/>
    <w:rsid w:val="00995A35"/>
    <w:rsid w:val="00996E47"/>
    <w:rsid w:val="009A03E5"/>
    <w:rsid w:val="009A0F3B"/>
    <w:rsid w:val="009A1BB4"/>
    <w:rsid w:val="009A2075"/>
    <w:rsid w:val="009A250C"/>
    <w:rsid w:val="009A2628"/>
    <w:rsid w:val="009A3200"/>
    <w:rsid w:val="009A362F"/>
    <w:rsid w:val="009A3A93"/>
    <w:rsid w:val="009A5CA2"/>
    <w:rsid w:val="009A7D11"/>
    <w:rsid w:val="009B0897"/>
    <w:rsid w:val="009B377C"/>
    <w:rsid w:val="009B3B51"/>
    <w:rsid w:val="009B3BAF"/>
    <w:rsid w:val="009B5AF3"/>
    <w:rsid w:val="009B5C1C"/>
    <w:rsid w:val="009B6D1E"/>
    <w:rsid w:val="009B6F4E"/>
    <w:rsid w:val="009B76D5"/>
    <w:rsid w:val="009B7A2B"/>
    <w:rsid w:val="009B7BD9"/>
    <w:rsid w:val="009C04DC"/>
    <w:rsid w:val="009C0C12"/>
    <w:rsid w:val="009C19EE"/>
    <w:rsid w:val="009C308A"/>
    <w:rsid w:val="009C6304"/>
    <w:rsid w:val="009C6A4F"/>
    <w:rsid w:val="009C7DD5"/>
    <w:rsid w:val="009C7F93"/>
    <w:rsid w:val="009D0162"/>
    <w:rsid w:val="009D02DF"/>
    <w:rsid w:val="009D0822"/>
    <w:rsid w:val="009D27BD"/>
    <w:rsid w:val="009D2D5F"/>
    <w:rsid w:val="009D382F"/>
    <w:rsid w:val="009D3BFE"/>
    <w:rsid w:val="009D589D"/>
    <w:rsid w:val="009D5D2C"/>
    <w:rsid w:val="009D60A8"/>
    <w:rsid w:val="009D6281"/>
    <w:rsid w:val="009D73AE"/>
    <w:rsid w:val="009E04FC"/>
    <w:rsid w:val="009E187B"/>
    <w:rsid w:val="009E227D"/>
    <w:rsid w:val="009E2B71"/>
    <w:rsid w:val="009E3102"/>
    <w:rsid w:val="009E31CA"/>
    <w:rsid w:val="009E3C7F"/>
    <w:rsid w:val="009E3CE6"/>
    <w:rsid w:val="009E455A"/>
    <w:rsid w:val="009E49C6"/>
    <w:rsid w:val="009E5019"/>
    <w:rsid w:val="009E5544"/>
    <w:rsid w:val="009E6D8C"/>
    <w:rsid w:val="009F0648"/>
    <w:rsid w:val="009F0CF5"/>
    <w:rsid w:val="009F3561"/>
    <w:rsid w:val="009F4064"/>
    <w:rsid w:val="009F52AF"/>
    <w:rsid w:val="009F6E35"/>
    <w:rsid w:val="00A01B70"/>
    <w:rsid w:val="00A0326D"/>
    <w:rsid w:val="00A03334"/>
    <w:rsid w:val="00A03C78"/>
    <w:rsid w:val="00A04605"/>
    <w:rsid w:val="00A04AD1"/>
    <w:rsid w:val="00A04D5C"/>
    <w:rsid w:val="00A04F1B"/>
    <w:rsid w:val="00A0501B"/>
    <w:rsid w:val="00A0687D"/>
    <w:rsid w:val="00A070B6"/>
    <w:rsid w:val="00A0763D"/>
    <w:rsid w:val="00A102A0"/>
    <w:rsid w:val="00A1030A"/>
    <w:rsid w:val="00A11257"/>
    <w:rsid w:val="00A11A99"/>
    <w:rsid w:val="00A148E6"/>
    <w:rsid w:val="00A14947"/>
    <w:rsid w:val="00A15913"/>
    <w:rsid w:val="00A16F56"/>
    <w:rsid w:val="00A1717D"/>
    <w:rsid w:val="00A205D1"/>
    <w:rsid w:val="00A24BDB"/>
    <w:rsid w:val="00A24DDF"/>
    <w:rsid w:val="00A24E08"/>
    <w:rsid w:val="00A2563D"/>
    <w:rsid w:val="00A25A89"/>
    <w:rsid w:val="00A26BCC"/>
    <w:rsid w:val="00A26E6D"/>
    <w:rsid w:val="00A2721E"/>
    <w:rsid w:val="00A300C7"/>
    <w:rsid w:val="00A302A0"/>
    <w:rsid w:val="00A303E8"/>
    <w:rsid w:val="00A317F7"/>
    <w:rsid w:val="00A32A83"/>
    <w:rsid w:val="00A32E06"/>
    <w:rsid w:val="00A3395C"/>
    <w:rsid w:val="00A33F8A"/>
    <w:rsid w:val="00A343A1"/>
    <w:rsid w:val="00A34910"/>
    <w:rsid w:val="00A368DB"/>
    <w:rsid w:val="00A36E05"/>
    <w:rsid w:val="00A37160"/>
    <w:rsid w:val="00A373A7"/>
    <w:rsid w:val="00A41DE0"/>
    <w:rsid w:val="00A423AA"/>
    <w:rsid w:val="00A43746"/>
    <w:rsid w:val="00A437A7"/>
    <w:rsid w:val="00A451F2"/>
    <w:rsid w:val="00A463DC"/>
    <w:rsid w:val="00A46E6D"/>
    <w:rsid w:val="00A47C82"/>
    <w:rsid w:val="00A504D2"/>
    <w:rsid w:val="00A518A5"/>
    <w:rsid w:val="00A51B12"/>
    <w:rsid w:val="00A527A8"/>
    <w:rsid w:val="00A52A06"/>
    <w:rsid w:val="00A52FCC"/>
    <w:rsid w:val="00A53EC6"/>
    <w:rsid w:val="00A54BFF"/>
    <w:rsid w:val="00A55C0F"/>
    <w:rsid w:val="00A569FE"/>
    <w:rsid w:val="00A56AEB"/>
    <w:rsid w:val="00A56C03"/>
    <w:rsid w:val="00A610DA"/>
    <w:rsid w:val="00A6149F"/>
    <w:rsid w:val="00A62723"/>
    <w:rsid w:val="00A6299B"/>
    <w:rsid w:val="00A62BC4"/>
    <w:rsid w:val="00A62C93"/>
    <w:rsid w:val="00A63EC2"/>
    <w:rsid w:val="00A64705"/>
    <w:rsid w:val="00A64FA2"/>
    <w:rsid w:val="00A6706C"/>
    <w:rsid w:val="00A674A0"/>
    <w:rsid w:val="00A67E46"/>
    <w:rsid w:val="00A7074D"/>
    <w:rsid w:val="00A71988"/>
    <w:rsid w:val="00A71B33"/>
    <w:rsid w:val="00A71BA8"/>
    <w:rsid w:val="00A71CFB"/>
    <w:rsid w:val="00A72427"/>
    <w:rsid w:val="00A72F0E"/>
    <w:rsid w:val="00A73542"/>
    <w:rsid w:val="00A7374E"/>
    <w:rsid w:val="00A73F10"/>
    <w:rsid w:val="00A761C5"/>
    <w:rsid w:val="00A7690D"/>
    <w:rsid w:val="00A76B56"/>
    <w:rsid w:val="00A777DC"/>
    <w:rsid w:val="00A817DF"/>
    <w:rsid w:val="00A82B84"/>
    <w:rsid w:val="00A83E62"/>
    <w:rsid w:val="00A8456E"/>
    <w:rsid w:val="00A85E4C"/>
    <w:rsid w:val="00A865A6"/>
    <w:rsid w:val="00A870BC"/>
    <w:rsid w:val="00A8713F"/>
    <w:rsid w:val="00A87BB5"/>
    <w:rsid w:val="00A87E25"/>
    <w:rsid w:val="00A90BA1"/>
    <w:rsid w:val="00A910AB"/>
    <w:rsid w:val="00A914F1"/>
    <w:rsid w:val="00A91B59"/>
    <w:rsid w:val="00A92DD9"/>
    <w:rsid w:val="00A93ABC"/>
    <w:rsid w:val="00A94449"/>
    <w:rsid w:val="00A94911"/>
    <w:rsid w:val="00A94B51"/>
    <w:rsid w:val="00A94D04"/>
    <w:rsid w:val="00A94E3D"/>
    <w:rsid w:val="00A95C78"/>
    <w:rsid w:val="00A95E9A"/>
    <w:rsid w:val="00A975AD"/>
    <w:rsid w:val="00A97A9A"/>
    <w:rsid w:val="00A97B6A"/>
    <w:rsid w:val="00AA0671"/>
    <w:rsid w:val="00AA0712"/>
    <w:rsid w:val="00AA08B8"/>
    <w:rsid w:val="00AA090E"/>
    <w:rsid w:val="00AA0E66"/>
    <w:rsid w:val="00AA1A96"/>
    <w:rsid w:val="00AA2531"/>
    <w:rsid w:val="00AA25AB"/>
    <w:rsid w:val="00AA28BE"/>
    <w:rsid w:val="00AA301D"/>
    <w:rsid w:val="00AA350D"/>
    <w:rsid w:val="00AA3FA2"/>
    <w:rsid w:val="00AA45BA"/>
    <w:rsid w:val="00AA65D1"/>
    <w:rsid w:val="00AA6781"/>
    <w:rsid w:val="00AA6C0F"/>
    <w:rsid w:val="00AA6CE8"/>
    <w:rsid w:val="00AA791A"/>
    <w:rsid w:val="00AB06B4"/>
    <w:rsid w:val="00AB09CD"/>
    <w:rsid w:val="00AB0A7C"/>
    <w:rsid w:val="00AB0D9C"/>
    <w:rsid w:val="00AB1080"/>
    <w:rsid w:val="00AB1E09"/>
    <w:rsid w:val="00AB2DA2"/>
    <w:rsid w:val="00AB3166"/>
    <w:rsid w:val="00AB3ED6"/>
    <w:rsid w:val="00AB5330"/>
    <w:rsid w:val="00AB645B"/>
    <w:rsid w:val="00AB6B63"/>
    <w:rsid w:val="00AB755C"/>
    <w:rsid w:val="00AB7747"/>
    <w:rsid w:val="00AB7B32"/>
    <w:rsid w:val="00AC0345"/>
    <w:rsid w:val="00AC050C"/>
    <w:rsid w:val="00AC0749"/>
    <w:rsid w:val="00AC0934"/>
    <w:rsid w:val="00AC14CE"/>
    <w:rsid w:val="00AC29FC"/>
    <w:rsid w:val="00AC2A56"/>
    <w:rsid w:val="00AC2B80"/>
    <w:rsid w:val="00AC370C"/>
    <w:rsid w:val="00AC4EDC"/>
    <w:rsid w:val="00AC6158"/>
    <w:rsid w:val="00AC63F2"/>
    <w:rsid w:val="00AC6F1C"/>
    <w:rsid w:val="00AC71D8"/>
    <w:rsid w:val="00AC7839"/>
    <w:rsid w:val="00AD035B"/>
    <w:rsid w:val="00AD055E"/>
    <w:rsid w:val="00AD2A60"/>
    <w:rsid w:val="00AD2D8F"/>
    <w:rsid w:val="00AD378A"/>
    <w:rsid w:val="00AD3BDD"/>
    <w:rsid w:val="00AD4060"/>
    <w:rsid w:val="00AD469A"/>
    <w:rsid w:val="00AD47A7"/>
    <w:rsid w:val="00AE0141"/>
    <w:rsid w:val="00AE04D8"/>
    <w:rsid w:val="00AE04F8"/>
    <w:rsid w:val="00AE07E7"/>
    <w:rsid w:val="00AE0822"/>
    <w:rsid w:val="00AE1900"/>
    <w:rsid w:val="00AE24B8"/>
    <w:rsid w:val="00AE2D87"/>
    <w:rsid w:val="00AE39EE"/>
    <w:rsid w:val="00AE3AC3"/>
    <w:rsid w:val="00AE3ED5"/>
    <w:rsid w:val="00AE3FD5"/>
    <w:rsid w:val="00AE4452"/>
    <w:rsid w:val="00AE5403"/>
    <w:rsid w:val="00AE62D7"/>
    <w:rsid w:val="00AE6439"/>
    <w:rsid w:val="00AE663A"/>
    <w:rsid w:val="00AE693F"/>
    <w:rsid w:val="00AE7925"/>
    <w:rsid w:val="00AF0790"/>
    <w:rsid w:val="00AF093E"/>
    <w:rsid w:val="00AF0A6C"/>
    <w:rsid w:val="00AF0CBF"/>
    <w:rsid w:val="00AF12A4"/>
    <w:rsid w:val="00AF257F"/>
    <w:rsid w:val="00AF324B"/>
    <w:rsid w:val="00AF33CF"/>
    <w:rsid w:val="00AF372E"/>
    <w:rsid w:val="00AF4D50"/>
    <w:rsid w:val="00AF5160"/>
    <w:rsid w:val="00AF54FB"/>
    <w:rsid w:val="00AF5ECA"/>
    <w:rsid w:val="00AF6179"/>
    <w:rsid w:val="00AF6AC1"/>
    <w:rsid w:val="00AF7F7A"/>
    <w:rsid w:val="00B00138"/>
    <w:rsid w:val="00B016A9"/>
    <w:rsid w:val="00B049AE"/>
    <w:rsid w:val="00B04CC9"/>
    <w:rsid w:val="00B0611D"/>
    <w:rsid w:val="00B06413"/>
    <w:rsid w:val="00B06888"/>
    <w:rsid w:val="00B06D93"/>
    <w:rsid w:val="00B07BD5"/>
    <w:rsid w:val="00B07C26"/>
    <w:rsid w:val="00B1269D"/>
    <w:rsid w:val="00B1295A"/>
    <w:rsid w:val="00B13AAA"/>
    <w:rsid w:val="00B146D5"/>
    <w:rsid w:val="00B17606"/>
    <w:rsid w:val="00B2011D"/>
    <w:rsid w:val="00B20A45"/>
    <w:rsid w:val="00B211A9"/>
    <w:rsid w:val="00B214CC"/>
    <w:rsid w:val="00B215F3"/>
    <w:rsid w:val="00B22543"/>
    <w:rsid w:val="00B22C5C"/>
    <w:rsid w:val="00B22EBB"/>
    <w:rsid w:val="00B2337D"/>
    <w:rsid w:val="00B24E45"/>
    <w:rsid w:val="00B24F30"/>
    <w:rsid w:val="00B25EB6"/>
    <w:rsid w:val="00B263DB"/>
    <w:rsid w:val="00B264D8"/>
    <w:rsid w:val="00B30275"/>
    <w:rsid w:val="00B302B3"/>
    <w:rsid w:val="00B3056E"/>
    <w:rsid w:val="00B30C72"/>
    <w:rsid w:val="00B31ABF"/>
    <w:rsid w:val="00B31CFE"/>
    <w:rsid w:val="00B32004"/>
    <w:rsid w:val="00B32C14"/>
    <w:rsid w:val="00B335D0"/>
    <w:rsid w:val="00B33BE3"/>
    <w:rsid w:val="00B34896"/>
    <w:rsid w:val="00B3701F"/>
    <w:rsid w:val="00B37AEF"/>
    <w:rsid w:val="00B37AF7"/>
    <w:rsid w:val="00B37ED3"/>
    <w:rsid w:val="00B40696"/>
    <w:rsid w:val="00B409D2"/>
    <w:rsid w:val="00B40E03"/>
    <w:rsid w:val="00B4119A"/>
    <w:rsid w:val="00B42125"/>
    <w:rsid w:val="00B42797"/>
    <w:rsid w:val="00B4427B"/>
    <w:rsid w:val="00B4543C"/>
    <w:rsid w:val="00B4605D"/>
    <w:rsid w:val="00B46751"/>
    <w:rsid w:val="00B46AE1"/>
    <w:rsid w:val="00B50825"/>
    <w:rsid w:val="00B5125A"/>
    <w:rsid w:val="00B51563"/>
    <w:rsid w:val="00B5177D"/>
    <w:rsid w:val="00B51C57"/>
    <w:rsid w:val="00B53B5D"/>
    <w:rsid w:val="00B53BA2"/>
    <w:rsid w:val="00B543C5"/>
    <w:rsid w:val="00B549FB"/>
    <w:rsid w:val="00B54A8E"/>
    <w:rsid w:val="00B56E30"/>
    <w:rsid w:val="00B56FCD"/>
    <w:rsid w:val="00B6055E"/>
    <w:rsid w:val="00B6130A"/>
    <w:rsid w:val="00B6181F"/>
    <w:rsid w:val="00B61D46"/>
    <w:rsid w:val="00B62645"/>
    <w:rsid w:val="00B62BFC"/>
    <w:rsid w:val="00B6317D"/>
    <w:rsid w:val="00B64213"/>
    <w:rsid w:val="00B64662"/>
    <w:rsid w:val="00B64809"/>
    <w:rsid w:val="00B65090"/>
    <w:rsid w:val="00B653CA"/>
    <w:rsid w:val="00B70998"/>
    <w:rsid w:val="00B70A58"/>
    <w:rsid w:val="00B72A8B"/>
    <w:rsid w:val="00B72C6A"/>
    <w:rsid w:val="00B734FA"/>
    <w:rsid w:val="00B7399E"/>
    <w:rsid w:val="00B7443A"/>
    <w:rsid w:val="00B7603E"/>
    <w:rsid w:val="00B76498"/>
    <w:rsid w:val="00B7723F"/>
    <w:rsid w:val="00B77544"/>
    <w:rsid w:val="00B775D2"/>
    <w:rsid w:val="00B77F42"/>
    <w:rsid w:val="00B80534"/>
    <w:rsid w:val="00B80FD5"/>
    <w:rsid w:val="00B81097"/>
    <w:rsid w:val="00B8169C"/>
    <w:rsid w:val="00B82194"/>
    <w:rsid w:val="00B84007"/>
    <w:rsid w:val="00B8433C"/>
    <w:rsid w:val="00B85781"/>
    <w:rsid w:val="00B86959"/>
    <w:rsid w:val="00B8706D"/>
    <w:rsid w:val="00B8714D"/>
    <w:rsid w:val="00B87491"/>
    <w:rsid w:val="00B87C15"/>
    <w:rsid w:val="00B91C14"/>
    <w:rsid w:val="00B91FD5"/>
    <w:rsid w:val="00B92276"/>
    <w:rsid w:val="00B9506A"/>
    <w:rsid w:val="00B96130"/>
    <w:rsid w:val="00B974B0"/>
    <w:rsid w:val="00BA0DB1"/>
    <w:rsid w:val="00BA29E9"/>
    <w:rsid w:val="00BA38ED"/>
    <w:rsid w:val="00BA3FBF"/>
    <w:rsid w:val="00BA5891"/>
    <w:rsid w:val="00BA64C8"/>
    <w:rsid w:val="00BA710A"/>
    <w:rsid w:val="00BA7142"/>
    <w:rsid w:val="00BA7F07"/>
    <w:rsid w:val="00BB107F"/>
    <w:rsid w:val="00BB237C"/>
    <w:rsid w:val="00BB2D78"/>
    <w:rsid w:val="00BB41A3"/>
    <w:rsid w:val="00BB42B0"/>
    <w:rsid w:val="00BB4C59"/>
    <w:rsid w:val="00BB4E50"/>
    <w:rsid w:val="00BB4E6F"/>
    <w:rsid w:val="00BB6900"/>
    <w:rsid w:val="00BB743A"/>
    <w:rsid w:val="00BC0430"/>
    <w:rsid w:val="00BC07B3"/>
    <w:rsid w:val="00BC19AF"/>
    <w:rsid w:val="00BC1AA2"/>
    <w:rsid w:val="00BC1BAC"/>
    <w:rsid w:val="00BC261B"/>
    <w:rsid w:val="00BC32DC"/>
    <w:rsid w:val="00BC35B6"/>
    <w:rsid w:val="00BC50AE"/>
    <w:rsid w:val="00BC5348"/>
    <w:rsid w:val="00BC5B63"/>
    <w:rsid w:val="00BC66B0"/>
    <w:rsid w:val="00BC753C"/>
    <w:rsid w:val="00BC7BDB"/>
    <w:rsid w:val="00BD0F08"/>
    <w:rsid w:val="00BD15C2"/>
    <w:rsid w:val="00BD1B51"/>
    <w:rsid w:val="00BD226F"/>
    <w:rsid w:val="00BD266F"/>
    <w:rsid w:val="00BD272C"/>
    <w:rsid w:val="00BD3BFB"/>
    <w:rsid w:val="00BD404A"/>
    <w:rsid w:val="00BD4596"/>
    <w:rsid w:val="00BD4627"/>
    <w:rsid w:val="00BD4641"/>
    <w:rsid w:val="00BD75A4"/>
    <w:rsid w:val="00BD7841"/>
    <w:rsid w:val="00BE0410"/>
    <w:rsid w:val="00BE0FDA"/>
    <w:rsid w:val="00BE1293"/>
    <w:rsid w:val="00BE1405"/>
    <w:rsid w:val="00BE23BD"/>
    <w:rsid w:val="00BE312D"/>
    <w:rsid w:val="00BE31A8"/>
    <w:rsid w:val="00BE3574"/>
    <w:rsid w:val="00BE4AF3"/>
    <w:rsid w:val="00BE4D4A"/>
    <w:rsid w:val="00BE5450"/>
    <w:rsid w:val="00BE5A89"/>
    <w:rsid w:val="00BE5B2E"/>
    <w:rsid w:val="00BE6017"/>
    <w:rsid w:val="00BE6427"/>
    <w:rsid w:val="00BE7E7D"/>
    <w:rsid w:val="00BF0E09"/>
    <w:rsid w:val="00BF0E59"/>
    <w:rsid w:val="00BF1C20"/>
    <w:rsid w:val="00BF2451"/>
    <w:rsid w:val="00BF24F6"/>
    <w:rsid w:val="00BF2AD1"/>
    <w:rsid w:val="00BF2C76"/>
    <w:rsid w:val="00BF32EF"/>
    <w:rsid w:val="00BF3E55"/>
    <w:rsid w:val="00BF4798"/>
    <w:rsid w:val="00BF5265"/>
    <w:rsid w:val="00BF58E3"/>
    <w:rsid w:val="00BF5B47"/>
    <w:rsid w:val="00BF644B"/>
    <w:rsid w:val="00BF676A"/>
    <w:rsid w:val="00BF7360"/>
    <w:rsid w:val="00BF7445"/>
    <w:rsid w:val="00C00AF1"/>
    <w:rsid w:val="00C02126"/>
    <w:rsid w:val="00C0407A"/>
    <w:rsid w:val="00C0456A"/>
    <w:rsid w:val="00C05442"/>
    <w:rsid w:val="00C0578E"/>
    <w:rsid w:val="00C06191"/>
    <w:rsid w:val="00C06349"/>
    <w:rsid w:val="00C06826"/>
    <w:rsid w:val="00C06EE2"/>
    <w:rsid w:val="00C10578"/>
    <w:rsid w:val="00C10A1F"/>
    <w:rsid w:val="00C135BC"/>
    <w:rsid w:val="00C13EE8"/>
    <w:rsid w:val="00C1529F"/>
    <w:rsid w:val="00C159E6"/>
    <w:rsid w:val="00C15C95"/>
    <w:rsid w:val="00C1630F"/>
    <w:rsid w:val="00C16E29"/>
    <w:rsid w:val="00C17988"/>
    <w:rsid w:val="00C20096"/>
    <w:rsid w:val="00C21217"/>
    <w:rsid w:val="00C2133D"/>
    <w:rsid w:val="00C2197B"/>
    <w:rsid w:val="00C21C41"/>
    <w:rsid w:val="00C2204D"/>
    <w:rsid w:val="00C22A4E"/>
    <w:rsid w:val="00C23D45"/>
    <w:rsid w:val="00C249FC"/>
    <w:rsid w:val="00C25867"/>
    <w:rsid w:val="00C2596A"/>
    <w:rsid w:val="00C2611D"/>
    <w:rsid w:val="00C2630C"/>
    <w:rsid w:val="00C27537"/>
    <w:rsid w:val="00C30606"/>
    <w:rsid w:val="00C328FE"/>
    <w:rsid w:val="00C33507"/>
    <w:rsid w:val="00C341FC"/>
    <w:rsid w:val="00C342B1"/>
    <w:rsid w:val="00C3593D"/>
    <w:rsid w:val="00C36E4C"/>
    <w:rsid w:val="00C370B9"/>
    <w:rsid w:val="00C40648"/>
    <w:rsid w:val="00C40AE3"/>
    <w:rsid w:val="00C410E1"/>
    <w:rsid w:val="00C4150B"/>
    <w:rsid w:val="00C419BA"/>
    <w:rsid w:val="00C42BE6"/>
    <w:rsid w:val="00C4409D"/>
    <w:rsid w:val="00C44C75"/>
    <w:rsid w:val="00C44E72"/>
    <w:rsid w:val="00C45A06"/>
    <w:rsid w:val="00C46DFF"/>
    <w:rsid w:val="00C4723F"/>
    <w:rsid w:val="00C47E5B"/>
    <w:rsid w:val="00C511C5"/>
    <w:rsid w:val="00C513C1"/>
    <w:rsid w:val="00C513F7"/>
    <w:rsid w:val="00C51E32"/>
    <w:rsid w:val="00C522BB"/>
    <w:rsid w:val="00C52830"/>
    <w:rsid w:val="00C54A27"/>
    <w:rsid w:val="00C5572E"/>
    <w:rsid w:val="00C56030"/>
    <w:rsid w:val="00C61E4B"/>
    <w:rsid w:val="00C62956"/>
    <w:rsid w:val="00C631B3"/>
    <w:rsid w:val="00C638A0"/>
    <w:rsid w:val="00C64BFF"/>
    <w:rsid w:val="00C65285"/>
    <w:rsid w:val="00C6531D"/>
    <w:rsid w:val="00C65546"/>
    <w:rsid w:val="00C65622"/>
    <w:rsid w:val="00C704E9"/>
    <w:rsid w:val="00C7221A"/>
    <w:rsid w:val="00C739CD"/>
    <w:rsid w:val="00C74853"/>
    <w:rsid w:val="00C763C9"/>
    <w:rsid w:val="00C76B0A"/>
    <w:rsid w:val="00C76C0A"/>
    <w:rsid w:val="00C76EF0"/>
    <w:rsid w:val="00C7729E"/>
    <w:rsid w:val="00C80057"/>
    <w:rsid w:val="00C80F09"/>
    <w:rsid w:val="00C8165F"/>
    <w:rsid w:val="00C82214"/>
    <w:rsid w:val="00C82232"/>
    <w:rsid w:val="00C823B0"/>
    <w:rsid w:val="00C82700"/>
    <w:rsid w:val="00C82913"/>
    <w:rsid w:val="00C8293D"/>
    <w:rsid w:val="00C82E39"/>
    <w:rsid w:val="00C85202"/>
    <w:rsid w:val="00C85EBD"/>
    <w:rsid w:val="00C86868"/>
    <w:rsid w:val="00C871AB"/>
    <w:rsid w:val="00C87C08"/>
    <w:rsid w:val="00C900FE"/>
    <w:rsid w:val="00C90737"/>
    <w:rsid w:val="00C9115A"/>
    <w:rsid w:val="00C93452"/>
    <w:rsid w:val="00C948C4"/>
    <w:rsid w:val="00C95873"/>
    <w:rsid w:val="00C95C8D"/>
    <w:rsid w:val="00C971C7"/>
    <w:rsid w:val="00C971DB"/>
    <w:rsid w:val="00C972B1"/>
    <w:rsid w:val="00C974BE"/>
    <w:rsid w:val="00CA1E8F"/>
    <w:rsid w:val="00CA20BC"/>
    <w:rsid w:val="00CA2369"/>
    <w:rsid w:val="00CA29F8"/>
    <w:rsid w:val="00CA2BE4"/>
    <w:rsid w:val="00CA2C5C"/>
    <w:rsid w:val="00CA2CCE"/>
    <w:rsid w:val="00CA43FD"/>
    <w:rsid w:val="00CA449C"/>
    <w:rsid w:val="00CA4597"/>
    <w:rsid w:val="00CA5BA5"/>
    <w:rsid w:val="00CA68FE"/>
    <w:rsid w:val="00CA712C"/>
    <w:rsid w:val="00CA75E6"/>
    <w:rsid w:val="00CA7C4A"/>
    <w:rsid w:val="00CA7D43"/>
    <w:rsid w:val="00CA7EF8"/>
    <w:rsid w:val="00CB0378"/>
    <w:rsid w:val="00CB0A1F"/>
    <w:rsid w:val="00CB1337"/>
    <w:rsid w:val="00CB25AE"/>
    <w:rsid w:val="00CB3289"/>
    <w:rsid w:val="00CB3853"/>
    <w:rsid w:val="00CB3FD3"/>
    <w:rsid w:val="00CB429D"/>
    <w:rsid w:val="00CB5269"/>
    <w:rsid w:val="00CB56D1"/>
    <w:rsid w:val="00CB65E2"/>
    <w:rsid w:val="00CC05FF"/>
    <w:rsid w:val="00CC0B02"/>
    <w:rsid w:val="00CC0FEE"/>
    <w:rsid w:val="00CC1C9F"/>
    <w:rsid w:val="00CC1D95"/>
    <w:rsid w:val="00CC3828"/>
    <w:rsid w:val="00CC43ED"/>
    <w:rsid w:val="00CC489B"/>
    <w:rsid w:val="00CC68C0"/>
    <w:rsid w:val="00CC6A49"/>
    <w:rsid w:val="00CC7430"/>
    <w:rsid w:val="00CC79C1"/>
    <w:rsid w:val="00CD0FE9"/>
    <w:rsid w:val="00CD20F5"/>
    <w:rsid w:val="00CD2720"/>
    <w:rsid w:val="00CD2BCD"/>
    <w:rsid w:val="00CD3A4C"/>
    <w:rsid w:val="00CD4ACC"/>
    <w:rsid w:val="00CD50F7"/>
    <w:rsid w:val="00CD5F5A"/>
    <w:rsid w:val="00CD62C7"/>
    <w:rsid w:val="00CD632D"/>
    <w:rsid w:val="00CD7AEB"/>
    <w:rsid w:val="00CD7BB8"/>
    <w:rsid w:val="00CE10E9"/>
    <w:rsid w:val="00CE1F87"/>
    <w:rsid w:val="00CE21E8"/>
    <w:rsid w:val="00CE24B7"/>
    <w:rsid w:val="00CE2602"/>
    <w:rsid w:val="00CE2910"/>
    <w:rsid w:val="00CE3221"/>
    <w:rsid w:val="00CE5393"/>
    <w:rsid w:val="00CE545B"/>
    <w:rsid w:val="00CE5E8E"/>
    <w:rsid w:val="00CE64EA"/>
    <w:rsid w:val="00CE70F0"/>
    <w:rsid w:val="00CE75F2"/>
    <w:rsid w:val="00CE77EA"/>
    <w:rsid w:val="00CE79DC"/>
    <w:rsid w:val="00CE7C55"/>
    <w:rsid w:val="00CF15EB"/>
    <w:rsid w:val="00CF1810"/>
    <w:rsid w:val="00CF1BEE"/>
    <w:rsid w:val="00CF1C13"/>
    <w:rsid w:val="00CF22FD"/>
    <w:rsid w:val="00CF34C2"/>
    <w:rsid w:val="00CF36BE"/>
    <w:rsid w:val="00CF3AD3"/>
    <w:rsid w:val="00CF3F06"/>
    <w:rsid w:val="00CF41FA"/>
    <w:rsid w:val="00CF45D3"/>
    <w:rsid w:val="00CF6000"/>
    <w:rsid w:val="00CF6BCA"/>
    <w:rsid w:val="00CF6C0D"/>
    <w:rsid w:val="00CF6CAE"/>
    <w:rsid w:val="00CF792D"/>
    <w:rsid w:val="00CF7E36"/>
    <w:rsid w:val="00D002E7"/>
    <w:rsid w:val="00D003F3"/>
    <w:rsid w:val="00D00A3E"/>
    <w:rsid w:val="00D0136A"/>
    <w:rsid w:val="00D01837"/>
    <w:rsid w:val="00D02CD2"/>
    <w:rsid w:val="00D0364F"/>
    <w:rsid w:val="00D04810"/>
    <w:rsid w:val="00D04DD0"/>
    <w:rsid w:val="00D06834"/>
    <w:rsid w:val="00D0715E"/>
    <w:rsid w:val="00D111EE"/>
    <w:rsid w:val="00D11A61"/>
    <w:rsid w:val="00D11AEF"/>
    <w:rsid w:val="00D12F7D"/>
    <w:rsid w:val="00D1327D"/>
    <w:rsid w:val="00D140D3"/>
    <w:rsid w:val="00D15356"/>
    <w:rsid w:val="00D154AE"/>
    <w:rsid w:val="00D15B24"/>
    <w:rsid w:val="00D16600"/>
    <w:rsid w:val="00D20C89"/>
    <w:rsid w:val="00D224FC"/>
    <w:rsid w:val="00D22860"/>
    <w:rsid w:val="00D22A96"/>
    <w:rsid w:val="00D22DDF"/>
    <w:rsid w:val="00D234C5"/>
    <w:rsid w:val="00D234F8"/>
    <w:rsid w:val="00D252B5"/>
    <w:rsid w:val="00D25859"/>
    <w:rsid w:val="00D25E57"/>
    <w:rsid w:val="00D26BA9"/>
    <w:rsid w:val="00D273AD"/>
    <w:rsid w:val="00D308ED"/>
    <w:rsid w:val="00D3261D"/>
    <w:rsid w:val="00D3322D"/>
    <w:rsid w:val="00D33EFB"/>
    <w:rsid w:val="00D3402A"/>
    <w:rsid w:val="00D341C9"/>
    <w:rsid w:val="00D3448F"/>
    <w:rsid w:val="00D347FA"/>
    <w:rsid w:val="00D3515E"/>
    <w:rsid w:val="00D35CBC"/>
    <w:rsid w:val="00D35E2F"/>
    <w:rsid w:val="00D36919"/>
    <w:rsid w:val="00D36D86"/>
    <w:rsid w:val="00D37CBE"/>
    <w:rsid w:val="00D4136B"/>
    <w:rsid w:val="00D42324"/>
    <w:rsid w:val="00D428AA"/>
    <w:rsid w:val="00D42A13"/>
    <w:rsid w:val="00D430A7"/>
    <w:rsid w:val="00D43525"/>
    <w:rsid w:val="00D45A06"/>
    <w:rsid w:val="00D45B3A"/>
    <w:rsid w:val="00D46611"/>
    <w:rsid w:val="00D476AB"/>
    <w:rsid w:val="00D50A34"/>
    <w:rsid w:val="00D5161B"/>
    <w:rsid w:val="00D51682"/>
    <w:rsid w:val="00D523B8"/>
    <w:rsid w:val="00D529BA"/>
    <w:rsid w:val="00D53EFA"/>
    <w:rsid w:val="00D5506C"/>
    <w:rsid w:val="00D558D5"/>
    <w:rsid w:val="00D579B5"/>
    <w:rsid w:val="00D604F3"/>
    <w:rsid w:val="00D6297C"/>
    <w:rsid w:val="00D62E39"/>
    <w:rsid w:val="00D63CD5"/>
    <w:rsid w:val="00D64D5C"/>
    <w:rsid w:val="00D65715"/>
    <w:rsid w:val="00D66137"/>
    <w:rsid w:val="00D66D16"/>
    <w:rsid w:val="00D671C9"/>
    <w:rsid w:val="00D67412"/>
    <w:rsid w:val="00D71189"/>
    <w:rsid w:val="00D7192B"/>
    <w:rsid w:val="00D720D7"/>
    <w:rsid w:val="00D72991"/>
    <w:rsid w:val="00D73263"/>
    <w:rsid w:val="00D732CA"/>
    <w:rsid w:val="00D7430A"/>
    <w:rsid w:val="00D748C1"/>
    <w:rsid w:val="00D752F3"/>
    <w:rsid w:val="00D75407"/>
    <w:rsid w:val="00D766D5"/>
    <w:rsid w:val="00D77937"/>
    <w:rsid w:val="00D81CC6"/>
    <w:rsid w:val="00D849EE"/>
    <w:rsid w:val="00D85F06"/>
    <w:rsid w:val="00D9118C"/>
    <w:rsid w:val="00D91A39"/>
    <w:rsid w:val="00D91F42"/>
    <w:rsid w:val="00D9263A"/>
    <w:rsid w:val="00D9283D"/>
    <w:rsid w:val="00D92F96"/>
    <w:rsid w:val="00D9382B"/>
    <w:rsid w:val="00D93FDD"/>
    <w:rsid w:val="00D94058"/>
    <w:rsid w:val="00D9429F"/>
    <w:rsid w:val="00D94A7C"/>
    <w:rsid w:val="00D94C91"/>
    <w:rsid w:val="00D95896"/>
    <w:rsid w:val="00D95B89"/>
    <w:rsid w:val="00D9628B"/>
    <w:rsid w:val="00D972FD"/>
    <w:rsid w:val="00D978B4"/>
    <w:rsid w:val="00D97A7E"/>
    <w:rsid w:val="00DA0FAB"/>
    <w:rsid w:val="00DA1549"/>
    <w:rsid w:val="00DA2643"/>
    <w:rsid w:val="00DA4F03"/>
    <w:rsid w:val="00DA50F6"/>
    <w:rsid w:val="00DA57C3"/>
    <w:rsid w:val="00DA6DD5"/>
    <w:rsid w:val="00DA77F7"/>
    <w:rsid w:val="00DB039A"/>
    <w:rsid w:val="00DB06DD"/>
    <w:rsid w:val="00DB1F1E"/>
    <w:rsid w:val="00DB2334"/>
    <w:rsid w:val="00DB2983"/>
    <w:rsid w:val="00DB2AFE"/>
    <w:rsid w:val="00DB2B3E"/>
    <w:rsid w:val="00DB453A"/>
    <w:rsid w:val="00DB6D53"/>
    <w:rsid w:val="00DB6F07"/>
    <w:rsid w:val="00DB74FD"/>
    <w:rsid w:val="00DC08FF"/>
    <w:rsid w:val="00DC1257"/>
    <w:rsid w:val="00DC1EE1"/>
    <w:rsid w:val="00DC2827"/>
    <w:rsid w:val="00DC3580"/>
    <w:rsid w:val="00DC3DC0"/>
    <w:rsid w:val="00DC3FBF"/>
    <w:rsid w:val="00DC4313"/>
    <w:rsid w:val="00DC44CC"/>
    <w:rsid w:val="00DC4DEC"/>
    <w:rsid w:val="00DC569D"/>
    <w:rsid w:val="00DC5B2B"/>
    <w:rsid w:val="00DC5DB7"/>
    <w:rsid w:val="00DD202C"/>
    <w:rsid w:val="00DD2DE4"/>
    <w:rsid w:val="00DD318D"/>
    <w:rsid w:val="00DD38E2"/>
    <w:rsid w:val="00DD400E"/>
    <w:rsid w:val="00DD473A"/>
    <w:rsid w:val="00DD58D9"/>
    <w:rsid w:val="00DD6357"/>
    <w:rsid w:val="00DD669B"/>
    <w:rsid w:val="00DD7E2E"/>
    <w:rsid w:val="00DD7FEF"/>
    <w:rsid w:val="00DE139E"/>
    <w:rsid w:val="00DE13FE"/>
    <w:rsid w:val="00DE33D1"/>
    <w:rsid w:val="00DE3729"/>
    <w:rsid w:val="00DE3D07"/>
    <w:rsid w:val="00DE3DAA"/>
    <w:rsid w:val="00DE73F2"/>
    <w:rsid w:val="00DE7C37"/>
    <w:rsid w:val="00DF0005"/>
    <w:rsid w:val="00DF0C4D"/>
    <w:rsid w:val="00DF16E1"/>
    <w:rsid w:val="00DF1AB3"/>
    <w:rsid w:val="00DF1B3B"/>
    <w:rsid w:val="00DF2E12"/>
    <w:rsid w:val="00DF360B"/>
    <w:rsid w:val="00DF3790"/>
    <w:rsid w:val="00DF514A"/>
    <w:rsid w:val="00DF5BBB"/>
    <w:rsid w:val="00DF6207"/>
    <w:rsid w:val="00DF6690"/>
    <w:rsid w:val="00DF6804"/>
    <w:rsid w:val="00DF6C63"/>
    <w:rsid w:val="00DF72AF"/>
    <w:rsid w:val="00E00B01"/>
    <w:rsid w:val="00E015F3"/>
    <w:rsid w:val="00E022C1"/>
    <w:rsid w:val="00E02680"/>
    <w:rsid w:val="00E02D35"/>
    <w:rsid w:val="00E02D80"/>
    <w:rsid w:val="00E03322"/>
    <w:rsid w:val="00E0358D"/>
    <w:rsid w:val="00E036F6"/>
    <w:rsid w:val="00E04323"/>
    <w:rsid w:val="00E06A0B"/>
    <w:rsid w:val="00E070A2"/>
    <w:rsid w:val="00E07A94"/>
    <w:rsid w:val="00E10C4E"/>
    <w:rsid w:val="00E11B2C"/>
    <w:rsid w:val="00E12953"/>
    <w:rsid w:val="00E13344"/>
    <w:rsid w:val="00E151AA"/>
    <w:rsid w:val="00E15AC4"/>
    <w:rsid w:val="00E17386"/>
    <w:rsid w:val="00E17762"/>
    <w:rsid w:val="00E2034D"/>
    <w:rsid w:val="00E20EB1"/>
    <w:rsid w:val="00E2148D"/>
    <w:rsid w:val="00E216EA"/>
    <w:rsid w:val="00E21DE7"/>
    <w:rsid w:val="00E22AE1"/>
    <w:rsid w:val="00E22CF3"/>
    <w:rsid w:val="00E251DD"/>
    <w:rsid w:val="00E2656A"/>
    <w:rsid w:val="00E27C24"/>
    <w:rsid w:val="00E27E04"/>
    <w:rsid w:val="00E30804"/>
    <w:rsid w:val="00E30AA2"/>
    <w:rsid w:val="00E30EA0"/>
    <w:rsid w:val="00E31D60"/>
    <w:rsid w:val="00E3225F"/>
    <w:rsid w:val="00E33141"/>
    <w:rsid w:val="00E35FF6"/>
    <w:rsid w:val="00E37341"/>
    <w:rsid w:val="00E37E07"/>
    <w:rsid w:val="00E4001B"/>
    <w:rsid w:val="00E412D0"/>
    <w:rsid w:val="00E427EA"/>
    <w:rsid w:val="00E436A2"/>
    <w:rsid w:val="00E453FB"/>
    <w:rsid w:val="00E47501"/>
    <w:rsid w:val="00E47A3B"/>
    <w:rsid w:val="00E47CA5"/>
    <w:rsid w:val="00E51123"/>
    <w:rsid w:val="00E51E45"/>
    <w:rsid w:val="00E51FFF"/>
    <w:rsid w:val="00E521FD"/>
    <w:rsid w:val="00E53756"/>
    <w:rsid w:val="00E55176"/>
    <w:rsid w:val="00E551A1"/>
    <w:rsid w:val="00E559A4"/>
    <w:rsid w:val="00E56322"/>
    <w:rsid w:val="00E56A10"/>
    <w:rsid w:val="00E56BCD"/>
    <w:rsid w:val="00E604E1"/>
    <w:rsid w:val="00E6059E"/>
    <w:rsid w:val="00E60982"/>
    <w:rsid w:val="00E60B5C"/>
    <w:rsid w:val="00E616C9"/>
    <w:rsid w:val="00E620CE"/>
    <w:rsid w:val="00E62527"/>
    <w:rsid w:val="00E62C62"/>
    <w:rsid w:val="00E631EA"/>
    <w:rsid w:val="00E6341F"/>
    <w:rsid w:val="00E646B1"/>
    <w:rsid w:val="00E648CF"/>
    <w:rsid w:val="00E654C1"/>
    <w:rsid w:val="00E65D97"/>
    <w:rsid w:val="00E66E5F"/>
    <w:rsid w:val="00E67FCD"/>
    <w:rsid w:val="00E708F7"/>
    <w:rsid w:val="00E70AFE"/>
    <w:rsid w:val="00E70C39"/>
    <w:rsid w:val="00E71E3F"/>
    <w:rsid w:val="00E72A5A"/>
    <w:rsid w:val="00E73068"/>
    <w:rsid w:val="00E73354"/>
    <w:rsid w:val="00E73BC7"/>
    <w:rsid w:val="00E743EE"/>
    <w:rsid w:val="00E7494F"/>
    <w:rsid w:val="00E759D9"/>
    <w:rsid w:val="00E762EB"/>
    <w:rsid w:val="00E76825"/>
    <w:rsid w:val="00E76B61"/>
    <w:rsid w:val="00E76BB6"/>
    <w:rsid w:val="00E777AF"/>
    <w:rsid w:val="00E77E30"/>
    <w:rsid w:val="00E801B2"/>
    <w:rsid w:val="00E80C77"/>
    <w:rsid w:val="00E81747"/>
    <w:rsid w:val="00E8435C"/>
    <w:rsid w:val="00E84774"/>
    <w:rsid w:val="00E85563"/>
    <w:rsid w:val="00E85B05"/>
    <w:rsid w:val="00E8644D"/>
    <w:rsid w:val="00E8652E"/>
    <w:rsid w:val="00E86F8C"/>
    <w:rsid w:val="00E87614"/>
    <w:rsid w:val="00E9017F"/>
    <w:rsid w:val="00E90494"/>
    <w:rsid w:val="00E9053D"/>
    <w:rsid w:val="00E9242D"/>
    <w:rsid w:val="00E929E6"/>
    <w:rsid w:val="00E93196"/>
    <w:rsid w:val="00E93990"/>
    <w:rsid w:val="00E94B56"/>
    <w:rsid w:val="00E95096"/>
    <w:rsid w:val="00E95181"/>
    <w:rsid w:val="00E957A5"/>
    <w:rsid w:val="00E968E0"/>
    <w:rsid w:val="00E97374"/>
    <w:rsid w:val="00EA2074"/>
    <w:rsid w:val="00EA3796"/>
    <w:rsid w:val="00EA38F4"/>
    <w:rsid w:val="00EA426C"/>
    <w:rsid w:val="00EA46FB"/>
    <w:rsid w:val="00EA5180"/>
    <w:rsid w:val="00EA55B9"/>
    <w:rsid w:val="00EA6D98"/>
    <w:rsid w:val="00EA7064"/>
    <w:rsid w:val="00EA799B"/>
    <w:rsid w:val="00EA7AB3"/>
    <w:rsid w:val="00EB0911"/>
    <w:rsid w:val="00EB12BA"/>
    <w:rsid w:val="00EB2283"/>
    <w:rsid w:val="00EB33D3"/>
    <w:rsid w:val="00EB3BA4"/>
    <w:rsid w:val="00EB5255"/>
    <w:rsid w:val="00EB5C47"/>
    <w:rsid w:val="00EB5D02"/>
    <w:rsid w:val="00EB5D79"/>
    <w:rsid w:val="00EB65F9"/>
    <w:rsid w:val="00EB7474"/>
    <w:rsid w:val="00EB7612"/>
    <w:rsid w:val="00EC1FEE"/>
    <w:rsid w:val="00EC3271"/>
    <w:rsid w:val="00EC4580"/>
    <w:rsid w:val="00EC4AF3"/>
    <w:rsid w:val="00EC7FD8"/>
    <w:rsid w:val="00ED0639"/>
    <w:rsid w:val="00ED1046"/>
    <w:rsid w:val="00ED1218"/>
    <w:rsid w:val="00ED1CBD"/>
    <w:rsid w:val="00ED290C"/>
    <w:rsid w:val="00ED2C6B"/>
    <w:rsid w:val="00ED3064"/>
    <w:rsid w:val="00ED620B"/>
    <w:rsid w:val="00ED6B9D"/>
    <w:rsid w:val="00EE0264"/>
    <w:rsid w:val="00EE0B45"/>
    <w:rsid w:val="00EE155B"/>
    <w:rsid w:val="00EE1F71"/>
    <w:rsid w:val="00EE20FF"/>
    <w:rsid w:val="00EE21A4"/>
    <w:rsid w:val="00EE3006"/>
    <w:rsid w:val="00EE3A89"/>
    <w:rsid w:val="00EE4EF2"/>
    <w:rsid w:val="00EE5470"/>
    <w:rsid w:val="00EE66E3"/>
    <w:rsid w:val="00EE69EE"/>
    <w:rsid w:val="00EF1E87"/>
    <w:rsid w:val="00EF34D1"/>
    <w:rsid w:val="00EF4755"/>
    <w:rsid w:val="00EF5482"/>
    <w:rsid w:val="00EF6152"/>
    <w:rsid w:val="00EF6667"/>
    <w:rsid w:val="00EF6908"/>
    <w:rsid w:val="00EF69D9"/>
    <w:rsid w:val="00EF6DE1"/>
    <w:rsid w:val="00EF7135"/>
    <w:rsid w:val="00EF7459"/>
    <w:rsid w:val="00F027DB"/>
    <w:rsid w:val="00F02D7F"/>
    <w:rsid w:val="00F037F4"/>
    <w:rsid w:val="00F038F9"/>
    <w:rsid w:val="00F055A6"/>
    <w:rsid w:val="00F0612B"/>
    <w:rsid w:val="00F0643B"/>
    <w:rsid w:val="00F06512"/>
    <w:rsid w:val="00F07749"/>
    <w:rsid w:val="00F0793A"/>
    <w:rsid w:val="00F1091A"/>
    <w:rsid w:val="00F10BE4"/>
    <w:rsid w:val="00F11B4B"/>
    <w:rsid w:val="00F11E0B"/>
    <w:rsid w:val="00F11E78"/>
    <w:rsid w:val="00F12686"/>
    <w:rsid w:val="00F12865"/>
    <w:rsid w:val="00F12AC7"/>
    <w:rsid w:val="00F12EF7"/>
    <w:rsid w:val="00F14A7A"/>
    <w:rsid w:val="00F15614"/>
    <w:rsid w:val="00F156DD"/>
    <w:rsid w:val="00F15CB3"/>
    <w:rsid w:val="00F1724A"/>
    <w:rsid w:val="00F17DA1"/>
    <w:rsid w:val="00F21E1D"/>
    <w:rsid w:val="00F22033"/>
    <w:rsid w:val="00F22985"/>
    <w:rsid w:val="00F2380D"/>
    <w:rsid w:val="00F25EF6"/>
    <w:rsid w:val="00F26826"/>
    <w:rsid w:val="00F3036B"/>
    <w:rsid w:val="00F31821"/>
    <w:rsid w:val="00F32A11"/>
    <w:rsid w:val="00F334A3"/>
    <w:rsid w:val="00F33739"/>
    <w:rsid w:val="00F3383E"/>
    <w:rsid w:val="00F34350"/>
    <w:rsid w:val="00F35620"/>
    <w:rsid w:val="00F36C36"/>
    <w:rsid w:val="00F37FD5"/>
    <w:rsid w:val="00F401DE"/>
    <w:rsid w:val="00F4045F"/>
    <w:rsid w:val="00F40677"/>
    <w:rsid w:val="00F411D7"/>
    <w:rsid w:val="00F4158A"/>
    <w:rsid w:val="00F41719"/>
    <w:rsid w:val="00F41725"/>
    <w:rsid w:val="00F429BA"/>
    <w:rsid w:val="00F449B0"/>
    <w:rsid w:val="00F45310"/>
    <w:rsid w:val="00F45615"/>
    <w:rsid w:val="00F465A7"/>
    <w:rsid w:val="00F466C7"/>
    <w:rsid w:val="00F47CB6"/>
    <w:rsid w:val="00F5072D"/>
    <w:rsid w:val="00F50B7C"/>
    <w:rsid w:val="00F50BAD"/>
    <w:rsid w:val="00F5130E"/>
    <w:rsid w:val="00F52BD0"/>
    <w:rsid w:val="00F5489E"/>
    <w:rsid w:val="00F550E6"/>
    <w:rsid w:val="00F55B52"/>
    <w:rsid w:val="00F568EE"/>
    <w:rsid w:val="00F60460"/>
    <w:rsid w:val="00F610C9"/>
    <w:rsid w:val="00F61EFC"/>
    <w:rsid w:val="00F65678"/>
    <w:rsid w:val="00F66409"/>
    <w:rsid w:val="00F66450"/>
    <w:rsid w:val="00F6667E"/>
    <w:rsid w:val="00F66F06"/>
    <w:rsid w:val="00F67423"/>
    <w:rsid w:val="00F678A9"/>
    <w:rsid w:val="00F71607"/>
    <w:rsid w:val="00F71789"/>
    <w:rsid w:val="00F72663"/>
    <w:rsid w:val="00F74345"/>
    <w:rsid w:val="00F74542"/>
    <w:rsid w:val="00F74D34"/>
    <w:rsid w:val="00F75205"/>
    <w:rsid w:val="00F757AD"/>
    <w:rsid w:val="00F76399"/>
    <w:rsid w:val="00F80A0A"/>
    <w:rsid w:val="00F82B19"/>
    <w:rsid w:val="00F84076"/>
    <w:rsid w:val="00F84A8D"/>
    <w:rsid w:val="00F852E0"/>
    <w:rsid w:val="00F852F0"/>
    <w:rsid w:val="00F856FB"/>
    <w:rsid w:val="00F8597F"/>
    <w:rsid w:val="00F86679"/>
    <w:rsid w:val="00F86C7E"/>
    <w:rsid w:val="00F86F89"/>
    <w:rsid w:val="00F9049C"/>
    <w:rsid w:val="00F910F3"/>
    <w:rsid w:val="00F91B3E"/>
    <w:rsid w:val="00F9212D"/>
    <w:rsid w:val="00F93945"/>
    <w:rsid w:val="00F95830"/>
    <w:rsid w:val="00F965DA"/>
    <w:rsid w:val="00F97572"/>
    <w:rsid w:val="00FA062F"/>
    <w:rsid w:val="00FA072C"/>
    <w:rsid w:val="00FA13A8"/>
    <w:rsid w:val="00FA1B15"/>
    <w:rsid w:val="00FA1DFA"/>
    <w:rsid w:val="00FA2649"/>
    <w:rsid w:val="00FA30EA"/>
    <w:rsid w:val="00FA3E65"/>
    <w:rsid w:val="00FA406A"/>
    <w:rsid w:val="00FA4340"/>
    <w:rsid w:val="00FA4E2F"/>
    <w:rsid w:val="00FA52C7"/>
    <w:rsid w:val="00FA67FC"/>
    <w:rsid w:val="00FB1444"/>
    <w:rsid w:val="00FB36DE"/>
    <w:rsid w:val="00FB38D3"/>
    <w:rsid w:val="00FB41F2"/>
    <w:rsid w:val="00FB42B0"/>
    <w:rsid w:val="00FB503A"/>
    <w:rsid w:val="00FB516C"/>
    <w:rsid w:val="00FB52A7"/>
    <w:rsid w:val="00FB5752"/>
    <w:rsid w:val="00FB57D3"/>
    <w:rsid w:val="00FB5EE9"/>
    <w:rsid w:val="00FB6254"/>
    <w:rsid w:val="00FB696D"/>
    <w:rsid w:val="00FB6BDC"/>
    <w:rsid w:val="00FB6EB9"/>
    <w:rsid w:val="00FC0C16"/>
    <w:rsid w:val="00FC115B"/>
    <w:rsid w:val="00FC15ED"/>
    <w:rsid w:val="00FC19BC"/>
    <w:rsid w:val="00FC1E11"/>
    <w:rsid w:val="00FC4398"/>
    <w:rsid w:val="00FC48F3"/>
    <w:rsid w:val="00FC5616"/>
    <w:rsid w:val="00FC66B6"/>
    <w:rsid w:val="00FC699A"/>
    <w:rsid w:val="00FC6BE0"/>
    <w:rsid w:val="00FC6D77"/>
    <w:rsid w:val="00FC732E"/>
    <w:rsid w:val="00FC7EB2"/>
    <w:rsid w:val="00FD0236"/>
    <w:rsid w:val="00FD03FC"/>
    <w:rsid w:val="00FD0795"/>
    <w:rsid w:val="00FD0C3C"/>
    <w:rsid w:val="00FD0DD3"/>
    <w:rsid w:val="00FD18F4"/>
    <w:rsid w:val="00FD1C83"/>
    <w:rsid w:val="00FD342A"/>
    <w:rsid w:val="00FD45D8"/>
    <w:rsid w:val="00FD54DB"/>
    <w:rsid w:val="00FD605E"/>
    <w:rsid w:val="00FD619F"/>
    <w:rsid w:val="00FD63DC"/>
    <w:rsid w:val="00FD6841"/>
    <w:rsid w:val="00FD7100"/>
    <w:rsid w:val="00FE0719"/>
    <w:rsid w:val="00FE15D7"/>
    <w:rsid w:val="00FE196C"/>
    <w:rsid w:val="00FE2B31"/>
    <w:rsid w:val="00FE2FF6"/>
    <w:rsid w:val="00FE36AA"/>
    <w:rsid w:val="00FE3A69"/>
    <w:rsid w:val="00FE40EE"/>
    <w:rsid w:val="00FE48F4"/>
    <w:rsid w:val="00FE49A3"/>
    <w:rsid w:val="00FE4FFB"/>
    <w:rsid w:val="00FE6042"/>
    <w:rsid w:val="00FE71E0"/>
    <w:rsid w:val="00FE7D78"/>
    <w:rsid w:val="00FE7DA6"/>
    <w:rsid w:val="00FF0142"/>
    <w:rsid w:val="00FF04CB"/>
    <w:rsid w:val="00FF0914"/>
    <w:rsid w:val="00FF0E45"/>
    <w:rsid w:val="00FF1C92"/>
    <w:rsid w:val="00FF1D2E"/>
    <w:rsid w:val="00FF2A1A"/>
    <w:rsid w:val="00FF4DC2"/>
    <w:rsid w:val="00FF4EF1"/>
    <w:rsid w:val="00FF729F"/>
    <w:rsid w:val="00FF7575"/>
    <w:rsid w:val="01031CC0"/>
    <w:rsid w:val="01070D0C"/>
    <w:rsid w:val="011C74C0"/>
    <w:rsid w:val="01222A41"/>
    <w:rsid w:val="01250686"/>
    <w:rsid w:val="012860A5"/>
    <w:rsid w:val="01290F7E"/>
    <w:rsid w:val="014574BA"/>
    <w:rsid w:val="014818F2"/>
    <w:rsid w:val="01486CA1"/>
    <w:rsid w:val="015D1E09"/>
    <w:rsid w:val="015E3081"/>
    <w:rsid w:val="01672113"/>
    <w:rsid w:val="01810306"/>
    <w:rsid w:val="0194745F"/>
    <w:rsid w:val="01A248A7"/>
    <w:rsid w:val="01B31427"/>
    <w:rsid w:val="01CC37BF"/>
    <w:rsid w:val="01CD1064"/>
    <w:rsid w:val="01D00136"/>
    <w:rsid w:val="01D26B61"/>
    <w:rsid w:val="01D27F4C"/>
    <w:rsid w:val="01D809DF"/>
    <w:rsid w:val="01DC2113"/>
    <w:rsid w:val="01F86BB0"/>
    <w:rsid w:val="02007DFB"/>
    <w:rsid w:val="02133803"/>
    <w:rsid w:val="021857A2"/>
    <w:rsid w:val="02257C23"/>
    <w:rsid w:val="022A0D48"/>
    <w:rsid w:val="022E4839"/>
    <w:rsid w:val="02337390"/>
    <w:rsid w:val="02374902"/>
    <w:rsid w:val="023D36F2"/>
    <w:rsid w:val="023F4471"/>
    <w:rsid w:val="024963F3"/>
    <w:rsid w:val="025C411B"/>
    <w:rsid w:val="02697903"/>
    <w:rsid w:val="026B59B4"/>
    <w:rsid w:val="026D3AF8"/>
    <w:rsid w:val="028D7B01"/>
    <w:rsid w:val="029F7272"/>
    <w:rsid w:val="02B94FB8"/>
    <w:rsid w:val="02CA6202"/>
    <w:rsid w:val="02E20922"/>
    <w:rsid w:val="02E769F1"/>
    <w:rsid w:val="02EC1A11"/>
    <w:rsid w:val="02F35142"/>
    <w:rsid w:val="02F96569"/>
    <w:rsid w:val="031C701C"/>
    <w:rsid w:val="03243BD3"/>
    <w:rsid w:val="03257E3A"/>
    <w:rsid w:val="035751CD"/>
    <w:rsid w:val="035C5D76"/>
    <w:rsid w:val="035E7709"/>
    <w:rsid w:val="0367606A"/>
    <w:rsid w:val="03737B8E"/>
    <w:rsid w:val="039011DC"/>
    <w:rsid w:val="03971EDE"/>
    <w:rsid w:val="03973F39"/>
    <w:rsid w:val="039B3DC0"/>
    <w:rsid w:val="03A647CB"/>
    <w:rsid w:val="03BF3C0A"/>
    <w:rsid w:val="03C02D87"/>
    <w:rsid w:val="03EA7B21"/>
    <w:rsid w:val="03F35447"/>
    <w:rsid w:val="03F86CF1"/>
    <w:rsid w:val="03FC2442"/>
    <w:rsid w:val="04331881"/>
    <w:rsid w:val="044D4089"/>
    <w:rsid w:val="044E0E32"/>
    <w:rsid w:val="04500D7D"/>
    <w:rsid w:val="046A6B1D"/>
    <w:rsid w:val="046B19E4"/>
    <w:rsid w:val="047B62C9"/>
    <w:rsid w:val="049049E4"/>
    <w:rsid w:val="04935EE3"/>
    <w:rsid w:val="049D4255"/>
    <w:rsid w:val="04B52518"/>
    <w:rsid w:val="04C16F84"/>
    <w:rsid w:val="04C37215"/>
    <w:rsid w:val="04D12B2F"/>
    <w:rsid w:val="04D16594"/>
    <w:rsid w:val="04D76A6A"/>
    <w:rsid w:val="04DB587F"/>
    <w:rsid w:val="04DC0752"/>
    <w:rsid w:val="04E23639"/>
    <w:rsid w:val="04FD4912"/>
    <w:rsid w:val="05131852"/>
    <w:rsid w:val="051D0493"/>
    <w:rsid w:val="053A79EE"/>
    <w:rsid w:val="05401334"/>
    <w:rsid w:val="05563BE5"/>
    <w:rsid w:val="05694C96"/>
    <w:rsid w:val="059A0BEE"/>
    <w:rsid w:val="05BF3622"/>
    <w:rsid w:val="05C23916"/>
    <w:rsid w:val="05D50D0F"/>
    <w:rsid w:val="05E73424"/>
    <w:rsid w:val="05F16E80"/>
    <w:rsid w:val="05F2793C"/>
    <w:rsid w:val="05F83EAE"/>
    <w:rsid w:val="06112117"/>
    <w:rsid w:val="061F3975"/>
    <w:rsid w:val="06210C4C"/>
    <w:rsid w:val="062120BB"/>
    <w:rsid w:val="0624613D"/>
    <w:rsid w:val="06293751"/>
    <w:rsid w:val="062F39F0"/>
    <w:rsid w:val="0634654D"/>
    <w:rsid w:val="063627BC"/>
    <w:rsid w:val="06390CB6"/>
    <w:rsid w:val="063E7D85"/>
    <w:rsid w:val="064960D1"/>
    <w:rsid w:val="064A23A1"/>
    <w:rsid w:val="066125B5"/>
    <w:rsid w:val="06900166"/>
    <w:rsid w:val="069A1C02"/>
    <w:rsid w:val="06B8545D"/>
    <w:rsid w:val="06BC017A"/>
    <w:rsid w:val="06EA03A3"/>
    <w:rsid w:val="06EB43B9"/>
    <w:rsid w:val="06F927F5"/>
    <w:rsid w:val="06FD0428"/>
    <w:rsid w:val="070F74C9"/>
    <w:rsid w:val="071A6E84"/>
    <w:rsid w:val="07293586"/>
    <w:rsid w:val="07295285"/>
    <w:rsid w:val="072F7CDD"/>
    <w:rsid w:val="073F1F2E"/>
    <w:rsid w:val="07636392"/>
    <w:rsid w:val="07705BF2"/>
    <w:rsid w:val="077150B7"/>
    <w:rsid w:val="07770C56"/>
    <w:rsid w:val="07954C1A"/>
    <w:rsid w:val="07970A98"/>
    <w:rsid w:val="0799533B"/>
    <w:rsid w:val="079F78A5"/>
    <w:rsid w:val="07AB396F"/>
    <w:rsid w:val="07B672C1"/>
    <w:rsid w:val="07C94E18"/>
    <w:rsid w:val="07D523EB"/>
    <w:rsid w:val="07FA487D"/>
    <w:rsid w:val="07FC2827"/>
    <w:rsid w:val="080A0B32"/>
    <w:rsid w:val="080B4BAB"/>
    <w:rsid w:val="08114471"/>
    <w:rsid w:val="08381BDD"/>
    <w:rsid w:val="083878AA"/>
    <w:rsid w:val="083B17FB"/>
    <w:rsid w:val="08510946"/>
    <w:rsid w:val="08747AFF"/>
    <w:rsid w:val="088846BD"/>
    <w:rsid w:val="088D7A09"/>
    <w:rsid w:val="089010C6"/>
    <w:rsid w:val="089B3692"/>
    <w:rsid w:val="089E3E17"/>
    <w:rsid w:val="08B1198F"/>
    <w:rsid w:val="08C566DE"/>
    <w:rsid w:val="08C75F45"/>
    <w:rsid w:val="08C8368E"/>
    <w:rsid w:val="08EE7575"/>
    <w:rsid w:val="08F26196"/>
    <w:rsid w:val="090C7545"/>
    <w:rsid w:val="090F0188"/>
    <w:rsid w:val="09143AEA"/>
    <w:rsid w:val="091B5CE9"/>
    <w:rsid w:val="0921719B"/>
    <w:rsid w:val="092217DD"/>
    <w:rsid w:val="092D5FB6"/>
    <w:rsid w:val="093328BD"/>
    <w:rsid w:val="09384341"/>
    <w:rsid w:val="093A7294"/>
    <w:rsid w:val="0943321F"/>
    <w:rsid w:val="09481422"/>
    <w:rsid w:val="09633E01"/>
    <w:rsid w:val="099F3749"/>
    <w:rsid w:val="09A47E77"/>
    <w:rsid w:val="09AF207D"/>
    <w:rsid w:val="09BD7870"/>
    <w:rsid w:val="09D409FD"/>
    <w:rsid w:val="09DF365C"/>
    <w:rsid w:val="09EA2302"/>
    <w:rsid w:val="0A0262C5"/>
    <w:rsid w:val="0A11244D"/>
    <w:rsid w:val="0A2019F2"/>
    <w:rsid w:val="0A2028AB"/>
    <w:rsid w:val="0A263993"/>
    <w:rsid w:val="0A27326D"/>
    <w:rsid w:val="0A2B344F"/>
    <w:rsid w:val="0A2C2083"/>
    <w:rsid w:val="0A2D3AC2"/>
    <w:rsid w:val="0A661BAD"/>
    <w:rsid w:val="0A691DE5"/>
    <w:rsid w:val="0A69350A"/>
    <w:rsid w:val="0A761D72"/>
    <w:rsid w:val="0A8235E3"/>
    <w:rsid w:val="0A830989"/>
    <w:rsid w:val="0A8447F9"/>
    <w:rsid w:val="0A991319"/>
    <w:rsid w:val="0A991E1D"/>
    <w:rsid w:val="0A9F477B"/>
    <w:rsid w:val="0AA755DF"/>
    <w:rsid w:val="0AAA61B7"/>
    <w:rsid w:val="0AAC05E5"/>
    <w:rsid w:val="0ABA69ED"/>
    <w:rsid w:val="0AC12A23"/>
    <w:rsid w:val="0AC2201E"/>
    <w:rsid w:val="0AC37758"/>
    <w:rsid w:val="0AE75A4A"/>
    <w:rsid w:val="0AE944CB"/>
    <w:rsid w:val="0AF939C9"/>
    <w:rsid w:val="0AFD1558"/>
    <w:rsid w:val="0AFD66E3"/>
    <w:rsid w:val="0B120D44"/>
    <w:rsid w:val="0B1861E2"/>
    <w:rsid w:val="0B321CD1"/>
    <w:rsid w:val="0B383909"/>
    <w:rsid w:val="0B443B1A"/>
    <w:rsid w:val="0B5528B4"/>
    <w:rsid w:val="0B6D4097"/>
    <w:rsid w:val="0B716CC1"/>
    <w:rsid w:val="0B732F2C"/>
    <w:rsid w:val="0B867309"/>
    <w:rsid w:val="0B93245A"/>
    <w:rsid w:val="0B957346"/>
    <w:rsid w:val="0B964615"/>
    <w:rsid w:val="0B9976D0"/>
    <w:rsid w:val="0BB034DD"/>
    <w:rsid w:val="0BBA7F14"/>
    <w:rsid w:val="0BC562CD"/>
    <w:rsid w:val="0BD27BF6"/>
    <w:rsid w:val="0BE66795"/>
    <w:rsid w:val="0BF4682D"/>
    <w:rsid w:val="0C25063B"/>
    <w:rsid w:val="0C3B3C7D"/>
    <w:rsid w:val="0C3C2DD1"/>
    <w:rsid w:val="0C497853"/>
    <w:rsid w:val="0C894271"/>
    <w:rsid w:val="0C956625"/>
    <w:rsid w:val="0CAB2EAE"/>
    <w:rsid w:val="0CAF4D5A"/>
    <w:rsid w:val="0CB94AB3"/>
    <w:rsid w:val="0CD2700F"/>
    <w:rsid w:val="0CD579F5"/>
    <w:rsid w:val="0CDC7304"/>
    <w:rsid w:val="0CE05D90"/>
    <w:rsid w:val="0CF54452"/>
    <w:rsid w:val="0CF55C26"/>
    <w:rsid w:val="0CF564D9"/>
    <w:rsid w:val="0CFF3BA5"/>
    <w:rsid w:val="0D016177"/>
    <w:rsid w:val="0D0611E2"/>
    <w:rsid w:val="0D253568"/>
    <w:rsid w:val="0D621C7D"/>
    <w:rsid w:val="0D637600"/>
    <w:rsid w:val="0D6563BD"/>
    <w:rsid w:val="0D67521A"/>
    <w:rsid w:val="0D6E3256"/>
    <w:rsid w:val="0D821A1D"/>
    <w:rsid w:val="0D976429"/>
    <w:rsid w:val="0DAF6902"/>
    <w:rsid w:val="0DBE2974"/>
    <w:rsid w:val="0DC43391"/>
    <w:rsid w:val="0DD61052"/>
    <w:rsid w:val="0DE16622"/>
    <w:rsid w:val="0DF75082"/>
    <w:rsid w:val="0DFE6E01"/>
    <w:rsid w:val="0E073709"/>
    <w:rsid w:val="0E1F1D9E"/>
    <w:rsid w:val="0E2A021A"/>
    <w:rsid w:val="0E371A11"/>
    <w:rsid w:val="0E3E127C"/>
    <w:rsid w:val="0E697DC2"/>
    <w:rsid w:val="0E6B45D3"/>
    <w:rsid w:val="0E6E10CF"/>
    <w:rsid w:val="0E712E99"/>
    <w:rsid w:val="0E73034D"/>
    <w:rsid w:val="0E750AD1"/>
    <w:rsid w:val="0E7E0B6A"/>
    <w:rsid w:val="0E8D7E09"/>
    <w:rsid w:val="0E927ACD"/>
    <w:rsid w:val="0E953A02"/>
    <w:rsid w:val="0E96714E"/>
    <w:rsid w:val="0EAC7E8E"/>
    <w:rsid w:val="0EB6364E"/>
    <w:rsid w:val="0ED87C76"/>
    <w:rsid w:val="0ED978B9"/>
    <w:rsid w:val="0EDD0DD3"/>
    <w:rsid w:val="0EDF722F"/>
    <w:rsid w:val="0F13775A"/>
    <w:rsid w:val="0F166FCA"/>
    <w:rsid w:val="0F1E0C3C"/>
    <w:rsid w:val="0F263697"/>
    <w:rsid w:val="0F2C3520"/>
    <w:rsid w:val="0F3E5B3E"/>
    <w:rsid w:val="0F497F56"/>
    <w:rsid w:val="0F4E5FE3"/>
    <w:rsid w:val="0F546791"/>
    <w:rsid w:val="0F587FEA"/>
    <w:rsid w:val="0F5F45FE"/>
    <w:rsid w:val="0F79044A"/>
    <w:rsid w:val="0F7921A9"/>
    <w:rsid w:val="0F8501FC"/>
    <w:rsid w:val="0F925A77"/>
    <w:rsid w:val="0F943740"/>
    <w:rsid w:val="0F996775"/>
    <w:rsid w:val="0F9A112B"/>
    <w:rsid w:val="0FA37765"/>
    <w:rsid w:val="0FA615B3"/>
    <w:rsid w:val="0FB2301F"/>
    <w:rsid w:val="0FB80AD8"/>
    <w:rsid w:val="0FBF2A1F"/>
    <w:rsid w:val="0FD85CF6"/>
    <w:rsid w:val="0FEB11AE"/>
    <w:rsid w:val="0FEE45D2"/>
    <w:rsid w:val="0FEF08E4"/>
    <w:rsid w:val="0FF55AF9"/>
    <w:rsid w:val="0FF7643E"/>
    <w:rsid w:val="0FFF133B"/>
    <w:rsid w:val="100A1780"/>
    <w:rsid w:val="10312CD7"/>
    <w:rsid w:val="10373E03"/>
    <w:rsid w:val="104375DE"/>
    <w:rsid w:val="106D2F64"/>
    <w:rsid w:val="108A5A69"/>
    <w:rsid w:val="10A45E19"/>
    <w:rsid w:val="10AA6D61"/>
    <w:rsid w:val="10B63710"/>
    <w:rsid w:val="10B9542A"/>
    <w:rsid w:val="10C3067D"/>
    <w:rsid w:val="10C70B2C"/>
    <w:rsid w:val="10E0386F"/>
    <w:rsid w:val="10F10820"/>
    <w:rsid w:val="110A4D43"/>
    <w:rsid w:val="111C2F7A"/>
    <w:rsid w:val="11390075"/>
    <w:rsid w:val="11433CFC"/>
    <w:rsid w:val="114D0C28"/>
    <w:rsid w:val="11665CA1"/>
    <w:rsid w:val="11790ACA"/>
    <w:rsid w:val="117A2474"/>
    <w:rsid w:val="117B48A9"/>
    <w:rsid w:val="11965B70"/>
    <w:rsid w:val="11AD564A"/>
    <w:rsid w:val="11BB76D3"/>
    <w:rsid w:val="11DF5A90"/>
    <w:rsid w:val="11EB6425"/>
    <w:rsid w:val="11EE5C96"/>
    <w:rsid w:val="11FD080B"/>
    <w:rsid w:val="12030A3B"/>
    <w:rsid w:val="12073D28"/>
    <w:rsid w:val="120C1AA8"/>
    <w:rsid w:val="12296A3A"/>
    <w:rsid w:val="12304A60"/>
    <w:rsid w:val="124D3116"/>
    <w:rsid w:val="124E024F"/>
    <w:rsid w:val="12581CB4"/>
    <w:rsid w:val="125F660B"/>
    <w:rsid w:val="1261645C"/>
    <w:rsid w:val="128D0D77"/>
    <w:rsid w:val="128D3DBB"/>
    <w:rsid w:val="129E5CBA"/>
    <w:rsid w:val="12E7002B"/>
    <w:rsid w:val="12F13313"/>
    <w:rsid w:val="12F47048"/>
    <w:rsid w:val="12FA76A4"/>
    <w:rsid w:val="1301662B"/>
    <w:rsid w:val="133348BC"/>
    <w:rsid w:val="13346475"/>
    <w:rsid w:val="1336492A"/>
    <w:rsid w:val="1337391F"/>
    <w:rsid w:val="133739BE"/>
    <w:rsid w:val="134027E7"/>
    <w:rsid w:val="134D510F"/>
    <w:rsid w:val="135D722C"/>
    <w:rsid w:val="13645F7C"/>
    <w:rsid w:val="1367174B"/>
    <w:rsid w:val="1368062D"/>
    <w:rsid w:val="136B48D1"/>
    <w:rsid w:val="136F43B8"/>
    <w:rsid w:val="137F2DB6"/>
    <w:rsid w:val="13806373"/>
    <w:rsid w:val="13927D2E"/>
    <w:rsid w:val="13951726"/>
    <w:rsid w:val="13A3476B"/>
    <w:rsid w:val="13A761E4"/>
    <w:rsid w:val="13C91E5B"/>
    <w:rsid w:val="13CB5FFB"/>
    <w:rsid w:val="13E16A11"/>
    <w:rsid w:val="13F82FC5"/>
    <w:rsid w:val="14065A16"/>
    <w:rsid w:val="140B63F8"/>
    <w:rsid w:val="14221647"/>
    <w:rsid w:val="143554B7"/>
    <w:rsid w:val="14394E45"/>
    <w:rsid w:val="14396509"/>
    <w:rsid w:val="143C5577"/>
    <w:rsid w:val="14461FDB"/>
    <w:rsid w:val="146123AC"/>
    <w:rsid w:val="149E1E30"/>
    <w:rsid w:val="14AA01F3"/>
    <w:rsid w:val="14AA3A23"/>
    <w:rsid w:val="14B4176A"/>
    <w:rsid w:val="14BF3DEC"/>
    <w:rsid w:val="14D651C5"/>
    <w:rsid w:val="14DD2C3C"/>
    <w:rsid w:val="14DD77BE"/>
    <w:rsid w:val="14E31C89"/>
    <w:rsid w:val="14F238F6"/>
    <w:rsid w:val="14FA0456"/>
    <w:rsid w:val="151A5D90"/>
    <w:rsid w:val="151D3B4B"/>
    <w:rsid w:val="151D48B8"/>
    <w:rsid w:val="15242E7C"/>
    <w:rsid w:val="152772D8"/>
    <w:rsid w:val="152B00A7"/>
    <w:rsid w:val="152B7A6B"/>
    <w:rsid w:val="15463394"/>
    <w:rsid w:val="155D794A"/>
    <w:rsid w:val="155E3902"/>
    <w:rsid w:val="156C5ADE"/>
    <w:rsid w:val="159D090A"/>
    <w:rsid w:val="15A33CFF"/>
    <w:rsid w:val="15B71B1D"/>
    <w:rsid w:val="15CF6E8B"/>
    <w:rsid w:val="15D04B12"/>
    <w:rsid w:val="15DD380C"/>
    <w:rsid w:val="15DE2FFB"/>
    <w:rsid w:val="15E33902"/>
    <w:rsid w:val="15EE396D"/>
    <w:rsid w:val="15F43760"/>
    <w:rsid w:val="15F9400B"/>
    <w:rsid w:val="16087E1D"/>
    <w:rsid w:val="16157B99"/>
    <w:rsid w:val="161708AB"/>
    <w:rsid w:val="162B53A1"/>
    <w:rsid w:val="162C39B4"/>
    <w:rsid w:val="16321EE2"/>
    <w:rsid w:val="16424906"/>
    <w:rsid w:val="16466468"/>
    <w:rsid w:val="164D0F49"/>
    <w:rsid w:val="165C2F63"/>
    <w:rsid w:val="16762975"/>
    <w:rsid w:val="16826097"/>
    <w:rsid w:val="16937F01"/>
    <w:rsid w:val="169E373F"/>
    <w:rsid w:val="16BD6F38"/>
    <w:rsid w:val="16D60706"/>
    <w:rsid w:val="16E02C81"/>
    <w:rsid w:val="170C084D"/>
    <w:rsid w:val="172120C7"/>
    <w:rsid w:val="173E1403"/>
    <w:rsid w:val="174C2044"/>
    <w:rsid w:val="174E2EB7"/>
    <w:rsid w:val="175946A7"/>
    <w:rsid w:val="17645A1F"/>
    <w:rsid w:val="17701D14"/>
    <w:rsid w:val="17735226"/>
    <w:rsid w:val="17870974"/>
    <w:rsid w:val="17887D5F"/>
    <w:rsid w:val="178B437E"/>
    <w:rsid w:val="17957219"/>
    <w:rsid w:val="17B965B0"/>
    <w:rsid w:val="17C349EC"/>
    <w:rsid w:val="17D06466"/>
    <w:rsid w:val="17DD6663"/>
    <w:rsid w:val="17E643AF"/>
    <w:rsid w:val="17F221A6"/>
    <w:rsid w:val="1806742A"/>
    <w:rsid w:val="180B2DEE"/>
    <w:rsid w:val="181A2737"/>
    <w:rsid w:val="181F4A63"/>
    <w:rsid w:val="182047D8"/>
    <w:rsid w:val="18237A9B"/>
    <w:rsid w:val="182C3777"/>
    <w:rsid w:val="18461DBF"/>
    <w:rsid w:val="184D2AC7"/>
    <w:rsid w:val="185135E7"/>
    <w:rsid w:val="18564ED1"/>
    <w:rsid w:val="185D2611"/>
    <w:rsid w:val="187B4DDE"/>
    <w:rsid w:val="18801B6C"/>
    <w:rsid w:val="188822F6"/>
    <w:rsid w:val="189416D6"/>
    <w:rsid w:val="189F624C"/>
    <w:rsid w:val="189F66C1"/>
    <w:rsid w:val="189F7070"/>
    <w:rsid w:val="18A214BF"/>
    <w:rsid w:val="18A83CA4"/>
    <w:rsid w:val="18B42C61"/>
    <w:rsid w:val="18BA0FE2"/>
    <w:rsid w:val="18C56A0E"/>
    <w:rsid w:val="18C9293D"/>
    <w:rsid w:val="18DD05B5"/>
    <w:rsid w:val="18F017C5"/>
    <w:rsid w:val="191942C2"/>
    <w:rsid w:val="192B343D"/>
    <w:rsid w:val="192D5062"/>
    <w:rsid w:val="19346BA6"/>
    <w:rsid w:val="19495286"/>
    <w:rsid w:val="194C312C"/>
    <w:rsid w:val="194D0443"/>
    <w:rsid w:val="1954040B"/>
    <w:rsid w:val="1965635A"/>
    <w:rsid w:val="196D465A"/>
    <w:rsid w:val="198771E8"/>
    <w:rsid w:val="198B10C8"/>
    <w:rsid w:val="19924EC5"/>
    <w:rsid w:val="19A74196"/>
    <w:rsid w:val="19B32E3F"/>
    <w:rsid w:val="19B9516B"/>
    <w:rsid w:val="19B975F4"/>
    <w:rsid w:val="19C911C4"/>
    <w:rsid w:val="19D22512"/>
    <w:rsid w:val="19D32F99"/>
    <w:rsid w:val="19E54F54"/>
    <w:rsid w:val="19EC72AE"/>
    <w:rsid w:val="19F12F35"/>
    <w:rsid w:val="19FF2773"/>
    <w:rsid w:val="1A0D02C4"/>
    <w:rsid w:val="1A0D5ED9"/>
    <w:rsid w:val="1A1A67C1"/>
    <w:rsid w:val="1A1C66C0"/>
    <w:rsid w:val="1A243886"/>
    <w:rsid w:val="1A42393B"/>
    <w:rsid w:val="1A774211"/>
    <w:rsid w:val="1A7A0A4C"/>
    <w:rsid w:val="1A7B2FC3"/>
    <w:rsid w:val="1A963906"/>
    <w:rsid w:val="1A9B7FF4"/>
    <w:rsid w:val="1AAD45DE"/>
    <w:rsid w:val="1AB7063D"/>
    <w:rsid w:val="1ABB0FFD"/>
    <w:rsid w:val="1ABE4F3B"/>
    <w:rsid w:val="1AC70D3C"/>
    <w:rsid w:val="1AE26112"/>
    <w:rsid w:val="1AE510D8"/>
    <w:rsid w:val="1AEB0B1A"/>
    <w:rsid w:val="1AEB3822"/>
    <w:rsid w:val="1B046F80"/>
    <w:rsid w:val="1B162E37"/>
    <w:rsid w:val="1B2D11BC"/>
    <w:rsid w:val="1B3267B5"/>
    <w:rsid w:val="1B352414"/>
    <w:rsid w:val="1B40161D"/>
    <w:rsid w:val="1B441859"/>
    <w:rsid w:val="1B6606B1"/>
    <w:rsid w:val="1B7A20B5"/>
    <w:rsid w:val="1B7C2CCB"/>
    <w:rsid w:val="1B9618B6"/>
    <w:rsid w:val="1B975444"/>
    <w:rsid w:val="1BAB04C0"/>
    <w:rsid w:val="1BB057BC"/>
    <w:rsid w:val="1BD66CFD"/>
    <w:rsid w:val="1BD876B2"/>
    <w:rsid w:val="1BF112FF"/>
    <w:rsid w:val="1C0B5BCF"/>
    <w:rsid w:val="1C0B7B0A"/>
    <w:rsid w:val="1C202A53"/>
    <w:rsid w:val="1C402A1C"/>
    <w:rsid w:val="1C490C01"/>
    <w:rsid w:val="1C575C8E"/>
    <w:rsid w:val="1C5E7925"/>
    <w:rsid w:val="1C664A48"/>
    <w:rsid w:val="1C684D53"/>
    <w:rsid w:val="1C6D5116"/>
    <w:rsid w:val="1C72228F"/>
    <w:rsid w:val="1CA23671"/>
    <w:rsid w:val="1CC667D5"/>
    <w:rsid w:val="1CD11BB7"/>
    <w:rsid w:val="1CDC4DD5"/>
    <w:rsid w:val="1CE47F9E"/>
    <w:rsid w:val="1CE979C7"/>
    <w:rsid w:val="1CEB521C"/>
    <w:rsid w:val="1CFA40BF"/>
    <w:rsid w:val="1CFC3087"/>
    <w:rsid w:val="1CFD070F"/>
    <w:rsid w:val="1D021C88"/>
    <w:rsid w:val="1D0314F6"/>
    <w:rsid w:val="1D0524E6"/>
    <w:rsid w:val="1D352737"/>
    <w:rsid w:val="1D4E5CB8"/>
    <w:rsid w:val="1D546098"/>
    <w:rsid w:val="1D5F6196"/>
    <w:rsid w:val="1D6132A5"/>
    <w:rsid w:val="1D79351E"/>
    <w:rsid w:val="1D8A2F97"/>
    <w:rsid w:val="1D8E56D5"/>
    <w:rsid w:val="1D9354E4"/>
    <w:rsid w:val="1DE05D8F"/>
    <w:rsid w:val="1E085F8D"/>
    <w:rsid w:val="1E20192D"/>
    <w:rsid w:val="1E233FF6"/>
    <w:rsid w:val="1E287083"/>
    <w:rsid w:val="1E296894"/>
    <w:rsid w:val="1E346931"/>
    <w:rsid w:val="1E3969A6"/>
    <w:rsid w:val="1E437D7F"/>
    <w:rsid w:val="1E482419"/>
    <w:rsid w:val="1E5405E4"/>
    <w:rsid w:val="1E6B59BA"/>
    <w:rsid w:val="1E6D6D0C"/>
    <w:rsid w:val="1E7A43DA"/>
    <w:rsid w:val="1E897F47"/>
    <w:rsid w:val="1E9163D1"/>
    <w:rsid w:val="1E977F67"/>
    <w:rsid w:val="1E9E1CA7"/>
    <w:rsid w:val="1E9E49F6"/>
    <w:rsid w:val="1EB03CE5"/>
    <w:rsid w:val="1ECA2B47"/>
    <w:rsid w:val="1ED86A2D"/>
    <w:rsid w:val="1EE64EE4"/>
    <w:rsid w:val="1F00421B"/>
    <w:rsid w:val="1F3B3DC9"/>
    <w:rsid w:val="1F405C4C"/>
    <w:rsid w:val="1F4B0C41"/>
    <w:rsid w:val="1F51038C"/>
    <w:rsid w:val="1F796989"/>
    <w:rsid w:val="1F864ED6"/>
    <w:rsid w:val="1F9C5880"/>
    <w:rsid w:val="1FA46A38"/>
    <w:rsid w:val="1FAC4BF8"/>
    <w:rsid w:val="1FB6056F"/>
    <w:rsid w:val="1FBA1D18"/>
    <w:rsid w:val="1FC06372"/>
    <w:rsid w:val="1FCB0B64"/>
    <w:rsid w:val="1FCE490E"/>
    <w:rsid w:val="1FD00A28"/>
    <w:rsid w:val="1FD55623"/>
    <w:rsid w:val="1FE41372"/>
    <w:rsid w:val="1FE61AFC"/>
    <w:rsid w:val="1FE7539E"/>
    <w:rsid w:val="1FF95C9E"/>
    <w:rsid w:val="200E17DF"/>
    <w:rsid w:val="201102BB"/>
    <w:rsid w:val="201B46AC"/>
    <w:rsid w:val="20254FBE"/>
    <w:rsid w:val="20277062"/>
    <w:rsid w:val="202A5432"/>
    <w:rsid w:val="203E55D3"/>
    <w:rsid w:val="20651585"/>
    <w:rsid w:val="20671BE0"/>
    <w:rsid w:val="2085324E"/>
    <w:rsid w:val="208A14F6"/>
    <w:rsid w:val="20963CB8"/>
    <w:rsid w:val="20A81A1B"/>
    <w:rsid w:val="20B07FB6"/>
    <w:rsid w:val="20B646FB"/>
    <w:rsid w:val="20C365AD"/>
    <w:rsid w:val="20DE0791"/>
    <w:rsid w:val="20DE5EDD"/>
    <w:rsid w:val="20E43CE3"/>
    <w:rsid w:val="20ED77D5"/>
    <w:rsid w:val="20F11769"/>
    <w:rsid w:val="210F7A5C"/>
    <w:rsid w:val="2112552E"/>
    <w:rsid w:val="21351C3F"/>
    <w:rsid w:val="213B74B1"/>
    <w:rsid w:val="213F13B6"/>
    <w:rsid w:val="21587558"/>
    <w:rsid w:val="215A2310"/>
    <w:rsid w:val="21647768"/>
    <w:rsid w:val="21651998"/>
    <w:rsid w:val="21755E60"/>
    <w:rsid w:val="217D1F10"/>
    <w:rsid w:val="21817CF9"/>
    <w:rsid w:val="21981FDD"/>
    <w:rsid w:val="219C1C89"/>
    <w:rsid w:val="21A540BB"/>
    <w:rsid w:val="21A7762C"/>
    <w:rsid w:val="21B21FC9"/>
    <w:rsid w:val="21CB0A3E"/>
    <w:rsid w:val="21CF36A3"/>
    <w:rsid w:val="21D51CD6"/>
    <w:rsid w:val="21DA5E99"/>
    <w:rsid w:val="21DE318A"/>
    <w:rsid w:val="21DF0C82"/>
    <w:rsid w:val="21E84CB0"/>
    <w:rsid w:val="21EF5B80"/>
    <w:rsid w:val="22000907"/>
    <w:rsid w:val="22245297"/>
    <w:rsid w:val="2237602B"/>
    <w:rsid w:val="223A42EF"/>
    <w:rsid w:val="223A7048"/>
    <w:rsid w:val="22516161"/>
    <w:rsid w:val="22542B66"/>
    <w:rsid w:val="22576990"/>
    <w:rsid w:val="227118EA"/>
    <w:rsid w:val="227D76F4"/>
    <w:rsid w:val="228E24D9"/>
    <w:rsid w:val="229F2D61"/>
    <w:rsid w:val="22BB36DF"/>
    <w:rsid w:val="22C07518"/>
    <w:rsid w:val="22C66C3F"/>
    <w:rsid w:val="22D71A68"/>
    <w:rsid w:val="22D85746"/>
    <w:rsid w:val="22E2228B"/>
    <w:rsid w:val="22E83DA8"/>
    <w:rsid w:val="22EF6BB9"/>
    <w:rsid w:val="22F47480"/>
    <w:rsid w:val="230F52DC"/>
    <w:rsid w:val="2314145E"/>
    <w:rsid w:val="23205E49"/>
    <w:rsid w:val="2325238E"/>
    <w:rsid w:val="234D1737"/>
    <w:rsid w:val="235A39FA"/>
    <w:rsid w:val="23675FE5"/>
    <w:rsid w:val="23681B5E"/>
    <w:rsid w:val="236D6DF0"/>
    <w:rsid w:val="23733DC3"/>
    <w:rsid w:val="237B6B50"/>
    <w:rsid w:val="238841D7"/>
    <w:rsid w:val="238908D1"/>
    <w:rsid w:val="238A42AF"/>
    <w:rsid w:val="238B6BE8"/>
    <w:rsid w:val="23954FFB"/>
    <w:rsid w:val="23957AE5"/>
    <w:rsid w:val="239C093D"/>
    <w:rsid w:val="23A32A6B"/>
    <w:rsid w:val="23AD3AB4"/>
    <w:rsid w:val="23AD5156"/>
    <w:rsid w:val="23B13427"/>
    <w:rsid w:val="23B4085A"/>
    <w:rsid w:val="23B56978"/>
    <w:rsid w:val="23CD7253"/>
    <w:rsid w:val="23CE48A0"/>
    <w:rsid w:val="23DE1C48"/>
    <w:rsid w:val="24012E1D"/>
    <w:rsid w:val="24020D5E"/>
    <w:rsid w:val="240210CD"/>
    <w:rsid w:val="240551C4"/>
    <w:rsid w:val="241662E9"/>
    <w:rsid w:val="242C2C36"/>
    <w:rsid w:val="2433507F"/>
    <w:rsid w:val="24477741"/>
    <w:rsid w:val="24497781"/>
    <w:rsid w:val="245401AE"/>
    <w:rsid w:val="246709ED"/>
    <w:rsid w:val="24707178"/>
    <w:rsid w:val="24A41BBC"/>
    <w:rsid w:val="24A75DD1"/>
    <w:rsid w:val="24AF5C78"/>
    <w:rsid w:val="24B544DC"/>
    <w:rsid w:val="24B7520A"/>
    <w:rsid w:val="24B90815"/>
    <w:rsid w:val="24BF09F7"/>
    <w:rsid w:val="24E355C5"/>
    <w:rsid w:val="24E63C93"/>
    <w:rsid w:val="24EF5C66"/>
    <w:rsid w:val="24F53360"/>
    <w:rsid w:val="24FE504F"/>
    <w:rsid w:val="250210FC"/>
    <w:rsid w:val="251F10C7"/>
    <w:rsid w:val="252217F3"/>
    <w:rsid w:val="252D53FE"/>
    <w:rsid w:val="253F514C"/>
    <w:rsid w:val="2554048D"/>
    <w:rsid w:val="255720CE"/>
    <w:rsid w:val="25583467"/>
    <w:rsid w:val="255A694F"/>
    <w:rsid w:val="257451CA"/>
    <w:rsid w:val="25747BEC"/>
    <w:rsid w:val="257C5559"/>
    <w:rsid w:val="259C0E49"/>
    <w:rsid w:val="25AA463B"/>
    <w:rsid w:val="25AA7B9C"/>
    <w:rsid w:val="25B376D8"/>
    <w:rsid w:val="25BD209D"/>
    <w:rsid w:val="25C6523C"/>
    <w:rsid w:val="25C72C92"/>
    <w:rsid w:val="25CD1E0C"/>
    <w:rsid w:val="25E53C37"/>
    <w:rsid w:val="25EC2D81"/>
    <w:rsid w:val="25F26A3F"/>
    <w:rsid w:val="25F74749"/>
    <w:rsid w:val="26084224"/>
    <w:rsid w:val="261E5109"/>
    <w:rsid w:val="263045C1"/>
    <w:rsid w:val="263C041A"/>
    <w:rsid w:val="26414AD3"/>
    <w:rsid w:val="26515C4B"/>
    <w:rsid w:val="265A3DAB"/>
    <w:rsid w:val="26603F82"/>
    <w:rsid w:val="26701DA2"/>
    <w:rsid w:val="267047E0"/>
    <w:rsid w:val="26725F02"/>
    <w:rsid w:val="268655BD"/>
    <w:rsid w:val="26A27421"/>
    <w:rsid w:val="26BE19EF"/>
    <w:rsid w:val="26C47410"/>
    <w:rsid w:val="26C63C01"/>
    <w:rsid w:val="26F76A82"/>
    <w:rsid w:val="2706498E"/>
    <w:rsid w:val="270F1E90"/>
    <w:rsid w:val="271C2272"/>
    <w:rsid w:val="27206D38"/>
    <w:rsid w:val="27242576"/>
    <w:rsid w:val="27256ABB"/>
    <w:rsid w:val="272E4A5A"/>
    <w:rsid w:val="275478A0"/>
    <w:rsid w:val="27561C28"/>
    <w:rsid w:val="2766241B"/>
    <w:rsid w:val="277057A2"/>
    <w:rsid w:val="277435EF"/>
    <w:rsid w:val="277B4318"/>
    <w:rsid w:val="277E00CF"/>
    <w:rsid w:val="278E27EC"/>
    <w:rsid w:val="27AA752F"/>
    <w:rsid w:val="27BF4E6F"/>
    <w:rsid w:val="27C077EE"/>
    <w:rsid w:val="27CA5C74"/>
    <w:rsid w:val="27CD1C92"/>
    <w:rsid w:val="27D21671"/>
    <w:rsid w:val="27D761F3"/>
    <w:rsid w:val="27E41307"/>
    <w:rsid w:val="27E84F11"/>
    <w:rsid w:val="27FE2AE4"/>
    <w:rsid w:val="2819130E"/>
    <w:rsid w:val="28212BE6"/>
    <w:rsid w:val="282348AE"/>
    <w:rsid w:val="282429E8"/>
    <w:rsid w:val="28372B7F"/>
    <w:rsid w:val="283D462B"/>
    <w:rsid w:val="28433F5A"/>
    <w:rsid w:val="286D5F65"/>
    <w:rsid w:val="2877641E"/>
    <w:rsid w:val="288E4AD2"/>
    <w:rsid w:val="289654D2"/>
    <w:rsid w:val="28996143"/>
    <w:rsid w:val="28A41347"/>
    <w:rsid w:val="28A45D52"/>
    <w:rsid w:val="28A6098D"/>
    <w:rsid w:val="28B1127A"/>
    <w:rsid w:val="28C17F3F"/>
    <w:rsid w:val="28C30571"/>
    <w:rsid w:val="28C522F5"/>
    <w:rsid w:val="28CC5921"/>
    <w:rsid w:val="28CF45C2"/>
    <w:rsid w:val="28E51233"/>
    <w:rsid w:val="28EA5D1E"/>
    <w:rsid w:val="28EB60FB"/>
    <w:rsid w:val="28F034B1"/>
    <w:rsid w:val="29055BE8"/>
    <w:rsid w:val="29206EB8"/>
    <w:rsid w:val="2924703F"/>
    <w:rsid w:val="29331E56"/>
    <w:rsid w:val="295029C0"/>
    <w:rsid w:val="29595666"/>
    <w:rsid w:val="29672352"/>
    <w:rsid w:val="297E4AA6"/>
    <w:rsid w:val="29874881"/>
    <w:rsid w:val="298C0CFB"/>
    <w:rsid w:val="29956099"/>
    <w:rsid w:val="29984254"/>
    <w:rsid w:val="299A15AC"/>
    <w:rsid w:val="299F5B4C"/>
    <w:rsid w:val="29B87E05"/>
    <w:rsid w:val="29C267C8"/>
    <w:rsid w:val="29C711D1"/>
    <w:rsid w:val="29C921BE"/>
    <w:rsid w:val="29CA304E"/>
    <w:rsid w:val="29D027E9"/>
    <w:rsid w:val="29D11C10"/>
    <w:rsid w:val="29E325E0"/>
    <w:rsid w:val="29E9242B"/>
    <w:rsid w:val="29FA2169"/>
    <w:rsid w:val="2A0C2FBE"/>
    <w:rsid w:val="2A157A9D"/>
    <w:rsid w:val="2A196B2E"/>
    <w:rsid w:val="2A1F3798"/>
    <w:rsid w:val="2A221581"/>
    <w:rsid w:val="2A2A506B"/>
    <w:rsid w:val="2A3A0890"/>
    <w:rsid w:val="2A452503"/>
    <w:rsid w:val="2A5C588F"/>
    <w:rsid w:val="2A60593D"/>
    <w:rsid w:val="2A661523"/>
    <w:rsid w:val="2A702666"/>
    <w:rsid w:val="2A8157B7"/>
    <w:rsid w:val="2A8A3AC2"/>
    <w:rsid w:val="2AA37048"/>
    <w:rsid w:val="2AA73F5B"/>
    <w:rsid w:val="2ABC79FE"/>
    <w:rsid w:val="2AD86C74"/>
    <w:rsid w:val="2AE40C76"/>
    <w:rsid w:val="2AF76EC3"/>
    <w:rsid w:val="2B063D47"/>
    <w:rsid w:val="2B1A7609"/>
    <w:rsid w:val="2B4150BC"/>
    <w:rsid w:val="2B551472"/>
    <w:rsid w:val="2B5D20D7"/>
    <w:rsid w:val="2B635B8E"/>
    <w:rsid w:val="2B650BFF"/>
    <w:rsid w:val="2B681D4E"/>
    <w:rsid w:val="2B7230CF"/>
    <w:rsid w:val="2B7F6AA6"/>
    <w:rsid w:val="2B8C5686"/>
    <w:rsid w:val="2BA936A8"/>
    <w:rsid w:val="2BAE78BE"/>
    <w:rsid w:val="2BB21574"/>
    <w:rsid w:val="2BC001EF"/>
    <w:rsid w:val="2BDA2BE9"/>
    <w:rsid w:val="2BDB0346"/>
    <w:rsid w:val="2BE544AF"/>
    <w:rsid w:val="2BEF71CD"/>
    <w:rsid w:val="2BFD6193"/>
    <w:rsid w:val="2BFF4235"/>
    <w:rsid w:val="2C015FA1"/>
    <w:rsid w:val="2C03675B"/>
    <w:rsid w:val="2C2172C4"/>
    <w:rsid w:val="2C2227A9"/>
    <w:rsid w:val="2C2A71DF"/>
    <w:rsid w:val="2C315A5A"/>
    <w:rsid w:val="2C352AE3"/>
    <w:rsid w:val="2C380536"/>
    <w:rsid w:val="2C3F0980"/>
    <w:rsid w:val="2C4B1C25"/>
    <w:rsid w:val="2C5013C8"/>
    <w:rsid w:val="2C7A5161"/>
    <w:rsid w:val="2C7F5513"/>
    <w:rsid w:val="2C804CF0"/>
    <w:rsid w:val="2CA8587C"/>
    <w:rsid w:val="2CCB448B"/>
    <w:rsid w:val="2CCB74C4"/>
    <w:rsid w:val="2CCE400E"/>
    <w:rsid w:val="2CD43D82"/>
    <w:rsid w:val="2CE75EFB"/>
    <w:rsid w:val="2D057796"/>
    <w:rsid w:val="2D0B5263"/>
    <w:rsid w:val="2D3B242A"/>
    <w:rsid w:val="2D4B7572"/>
    <w:rsid w:val="2D6411C6"/>
    <w:rsid w:val="2D685B7D"/>
    <w:rsid w:val="2D9E56F5"/>
    <w:rsid w:val="2DBC5704"/>
    <w:rsid w:val="2DBF20FD"/>
    <w:rsid w:val="2DC21BE6"/>
    <w:rsid w:val="2DD12EF5"/>
    <w:rsid w:val="2DDC27D6"/>
    <w:rsid w:val="2DE00429"/>
    <w:rsid w:val="2DE00DB5"/>
    <w:rsid w:val="2E150D8F"/>
    <w:rsid w:val="2E180D1D"/>
    <w:rsid w:val="2E1B14D5"/>
    <w:rsid w:val="2E364CEC"/>
    <w:rsid w:val="2E3C6EB4"/>
    <w:rsid w:val="2E614172"/>
    <w:rsid w:val="2E64435B"/>
    <w:rsid w:val="2E667F96"/>
    <w:rsid w:val="2E714643"/>
    <w:rsid w:val="2E8226AB"/>
    <w:rsid w:val="2E907229"/>
    <w:rsid w:val="2E966FC3"/>
    <w:rsid w:val="2E9718D0"/>
    <w:rsid w:val="2EB211B1"/>
    <w:rsid w:val="2EBF14DA"/>
    <w:rsid w:val="2EDB30C0"/>
    <w:rsid w:val="2EE033F6"/>
    <w:rsid w:val="2EE164B3"/>
    <w:rsid w:val="2EE419E4"/>
    <w:rsid w:val="2EE85C04"/>
    <w:rsid w:val="2EFE4B29"/>
    <w:rsid w:val="2F177EEF"/>
    <w:rsid w:val="2F1B7A19"/>
    <w:rsid w:val="2F1E2880"/>
    <w:rsid w:val="2F1E633B"/>
    <w:rsid w:val="2F233201"/>
    <w:rsid w:val="2F430CAD"/>
    <w:rsid w:val="2F513F5E"/>
    <w:rsid w:val="2F5312CA"/>
    <w:rsid w:val="2F546693"/>
    <w:rsid w:val="2F5D26AF"/>
    <w:rsid w:val="2F6E2AC5"/>
    <w:rsid w:val="2F7E14B4"/>
    <w:rsid w:val="2F857A27"/>
    <w:rsid w:val="2F862310"/>
    <w:rsid w:val="2F880E3D"/>
    <w:rsid w:val="2FA0098D"/>
    <w:rsid w:val="2FA57DEE"/>
    <w:rsid w:val="2FC751AB"/>
    <w:rsid w:val="2FCB7EE9"/>
    <w:rsid w:val="2FD065E6"/>
    <w:rsid w:val="2FD96870"/>
    <w:rsid w:val="2FDA1A73"/>
    <w:rsid w:val="2FDC7C2B"/>
    <w:rsid w:val="300872A7"/>
    <w:rsid w:val="30317A91"/>
    <w:rsid w:val="30342AD7"/>
    <w:rsid w:val="3036514F"/>
    <w:rsid w:val="303F76A1"/>
    <w:rsid w:val="30471B22"/>
    <w:rsid w:val="305212F9"/>
    <w:rsid w:val="30580BC9"/>
    <w:rsid w:val="305F3739"/>
    <w:rsid w:val="306132D7"/>
    <w:rsid w:val="306E79D7"/>
    <w:rsid w:val="30790E83"/>
    <w:rsid w:val="30877155"/>
    <w:rsid w:val="30A47FBE"/>
    <w:rsid w:val="30AB6C95"/>
    <w:rsid w:val="30AD3CE8"/>
    <w:rsid w:val="30B312FD"/>
    <w:rsid w:val="30BA47CC"/>
    <w:rsid w:val="30CB78A0"/>
    <w:rsid w:val="30CD6C7A"/>
    <w:rsid w:val="30DE49A6"/>
    <w:rsid w:val="3100221F"/>
    <w:rsid w:val="311E2ED7"/>
    <w:rsid w:val="31242BF5"/>
    <w:rsid w:val="312F0053"/>
    <w:rsid w:val="313917B9"/>
    <w:rsid w:val="314C1D55"/>
    <w:rsid w:val="315619EE"/>
    <w:rsid w:val="315C08D0"/>
    <w:rsid w:val="315C449C"/>
    <w:rsid w:val="316D3DD0"/>
    <w:rsid w:val="316E4F81"/>
    <w:rsid w:val="31A66B48"/>
    <w:rsid w:val="31B1314C"/>
    <w:rsid w:val="31B82709"/>
    <w:rsid w:val="31D05482"/>
    <w:rsid w:val="31F22952"/>
    <w:rsid w:val="32010E07"/>
    <w:rsid w:val="320F30FF"/>
    <w:rsid w:val="321E5B2C"/>
    <w:rsid w:val="3229167D"/>
    <w:rsid w:val="322A2581"/>
    <w:rsid w:val="32326A3E"/>
    <w:rsid w:val="32333054"/>
    <w:rsid w:val="323C5320"/>
    <w:rsid w:val="32400B34"/>
    <w:rsid w:val="324D7E6B"/>
    <w:rsid w:val="32584AA6"/>
    <w:rsid w:val="325F245E"/>
    <w:rsid w:val="32646F7B"/>
    <w:rsid w:val="326660F9"/>
    <w:rsid w:val="326A2ABD"/>
    <w:rsid w:val="326B7C1E"/>
    <w:rsid w:val="32723FFE"/>
    <w:rsid w:val="32747F69"/>
    <w:rsid w:val="327510C5"/>
    <w:rsid w:val="32754CDC"/>
    <w:rsid w:val="328B5B24"/>
    <w:rsid w:val="329C5042"/>
    <w:rsid w:val="329E6876"/>
    <w:rsid w:val="329F2A37"/>
    <w:rsid w:val="329F700C"/>
    <w:rsid w:val="32B53E6C"/>
    <w:rsid w:val="32C6175D"/>
    <w:rsid w:val="32C748FB"/>
    <w:rsid w:val="32D3443E"/>
    <w:rsid w:val="32E263B0"/>
    <w:rsid w:val="32E52720"/>
    <w:rsid w:val="32E76225"/>
    <w:rsid w:val="32F142F3"/>
    <w:rsid w:val="32F33BEB"/>
    <w:rsid w:val="33002EBF"/>
    <w:rsid w:val="33023519"/>
    <w:rsid w:val="331671D1"/>
    <w:rsid w:val="332A1ECC"/>
    <w:rsid w:val="333015F2"/>
    <w:rsid w:val="33324ED9"/>
    <w:rsid w:val="33331303"/>
    <w:rsid w:val="334B6320"/>
    <w:rsid w:val="334C501A"/>
    <w:rsid w:val="335009FF"/>
    <w:rsid w:val="33590EC3"/>
    <w:rsid w:val="336C0A45"/>
    <w:rsid w:val="3376528C"/>
    <w:rsid w:val="338069F5"/>
    <w:rsid w:val="33863119"/>
    <w:rsid w:val="339436CC"/>
    <w:rsid w:val="33A17E31"/>
    <w:rsid w:val="33A6639C"/>
    <w:rsid w:val="33B65581"/>
    <w:rsid w:val="33BD1630"/>
    <w:rsid w:val="33BF4A47"/>
    <w:rsid w:val="33D934D4"/>
    <w:rsid w:val="33E60D63"/>
    <w:rsid w:val="33ED7470"/>
    <w:rsid w:val="33F23E21"/>
    <w:rsid w:val="33FE2F6A"/>
    <w:rsid w:val="33FF5023"/>
    <w:rsid w:val="3402589D"/>
    <w:rsid w:val="340E07E5"/>
    <w:rsid w:val="341419FC"/>
    <w:rsid w:val="341F347B"/>
    <w:rsid w:val="34210802"/>
    <w:rsid w:val="34235BF7"/>
    <w:rsid w:val="34394232"/>
    <w:rsid w:val="34471B5D"/>
    <w:rsid w:val="34684465"/>
    <w:rsid w:val="348D0A61"/>
    <w:rsid w:val="34967B08"/>
    <w:rsid w:val="34AB1292"/>
    <w:rsid w:val="34C00A4F"/>
    <w:rsid w:val="34EC79AA"/>
    <w:rsid w:val="34F42E0D"/>
    <w:rsid w:val="34F452A6"/>
    <w:rsid w:val="34F53213"/>
    <w:rsid w:val="35081F3D"/>
    <w:rsid w:val="351865FB"/>
    <w:rsid w:val="35195434"/>
    <w:rsid w:val="351D4AFE"/>
    <w:rsid w:val="35310EB8"/>
    <w:rsid w:val="353A6488"/>
    <w:rsid w:val="35482946"/>
    <w:rsid w:val="355A2304"/>
    <w:rsid w:val="355C48AD"/>
    <w:rsid w:val="35690123"/>
    <w:rsid w:val="35747E49"/>
    <w:rsid w:val="358C5FA8"/>
    <w:rsid w:val="358C7DD9"/>
    <w:rsid w:val="35990E90"/>
    <w:rsid w:val="35B53FBE"/>
    <w:rsid w:val="35C15DF1"/>
    <w:rsid w:val="35EF6F7B"/>
    <w:rsid w:val="35F81E79"/>
    <w:rsid w:val="36074A7F"/>
    <w:rsid w:val="36111672"/>
    <w:rsid w:val="363270D4"/>
    <w:rsid w:val="365446AE"/>
    <w:rsid w:val="365962C2"/>
    <w:rsid w:val="36637DF7"/>
    <w:rsid w:val="366A17E9"/>
    <w:rsid w:val="366B4446"/>
    <w:rsid w:val="36825B46"/>
    <w:rsid w:val="36923549"/>
    <w:rsid w:val="36936F78"/>
    <w:rsid w:val="36A35226"/>
    <w:rsid w:val="36AC532E"/>
    <w:rsid w:val="36B75FBF"/>
    <w:rsid w:val="36BB4BEF"/>
    <w:rsid w:val="36BD0C45"/>
    <w:rsid w:val="36C317D1"/>
    <w:rsid w:val="36C62CCE"/>
    <w:rsid w:val="36C92A4D"/>
    <w:rsid w:val="36E0535C"/>
    <w:rsid w:val="36E71C45"/>
    <w:rsid w:val="36EC1645"/>
    <w:rsid w:val="36ED663C"/>
    <w:rsid w:val="37006F78"/>
    <w:rsid w:val="370D41E5"/>
    <w:rsid w:val="371F6892"/>
    <w:rsid w:val="37290083"/>
    <w:rsid w:val="37332FDB"/>
    <w:rsid w:val="373502DF"/>
    <w:rsid w:val="373D1DF0"/>
    <w:rsid w:val="373F1640"/>
    <w:rsid w:val="37535FEA"/>
    <w:rsid w:val="375D2B5F"/>
    <w:rsid w:val="375F65A0"/>
    <w:rsid w:val="376C0584"/>
    <w:rsid w:val="377662ED"/>
    <w:rsid w:val="377C3BAD"/>
    <w:rsid w:val="377F7324"/>
    <w:rsid w:val="378E5F24"/>
    <w:rsid w:val="379E3B3D"/>
    <w:rsid w:val="37A64D4C"/>
    <w:rsid w:val="37AB3241"/>
    <w:rsid w:val="37B05B56"/>
    <w:rsid w:val="37BC0601"/>
    <w:rsid w:val="37C021F0"/>
    <w:rsid w:val="37C15BF0"/>
    <w:rsid w:val="37E00298"/>
    <w:rsid w:val="37E36B18"/>
    <w:rsid w:val="37E816EA"/>
    <w:rsid w:val="37F0181D"/>
    <w:rsid w:val="37F35B84"/>
    <w:rsid w:val="37F378CE"/>
    <w:rsid w:val="382F0057"/>
    <w:rsid w:val="383A0F13"/>
    <w:rsid w:val="384B1B1D"/>
    <w:rsid w:val="384C2DFB"/>
    <w:rsid w:val="385F0138"/>
    <w:rsid w:val="38670D13"/>
    <w:rsid w:val="386F03C9"/>
    <w:rsid w:val="38826D3F"/>
    <w:rsid w:val="388A06A6"/>
    <w:rsid w:val="3897618D"/>
    <w:rsid w:val="389E1315"/>
    <w:rsid w:val="389F4AE8"/>
    <w:rsid w:val="38A42C60"/>
    <w:rsid w:val="38B302F9"/>
    <w:rsid w:val="38BA085F"/>
    <w:rsid w:val="38BA5A1A"/>
    <w:rsid w:val="38BF3566"/>
    <w:rsid w:val="38DC112C"/>
    <w:rsid w:val="38E22C87"/>
    <w:rsid w:val="38E47094"/>
    <w:rsid w:val="38F12CD3"/>
    <w:rsid w:val="38F94775"/>
    <w:rsid w:val="392971ED"/>
    <w:rsid w:val="392B114C"/>
    <w:rsid w:val="392B373D"/>
    <w:rsid w:val="393071D0"/>
    <w:rsid w:val="39325651"/>
    <w:rsid w:val="393345E3"/>
    <w:rsid w:val="39626784"/>
    <w:rsid w:val="39654E57"/>
    <w:rsid w:val="39713281"/>
    <w:rsid w:val="39894CD8"/>
    <w:rsid w:val="3994387C"/>
    <w:rsid w:val="399A6B6A"/>
    <w:rsid w:val="39AB2A00"/>
    <w:rsid w:val="39D028F0"/>
    <w:rsid w:val="39ED203D"/>
    <w:rsid w:val="39F14C97"/>
    <w:rsid w:val="39F218E4"/>
    <w:rsid w:val="39F350B4"/>
    <w:rsid w:val="39F66177"/>
    <w:rsid w:val="39FE66A1"/>
    <w:rsid w:val="3A115F55"/>
    <w:rsid w:val="3A153577"/>
    <w:rsid w:val="3A265E9B"/>
    <w:rsid w:val="3A2B6716"/>
    <w:rsid w:val="3A341A43"/>
    <w:rsid w:val="3A50737A"/>
    <w:rsid w:val="3A624D8E"/>
    <w:rsid w:val="3A67020B"/>
    <w:rsid w:val="3A6A20CD"/>
    <w:rsid w:val="3A7255E4"/>
    <w:rsid w:val="3A810316"/>
    <w:rsid w:val="3A872856"/>
    <w:rsid w:val="3AA9055B"/>
    <w:rsid w:val="3ABC519E"/>
    <w:rsid w:val="3AEE4ED7"/>
    <w:rsid w:val="3AEF2316"/>
    <w:rsid w:val="3B023277"/>
    <w:rsid w:val="3B0F751E"/>
    <w:rsid w:val="3B266EC1"/>
    <w:rsid w:val="3B36645E"/>
    <w:rsid w:val="3B3763D1"/>
    <w:rsid w:val="3B3A743F"/>
    <w:rsid w:val="3B5219C5"/>
    <w:rsid w:val="3B6648A7"/>
    <w:rsid w:val="3B704A7B"/>
    <w:rsid w:val="3B82287D"/>
    <w:rsid w:val="3B9D6F58"/>
    <w:rsid w:val="3BAF7814"/>
    <w:rsid w:val="3BBC06E9"/>
    <w:rsid w:val="3BBE3383"/>
    <w:rsid w:val="3BBF4878"/>
    <w:rsid w:val="3BCD7863"/>
    <w:rsid w:val="3BD50F16"/>
    <w:rsid w:val="3BFD1BEB"/>
    <w:rsid w:val="3C145657"/>
    <w:rsid w:val="3C2D2600"/>
    <w:rsid w:val="3C2F6E1E"/>
    <w:rsid w:val="3C461545"/>
    <w:rsid w:val="3C4F64BA"/>
    <w:rsid w:val="3C527B9B"/>
    <w:rsid w:val="3C601BAE"/>
    <w:rsid w:val="3C704E07"/>
    <w:rsid w:val="3C716F2D"/>
    <w:rsid w:val="3C8B0765"/>
    <w:rsid w:val="3C8C7715"/>
    <w:rsid w:val="3CA1529C"/>
    <w:rsid w:val="3CBC0755"/>
    <w:rsid w:val="3CCE2028"/>
    <w:rsid w:val="3CD601B2"/>
    <w:rsid w:val="3CD94794"/>
    <w:rsid w:val="3CDA245A"/>
    <w:rsid w:val="3CDE35EB"/>
    <w:rsid w:val="3CF35813"/>
    <w:rsid w:val="3CF60DAD"/>
    <w:rsid w:val="3CF872F7"/>
    <w:rsid w:val="3D125778"/>
    <w:rsid w:val="3D15338A"/>
    <w:rsid w:val="3D1E06B7"/>
    <w:rsid w:val="3D237180"/>
    <w:rsid w:val="3D2A0F44"/>
    <w:rsid w:val="3D2E0B81"/>
    <w:rsid w:val="3D2E3161"/>
    <w:rsid w:val="3D3D6662"/>
    <w:rsid w:val="3D64052C"/>
    <w:rsid w:val="3D687187"/>
    <w:rsid w:val="3D6A38DF"/>
    <w:rsid w:val="3D704367"/>
    <w:rsid w:val="3D7F14C0"/>
    <w:rsid w:val="3D904A9D"/>
    <w:rsid w:val="3DB76B97"/>
    <w:rsid w:val="3DC626AF"/>
    <w:rsid w:val="3DDF4B5B"/>
    <w:rsid w:val="3DEB3981"/>
    <w:rsid w:val="3E027FBC"/>
    <w:rsid w:val="3E111EB9"/>
    <w:rsid w:val="3E150198"/>
    <w:rsid w:val="3E190B32"/>
    <w:rsid w:val="3E1A77AF"/>
    <w:rsid w:val="3E1C621A"/>
    <w:rsid w:val="3E22447A"/>
    <w:rsid w:val="3E235CFC"/>
    <w:rsid w:val="3E3509C0"/>
    <w:rsid w:val="3E3916D5"/>
    <w:rsid w:val="3E66095B"/>
    <w:rsid w:val="3E755E70"/>
    <w:rsid w:val="3E796248"/>
    <w:rsid w:val="3E7C4720"/>
    <w:rsid w:val="3E8A736B"/>
    <w:rsid w:val="3E931F88"/>
    <w:rsid w:val="3E965108"/>
    <w:rsid w:val="3EA12B91"/>
    <w:rsid w:val="3EA321C1"/>
    <w:rsid w:val="3EA51073"/>
    <w:rsid w:val="3EB56158"/>
    <w:rsid w:val="3EB81880"/>
    <w:rsid w:val="3ED12DB5"/>
    <w:rsid w:val="3ED2719A"/>
    <w:rsid w:val="3EDA0523"/>
    <w:rsid w:val="3F0B4D50"/>
    <w:rsid w:val="3F192EEC"/>
    <w:rsid w:val="3F1930D0"/>
    <w:rsid w:val="3F1A0D9A"/>
    <w:rsid w:val="3F330399"/>
    <w:rsid w:val="3F336D60"/>
    <w:rsid w:val="3F4A021A"/>
    <w:rsid w:val="3F4A130D"/>
    <w:rsid w:val="3F524780"/>
    <w:rsid w:val="3F604F9A"/>
    <w:rsid w:val="3F6524F7"/>
    <w:rsid w:val="3F777C51"/>
    <w:rsid w:val="3F7D4A4F"/>
    <w:rsid w:val="3F84044B"/>
    <w:rsid w:val="3F8873F4"/>
    <w:rsid w:val="3FA03A92"/>
    <w:rsid w:val="3FB01C1C"/>
    <w:rsid w:val="3FB35E29"/>
    <w:rsid w:val="3FC04C01"/>
    <w:rsid w:val="3FCC0881"/>
    <w:rsid w:val="3FD43892"/>
    <w:rsid w:val="3FD77646"/>
    <w:rsid w:val="3FDB74E6"/>
    <w:rsid w:val="3FE84FD6"/>
    <w:rsid w:val="3FED22C7"/>
    <w:rsid w:val="3FEE34AC"/>
    <w:rsid w:val="3FF12099"/>
    <w:rsid w:val="4009735D"/>
    <w:rsid w:val="40277A94"/>
    <w:rsid w:val="402F6566"/>
    <w:rsid w:val="4042060A"/>
    <w:rsid w:val="405454AC"/>
    <w:rsid w:val="405F1B1B"/>
    <w:rsid w:val="406A561F"/>
    <w:rsid w:val="407829DC"/>
    <w:rsid w:val="407A6407"/>
    <w:rsid w:val="409E1611"/>
    <w:rsid w:val="40A027F4"/>
    <w:rsid w:val="40A328BC"/>
    <w:rsid w:val="40A37EF0"/>
    <w:rsid w:val="40AD515B"/>
    <w:rsid w:val="40B92B20"/>
    <w:rsid w:val="40D00013"/>
    <w:rsid w:val="40DC39F8"/>
    <w:rsid w:val="40F90093"/>
    <w:rsid w:val="40FF07E3"/>
    <w:rsid w:val="410827B4"/>
    <w:rsid w:val="41111723"/>
    <w:rsid w:val="411B1420"/>
    <w:rsid w:val="41217905"/>
    <w:rsid w:val="413C26F6"/>
    <w:rsid w:val="415224F4"/>
    <w:rsid w:val="415953C9"/>
    <w:rsid w:val="415B7A66"/>
    <w:rsid w:val="415D4938"/>
    <w:rsid w:val="415E560E"/>
    <w:rsid w:val="41687AEC"/>
    <w:rsid w:val="41822EAA"/>
    <w:rsid w:val="41877F24"/>
    <w:rsid w:val="418A7DA5"/>
    <w:rsid w:val="41923688"/>
    <w:rsid w:val="419E19FC"/>
    <w:rsid w:val="41A7407A"/>
    <w:rsid w:val="41C21F3C"/>
    <w:rsid w:val="41D40F44"/>
    <w:rsid w:val="41D774D7"/>
    <w:rsid w:val="4200449D"/>
    <w:rsid w:val="421E0A2A"/>
    <w:rsid w:val="42381CFC"/>
    <w:rsid w:val="423962F9"/>
    <w:rsid w:val="423A3BCC"/>
    <w:rsid w:val="423B189D"/>
    <w:rsid w:val="424E57D2"/>
    <w:rsid w:val="42821BFB"/>
    <w:rsid w:val="428469AF"/>
    <w:rsid w:val="428C4672"/>
    <w:rsid w:val="42962368"/>
    <w:rsid w:val="42B26C49"/>
    <w:rsid w:val="42B309BC"/>
    <w:rsid w:val="42B3259F"/>
    <w:rsid w:val="42C67BD5"/>
    <w:rsid w:val="42C7022C"/>
    <w:rsid w:val="42DC272B"/>
    <w:rsid w:val="42DE4EC8"/>
    <w:rsid w:val="42F16FE1"/>
    <w:rsid w:val="42F82C41"/>
    <w:rsid w:val="42FF3EEF"/>
    <w:rsid w:val="431A4857"/>
    <w:rsid w:val="43233385"/>
    <w:rsid w:val="43263AAE"/>
    <w:rsid w:val="43303402"/>
    <w:rsid w:val="433A6FE6"/>
    <w:rsid w:val="433E0EC1"/>
    <w:rsid w:val="43480868"/>
    <w:rsid w:val="434E5FC4"/>
    <w:rsid w:val="4350713C"/>
    <w:rsid w:val="435F0420"/>
    <w:rsid w:val="436653E0"/>
    <w:rsid w:val="436D17BE"/>
    <w:rsid w:val="43753ABC"/>
    <w:rsid w:val="438B3352"/>
    <w:rsid w:val="439051A5"/>
    <w:rsid w:val="43A146ED"/>
    <w:rsid w:val="43AE4585"/>
    <w:rsid w:val="43AF64F0"/>
    <w:rsid w:val="43BC7D3C"/>
    <w:rsid w:val="43C4431A"/>
    <w:rsid w:val="43EF365C"/>
    <w:rsid w:val="43F2498B"/>
    <w:rsid w:val="43F6684D"/>
    <w:rsid w:val="43FC5F5C"/>
    <w:rsid w:val="44081F3E"/>
    <w:rsid w:val="440A020D"/>
    <w:rsid w:val="440E593F"/>
    <w:rsid w:val="440E6E5B"/>
    <w:rsid w:val="44122E5C"/>
    <w:rsid w:val="441C4EF4"/>
    <w:rsid w:val="444044AC"/>
    <w:rsid w:val="44453DDE"/>
    <w:rsid w:val="444F14E8"/>
    <w:rsid w:val="445248DC"/>
    <w:rsid w:val="446F5972"/>
    <w:rsid w:val="448E1C9B"/>
    <w:rsid w:val="44B951CC"/>
    <w:rsid w:val="44CD14E0"/>
    <w:rsid w:val="44D02A12"/>
    <w:rsid w:val="44F20B0B"/>
    <w:rsid w:val="450D2D56"/>
    <w:rsid w:val="451B105E"/>
    <w:rsid w:val="451C26BF"/>
    <w:rsid w:val="452E5F4C"/>
    <w:rsid w:val="45425584"/>
    <w:rsid w:val="45612018"/>
    <w:rsid w:val="456F1DCB"/>
    <w:rsid w:val="45782311"/>
    <w:rsid w:val="458946E9"/>
    <w:rsid w:val="458F1CDF"/>
    <w:rsid w:val="45A47C0E"/>
    <w:rsid w:val="45A5546D"/>
    <w:rsid w:val="45A87B74"/>
    <w:rsid w:val="45B32949"/>
    <w:rsid w:val="45B86F7D"/>
    <w:rsid w:val="45BF512A"/>
    <w:rsid w:val="45CB6686"/>
    <w:rsid w:val="45CC4682"/>
    <w:rsid w:val="45D00DCA"/>
    <w:rsid w:val="45D47EA1"/>
    <w:rsid w:val="46022D46"/>
    <w:rsid w:val="46041818"/>
    <w:rsid w:val="46153778"/>
    <w:rsid w:val="462413CE"/>
    <w:rsid w:val="46300513"/>
    <w:rsid w:val="463517B1"/>
    <w:rsid w:val="463C7E0C"/>
    <w:rsid w:val="46577FD6"/>
    <w:rsid w:val="466943F9"/>
    <w:rsid w:val="467328F7"/>
    <w:rsid w:val="46752389"/>
    <w:rsid w:val="467B55C0"/>
    <w:rsid w:val="46BC7C2C"/>
    <w:rsid w:val="46BD618B"/>
    <w:rsid w:val="46C77D5A"/>
    <w:rsid w:val="46D955A7"/>
    <w:rsid w:val="46DF0E9A"/>
    <w:rsid w:val="46EA5F12"/>
    <w:rsid w:val="46EC7868"/>
    <w:rsid w:val="46F25B1C"/>
    <w:rsid w:val="46F663C7"/>
    <w:rsid w:val="46FC750A"/>
    <w:rsid w:val="46FE28F8"/>
    <w:rsid w:val="47133957"/>
    <w:rsid w:val="474178A1"/>
    <w:rsid w:val="47806F3B"/>
    <w:rsid w:val="47824566"/>
    <w:rsid w:val="478B41B1"/>
    <w:rsid w:val="478E67C0"/>
    <w:rsid w:val="47A07E0C"/>
    <w:rsid w:val="47AA76FA"/>
    <w:rsid w:val="47AB205F"/>
    <w:rsid w:val="47B94FC7"/>
    <w:rsid w:val="47BA1A40"/>
    <w:rsid w:val="47BC7EA7"/>
    <w:rsid w:val="47D4106D"/>
    <w:rsid w:val="47D64BB7"/>
    <w:rsid w:val="47EE0969"/>
    <w:rsid w:val="47F0700D"/>
    <w:rsid w:val="47F448D4"/>
    <w:rsid w:val="480C6B77"/>
    <w:rsid w:val="4811577C"/>
    <w:rsid w:val="481A7B76"/>
    <w:rsid w:val="483E25FA"/>
    <w:rsid w:val="48510D90"/>
    <w:rsid w:val="4854741D"/>
    <w:rsid w:val="4870272E"/>
    <w:rsid w:val="488022AC"/>
    <w:rsid w:val="489C22D5"/>
    <w:rsid w:val="489E72CF"/>
    <w:rsid w:val="48A70DF9"/>
    <w:rsid w:val="48AE552F"/>
    <w:rsid w:val="48B0670C"/>
    <w:rsid w:val="48EB6C82"/>
    <w:rsid w:val="48EC79A4"/>
    <w:rsid w:val="48F75EB8"/>
    <w:rsid w:val="49121A5C"/>
    <w:rsid w:val="492F0847"/>
    <w:rsid w:val="49352D2A"/>
    <w:rsid w:val="493B53EE"/>
    <w:rsid w:val="493C7C96"/>
    <w:rsid w:val="493D00FA"/>
    <w:rsid w:val="494303AC"/>
    <w:rsid w:val="49570307"/>
    <w:rsid w:val="4957589A"/>
    <w:rsid w:val="496B5DA8"/>
    <w:rsid w:val="49735551"/>
    <w:rsid w:val="497405A9"/>
    <w:rsid w:val="49832D72"/>
    <w:rsid w:val="498B020B"/>
    <w:rsid w:val="49950486"/>
    <w:rsid w:val="499E44F2"/>
    <w:rsid w:val="49C152C7"/>
    <w:rsid w:val="49C16F7D"/>
    <w:rsid w:val="49CF2C03"/>
    <w:rsid w:val="49D83A7E"/>
    <w:rsid w:val="49DC7715"/>
    <w:rsid w:val="4A023139"/>
    <w:rsid w:val="4A111323"/>
    <w:rsid w:val="4A230024"/>
    <w:rsid w:val="4A433AE3"/>
    <w:rsid w:val="4A5A150F"/>
    <w:rsid w:val="4A6B5687"/>
    <w:rsid w:val="4A6F2D0E"/>
    <w:rsid w:val="4A756146"/>
    <w:rsid w:val="4A7B576F"/>
    <w:rsid w:val="4AB46D7B"/>
    <w:rsid w:val="4ABA05C6"/>
    <w:rsid w:val="4ABB0E3F"/>
    <w:rsid w:val="4ABD172A"/>
    <w:rsid w:val="4AC05C8B"/>
    <w:rsid w:val="4AC5624A"/>
    <w:rsid w:val="4ACA5262"/>
    <w:rsid w:val="4ADE4D13"/>
    <w:rsid w:val="4AE4031D"/>
    <w:rsid w:val="4AE47571"/>
    <w:rsid w:val="4AEF7DFC"/>
    <w:rsid w:val="4AF561A9"/>
    <w:rsid w:val="4AFE7DC8"/>
    <w:rsid w:val="4B005A41"/>
    <w:rsid w:val="4B16180F"/>
    <w:rsid w:val="4B1A1D6F"/>
    <w:rsid w:val="4B252D47"/>
    <w:rsid w:val="4B5F0966"/>
    <w:rsid w:val="4B68367F"/>
    <w:rsid w:val="4B712460"/>
    <w:rsid w:val="4B7C735F"/>
    <w:rsid w:val="4B83388B"/>
    <w:rsid w:val="4B982309"/>
    <w:rsid w:val="4BA00D6D"/>
    <w:rsid w:val="4BA0745A"/>
    <w:rsid w:val="4BA93423"/>
    <w:rsid w:val="4BB613A0"/>
    <w:rsid w:val="4BBB0A8E"/>
    <w:rsid w:val="4BDA4326"/>
    <w:rsid w:val="4BDC7C29"/>
    <w:rsid w:val="4BE4795E"/>
    <w:rsid w:val="4BE55FAA"/>
    <w:rsid w:val="4BEF4ED3"/>
    <w:rsid w:val="4BF110AE"/>
    <w:rsid w:val="4C250800"/>
    <w:rsid w:val="4C3F61DB"/>
    <w:rsid w:val="4C4A0649"/>
    <w:rsid w:val="4C666B82"/>
    <w:rsid w:val="4C734212"/>
    <w:rsid w:val="4C7E5ECA"/>
    <w:rsid w:val="4C8627B7"/>
    <w:rsid w:val="4C876AA5"/>
    <w:rsid w:val="4C981302"/>
    <w:rsid w:val="4C9A70F8"/>
    <w:rsid w:val="4CA344ED"/>
    <w:rsid w:val="4CA56486"/>
    <w:rsid w:val="4CAF48F3"/>
    <w:rsid w:val="4CB07B52"/>
    <w:rsid w:val="4CC61408"/>
    <w:rsid w:val="4CDA6313"/>
    <w:rsid w:val="4CE94A25"/>
    <w:rsid w:val="4CEB49DE"/>
    <w:rsid w:val="4CF05253"/>
    <w:rsid w:val="4CFC2039"/>
    <w:rsid w:val="4D0E00FB"/>
    <w:rsid w:val="4D176606"/>
    <w:rsid w:val="4D180C96"/>
    <w:rsid w:val="4D23789B"/>
    <w:rsid w:val="4D291E69"/>
    <w:rsid w:val="4D327E0D"/>
    <w:rsid w:val="4D49453C"/>
    <w:rsid w:val="4D55176F"/>
    <w:rsid w:val="4D81693E"/>
    <w:rsid w:val="4DAC30C6"/>
    <w:rsid w:val="4DBF2B39"/>
    <w:rsid w:val="4DC077B7"/>
    <w:rsid w:val="4DC35D0E"/>
    <w:rsid w:val="4DEC1494"/>
    <w:rsid w:val="4DEC4FB0"/>
    <w:rsid w:val="4DF739FA"/>
    <w:rsid w:val="4DF76FB7"/>
    <w:rsid w:val="4DFF0171"/>
    <w:rsid w:val="4E075D8A"/>
    <w:rsid w:val="4E1635D3"/>
    <w:rsid w:val="4E182C90"/>
    <w:rsid w:val="4E216CB9"/>
    <w:rsid w:val="4E245E81"/>
    <w:rsid w:val="4E323226"/>
    <w:rsid w:val="4E3E6E4C"/>
    <w:rsid w:val="4E4A2915"/>
    <w:rsid w:val="4E756ED9"/>
    <w:rsid w:val="4E814C9F"/>
    <w:rsid w:val="4E916F1E"/>
    <w:rsid w:val="4EC00FAD"/>
    <w:rsid w:val="4EC54E1A"/>
    <w:rsid w:val="4ED55E9F"/>
    <w:rsid w:val="4EDA1030"/>
    <w:rsid w:val="4EDD5402"/>
    <w:rsid w:val="4EEE648A"/>
    <w:rsid w:val="4EFD2805"/>
    <w:rsid w:val="4F155DA1"/>
    <w:rsid w:val="4F2477BC"/>
    <w:rsid w:val="4F2527B2"/>
    <w:rsid w:val="4F3C796C"/>
    <w:rsid w:val="4F3F5D58"/>
    <w:rsid w:val="4F5103EF"/>
    <w:rsid w:val="4F5B662C"/>
    <w:rsid w:val="4F852102"/>
    <w:rsid w:val="4F9843DC"/>
    <w:rsid w:val="4F9F176C"/>
    <w:rsid w:val="4FB05716"/>
    <w:rsid w:val="4FB905DC"/>
    <w:rsid w:val="4FC35BA0"/>
    <w:rsid w:val="4FC60B02"/>
    <w:rsid w:val="4FC62A8C"/>
    <w:rsid w:val="4FCD3A37"/>
    <w:rsid w:val="4FCE4AC1"/>
    <w:rsid w:val="4FDF0F5F"/>
    <w:rsid w:val="4FE20F0D"/>
    <w:rsid w:val="4FE51552"/>
    <w:rsid w:val="4FED431A"/>
    <w:rsid w:val="4FF57978"/>
    <w:rsid w:val="4FFA7C32"/>
    <w:rsid w:val="501041E8"/>
    <w:rsid w:val="501C7586"/>
    <w:rsid w:val="502F2D6A"/>
    <w:rsid w:val="50401BD8"/>
    <w:rsid w:val="50504C4B"/>
    <w:rsid w:val="505112DE"/>
    <w:rsid w:val="505D193A"/>
    <w:rsid w:val="507951AB"/>
    <w:rsid w:val="507A609F"/>
    <w:rsid w:val="507B582D"/>
    <w:rsid w:val="508E5E86"/>
    <w:rsid w:val="50926885"/>
    <w:rsid w:val="50982119"/>
    <w:rsid w:val="509C6E7C"/>
    <w:rsid w:val="50A15D38"/>
    <w:rsid w:val="50B4609D"/>
    <w:rsid w:val="50B92FA0"/>
    <w:rsid w:val="50BA3352"/>
    <w:rsid w:val="50D26346"/>
    <w:rsid w:val="50D33672"/>
    <w:rsid w:val="50D71560"/>
    <w:rsid w:val="50EB4A16"/>
    <w:rsid w:val="50F0582A"/>
    <w:rsid w:val="51237840"/>
    <w:rsid w:val="51356719"/>
    <w:rsid w:val="513B2E3F"/>
    <w:rsid w:val="513B39C3"/>
    <w:rsid w:val="514336F4"/>
    <w:rsid w:val="51527314"/>
    <w:rsid w:val="51573204"/>
    <w:rsid w:val="5162104E"/>
    <w:rsid w:val="516517AA"/>
    <w:rsid w:val="516F40A3"/>
    <w:rsid w:val="51715353"/>
    <w:rsid w:val="51840591"/>
    <w:rsid w:val="518965D2"/>
    <w:rsid w:val="51AE3DCE"/>
    <w:rsid w:val="51B50C7C"/>
    <w:rsid w:val="51BD0A28"/>
    <w:rsid w:val="51BD2EC4"/>
    <w:rsid w:val="51C12673"/>
    <w:rsid w:val="51C563BD"/>
    <w:rsid w:val="51D75170"/>
    <w:rsid w:val="51FD7E1B"/>
    <w:rsid w:val="51FF4E52"/>
    <w:rsid w:val="52050D0B"/>
    <w:rsid w:val="52050E71"/>
    <w:rsid w:val="520B112E"/>
    <w:rsid w:val="52163C56"/>
    <w:rsid w:val="521D5857"/>
    <w:rsid w:val="52347F9D"/>
    <w:rsid w:val="523A6F62"/>
    <w:rsid w:val="524D5726"/>
    <w:rsid w:val="52A05CBC"/>
    <w:rsid w:val="52A94EB5"/>
    <w:rsid w:val="52D416C2"/>
    <w:rsid w:val="52D67C67"/>
    <w:rsid w:val="52E84E13"/>
    <w:rsid w:val="52EA0A49"/>
    <w:rsid w:val="52EF4254"/>
    <w:rsid w:val="52F201A7"/>
    <w:rsid w:val="52F52D66"/>
    <w:rsid w:val="53055AB2"/>
    <w:rsid w:val="530F10DD"/>
    <w:rsid w:val="53117154"/>
    <w:rsid w:val="532965BF"/>
    <w:rsid w:val="532B7DA1"/>
    <w:rsid w:val="532F31A9"/>
    <w:rsid w:val="53371DDC"/>
    <w:rsid w:val="533A4B08"/>
    <w:rsid w:val="533F163E"/>
    <w:rsid w:val="534B7B22"/>
    <w:rsid w:val="535A2BFE"/>
    <w:rsid w:val="5369491A"/>
    <w:rsid w:val="53A039CC"/>
    <w:rsid w:val="53A1505A"/>
    <w:rsid w:val="53AC1E2D"/>
    <w:rsid w:val="53AD4078"/>
    <w:rsid w:val="53BD706B"/>
    <w:rsid w:val="53BE3069"/>
    <w:rsid w:val="53C42979"/>
    <w:rsid w:val="53CC09F8"/>
    <w:rsid w:val="53D27F2B"/>
    <w:rsid w:val="53D77AC9"/>
    <w:rsid w:val="53DC3F16"/>
    <w:rsid w:val="54035EB3"/>
    <w:rsid w:val="54046D48"/>
    <w:rsid w:val="54063E08"/>
    <w:rsid w:val="54142F84"/>
    <w:rsid w:val="542D73A8"/>
    <w:rsid w:val="543437E8"/>
    <w:rsid w:val="544646BF"/>
    <w:rsid w:val="54544D26"/>
    <w:rsid w:val="545C4D78"/>
    <w:rsid w:val="545D7833"/>
    <w:rsid w:val="546128F7"/>
    <w:rsid w:val="5480138F"/>
    <w:rsid w:val="54846115"/>
    <w:rsid w:val="54870F73"/>
    <w:rsid w:val="54925AF1"/>
    <w:rsid w:val="54A25AB5"/>
    <w:rsid w:val="54A76044"/>
    <w:rsid w:val="54BB1450"/>
    <w:rsid w:val="54C74921"/>
    <w:rsid w:val="54CB51C1"/>
    <w:rsid w:val="54CC57B4"/>
    <w:rsid w:val="54DC28B2"/>
    <w:rsid w:val="54F73313"/>
    <w:rsid w:val="54F80955"/>
    <w:rsid w:val="54FE3882"/>
    <w:rsid w:val="550A6D4E"/>
    <w:rsid w:val="552C16BC"/>
    <w:rsid w:val="5545108A"/>
    <w:rsid w:val="555170A7"/>
    <w:rsid w:val="55570050"/>
    <w:rsid w:val="555E3E4F"/>
    <w:rsid w:val="5563538C"/>
    <w:rsid w:val="556B4973"/>
    <w:rsid w:val="556F2BDE"/>
    <w:rsid w:val="557229DD"/>
    <w:rsid w:val="557F5A7D"/>
    <w:rsid w:val="557F7201"/>
    <w:rsid w:val="5587536D"/>
    <w:rsid w:val="5593401E"/>
    <w:rsid w:val="559B174B"/>
    <w:rsid w:val="55AC40B5"/>
    <w:rsid w:val="55B4089D"/>
    <w:rsid w:val="55CE0CF4"/>
    <w:rsid w:val="55D519E0"/>
    <w:rsid w:val="55F12B64"/>
    <w:rsid w:val="55F61D5C"/>
    <w:rsid w:val="55F80515"/>
    <w:rsid w:val="55F94446"/>
    <w:rsid w:val="55FC3119"/>
    <w:rsid w:val="560C12DF"/>
    <w:rsid w:val="560F411F"/>
    <w:rsid w:val="56271890"/>
    <w:rsid w:val="562A15EE"/>
    <w:rsid w:val="5632056C"/>
    <w:rsid w:val="56335BD0"/>
    <w:rsid w:val="56454E54"/>
    <w:rsid w:val="56564B9E"/>
    <w:rsid w:val="56630BAD"/>
    <w:rsid w:val="567804D7"/>
    <w:rsid w:val="567F33C8"/>
    <w:rsid w:val="5699524E"/>
    <w:rsid w:val="56A02189"/>
    <w:rsid w:val="56B22A9C"/>
    <w:rsid w:val="56D309FC"/>
    <w:rsid w:val="570861EB"/>
    <w:rsid w:val="57175A46"/>
    <w:rsid w:val="57341025"/>
    <w:rsid w:val="575046D6"/>
    <w:rsid w:val="57590D49"/>
    <w:rsid w:val="575F5559"/>
    <w:rsid w:val="57862A11"/>
    <w:rsid w:val="578B4039"/>
    <w:rsid w:val="57A46D5E"/>
    <w:rsid w:val="57AB379B"/>
    <w:rsid w:val="57B72A76"/>
    <w:rsid w:val="57BA2026"/>
    <w:rsid w:val="57BE53FD"/>
    <w:rsid w:val="57C3426C"/>
    <w:rsid w:val="57CE1F93"/>
    <w:rsid w:val="57F43FFB"/>
    <w:rsid w:val="580E4D47"/>
    <w:rsid w:val="5813350E"/>
    <w:rsid w:val="582665FC"/>
    <w:rsid w:val="58350BFA"/>
    <w:rsid w:val="584F641E"/>
    <w:rsid w:val="58583482"/>
    <w:rsid w:val="587551E6"/>
    <w:rsid w:val="58841510"/>
    <w:rsid w:val="588743D1"/>
    <w:rsid w:val="5887701A"/>
    <w:rsid w:val="58986159"/>
    <w:rsid w:val="58D414A1"/>
    <w:rsid w:val="58DF2A60"/>
    <w:rsid w:val="58E0659B"/>
    <w:rsid w:val="58E73667"/>
    <w:rsid w:val="58EB2143"/>
    <w:rsid w:val="58EC742A"/>
    <w:rsid w:val="59004039"/>
    <w:rsid w:val="590A6A01"/>
    <w:rsid w:val="591F3D3E"/>
    <w:rsid w:val="592819A2"/>
    <w:rsid w:val="594115DE"/>
    <w:rsid w:val="59462D2E"/>
    <w:rsid w:val="595916EE"/>
    <w:rsid w:val="595C3573"/>
    <w:rsid w:val="596A421F"/>
    <w:rsid w:val="596A4BDE"/>
    <w:rsid w:val="596D3404"/>
    <w:rsid w:val="597459BF"/>
    <w:rsid w:val="5976631B"/>
    <w:rsid w:val="59773DC1"/>
    <w:rsid w:val="598002BB"/>
    <w:rsid w:val="59C0439F"/>
    <w:rsid w:val="59D16AA2"/>
    <w:rsid w:val="59E27DFD"/>
    <w:rsid w:val="59ED2407"/>
    <w:rsid w:val="59EE3649"/>
    <w:rsid w:val="59F436CA"/>
    <w:rsid w:val="5A000FE2"/>
    <w:rsid w:val="5A021B41"/>
    <w:rsid w:val="5A100F81"/>
    <w:rsid w:val="5A104EED"/>
    <w:rsid w:val="5A38206C"/>
    <w:rsid w:val="5A4820BF"/>
    <w:rsid w:val="5A4E03B9"/>
    <w:rsid w:val="5A55700B"/>
    <w:rsid w:val="5A696FA1"/>
    <w:rsid w:val="5A7D49E6"/>
    <w:rsid w:val="5A820063"/>
    <w:rsid w:val="5A8D47A6"/>
    <w:rsid w:val="5A9A1CEB"/>
    <w:rsid w:val="5AA463BA"/>
    <w:rsid w:val="5AB32912"/>
    <w:rsid w:val="5ABA39DD"/>
    <w:rsid w:val="5ABC0D1B"/>
    <w:rsid w:val="5ABE2233"/>
    <w:rsid w:val="5AC95C92"/>
    <w:rsid w:val="5AD9029C"/>
    <w:rsid w:val="5AD909D9"/>
    <w:rsid w:val="5ADA6297"/>
    <w:rsid w:val="5AEC7E73"/>
    <w:rsid w:val="5AED382F"/>
    <w:rsid w:val="5AF34ABD"/>
    <w:rsid w:val="5AFB480B"/>
    <w:rsid w:val="5B0177BC"/>
    <w:rsid w:val="5B191EB5"/>
    <w:rsid w:val="5B257677"/>
    <w:rsid w:val="5B2C77FB"/>
    <w:rsid w:val="5B340130"/>
    <w:rsid w:val="5B371F31"/>
    <w:rsid w:val="5B486D5C"/>
    <w:rsid w:val="5B4A42EA"/>
    <w:rsid w:val="5B501821"/>
    <w:rsid w:val="5B59468A"/>
    <w:rsid w:val="5B605FCA"/>
    <w:rsid w:val="5B7B2CDB"/>
    <w:rsid w:val="5B9462A0"/>
    <w:rsid w:val="5BBE6B74"/>
    <w:rsid w:val="5BCA7CAD"/>
    <w:rsid w:val="5BCC76B3"/>
    <w:rsid w:val="5BDF5D95"/>
    <w:rsid w:val="5BF16D0E"/>
    <w:rsid w:val="5BFE7528"/>
    <w:rsid w:val="5C0433DC"/>
    <w:rsid w:val="5C092C50"/>
    <w:rsid w:val="5C141533"/>
    <w:rsid w:val="5C30733F"/>
    <w:rsid w:val="5C341831"/>
    <w:rsid w:val="5C451BA2"/>
    <w:rsid w:val="5C4F3653"/>
    <w:rsid w:val="5C5372C8"/>
    <w:rsid w:val="5C7C43E5"/>
    <w:rsid w:val="5C8563D5"/>
    <w:rsid w:val="5C8F20DB"/>
    <w:rsid w:val="5C94673D"/>
    <w:rsid w:val="5C971446"/>
    <w:rsid w:val="5CB648A7"/>
    <w:rsid w:val="5CB84472"/>
    <w:rsid w:val="5CC805D8"/>
    <w:rsid w:val="5CD2031B"/>
    <w:rsid w:val="5CD673D2"/>
    <w:rsid w:val="5CE750F4"/>
    <w:rsid w:val="5CED2072"/>
    <w:rsid w:val="5CF86274"/>
    <w:rsid w:val="5D0643A6"/>
    <w:rsid w:val="5D0C1FE9"/>
    <w:rsid w:val="5D253BAB"/>
    <w:rsid w:val="5D2567D0"/>
    <w:rsid w:val="5D2B368F"/>
    <w:rsid w:val="5D2B4613"/>
    <w:rsid w:val="5D2C0482"/>
    <w:rsid w:val="5D360BC7"/>
    <w:rsid w:val="5D4F4E7D"/>
    <w:rsid w:val="5D523A09"/>
    <w:rsid w:val="5D594D69"/>
    <w:rsid w:val="5D6A1FAD"/>
    <w:rsid w:val="5D6B3590"/>
    <w:rsid w:val="5D7A10CD"/>
    <w:rsid w:val="5D7B218C"/>
    <w:rsid w:val="5D873945"/>
    <w:rsid w:val="5D93396B"/>
    <w:rsid w:val="5D9434E6"/>
    <w:rsid w:val="5D964CFA"/>
    <w:rsid w:val="5D9936A9"/>
    <w:rsid w:val="5DA01D39"/>
    <w:rsid w:val="5DC74726"/>
    <w:rsid w:val="5DC93914"/>
    <w:rsid w:val="5DCC3DBB"/>
    <w:rsid w:val="5DD70BD5"/>
    <w:rsid w:val="5DDF0A86"/>
    <w:rsid w:val="5DDF4B8C"/>
    <w:rsid w:val="5DFB3886"/>
    <w:rsid w:val="5E064265"/>
    <w:rsid w:val="5E1F1A6E"/>
    <w:rsid w:val="5E2467F1"/>
    <w:rsid w:val="5E4E7BBB"/>
    <w:rsid w:val="5E793B99"/>
    <w:rsid w:val="5E794120"/>
    <w:rsid w:val="5E7D4EFB"/>
    <w:rsid w:val="5E873E9A"/>
    <w:rsid w:val="5E880658"/>
    <w:rsid w:val="5E894ED5"/>
    <w:rsid w:val="5E95615C"/>
    <w:rsid w:val="5E9A05BB"/>
    <w:rsid w:val="5EA556D6"/>
    <w:rsid w:val="5EAC3900"/>
    <w:rsid w:val="5EC62AAE"/>
    <w:rsid w:val="5EC63503"/>
    <w:rsid w:val="5ED76067"/>
    <w:rsid w:val="5ED86F84"/>
    <w:rsid w:val="5EE25574"/>
    <w:rsid w:val="5EF25187"/>
    <w:rsid w:val="5F044FC6"/>
    <w:rsid w:val="5F0A3F9F"/>
    <w:rsid w:val="5F0F4553"/>
    <w:rsid w:val="5F1861FE"/>
    <w:rsid w:val="5F1A2B43"/>
    <w:rsid w:val="5F237983"/>
    <w:rsid w:val="5F26694C"/>
    <w:rsid w:val="5F31530A"/>
    <w:rsid w:val="5F3D4215"/>
    <w:rsid w:val="5F463F63"/>
    <w:rsid w:val="5F5C38A4"/>
    <w:rsid w:val="5F620A0B"/>
    <w:rsid w:val="5F677827"/>
    <w:rsid w:val="5F6F6A6C"/>
    <w:rsid w:val="5F756532"/>
    <w:rsid w:val="5F82060E"/>
    <w:rsid w:val="5F821981"/>
    <w:rsid w:val="5F9A6ADF"/>
    <w:rsid w:val="5F9E63E6"/>
    <w:rsid w:val="5FA02E77"/>
    <w:rsid w:val="5FAD42BF"/>
    <w:rsid w:val="5FB837BB"/>
    <w:rsid w:val="5FBF0D29"/>
    <w:rsid w:val="5FC81AED"/>
    <w:rsid w:val="5FCE56CD"/>
    <w:rsid w:val="5FD446BD"/>
    <w:rsid w:val="5FD45810"/>
    <w:rsid w:val="5FE26C98"/>
    <w:rsid w:val="5FE326CB"/>
    <w:rsid w:val="5FEC437A"/>
    <w:rsid w:val="602844E5"/>
    <w:rsid w:val="602E3046"/>
    <w:rsid w:val="605B0374"/>
    <w:rsid w:val="6072138B"/>
    <w:rsid w:val="60782F1C"/>
    <w:rsid w:val="608A143F"/>
    <w:rsid w:val="608D6DB8"/>
    <w:rsid w:val="609D2CDB"/>
    <w:rsid w:val="609E48DB"/>
    <w:rsid w:val="60BE7BBF"/>
    <w:rsid w:val="60C26AA1"/>
    <w:rsid w:val="60C27CA3"/>
    <w:rsid w:val="60C96FEC"/>
    <w:rsid w:val="60CC405A"/>
    <w:rsid w:val="60CE355B"/>
    <w:rsid w:val="60E63070"/>
    <w:rsid w:val="60FE4257"/>
    <w:rsid w:val="6112663F"/>
    <w:rsid w:val="6113646C"/>
    <w:rsid w:val="612968CE"/>
    <w:rsid w:val="61395B3A"/>
    <w:rsid w:val="61414B38"/>
    <w:rsid w:val="614349DD"/>
    <w:rsid w:val="61541F72"/>
    <w:rsid w:val="615E3B3A"/>
    <w:rsid w:val="61642270"/>
    <w:rsid w:val="61712F77"/>
    <w:rsid w:val="61A04540"/>
    <w:rsid w:val="61B372EF"/>
    <w:rsid w:val="61CA5683"/>
    <w:rsid w:val="61CE4FC4"/>
    <w:rsid w:val="61E215D8"/>
    <w:rsid w:val="61E965EB"/>
    <w:rsid w:val="62050D0F"/>
    <w:rsid w:val="621B3775"/>
    <w:rsid w:val="622C1B51"/>
    <w:rsid w:val="62364782"/>
    <w:rsid w:val="624445A0"/>
    <w:rsid w:val="6253770E"/>
    <w:rsid w:val="62736A78"/>
    <w:rsid w:val="6280754E"/>
    <w:rsid w:val="62987E92"/>
    <w:rsid w:val="629E17B2"/>
    <w:rsid w:val="62A15559"/>
    <w:rsid w:val="62A56243"/>
    <w:rsid w:val="62B61EF0"/>
    <w:rsid w:val="62B83A18"/>
    <w:rsid w:val="62C8170D"/>
    <w:rsid w:val="62D23905"/>
    <w:rsid w:val="62D6719E"/>
    <w:rsid w:val="62E1431E"/>
    <w:rsid w:val="62FB30A8"/>
    <w:rsid w:val="6311298A"/>
    <w:rsid w:val="632C36E9"/>
    <w:rsid w:val="633776E3"/>
    <w:rsid w:val="633B49B1"/>
    <w:rsid w:val="63435320"/>
    <w:rsid w:val="63446D82"/>
    <w:rsid w:val="63544F69"/>
    <w:rsid w:val="635B346C"/>
    <w:rsid w:val="636522D0"/>
    <w:rsid w:val="63730516"/>
    <w:rsid w:val="63847915"/>
    <w:rsid w:val="63933DB3"/>
    <w:rsid w:val="6394356A"/>
    <w:rsid w:val="639B54A0"/>
    <w:rsid w:val="639B6E09"/>
    <w:rsid w:val="63A043D9"/>
    <w:rsid w:val="63A25534"/>
    <w:rsid w:val="63A71D57"/>
    <w:rsid w:val="63C00F90"/>
    <w:rsid w:val="63C028E3"/>
    <w:rsid w:val="63C61B2C"/>
    <w:rsid w:val="63CD527C"/>
    <w:rsid w:val="63D13A21"/>
    <w:rsid w:val="63D40BE9"/>
    <w:rsid w:val="63D71756"/>
    <w:rsid w:val="63D94E8E"/>
    <w:rsid w:val="63F81362"/>
    <w:rsid w:val="64064C15"/>
    <w:rsid w:val="64102431"/>
    <w:rsid w:val="6415590B"/>
    <w:rsid w:val="64177A8A"/>
    <w:rsid w:val="641A5304"/>
    <w:rsid w:val="641D5F86"/>
    <w:rsid w:val="641F4827"/>
    <w:rsid w:val="6428338B"/>
    <w:rsid w:val="643D56FD"/>
    <w:rsid w:val="64414AEB"/>
    <w:rsid w:val="644274C5"/>
    <w:rsid w:val="644D0A30"/>
    <w:rsid w:val="644D2584"/>
    <w:rsid w:val="644F6E41"/>
    <w:rsid w:val="645D0B0E"/>
    <w:rsid w:val="646D34E5"/>
    <w:rsid w:val="6477675E"/>
    <w:rsid w:val="64A5243A"/>
    <w:rsid w:val="64AA06D0"/>
    <w:rsid w:val="64E32052"/>
    <w:rsid w:val="64EC06E2"/>
    <w:rsid w:val="64F531DE"/>
    <w:rsid w:val="64FB1EFD"/>
    <w:rsid w:val="651D076B"/>
    <w:rsid w:val="652027AA"/>
    <w:rsid w:val="65373578"/>
    <w:rsid w:val="653A7EB8"/>
    <w:rsid w:val="654900FB"/>
    <w:rsid w:val="6554593B"/>
    <w:rsid w:val="655D3518"/>
    <w:rsid w:val="657617E0"/>
    <w:rsid w:val="657B2CDB"/>
    <w:rsid w:val="657F3479"/>
    <w:rsid w:val="658F0B80"/>
    <w:rsid w:val="659C77F7"/>
    <w:rsid w:val="659D04A9"/>
    <w:rsid w:val="65C9123C"/>
    <w:rsid w:val="65D40E7C"/>
    <w:rsid w:val="65D7002E"/>
    <w:rsid w:val="65E332B4"/>
    <w:rsid w:val="65FB6649"/>
    <w:rsid w:val="66124C43"/>
    <w:rsid w:val="662907FE"/>
    <w:rsid w:val="66326BB9"/>
    <w:rsid w:val="66475A6D"/>
    <w:rsid w:val="6656217E"/>
    <w:rsid w:val="665F0957"/>
    <w:rsid w:val="6661015E"/>
    <w:rsid w:val="668A475D"/>
    <w:rsid w:val="669D6D08"/>
    <w:rsid w:val="66A71793"/>
    <w:rsid w:val="66C53266"/>
    <w:rsid w:val="66E515AC"/>
    <w:rsid w:val="66FA0E20"/>
    <w:rsid w:val="67142C00"/>
    <w:rsid w:val="671A7062"/>
    <w:rsid w:val="671F124A"/>
    <w:rsid w:val="6729594C"/>
    <w:rsid w:val="674D5FE1"/>
    <w:rsid w:val="67585589"/>
    <w:rsid w:val="675A59A3"/>
    <w:rsid w:val="676C15F0"/>
    <w:rsid w:val="677A33C6"/>
    <w:rsid w:val="67870E10"/>
    <w:rsid w:val="67D00B27"/>
    <w:rsid w:val="67FA4C55"/>
    <w:rsid w:val="681046AB"/>
    <w:rsid w:val="681F6961"/>
    <w:rsid w:val="6839025F"/>
    <w:rsid w:val="683C3C32"/>
    <w:rsid w:val="684A00F8"/>
    <w:rsid w:val="68523042"/>
    <w:rsid w:val="68570D9A"/>
    <w:rsid w:val="68610A2F"/>
    <w:rsid w:val="68626DA9"/>
    <w:rsid w:val="686D206F"/>
    <w:rsid w:val="68805514"/>
    <w:rsid w:val="689E3F62"/>
    <w:rsid w:val="68A60286"/>
    <w:rsid w:val="68AB4EB9"/>
    <w:rsid w:val="68D40253"/>
    <w:rsid w:val="68DD5009"/>
    <w:rsid w:val="68E23E0B"/>
    <w:rsid w:val="68E40380"/>
    <w:rsid w:val="68EC7861"/>
    <w:rsid w:val="68F95B84"/>
    <w:rsid w:val="691D7677"/>
    <w:rsid w:val="69272501"/>
    <w:rsid w:val="69316E2F"/>
    <w:rsid w:val="69457C44"/>
    <w:rsid w:val="694E2071"/>
    <w:rsid w:val="697440F7"/>
    <w:rsid w:val="69766163"/>
    <w:rsid w:val="69781A4C"/>
    <w:rsid w:val="697A3B33"/>
    <w:rsid w:val="699B1A2E"/>
    <w:rsid w:val="69AC6EAA"/>
    <w:rsid w:val="69B90C88"/>
    <w:rsid w:val="69C14EDB"/>
    <w:rsid w:val="69D44760"/>
    <w:rsid w:val="69E74C2E"/>
    <w:rsid w:val="69EF4F2F"/>
    <w:rsid w:val="69F63015"/>
    <w:rsid w:val="6A0E5B6C"/>
    <w:rsid w:val="6A1E7759"/>
    <w:rsid w:val="6A227DA9"/>
    <w:rsid w:val="6A2536C5"/>
    <w:rsid w:val="6A395705"/>
    <w:rsid w:val="6A3F13FA"/>
    <w:rsid w:val="6A4D04B8"/>
    <w:rsid w:val="6A520EC7"/>
    <w:rsid w:val="6A627569"/>
    <w:rsid w:val="6A681263"/>
    <w:rsid w:val="6A6D2E44"/>
    <w:rsid w:val="6A7D3D3D"/>
    <w:rsid w:val="6A80662D"/>
    <w:rsid w:val="6A8674D8"/>
    <w:rsid w:val="6A9507F5"/>
    <w:rsid w:val="6AA00BAF"/>
    <w:rsid w:val="6AB10371"/>
    <w:rsid w:val="6AB2486D"/>
    <w:rsid w:val="6AB8111B"/>
    <w:rsid w:val="6AC70264"/>
    <w:rsid w:val="6AD223E9"/>
    <w:rsid w:val="6ADE08A2"/>
    <w:rsid w:val="6AF82F89"/>
    <w:rsid w:val="6AF87E20"/>
    <w:rsid w:val="6AFB5BA3"/>
    <w:rsid w:val="6B04213D"/>
    <w:rsid w:val="6B144D07"/>
    <w:rsid w:val="6B1C6AAB"/>
    <w:rsid w:val="6B237627"/>
    <w:rsid w:val="6B322639"/>
    <w:rsid w:val="6B360F09"/>
    <w:rsid w:val="6B361C94"/>
    <w:rsid w:val="6B557044"/>
    <w:rsid w:val="6B635930"/>
    <w:rsid w:val="6B66423E"/>
    <w:rsid w:val="6B724E17"/>
    <w:rsid w:val="6B7A2D7F"/>
    <w:rsid w:val="6B8859C3"/>
    <w:rsid w:val="6B912B00"/>
    <w:rsid w:val="6B97412B"/>
    <w:rsid w:val="6BB17EAE"/>
    <w:rsid w:val="6BB21A03"/>
    <w:rsid w:val="6BB263E0"/>
    <w:rsid w:val="6BD46244"/>
    <w:rsid w:val="6BD73FFC"/>
    <w:rsid w:val="6BDE22EF"/>
    <w:rsid w:val="6BE7751A"/>
    <w:rsid w:val="6BEF66BF"/>
    <w:rsid w:val="6C004316"/>
    <w:rsid w:val="6C1830B6"/>
    <w:rsid w:val="6C1A3EF1"/>
    <w:rsid w:val="6C1C6947"/>
    <w:rsid w:val="6C1E134E"/>
    <w:rsid w:val="6C2F2808"/>
    <w:rsid w:val="6C4B683D"/>
    <w:rsid w:val="6C5339E3"/>
    <w:rsid w:val="6C58146C"/>
    <w:rsid w:val="6C636C38"/>
    <w:rsid w:val="6C8C7769"/>
    <w:rsid w:val="6CA63235"/>
    <w:rsid w:val="6CA70B39"/>
    <w:rsid w:val="6CA950BA"/>
    <w:rsid w:val="6CB05D2E"/>
    <w:rsid w:val="6CB76135"/>
    <w:rsid w:val="6CBB242C"/>
    <w:rsid w:val="6CC66473"/>
    <w:rsid w:val="6CD35F3D"/>
    <w:rsid w:val="6CDC5BBC"/>
    <w:rsid w:val="6CF04B30"/>
    <w:rsid w:val="6CF7043C"/>
    <w:rsid w:val="6CF74D3F"/>
    <w:rsid w:val="6D1438A1"/>
    <w:rsid w:val="6D1B0EA5"/>
    <w:rsid w:val="6D291CCC"/>
    <w:rsid w:val="6D32215A"/>
    <w:rsid w:val="6D473169"/>
    <w:rsid w:val="6D4D16CE"/>
    <w:rsid w:val="6D846427"/>
    <w:rsid w:val="6D9C3A77"/>
    <w:rsid w:val="6DB34098"/>
    <w:rsid w:val="6DB545B6"/>
    <w:rsid w:val="6DBD765C"/>
    <w:rsid w:val="6DBE71AC"/>
    <w:rsid w:val="6DC920D3"/>
    <w:rsid w:val="6DCC1B1E"/>
    <w:rsid w:val="6DCC1CCA"/>
    <w:rsid w:val="6DE02FB4"/>
    <w:rsid w:val="6DE64007"/>
    <w:rsid w:val="6DF206A9"/>
    <w:rsid w:val="6DF57FC1"/>
    <w:rsid w:val="6E094C75"/>
    <w:rsid w:val="6E1064F8"/>
    <w:rsid w:val="6E1B177C"/>
    <w:rsid w:val="6E344691"/>
    <w:rsid w:val="6E3D6D0E"/>
    <w:rsid w:val="6E514CED"/>
    <w:rsid w:val="6E535B46"/>
    <w:rsid w:val="6E5C21F0"/>
    <w:rsid w:val="6E5F0390"/>
    <w:rsid w:val="6E7904CF"/>
    <w:rsid w:val="6E81721D"/>
    <w:rsid w:val="6E845D63"/>
    <w:rsid w:val="6EA22E53"/>
    <w:rsid w:val="6EB563D5"/>
    <w:rsid w:val="6EC1415E"/>
    <w:rsid w:val="6ECF6555"/>
    <w:rsid w:val="6ED92677"/>
    <w:rsid w:val="6EE36DE1"/>
    <w:rsid w:val="6EEF5AF1"/>
    <w:rsid w:val="6F0A220C"/>
    <w:rsid w:val="6F1F75F7"/>
    <w:rsid w:val="6F225983"/>
    <w:rsid w:val="6F2341CE"/>
    <w:rsid w:val="6F236DB5"/>
    <w:rsid w:val="6F2C77A0"/>
    <w:rsid w:val="6F2E4977"/>
    <w:rsid w:val="6F2F224C"/>
    <w:rsid w:val="6F331B44"/>
    <w:rsid w:val="6F400CA5"/>
    <w:rsid w:val="6F4478BF"/>
    <w:rsid w:val="6F5314D9"/>
    <w:rsid w:val="6F576412"/>
    <w:rsid w:val="6F5952EA"/>
    <w:rsid w:val="6F6B466E"/>
    <w:rsid w:val="6F793C5A"/>
    <w:rsid w:val="6F814A0A"/>
    <w:rsid w:val="6F847DDE"/>
    <w:rsid w:val="6F857B8A"/>
    <w:rsid w:val="6F861C1A"/>
    <w:rsid w:val="6F8A0689"/>
    <w:rsid w:val="6F9533B7"/>
    <w:rsid w:val="6F9F1C69"/>
    <w:rsid w:val="6FA35E9E"/>
    <w:rsid w:val="6FA55F1C"/>
    <w:rsid w:val="6FB048AE"/>
    <w:rsid w:val="6FB44031"/>
    <w:rsid w:val="6FB60542"/>
    <w:rsid w:val="6FC3263A"/>
    <w:rsid w:val="6FC37C07"/>
    <w:rsid w:val="6FC94263"/>
    <w:rsid w:val="6FCA3CBC"/>
    <w:rsid w:val="6FD31437"/>
    <w:rsid w:val="6FD74555"/>
    <w:rsid w:val="6FDE54D3"/>
    <w:rsid w:val="6FF31132"/>
    <w:rsid w:val="6FF3404A"/>
    <w:rsid w:val="6FFC5590"/>
    <w:rsid w:val="70000DAC"/>
    <w:rsid w:val="70140BB6"/>
    <w:rsid w:val="703B49A2"/>
    <w:rsid w:val="704B43EF"/>
    <w:rsid w:val="704C48FB"/>
    <w:rsid w:val="705B3B06"/>
    <w:rsid w:val="706D1DD0"/>
    <w:rsid w:val="70822AA3"/>
    <w:rsid w:val="70852D5A"/>
    <w:rsid w:val="70856B87"/>
    <w:rsid w:val="708638F4"/>
    <w:rsid w:val="708B22CB"/>
    <w:rsid w:val="708D5DB0"/>
    <w:rsid w:val="709973FB"/>
    <w:rsid w:val="709B5694"/>
    <w:rsid w:val="70A76087"/>
    <w:rsid w:val="70B26E0A"/>
    <w:rsid w:val="70C64104"/>
    <w:rsid w:val="70D527EE"/>
    <w:rsid w:val="70E37D7F"/>
    <w:rsid w:val="70F03966"/>
    <w:rsid w:val="70FC793F"/>
    <w:rsid w:val="710654E8"/>
    <w:rsid w:val="711C66C3"/>
    <w:rsid w:val="713646C0"/>
    <w:rsid w:val="714D2EC4"/>
    <w:rsid w:val="715B5300"/>
    <w:rsid w:val="71674653"/>
    <w:rsid w:val="71A5237D"/>
    <w:rsid w:val="71A652EA"/>
    <w:rsid w:val="71A83766"/>
    <w:rsid w:val="71AF474D"/>
    <w:rsid w:val="71D27F8A"/>
    <w:rsid w:val="71DD61FC"/>
    <w:rsid w:val="71E35F0D"/>
    <w:rsid w:val="71E371E1"/>
    <w:rsid w:val="71E96AFD"/>
    <w:rsid w:val="71EC21EE"/>
    <w:rsid w:val="71F757ED"/>
    <w:rsid w:val="71FA1A10"/>
    <w:rsid w:val="71FC0FA3"/>
    <w:rsid w:val="71FF31FC"/>
    <w:rsid w:val="72032B3F"/>
    <w:rsid w:val="721814EF"/>
    <w:rsid w:val="721C32F3"/>
    <w:rsid w:val="72234A28"/>
    <w:rsid w:val="72256589"/>
    <w:rsid w:val="7240196B"/>
    <w:rsid w:val="7243212B"/>
    <w:rsid w:val="72455F37"/>
    <w:rsid w:val="72553024"/>
    <w:rsid w:val="72587170"/>
    <w:rsid w:val="7261073B"/>
    <w:rsid w:val="726612C3"/>
    <w:rsid w:val="726821D6"/>
    <w:rsid w:val="726A2DE2"/>
    <w:rsid w:val="72702DAA"/>
    <w:rsid w:val="72792E9C"/>
    <w:rsid w:val="727A3394"/>
    <w:rsid w:val="72911044"/>
    <w:rsid w:val="729B2E6D"/>
    <w:rsid w:val="729C7231"/>
    <w:rsid w:val="72AA0CF3"/>
    <w:rsid w:val="72AF2147"/>
    <w:rsid w:val="72AF4820"/>
    <w:rsid w:val="72BE2F90"/>
    <w:rsid w:val="72E145C3"/>
    <w:rsid w:val="72E51F34"/>
    <w:rsid w:val="72EA7F3F"/>
    <w:rsid w:val="73122968"/>
    <w:rsid w:val="731F5D5E"/>
    <w:rsid w:val="733D128A"/>
    <w:rsid w:val="73422D24"/>
    <w:rsid w:val="73577A85"/>
    <w:rsid w:val="735F20BB"/>
    <w:rsid w:val="736C0434"/>
    <w:rsid w:val="736C78E5"/>
    <w:rsid w:val="7379562B"/>
    <w:rsid w:val="73796F15"/>
    <w:rsid w:val="737B4EAA"/>
    <w:rsid w:val="738323FE"/>
    <w:rsid w:val="73AB584C"/>
    <w:rsid w:val="73C14251"/>
    <w:rsid w:val="73C51AD5"/>
    <w:rsid w:val="73E7745D"/>
    <w:rsid w:val="73EF5D4D"/>
    <w:rsid w:val="73F14062"/>
    <w:rsid w:val="73F2419B"/>
    <w:rsid w:val="73F56D74"/>
    <w:rsid w:val="73F958D6"/>
    <w:rsid w:val="73FA4B7B"/>
    <w:rsid w:val="73FA5EA0"/>
    <w:rsid w:val="74105BCE"/>
    <w:rsid w:val="74167CBF"/>
    <w:rsid w:val="74197C58"/>
    <w:rsid w:val="741B3394"/>
    <w:rsid w:val="741C5146"/>
    <w:rsid w:val="741E793C"/>
    <w:rsid w:val="742F3DC1"/>
    <w:rsid w:val="743B43A2"/>
    <w:rsid w:val="745B095F"/>
    <w:rsid w:val="745D5BD9"/>
    <w:rsid w:val="745E3194"/>
    <w:rsid w:val="745E3944"/>
    <w:rsid w:val="74602241"/>
    <w:rsid w:val="74672A62"/>
    <w:rsid w:val="746B1FEA"/>
    <w:rsid w:val="746F4AD9"/>
    <w:rsid w:val="74727C37"/>
    <w:rsid w:val="74750913"/>
    <w:rsid w:val="747B5C55"/>
    <w:rsid w:val="7480766C"/>
    <w:rsid w:val="74853E5D"/>
    <w:rsid w:val="748B5D42"/>
    <w:rsid w:val="74910F72"/>
    <w:rsid w:val="74922734"/>
    <w:rsid w:val="74940834"/>
    <w:rsid w:val="74946B9D"/>
    <w:rsid w:val="74A803A9"/>
    <w:rsid w:val="74CD01D8"/>
    <w:rsid w:val="74DC3DB4"/>
    <w:rsid w:val="74E759EA"/>
    <w:rsid w:val="74F006CD"/>
    <w:rsid w:val="74F2444D"/>
    <w:rsid w:val="74F57957"/>
    <w:rsid w:val="75094B1F"/>
    <w:rsid w:val="75115B9A"/>
    <w:rsid w:val="75117598"/>
    <w:rsid w:val="751A5305"/>
    <w:rsid w:val="751D51D3"/>
    <w:rsid w:val="752869CF"/>
    <w:rsid w:val="75363ACC"/>
    <w:rsid w:val="754E0E15"/>
    <w:rsid w:val="75667E34"/>
    <w:rsid w:val="75726195"/>
    <w:rsid w:val="75871A80"/>
    <w:rsid w:val="759C0B82"/>
    <w:rsid w:val="75B10443"/>
    <w:rsid w:val="75DE0ABC"/>
    <w:rsid w:val="76133609"/>
    <w:rsid w:val="761A4144"/>
    <w:rsid w:val="7635099D"/>
    <w:rsid w:val="763C359D"/>
    <w:rsid w:val="763D57C6"/>
    <w:rsid w:val="7642798F"/>
    <w:rsid w:val="764E54A1"/>
    <w:rsid w:val="764F4F39"/>
    <w:rsid w:val="766A232A"/>
    <w:rsid w:val="766C09DF"/>
    <w:rsid w:val="766E0C20"/>
    <w:rsid w:val="76723FDD"/>
    <w:rsid w:val="76796BD5"/>
    <w:rsid w:val="76833E42"/>
    <w:rsid w:val="768569C4"/>
    <w:rsid w:val="768E6A3D"/>
    <w:rsid w:val="7694102B"/>
    <w:rsid w:val="76A71125"/>
    <w:rsid w:val="76D578B3"/>
    <w:rsid w:val="76EB4EA0"/>
    <w:rsid w:val="76F73376"/>
    <w:rsid w:val="76FF5472"/>
    <w:rsid w:val="77047FD3"/>
    <w:rsid w:val="770B27BF"/>
    <w:rsid w:val="770E4F82"/>
    <w:rsid w:val="77216EEE"/>
    <w:rsid w:val="7740193F"/>
    <w:rsid w:val="77523D4A"/>
    <w:rsid w:val="775F5128"/>
    <w:rsid w:val="77613BEC"/>
    <w:rsid w:val="77614E48"/>
    <w:rsid w:val="77634171"/>
    <w:rsid w:val="77710438"/>
    <w:rsid w:val="77727C7E"/>
    <w:rsid w:val="77762421"/>
    <w:rsid w:val="77782DB8"/>
    <w:rsid w:val="77907953"/>
    <w:rsid w:val="77991266"/>
    <w:rsid w:val="77A17CEE"/>
    <w:rsid w:val="77A61B86"/>
    <w:rsid w:val="77A7213A"/>
    <w:rsid w:val="77A80CB1"/>
    <w:rsid w:val="77AA6A0E"/>
    <w:rsid w:val="77AF3E8F"/>
    <w:rsid w:val="77B56B1F"/>
    <w:rsid w:val="77C519A6"/>
    <w:rsid w:val="77FA194F"/>
    <w:rsid w:val="780F09F4"/>
    <w:rsid w:val="781C6563"/>
    <w:rsid w:val="781D6393"/>
    <w:rsid w:val="781E5417"/>
    <w:rsid w:val="781E71C5"/>
    <w:rsid w:val="78292F0B"/>
    <w:rsid w:val="782A6665"/>
    <w:rsid w:val="78372827"/>
    <w:rsid w:val="78381100"/>
    <w:rsid w:val="784C3D32"/>
    <w:rsid w:val="78585189"/>
    <w:rsid w:val="78764DA6"/>
    <w:rsid w:val="78A61D56"/>
    <w:rsid w:val="78A706FC"/>
    <w:rsid w:val="78A90480"/>
    <w:rsid w:val="78A9300D"/>
    <w:rsid w:val="78B302D2"/>
    <w:rsid w:val="78C9311B"/>
    <w:rsid w:val="78CB6353"/>
    <w:rsid w:val="78D8793B"/>
    <w:rsid w:val="78E421BD"/>
    <w:rsid w:val="78F75677"/>
    <w:rsid w:val="78FE6B23"/>
    <w:rsid w:val="790B6F17"/>
    <w:rsid w:val="790C79FF"/>
    <w:rsid w:val="79104CA2"/>
    <w:rsid w:val="79140DD9"/>
    <w:rsid w:val="79330163"/>
    <w:rsid w:val="7935580E"/>
    <w:rsid w:val="793B64AC"/>
    <w:rsid w:val="794B63CD"/>
    <w:rsid w:val="79536517"/>
    <w:rsid w:val="79703A50"/>
    <w:rsid w:val="79707F2A"/>
    <w:rsid w:val="79726B05"/>
    <w:rsid w:val="797B0524"/>
    <w:rsid w:val="79814453"/>
    <w:rsid w:val="7981546C"/>
    <w:rsid w:val="798E7B75"/>
    <w:rsid w:val="799D40D6"/>
    <w:rsid w:val="79A22A06"/>
    <w:rsid w:val="79A5011B"/>
    <w:rsid w:val="79AF1121"/>
    <w:rsid w:val="79BA1F31"/>
    <w:rsid w:val="79D1706F"/>
    <w:rsid w:val="79DE6C45"/>
    <w:rsid w:val="79EA3BB5"/>
    <w:rsid w:val="79F905A7"/>
    <w:rsid w:val="7A1E6945"/>
    <w:rsid w:val="7A2717E3"/>
    <w:rsid w:val="7A2F7F14"/>
    <w:rsid w:val="7A32769F"/>
    <w:rsid w:val="7A364017"/>
    <w:rsid w:val="7A4044CD"/>
    <w:rsid w:val="7A474E34"/>
    <w:rsid w:val="7A550E69"/>
    <w:rsid w:val="7A6106E4"/>
    <w:rsid w:val="7A6C3EEC"/>
    <w:rsid w:val="7A7D492A"/>
    <w:rsid w:val="7A8265E1"/>
    <w:rsid w:val="7A84199E"/>
    <w:rsid w:val="7A8706BE"/>
    <w:rsid w:val="7A987229"/>
    <w:rsid w:val="7AA63B4E"/>
    <w:rsid w:val="7AA7194E"/>
    <w:rsid w:val="7AB237FF"/>
    <w:rsid w:val="7ACD57CD"/>
    <w:rsid w:val="7AD56225"/>
    <w:rsid w:val="7AE51BCD"/>
    <w:rsid w:val="7AEA143C"/>
    <w:rsid w:val="7AED3FEF"/>
    <w:rsid w:val="7AFD0A6D"/>
    <w:rsid w:val="7B157372"/>
    <w:rsid w:val="7B2F7E84"/>
    <w:rsid w:val="7B372074"/>
    <w:rsid w:val="7B4C4049"/>
    <w:rsid w:val="7B645531"/>
    <w:rsid w:val="7B686D42"/>
    <w:rsid w:val="7B6F5EA6"/>
    <w:rsid w:val="7B7247BA"/>
    <w:rsid w:val="7B795DD4"/>
    <w:rsid w:val="7B7E279C"/>
    <w:rsid w:val="7B841746"/>
    <w:rsid w:val="7BBA1330"/>
    <w:rsid w:val="7BD51E44"/>
    <w:rsid w:val="7BE828A6"/>
    <w:rsid w:val="7BF818EA"/>
    <w:rsid w:val="7C0A6B1F"/>
    <w:rsid w:val="7C190AB7"/>
    <w:rsid w:val="7C2E0ADD"/>
    <w:rsid w:val="7C30415A"/>
    <w:rsid w:val="7C3C60B0"/>
    <w:rsid w:val="7C4C3570"/>
    <w:rsid w:val="7C517942"/>
    <w:rsid w:val="7C5A61BF"/>
    <w:rsid w:val="7C5E6B74"/>
    <w:rsid w:val="7C5F4F8D"/>
    <w:rsid w:val="7C6C5AC7"/>
    <w:rsid w:val="7C874A8E"/>
    <w:rsid w:val="7C8B70E4"/>
    <w:rsid w:val="7C9248BC"/>
    <w:rsid w:val="7C961218"/>
    <w:rsid w:val="7CBC110D"/>
    <w:rsid w:val="7CC11F97"/>
    <w:rsid w:val="7CC6544B"/>
    <w:rsid w:val="7CC97687"/>
    <w:rsid w:val="7CD33F5E"/>
    <w:rsid w:val="7CD754FA"/>
    <w:rsid w:val="7CEA0852"/>
    <w:rsid w:val="7CF341EB"/>
    <w:rsid w:val="7CF924D0"/>
    <w:rsid w:val="7D0239FF"/>
    <w:rsid w:val="7D084F04"/>
    <w:rsid w:val="7D0923FA"/>
    <w:rsid w:val="7D0D4290"/>
    <w:rsid w:val="7D241657"/>
    <w:rsid w:val="7D297FC6"/>
    <w:rsid w:val="7D396C2C"/>
    <w:rsid w:val="7D4125FD"/>
    <w:rsid w:val="7D5E40CD"/>
    <w:rsid w:val="7D77240D"/>
    <w:rsid w:val="7D831D6A"/>
    <w:rsid w:val="7D873408"/>
    <w:rsid w:val="7D894AA5"/>
    <w:rsid w:val="7D8A0813"/>
    <w:rsid w:val="7D8E771C"/>
    <w:rsid w:val="7D9E47CC"/>
    <w:rsid w:val="7DAE683F"/>
    <w:rsid w:val="7DC61F22"/>
    <w:rsid w:val="7DCD56F2"/>
    <w:rsid w:val="7DDB3E20"/>
    <w:rsid w:val="7DE47007"/>
    <w:rsid w:val="7DE50460"/>
    <w:rsid w:val="7DE73CAC"/>
    <w:rsid w:val="7DF24F98"/>
    <w:rsid w:val="7DF5417A"/>
    <w:rsid w:val="7DFF4C9F"/>
    <w:rsid w:val="7E3D573D"/>
    <w:rsid w:val="7E3E6556"/>
    <w:rsid w:val="7E676329"/>
    <w:rsid w:val="7EA23D68"/>
    <w:rsid w:val="7EAC28DD"/>
    <w:rsid w:val="7EBC7738"/>
    <w:rsid w:val="7EC70F32"/>
    <w:rsid w:val="7ED00B75"/>
    <w:rsid w:val="7F001CE7"/>
    <w:rsid w:val="7F0662B5"/>
    <w:rsid w:val="7F082E9C"/>
    <w:rsid w:val="7F0C5FC9"/>
    <w:rsid w:val="7F0E2AE3"/>
    <w:rsid w:val="7F105A98"/>
    <w:rsid w:val="7F207CC7"/>
    <w:rsid w:val="7F3F2F68"/>
    <w:rsid w:val="7F41637A"/>
    <w:rsid w:val="7F457077"/>
    <w:rsid w:val="7F497F82"/>
    <w:rsid w:val="7F654A19"/>
    <w:rsid w:val="7F7B6CAB"/>
    <w:rsid w:val="7F836717"/>
    <w:rsid w:val="7F893C15"/>
    <w:rsid w:val="7F9935D5"/>
    <w:rsid w:val="7FB839E3"/>
    <w:rsid w:val="7FD051AF"/>
    <w:rsid w:val="7FE0673E"/>
    <w:rsid w:val="7FE47E50"/>
    <w:rsid w:val="7FE87B57"/>
    <w:rsid w:val="7FF9169B"/>
    <w:rsid w:val="7FFD1F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9" w:semiHidden="0" w:name="heading 2" w:locked="1"/>
    <w:lsdException w:qFormat="1" w:unhideWhenUsed="0" w:uiPriority="9" w:semiHidden="0" w:name="heading 3" w:locked="1"/>
    <w:lsdException w:qFormat="1" w:unhideWhenUsed="0" w:uiPriority="9" w:semiHidden="0" w:name="heading 4" w:locked="1"/>
    <w:lsdException w:qFormat="1" w:uiPriority="9" w:semiHidden="0" w:name="heading 5" w:locked="1"/>
    <w:lsdException w:qFormat="1" w:uiPriority="9" w:semiHidden="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qFormat="1" w:unhideWhenUsed="0" w:uiPriority="0" w:semiHidden="0" w:name="toc 4" w:locked="1"/>
    <w:lsdException w:qFormat="1" w:unhideWhenUsed="0" w:uiPriority="0" w:semiHidden="0" w:name="toc 5" w:locked="1"/>
    <w:lsdException w:qFormat="1" w:unhideWhenUsed="0" w:uiPriority="0" w:semiHidden="0" w:name="toc 6" w:locked="1"/>
    <w:lsdException w:qFormat="1" w:unhideWhenUsed="0" w:uiPriority="0" w:semiHidden="0" w:name="toc 7" w:locked="1"/>
    <w:lsdException w:qFormat="1" w:unhideWhenUsed="0" w:uiPriority="0" w:semiHidden="0" w:name="toc 8" w:locked="1"/>
    <w:lsdException w:qFormat="1" w:unhideWhenUsed="0" w:uiPriority="0" w:semiHidden="0" w:name="toc 9" w:locked="1"/>
    <w:lsdException w:qFormat="1" w:uiPriority="0" w:semiHidden="0" w:name="Normal Indent" w:locked="1"/>
    <w:lsdException w:uiPriority="0" w:name="footnote text" w:locked="1"/>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ocked="1"/>
    <w:lsdException w:qFormat="1" w:unhideWhenUsed="0" w:uiPriority="0" w:semiHidden="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0" w:semiHidden="0" w:name="annotation reference"/>
    <w:lsdException w:uiPriority="0" w:name="line number" w:locked="1"/>
    <w:lsdException w:qFormat="1" w:unhideWhenUsed="0" w:uiPriority="0" w:semiHidden="0" w:name="page number" w:locked="1"/>
    <w:lsdException w:qFormat="1" w:unhideWhenUsed="0" w:uiPriority="0" w:semiHidden="0" w:name="endnote reference" w:locked="1"/>
    <w:lsdException w:qFormat="1" w:unhideWhenUsed="0" w:uiPriority="99" w:semiHidden="0" w:name="endnote text" w:locked="1"/>
    <w:lsdException w:unhideWhenUsed="0" w:uiPriority="0" w:semiHidden="0" w:name="table of authorities" w:locked="1"/>
    <w:lsdException w:uiPriority="0" w:name="macro" w:locked="1"/>
    <w:lsdException w:qFormat="1" w:unhideWhenUsed="0" w:uiPriority="0" w:semiHidden="0" w:name="toa heading" w:locked="1"/>
    <w:lsdException w:qFormat="1" w:unhideWhenUsed="0" w:uiPriority="0" w:semiHidden="0" w:name="List" w:locked="1"/>
    <w:lsdException w:unhideWhenUsed="0" w:uiPriority="0" w:semiHidden="0" w:name="List Bullet" w:locked="1"/>
    <w:lsdException w:uiPriority="0" w:name="List Number" w:locked="1"/>
    <w:lsdException w:qFormat="1" w:unhideWhenUsed="0" w:uiPriority="0" w:semiHidden="0" w:name="List 2" w:locked="1"/>
    <w:lsdException w:uiPriority="0" w:name="List 3" w:locked="1"/>
    <w:lsdException w:uiPriority="0" w:name="List 4" w:locked="1"/>
    <w:lsdException w:uiPriority="0" w:name="List 5" w:locked="1"/>
    <w:lsdException w:uiPriority="0" w:name="List Bullet 2" w:locked="1"/>
    <w:lsdException w:uiPriority="0" w:name="List Bullet 3" w:locked="1"/>
    <w:lsdException w:uiPriority="0" w:name="List Bullet 4" w:locked="1"/>
    <w:lsdException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semiHidden="0" w:name="Default Paragraph Font"/>
    <w:lsdException w:qFormat="1" w:unhideWhenUsed="0" w:uiPriority="1" w:semiHidden="0" w:name="Body Text"/>
    <w:lsdException w:qFormat="1" w:unhideWhenUsed="0" w:uiPriority="99" w:semiHidden="0" w:name="Body Text Indent"/>
    <w:lsdException w:uiPriority="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iPriority="0" w:name="Message Header" w:locked="1"/>
    <w:lsdException w:qFormat="1" w:unhideWhenUsed="0" w:uiPriority="11" w:semiHidden="0" w:name="Subtitle" w:locked="1"/>
    <w:lsdException w:qFormat="1" w:unhideWhenUsed="0" w:uiPriority="0" w:semiHidden="0" w:name="Salutation" w:locked="1"/>
    <w:lsdException w:qFormat="1" w:unhideWhenUsed="0" w:uiPriority="99" w:semiHidden="0" w:name="Date"/>
    <w:lsdException w:qFormat="1" w:unhideWhenUsed="0" w:uiPriority="0" w:semiHidden="0" w:name="Body Text First Indent" w:locked="1"/>
    <w:lsdException w:qFormat="1" w:uiPriority="99" w:semiHidden="0" w:name="Body Text First Indent 2" w:locked="1"/>
    <w:lsdException w:qFormat="1" w:uiPriority="0" w:semiHidden="0" w:name="Note Heading" w:locked="1"/>
    <w:lsdException w:uiPriority="0" w:name="Body Text 2" w:locked="1"/>
    <w:lsdException w:uiPriority="0" w:name="Body Text 3" w:locked="1"/>
    <w:lsdException w:qFormat="1" w:unhideWhenUsed="0" w:uiPriority="99" w:semiHidden="0" w:name="Body Text Indent 2" w:locked="1"/>
    <w:lsdException w:qFormat="1" w:unhideWhenUsed="0" w:uiPriority="0" w:semiHidden="0" w:name="Body Text Indent 3" w:locked="1"/>
    <w:lsdException w:uiPriority="0" w:name="Block Text" w:locked="1"/>
    <w:lsdException w:qFormat="1" w:uiPriority="99" w:semiHidden="0" w:name="Hyperlink" w:locked="1"/>
    <w:lsdException w:qFormat="1" w:unhideWhenUsed="0" w:uiPriority="99" w:semiHidden="0" w:name="FollowedHyperlink" w:locked="1"/>
    <w:lsdException w:qFormat="1" w:unhideWhenUsed="0" w:uiPriority="0" w:semiHidden="0" w:name="Strong" w:locked="1"/>
    <w:lsdException w:qFormat="1" w:unhideWhenUsed="0" w:uiPriority="0" w:semiHidden="0" w:name="Emphasis" w:locked="1"/>
    <w:lsdException w:qFormat="1" w:unhideWhenUsed="0" w:uiPriority="99" w:semiHidden="0" w:name="Document Map" w:locked="1"/>
    <w:lsdException w:qFormat="1" w:unhideWhenUsed="0" w:uiPriority="99" w:semiHidden="0" w:name="Plain Text" w:locked="1"/>
    <w:lsdException w:uiPriority="0" w:name="E-mail Signature" w:locked="1"/>
    <w:lsdException w:qFormat="1" w:unhideWhenUsed="0" w:uiPriority="99" w:semiHidden="0" w:name="Normal (Web)"/>
    <w:lsdException w:uiPriority="0" w:name="HTML Acronym" w:locked="1"/>
    <w:lsdException w:uiPriority="0"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qFormat="1" w:unhideWhenUsed="0" w:uiPriority="0" w:semiHidden="0" w:name="HTML Keyboard" w:locked="1"/>
    <w:lsdException w:uiPriority="0" w:name="HTML Preformatted" w:locked="1"/>
    <w:lsdException w:qFormat="1" w:unhideWhenUsed="0" w:uiPriority="0" w:semiHidden="0" w:name="HTML Sample" w:locked="1"/>
    <w:lsdException w:uiPriority="0" w:name="HTML Typewriter" w:locked="1"/>
    <w:lsdException w:qFormat="1" w:unhideWhenUsed="0" w:uiPriority="0" w:semiHidden="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nhideWhenUsed="0" w:uiPriority="0" w:semiHidden="0" w:name="Table Web 3" w:locked="1"/>
    <w:lsdException w:qFormat="1" w:unhideWhenUsed="0" w:uiPriority="0" w:semiHidden="0" w:name="Balloon Text"/>
    <w:lsdException w:qFormat="1" w:unhideWhenUsed="0" w:uiPriority="0" w:semiHidden="0" w:name="Table Grid"/>
    <w:lsdException w:unhideWhenUsed="0" w:uiPriority="0"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lang w:val="en-US" w:eastAsia="zh-CN" w:bidi="ar-SA"/>
    </w:rPr>
  </w:style>
  <w:style w:type="paragraph" w:styleId="2">
    <w:name w:val="heading 1"/>
    <w:basedOn w:val="1"/>
    <w:next w:val="1"/>
    <w:link w:val="141"/>
    <w:autoRedefine/>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4"/>
    <w:next w:val="1"/>
    <w:link w:val="140"/>
    <w:autoRedefine/>
    <w:unhideWhenUsed/>
    <w:qFormat/>
    <w:locked/>
    <w:uiPriority w:val="9"/>
    <w:pPr>
      <w:keepNext/>
      <w:keepLines/>
      <w:spacing w:before="260" w:after="260" w:line="416" w:lineRule="auto"/>
      <w:outlineLvl w:val="1"/>
    </w:pPr>
    <w:rPr>
      <w:rFonts w:asciiTheme="majorHAnsi" w:hAnsiTheme="majorHAnsi" w:eastAsiaTheme="majorEastAsia" w:cstheme="majorBidi"/>
      <w:bCs/>
      <w:sz w:val="32"/>
      <w:szCs w:val="32"/>
    </w:rPr>
  </w:style>
  <w:style w:type="paragraph" w:styleId="5">
    <w:name w:val="heading 3"/>
    <w:basedOn w:val="1"/>
    <w:next w:val="1"/>
    <w:link w:val="61"/>
    <w:autoRedefine/>
    <w:qFormat/>
    <w:locked/>
    <w:uiPriority w:val="9"/>
    <w:pPr>
      <w:keepNext/>
      <w:keepLines/>
      <w:spacing w:before="260" w:after="260" w:line="416" w:lineRule="auto"/>
      <w:outlineLvl w:val="2"/>
    </w:pPr>
    <w:rPr>
      <w:b/>
      <w:bCs/>
      <w:sz w:val="32"/>
      <w:szCs w:val="32"/>
    </w:rPr>
  </w:style>
  <w:style w:type="paragraph" w:styleId="6">
    <w:name w:val="heading 4"/>
    <w:basedOn w:val="1"/>
    <w:next w:val="1"/>
    <w:link w:val="62"/>
    <w:autoRedefine/>
    <w:qFormat/>
    <w:locked/>
    <w:uiPriority w:val="9"/>
    <w:pPr>
      <w:keepNext/>
      <w:keepLines/>
      <w:spacing w:before="280" w:after="290" w:line="376" w:lineRule="auto"/>
      <w:outlineLvl w:val="3"/>
    </w:pPr>
    <w:rPr>
      <w:rFonts w:ascii="Cambria" w:hAnsi="Cambria"/>
      <w:b/>
      <w:bCs/>
      <w:sz w:val="28"/>
      <w:szCs w:val="28"/>
    </w:rPr>
  </w:style>
  <w:style w:type="paragraph" w:styleId="7">
    <w:name w:val="heading 5"/>
    <w:basedOn w:val="1"/>
    <w:next w:val="1"/>
    <w:link w:val="258"/>
    <w:autoRedefine/>
    <w:unhideWhenUsed/>
    <w:qFormat/>
    <w:locked/>
    <w:uiPriority w:val="9"/>
    <w:pPr>
      <w:keepNext/>
      <w:keepLines/>
      <w:autoSpaceDE w:val="0"/>
      <w:autoSpaceDN w:val="0"/>
      <w:spacing w:before="280" w:after="290" w:line="376" w:lineRule="auto"/>
      <w:jc w:val="left"/>
      <w:outlineLvl w:val="4"/>
    </w:pPr>
    <w:rPr>
      <w:rFonts w:ascii="宋体" w:hAnsi="宋体" w:cs="宋体"/>
      <w:b/>
      <w:bCs/>
      <w:sz w:val="28"/>
      <w:szCs w:val="28"/>
      <w:lang w:eastAsia="en-US"/>
    </w:rPr>
  </w:style>
  <w:style w:type="paragraph" w:styleId="8">
    <w:name w:val="heading 6"/>
    <w:basedOn w:val="1"/>
    <w:next w:val="1"/>
    <w:link w:val="259"/>
    <w:autoRedefine/>
    <w:unhideWhenUsed/>
    <w:qFormat/>
    <w:locked/>
    <w:uiPriority w:val="9"/>
    <w:pPr>
      <w:keepNext/>
      <w:keepLines/>
      <w:autoSpaceDE w:val="0"/>
      <w:autoSpaceDN w:val="0"/>
      <w:spacing w:before="240" w:after="64" w:line="320" w:lineRule="auto"/>
      <w:jc w:val="left"/>
      <w:outlineLvl w:val="5"/>
    </w:pPr>
    <w:rPr>
      <w:rFonts w:asciiTheme="majorHAnsi" w:hAnsiTheme="majorHAnsi" w:eastAsiaTheme="majorEastAsia" w:cstheme="majorBidi"/>
      <w:b/>
      <w:bCs/>
      <w:sz w:val="24"/>
      <w:szCs w:val="24"/>
      <w:lang w:eastAsia="en-US"/>
    </w:rPr>
  </w:style>
  <w:style w:type="character" w:default="1" w:styleId="47">
    <w:name w:val="Default Paragraph Font"/>
    <w:autoRedefine/>
    <w:unhideWhenUsed/>
    <w:qFormat/>
    <w:uiPriority w:val="1"/>
  </w:style>
  <w:style w:type="table" w:default="1" w:styleId="45">
    <w:name w:val="Normal Table"/>
    <w:autoRedefine/>
    <w:semiHidden/>
    <w:unhideWhenUsed/>
    <w:qFormat/>
    <w:uiPriority w:val="99"/>
    <w:tblPr>
      <w:tblCellMar>
        <w:top w:w="0" w:type="dxa"/>
        <w:left w:w="108" w:type="dxa"/>
        <w:bottom w:w="0" w:type="dxa"/>
        <w:right w:w="108" w:type="dxa"/>
      </w:tblCellMar>
    </w:tblPr>
  </w:style>
  <w:style w:type="paragraph" w:customStyle="1" w:styleId="4">
    <w:name w:val="目录 21"/>
    <w:basedOn w:val="1"/>
    <w:next w:val="1"/>
    <w:qFormat/>
    <w:uiPriority w:val="0"/>
    <w:pPr>
      <w:ind w:left="420" w:leftChars="200"/>
    </w:pPr>
    <w:rPr>
      <w:rFonts w:ascii="Times New Roman" w:hAnsi="Times New Roman"/>
      <w:b/>
      <w:kern w:val="0"/>
      <w:sz w:val="28"/>
      <w:szCs w:val="20"/>
    </w:rPr>
  </w:style>
  <w:style w:type="paragraph" w:styleId="9">
    <w:name w:val="toc 7"/>
    <w:basedOn w:val="1"/>
    <w:next w:val="1"/>
    <w:autoRedefine/>
    <w:qFormat/>
    <w:locked/>
    <w:uiPriority w:val="0"/>
    <w:pPr>
      <w:spacing w:line="360" w:lineRule="auto"/>
      <w:ind w:left="2520" w:leftChars="1200" w:firstLine="200" w:firstLineChars="200"/>
    </w:pPr>
    <w:rPr>
      <w:kern w:val="2"/>
      <w:sz w:val="24"/>
    </w:rPr>
  </w:style>
  <w:style w:type="paragraph" w:styleId="10">
    <w:name w:val="Note Heading"/>
    <w:basedOn w:val="1"/>
    <w:next w:val="1"/>
    <w:link w:val="63"/>
    <w:autoRedefine/>
    <w:unhideWhenUsed/>
    <w:qFormat/>
    <w:locked/>
    <w:uiPriority w:val="0"/>
    <w:pPr>
      <w:jc w:val="center"/>
    </w:pPr>
    <w:rPr>
      <w:rFonts w:eastAsia="仿宋_GB2312"/>
      <w:sz w:val="24"/>
      <w:lang w:eastAsia="en-US"/>
    </w:rPr>
  </w:style>
  <w:style w:type="paragraph" w:styleId="11">
    <w:name w:val="Normal Indent"/>
    <w:basedOn w:val="1"/>
    <w:link w:val="64"/>
    <w:autoRedefine/>
    <w:unhideWhenUsed/>
    <w:qFormat/>
    <w:locked/>
    <w:uiPriority w:val="0"/>
    <w:pPr>
      <w:spacing w:beforeLines="50" w:line="360" w:lineRule="auto"/>
      <w:ind w:firstLine="200" w:firstLineChars="200"/>
    </w:pPr>
    <w:rPr>
      <w:sz w:val="24"/>
    </w:rPr>
  </w:style>
  <w:style w:type="paragraph" w:styleId="12">
    <w:name w:val="caption"/>
    <w:basedOn w:val="1"/>
    <w:next w:val="1"/>
    <w:autoRedefine/>
    <w:qFormat/>
    <w:locked/>
    <w:uiPriority w:val="0"/>
    <w:pPr>
      <w:spacing w:line="360" w:lineRule="auto"/>
      <w:ind w:firstLine="200" w:firstLineChars="200"/>
    </w:pPr>
    <w:rPr>
      <w:rFonts w:ascii="Arial" w:hAnsi="Arial" w:eastAsia="黑体" w:cs="Arial"/>
      <w:kern w:val="2"/>
    </w:rPr>
  </w:style>
  <w:style w:type="paragraph" w:styleId="13">
    <w:name w:val="Document Map"/>
    <w:basedOn w:val="1"/>
    <w:link w:val="65"/>
    <w:autoRedefine/>
    <w:qFormat/>
    <w:locked/>
    <w:uiPriority w:val="99"/>
    <w:rPr>
      <w:rFonts w:ascii="宋体"/>
      <w:sz w:val="18"/>
      <w:szCs w:val="18"/>
    </w:rPr>
  </w:style>
  <w:style w:type="paragraph" w:styleId="14">
    <w:name w:val="toa heading"/>
    <w:basedOn w:val="1"/>
    <w:next w:val="1"/>
    <w:autoRedefine/>
    <w:qFormat/>
    <w:locked/>
    <w:uiPriority w:val="0"/>
    <w:pPr>
      <w:spacing w:before="120"/>
    </w:pPr>
    <w:rPr>
      <w:rFonts w:ascii="Arial" w:hAnsi="Arial" w:cs="Arial" w:eastAsiaTheme="minorEastAsia"/>
      <w:kern w:val="2"/>
      <w:sz w:val="24"/>
      <w:szCs w:val="24"/>
    </w:rPr>
  </w:style>
  <w:style w:type="paragraph" w:styleId="15">
    <w:name w:val="annotation text"/>
    <w:basedOn w:val="1"/>
    <w:link w:val="66"/>
    <w:autoRedefine/>
    <w:qFormat/>
    <w:uiPriority w:val="0"/>
    <w:pPr>
      <w:jc w:val="left"/>
    </w:pPr>
    <w:rPr>
      <w:sz w:val="24"/>
    </w:rPr>
  </w:style>
  <w:style w:type="paragraph" w:styleId="16">
    <w:name w:val="Salutation"/>
    <w:basedOn w:val="1"/>
    <w:next w:val="1"/>
    <w:link w:val="67"/>
    <w:autoRedefine/>
    <w:qFormat/>
    <w:locked/>
    <w:uiPriority w:val="0"/>
    <w:pPr>
      <w:widowControl/>
      <w:jc w:val="left"/>
    </w:pPr>
    <w:rPr>
      <w:sz w:val="24"/>
    </w:rPr>
  </w:style>
  <w:style w:type="paragraph" w:styleId="17">
    <w:name w:val="Body Text"/>
    <w:basedOn w:val="1"/>
    <w:next w:val="18"/>
    <w:link w:val="68"/>
    <w:autoRedefine/>
    <w:qFormat/>
    <w:uiPriority w:val="1"/>
    <w:pPr>
      <w:widowControl/>
      <w:snapToGrid w:val="0"/>
      <w:spacing w:before="60" w:after="160" w:line="259" w:lineRule="auto"/>
      <w:ind w:right="113"/>
    </w:pPr>
    <w:rPr>
      <w:sz w:val="18"/>
    </w:rPr>
  </w:style>
  <w:style w:type="paragraph" w:customStyle="1" w:styleId="18">
    <w:name w:val="明显引用1"/>
    <w:next w:val="1"/>
    <w:autoRedefine/>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styleId="19">
    <w:name w:val="Body Text Indent"/>
    <w:basedOn w:val="1"/>
    <w:link w:val="69"/>
    <w:autoRedefine/>
    <w:qFormat/>
    <w:uiPriority w:val="99"/>
    <w:pPr>
      <w:spacing w:after="120"/>
      <w:ind w:left="420" w:leftChars="200"/>
    </w:pPr>
    <w:rPr>
      <w:sz w:val="24"/>
    </w:rPr>
  </w:style>
  <w:style w:type="paragraph" w:styleId="20">
    <w:name w:val="List 2"/>
    <w:basedOn w:val="1"/>
    <w:autoRedefine/>
    <w:qFormat/>
    <w:locked/>
    <w:uiPriority w:val="0"/>
    <w:pPr>
      <w:spacing w:line="360" w:lineRule="auto"/>
      <w:ind w:firstLine="200" w:firstLineChars="200"/>
      <w:jc w:val="center"/>
      <w:outlineLvl w:val="2"/>
    </w:pPr>
    <w:rPr>
      <w:rFonts w:ascii="宋体"/>
      <w:spacing w:val="-10"/>
      <w:sz w:val="24"/>
    </w:rPr>
  </w:style>
  <w:style w:type="paragraph" w:styleId="21">
    <w:name w:val="toc 5"/>
    <w:basedOn w:val="1"/>
    <w:next w:val="1"/>
    <w:autoRedefine/>
    <w:qFormat/>
    <w:locked/>
    <w:uiPriority w:val="0"/>
    <w:pPr>
      <w:spacing w:line="360" w:lineRule="auto"/>
      <w:ind w:left="1680" w:leftChars="800" w:firstLine="200" w:firstLineChars="200"/>
    </w:pPr>
    <w:rPr>
      <w:kern w:val="2"/>
      <w:sz w:val="24"/>
    </w:rPr>
  </w:style>
  <w:style w:type="paragraph" w:styleId="22">
    <w:name w:val="toc 3"/>
    <w:basedOn w:val="1"/>
    <w:next w:val="1"/>
    <w:autoRedefine/>
    <w:qFormat/>
    <w:locked/>
    <w:uiPriority w:val="39"/>
    <w:pPr>
      <w:spacing w:line="360" w:lineRule="auto"/>
      <w:ind w:left="840" w:leftChars="400" w:firstLine="200" w:firstLineChars="200"/>
    </w:pPr>
    <w:rPr>
      <w:kern w:val="2"/>
      <w:sz w:val="24"/>
    </w:rPr>
  </w:style>
  <w:style w:type="paragraph" w:styleId="23">
    <w:name w:val="Plain Text"/>
    <w:basedOn w:val="1"/>
    <w:next w:val="16"/>
    <w:link w:val="70"/>
    <w:autoRedefine/>
    <w:qFormat/>
    <w:locked/>
    <w:uiPriority w:val="99"/>
    <w:rPr>
      <w:rFonts w:ascii="宋体" w:hAnsi="Courier New"/>
      <w:szCs w:val="21"/>
    </w:rPr>
  </w:style>
  <w:style w:type="paragraph" w:styleId="24">
    <w:name w:val="toc 8"/>
    <w:basedOn w:val="1"/>
    <w:next w:val="1"/>
    <w:autoRedefine/>
    <w:qFormat/>
    <w:locked/>
    <w:uiPriority w:val="0"/>
    <w:pPr>
      <w:spacing w:line="360" w:lineRule="auto"/>
      <w:ind w:left="2940" w:leftChars="1400" w:firstLine="200" w:firstLineChars="200"/>
    </w:pPr>
    <w:rPr>
      <w:kern w:val="2"/>
      <w:sz w:val="24"/>
    </w:rPr>
  </w:style>
  <w:style w:type="paragraph" w:styleId="25">
    <w:name w:val="Date"/>
    <w:basedOn w:val="1"/>
    <w:next w:val="1"/>
    <w:link w:val="71"/>
    <w:autoRedefine/>
    <w:qFormat/>
    <w:uiPriority w:val="99"/>
    <w:pPr>
      <w:ind w:left="100" w:leftChars="2500"/>
    </w:pPr>
    <w:rPr>
      <w:sz w:val="24"/>
    </w:rPr>
  </w:style>
  <w:style w:type="paragraph" w:styleId="26">
    <w:name w:val="Body Text Indent 2"/>
    <w:basedOn w:val="1"/>
    <w:link w:val="171"/>
    <w:autoRedefine/>
    <w:qFormat/>
    <w:locked/>
    <w:uiPriority w:val="99"/>
    <w:pPr>
      <w:ind w:left="105" w:firstLine="465"/>
    </w:pPr>
    <w:rPr>
      <w:sz w:val="28"/>
    </w:rPr>
  </w:style>
  <w:style w:type="paragraph" w:styleId="27">
    <w:name w:val="endnote text"/>
    <w:basedOn w:val="1"/>
    <w:link w:val="164"/>
    <w:autoRedefine/>
    <w:qFormat/>
    <w:locked/>
    <w:uiPriority w:val="99"/>
    <w:pPr>
      <w:snapToGrid w:val="0"/>
      <w:spacing w:line="360" w:lineRule="auto"/>
      <w:ind w:firstLine="200" w:firstLineChars="200"/>
      <w:jc w:val="left"/>
    </w:pPr>
    <w:rPr>
      <w:kern w:val="2"/>
      <w:sz w:val="24"/>
      <w:szCs w:val="24"/>
    </w:rPr>
  </w:style>
  <w:style w:type="paragraph" w:styleId="28">
    <w:name w:val="Balloon Text"/>
    <w:basedOn w:val="1"/>
    <w:link w:val="72"/>
    <w:autoRedefine/>
    <w:qFormat/>
    <w:uiPriority w:val="0"/>
    <w:rPr>
      <w:sz w:val="18"/>
    </w:rPr>
  </w:style>
  <w:style w:type="paragraph" w:styleId="29">
    <w:name w:val="footer"/>
    <w:basedOn w:val="1"/>
    <w:link w:val="73"/>
    <w:autoRedefine/>
    <w:qFormat/>
    <w:uiPriority w:val="0"/>
    <w:pPr>
      <w:tabs>
        <w:tab w:val="center" w:pos="4153"/>
        <w:tab w:val="right" w:pos="8306"/>
      </w:tabs>
      <w:snapToGrid w:val="0"/>
      <w:jc w:val="left"/>
    </w:pPr>
    <w:rPr>
      <w:sz w:val="18"/>
    </w:rPr>
  </w:style>
  <w:style w:type="paragraph" w:styleId="30">
    <w:name w:val="header"/>
    <w:basedOn w:val="1"/>
    <w:link w:val="74"/>
    <w:autoRedefine/>
    <w:qFormat/>
    <w:uiPriority w:val="0"/>
    <w:pPr>
      <w:pBdr>
        <w:bottom w:val="single" w:color="auto" w:sz="6" w:space="1"/>
      </w:pBdr>
      <w:tabs>
        <w:tab w:val="center" w:pos="4153"/>
        <w:tab w:val="right" w:pos="8306"/>
      </w:tabs>
      <w:snapToGrid w:val="0"/>
      <w:jc w:val="center"/>
    </w:pPr>
    <w:rPr>
      <w:sz w:val="18"/>
    </w:rPr>
  </w:style>
  <w:style w:type="paragraph" w:styleId="31">
    <w:name w:val="toc 1"/>
    <w:basedOn w:val="1"/>
    <w:next w:val="1"/>
    <w:autoRedefine/>
    <w:qFormat/>
    <w:locked/>
    <w:uiPriority w:val="39"/>
    <w:rPr>
      <w:rFonts w:ascii="Calibri" w:hAnsi="Calibri"/>
      <w:szCs w:val="22"/>
    </w:rPr>
  </w:style>
  <w:style w:type="paragraph" w:styleId="32">
    <w:name w:val="toc 4"/>
    <w:basedOn w:val="1"/>
    <w:next w:val="1"/>
    <w:autoRedefine/>
    <w:qFormat/>
    <w:locked/>
    <w:uiPriority w:val="0"/>
    <w:pPr>
      <w:spacing w:line="360" w:lineRule="auto"/>
      <w:ind w:left="1260" w:leftChars="600" w:firstLine="200" w:firstLineChars="200"/>
    </w:pPr>
    <w:rPr>
      <w:kern w:val="2"/>
      <w:sz w:val="24"/>
    </w:rPr>
  </w:style>
  <w:style w:type="paragraph" w:styleId="33">
    <w:name w:val="index heading"/>
    <w:basedOn w:val="1"/>
    <w:next w:val="34"/>
    <w:autoRedefine/>
    <w:qFormat/>
    <w:locked/>
    <w:uiPriority w:val="0"/>
    <w:pPr>
      <w:spacing w:line="360" w:lineRule="auto"/>
      <w:ind w:firstLine="200" w:firstLineChars="200"/>
    </w:pPr>
    <w:rPr>
      <w:rFonts w:ascii="宋体"/>
      <w:bCs/>
      <w:kern w:val="2"/>
      <w:sz w:val="24"/>
    </w:rPr>
  </w:style>
  <w:style w:type="paragraph" w:styleId="34">
    <w:name w:val="index 1"/>
    <w:basedOn w:val="1"/>
    <w:next w:val="1"/>
    <w:autoRedefine/>
    <w:qFormat/>
    <w:locked/>
    <w:uiPriority w:val="0"/>
    <w:pPr>
      <w:spacing w:line="360" w:lineRule="auto"/>
      <w:ind w:firstLine="200" w:firstLineChars="200"/>
    </w:pPr>
    <w:rPr>
      <w:kern w:val="2"/>
      <w:sz w:val="24"/>
    </w:rPr>
  </w:style>
  <w:style w:type="paragraph" w:styleId="35">
    <w:name w:val="Subtitle"/>
    <w:next w:val="1"/>
    <w:link w:val="185"/>
    <w:autoRedefine/>
    <w:qFormat/>
    <w:locked/>
    <w:uiPriority w:val="11"/>
    <w:pPr>
      <w:jc w:val="center"/>
    </w:pPr>
    <w:rPr>
      <w:rFonts w:ascii="Calibri" w:hAnsi="Calibri" w:eastAsia="宋体" w:cs="Times New Roman"/>
      <w:bCs/>
      <w:kern w:val="28"/>
      <w:sz w:val="21"/>
      <w:szCs w:val="32"/>
      <w:lang w:val="en-US" w:eastAsia="zh-CN" w:bidi="ar-SA"/>
    </w:rPr>
  </w:style>
  <w:style w:type="paragraph" w:styleId="36">
    <w:name w:val="List"/>
    <w:basedOn w:val="1"/>
    <w:autoRedefine/>
    <w:qFormat/>
    <w:locked/>
    <w:uiPriority w:val="0"/>
    <w:pPr>
      <w:spacing w:line="360" w:lineRule="auto"/>
      <w:ind w:left="200" w:hanging="200" w:hangingChars="200"/>
    </w:pPr>
    <w:rPr>
      <w:kern w:val="2"/>
      <w:sz w:val="24"/>
    </w:rPr>
  </w:style>
  <w:style w:type="paragraph" w:styleId="37">
    <w:name w:val="toc 6"/>
    <w:basedOn w:val="1"/>
    <w:next w:val="1"/>
    <w:autoRedefine/>
    <w:qFormat/>
    <w:locked/>
    <w:uiPriority w:val="0"/>
    <w:pPr>
      <w:spacing w:line="360" w:lineRule="auto"/>
      <w:ind w:left="2100" w:leftChars="1000" w:firstLine="200" w:firstLineChars="200"/>
    </w:pPr>
    <w:rPr>
      <w:kern w:val="2"/>
      <w:sz w:val="24"/>
    </w:rPr>
  </w:style>
  <w:style w:type="paragraph" w:styleId="38">
    <w:name w:val="Body Text Indent 3"/>
    <w:basedOn w:val="1"/>
    <w:link w:val="183"/>
    <w:autoRedefine/>
    <w:qFormat/>
    <w:locked/>
    <w:uiPriority w:val="0"/>
    <w:pPr>
      <w:spacing w:line="360" w:lineRule="auto"/>
      <w:ind w:firstLine="570" w:firstLineChars="200"/>
    </w:pPr>
    <w:rPr>
      <w:kern w:val="2"/>
      <w:sz w:val="24"/>
      <w:szCs w:val="24"/>
    </w:rPr>
  </w:style>
  <w:style w:type="paragraph" w:styleId="39">
    <w:name w:val="toc 2"/>
    <w:basedOn w:val="1"/>
    <w:next w:val="1"/>
    <w:autoRedefine/>
    <w:qFormat/>
    <w:locked/>
    <w:uiPriority w:val="39"/>
    <w:pPr>
      <w:spacing w:line="360" w:lineRule="auto"/>
      <w:ind w:left="420" w:leftChars="200" w:firstLine="200" w:firstLineChars="200"/>
    </w:pPr>
    <w:rPr>
      <w:kern w:val="2"/>
      <w:sz w:val="24"/>
    </w:rPr>
  </w:style>
  <w:style w:type="paragraph" w:styleId="40">
    <w:name w:val="toc 9"/>
    <w:basedOn w:val="1"/>
    <w:next w:val="1"/>
    <w:autoRedefine/>
    <w:qFormat/>
    <w:locked/>
    <w:uiPriority w:val="0"/>
    <w:pPr>
      <w:spacing w:line="360" w:lineRule="auto"/>
      <w:ind w:left="3360" w:leftChars="1600" w:firstLine="200" w:firstLineChars="200"/>
    </w:pPr>
    <w:rPr>
      <w:kern w:val="2"/>
      <w:sz w:val="24"/>
    </w:rPr>
  </w:style>
  <w:style w:type="paragraph" w:styleId="41">
    <w:name w:val="Normal (Web)"/>
    <w:basedOn w:val="1"/>
    <w:link w:val="75"/>
    <w:autoRedefine/>
    <w:qFormat/>
    <w:uiPriority w:val="99"/>
    <w:pPr>
      <w:widowControl/>
      <w:spacing w:before="100" w:beforeAutospacing="1" w:after="100" w:afterAutospacing="1"/>
      <w:jc w:val="left"/>
    </w:pPr>
    <w:rPr>
      <w:rFonts w:ascii="宋体" w:hAnsi="宋体"/>
      <w:sz w:val="24"/>
    </w:rPr>
  </w:style>
  <w:style w:type="paragraph" w:styleId="42">
    <w:name w:val="annotation subject"/>
    <w:basedOn w:val="15"/>
    <w:next w:val="15"/>
    <w:link w:val="76"/>
    <w:autoRedefine/>
    <w:qFormat/>
    <w:uiPriority w:val="0"/>
    <w:rPr>
      <w:b/>
      <w:kern w:val="2"/>
    </w:rPr>
  </w:style>
  <w:style w:type="paragraph" w:styleId="43">
    <w:name w:val="Body Text First Indent"/>
    <w:basedOn w:val="17"/>
    <w:link w:val="77"/>
    <w:autoRedefine/>
    <w:qFormat/>
    <w:locked/>
    <w:uiPriority w:val="0"/>
    <w:pPr>
      <w:widowControl w:val="0"/>
      <w:snapToGrid/>
      <w:spacing w:before="0" w:after="120" w:line="240" w:lineRule="auto"/>
      <w:ind w:right="0" w:firstLine="420" w:firstLineChars="100"/>
    </w:pPr>
    <w:rPr>
      <w:kern w:val="2"/>
      <w:sz w:val="21"/>
      <w:szCs w:val="24"/>
    </w:rPr>
  </w:style>
  <w:style w:type="paragraph" w:styleId="44">
    <w:name w:val="Body Text First Indent 2"/>
    <w:basedOn w:val="19"/>
    <w:link w:val="78"/>
    <w:autoRedefine/>
    <w:unhideWhenUsed/>
    <w:qFormat/>
    <w:locked/>
    <w:uiPriority w:val="99"/>
    <w:pPr>
      <w:ind w:firstLine="420" w:firstLineChars="200"/>
    </w:pPr>
    <w:rPr>
      <w:rFonts w:ascii="Calibri" w:hAnsi="Calibri"/>
      <w:kern w:val="2"/>
      <w:sz w:val="21"/>
      <w:szCs w:val="22"/>
    </w:rPr>
  </w:style>
  <w:style w:type="table" w:styleId="46">
    <w:name w:val="Table Grid"/>
    <w:basedOn w:val="45"/>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Strong"/>
    <w:basedOn w:val="47"/>
    <w:autoRedefine/>
    <w:qFormat/>
    <w:locked/>
    <w:uiPriority w:val="0"/>
    <w:rPr>
      <w:b/>
      <w:bCs/>
    </w:rPr>
  </w:style>
  <w:style w:type="character" w:styleId="49">
    <w:name w:val="endnote reference"/>
    <w:basedOn w:val="47"/>
    <w:autoRedefine/>
    <w:qFormat/>
    <w:locked/>
    <w:uiPriority w:val="0"/>
    <w:rPr>
      <w:sz w:val="21"/>
      <w:vertAlign w:val="superscript"/>
    </w:rPr>
  </w:style>
  <w:style w:type="character" w:styleId="50">
    <w:name w:val="page number"/>
    <w:autoRedefine/>
    <w:qFormat/>
    <w:locked/>
    <w:uiPriority w:val="0"/>
  </w:style>
  <w:style w:type="character" w:styleId="51">
    <w:name w:val="FollowedHyperlink"/>
    <w:autoRedefine/>
    <w:qFormat/>
    <w:locked/>
    <w:uiPriority w:val="99"/>
    <w:rPr>
      <w:color w:val="555555"/>
      <w:u w:val="none"/>
    </w:rPr>
  </w:style>
  <w:style w:type="character" w:styleId="52">
    <w:name w:val="Emphasis"/>
    <w:autoRedefine/>
    <w:qFormat/>
    <w:locked/>
    <w:uiPriority w:val="0"/>
  </w:style>
  <w:style w:type="character" w:styleId="53">
    <w:name w:val="HTML Definition"/>
    <w:autoRedefine/>
    <w:qFormat/>
    <w:locked/>
    <w:uiPriority w:val="0"/>
  </w:style>
  <w:style w:type="character" w:styleId="54">
    <w:name w:val="HTML Variable"/>
    <w:autoRedefine/>
    <w:qFormat/>
    <w:locked/>
    <w:uiPriority w:val="0"/>
  </w:style>
  <w:style w:type="character" w:styleId="55">
    <w:name w:val="Hyperlink"/>
    <w:autoRedefine/>
    <w:unhideWhenUsed/>
    <w:qFormat/>
    <w:locked/>
    <w:uiPriority w:val="99"/>
    <w:rPr>
      <w:color w:val="555555"/>
      <w:u w:val="none"/>
    </w:rPr>
  </w:style>
  <w:style w:type="character" w:styleId="56">
    <w:name w:val="HTML Code"/>
    <w:autoRedefine/>
    <w:qFormat/>
    <w:locked/>
    <w:uiPriority w:val="0"/>
    <w:rPr>
      <w:rFonts w:hint="default" w:ascii="serif" w:hAnsi="serif" w:eastAsia="serif" w:cs="serif"/>
      <w:sz w:val="21"/>
      <w:szCs w:val="21"/>
    </w:rPr>
  </w:style>
  <w:style w:type="character" w:styleId="57">
    <w:name w:val="annotation reference"/>
    <w:autoRedefine/>
    <w:qFormat/>
    <w:uiPriority w:val="0"/>
    <w:rPr>
      <w:sz w:val="21"/>
    </w:rPr>
  </w:style>
  <w:style w:type="character" w:styleId="58">
    <w:name w:val="HTML Cite"/>
    <w:autoRedefine/>
    <w:qFormat/>
    <w:locked/>
    <w:uiPriority w:val="0"/>
  </w:style>
  <w:style w:type="character" w:styleId="59">
    <w:name w:val="HTML Keyboard"/>
    <w:autoRedefine/>
    <w:qFormat/>
    <w:locked/>
    <w:uiPriority w:val="0"/>
    <w:rPr>
      <w:rFonts w:ascii="serif" w:hAnsi="serif" w:eastAsia="serif" w:cs="serif"/>
      <w:sz w:val="21"/>
      <w:szCs w:val="21"/>
    </w:rPr>
  </w:style>
  <w:style w:type="character" w:styleId="60">
    <w:name w:val="HTML Sample"/>
    <w:autoRedefine/>
    <w:qFormat/>
    <w:locked/>
    <w:uiPriority w:val="0"/>
    <w:rPr>
      <w:rFonts w:hint="default" w:ascii="serif" w:hAnsi="serif" w:eastAsia="serif" w:cs="serif"/>
      <w:sz w:val="21"/>
      <w:szCs w:val="21"/>
    </w:rPr>
  </w:style>
  <w:style w:type="character" w:customStyle="1" w:styleId="61">
    <w:name w:val="标题 3 Char"/>
    <w:link w:val="5"/>
    <w:autoRedefine/>
    <w:qFormat/>
    <w:uiPriority w:val="9"/>
    <w:rPr>
      <w:b/>
      <w:bCs/>
      <w:kern w:val="2"/>
      <w:sz w:val="32"/>
      <w:szCs w:val="32"/>
    </w:rPr>
  </w:style>
  <w:style w:type="character" w:customStyle="1" w:styleId="62">
    <w:name w:val="标题 4 Char"/>
    <w:link w:val="6"/>
    <w:autoRedefine/>
    <w:qFormat/>
    <w:uiPriority w:val="9"/>
    <w:rPr>
      <w:rFonts w:ascii="Cambria" w:hAnsi="Cambria" w:eastAsia="宋体" w:cs="Times New Roman"/>
      <w:b/>
      <w:bCs/>
      <w:kern w:val="2"/>
      <w:sz w:val="28"/>
      <w:szCs w:val="28"/>
    </w:rPr>
  </w:style>
  <w:style w:type="character" w:customStyle="1" w:styleId="63">
    <w:name w:val="注释标题 Char1"/>
    <w:link w:val="10"/>
    <w:autoRedefine/>
    <w:qFormat/>
    <w:locked/>
    <w:uiPriority w:val="0"/>
    <w:rPr>
      <w:rFonts w:eastAsia="仿宋_GB2312"/>
      <w:sz w:val="24"/>
      <w:lang w:eastAsia="en-US"/>
    </w:rPr>
  </w:style>
  <w:style w:type="character" w:customStyle="1" w:styleId="64">
    <w:name w:val="正文缩进 Char"/>
    <w:link w:val="11"/>
    <w:autoRedefine/>
    <w:qFormat/>
    <w:locked/>
    <w:uiPriority w:val="0"/>
    <w:rPr>
      <w:sz w:val="24"/>
    </w:rPr>
  </w:style>
  <w:style w:type="character" w:customStyle="1" w:styleId="65">
    <w:name w:val="文档结构图 Char"/>
    <w:link w:val="13"/>
    <w:autoRedefine/>
    <w:qFormat/>
    <w:uiPriority w:val="99"/>
    <w:rPr>
      <w:rFonts w:ascii="宋体"/>
      <w:kern w:val="2"/>
      <w:sz w:val="18"/>
      <w:szCs w:val="18"/>
    </w:rPr>
  </w:style>
  <w:style w:type="character" w:customStyle="1" w:styleId="66">
    <w:name w:val="批注文字 Char"/>
    <w:link w:val="15"/>
    <w:autoRedefine/>
    <w:qFormat/>
    <w:locked/>
    <w:uiPriority w:val="0"/>
    <w:rPr>
      <w:rFonts w:ascii="Times New Roman" w:hAnsi="Times New Roman" w:eastAsia="宋体"/>
      <w:sz w:val="24"/>
    </w:rPr>
  </w:style>
  <w:style w:type="character" w:customStyle="1" w:styleId="67">
    <w:name w:val="称呼 Char"/>
    <w:link w:val="16"/>
    <w:autoRedefine/>
    <w:qFormat/>
    <w:uiPriority w:val="0"/>
    <w:rPr>
      <w:sz w:val="24"/>
    </w:rPr>
  </w:style>
  <w:style w:type="character" w:customStyle="1" w:styleId="68">
    <w:name w:val="正文文本 Char"/>
    <w:basedOn w:val="47"/>
    <w:link w:val="17"/>
    <w:autoRedefine/>
    <w:qFormat/>
    <w:locked/>
    <w:uiPriority w:val="1"/>
    <w:rPr>
      <w:sz w:val="18"/>
    </w:rPr>
  </w:style>
  <w:style w:type="character" w:customStyle="1" w:styleId="69">
    <w:name w:val="正文文本缩进 Char"/>
    <w:link w:val="19"/>
    <w:autoRedefine/>
    <w:qFormat/>
    <w:locked/>
    <w:uiPriority w:val="99"/>
    <w:rPr>
      <w:rFonts w:ascii="Times New Roman" w:hAnsi="Times New Roman" w:eastAsia="宋体"/>
      <w:sz w:val="24"/>
    </w:rPr>
  </w:style>
  <w:style w:type="character" w:customStyle="1" w:styleId="70">
    <w:name w:val="纯文本 Char"/>
    <w:link w:val="23"/>
    <w:autoRedefine/>
    <w:qFormat/>
    <w:uiPriority w:val="99"/>
    <w:rPr>
      <w:rFonts w:ascii="宋体" w:hAnsi="Courier New"/>
      <w:kern w:val="2"/>
      <w:sz w:val="21"/>
      <w:szCs w:val="21"/>
    </w:rPr>
  </w:style>
  <w:style w:type="character" w:customStyle="1" w:styleId="71">
    <w:name w:val="日期 Char"/>
    <w:link w:val="25"/>
    <w:autoRedefine/>
    <w:qFormat/>
    <w:locked/>
    <w:uiPriority w:val="99"/>
    <w:rPr>
      <w:rFonts w:ascii="Times New Roman" w:hAnsi="Times New Roman" w:eastAsia="宋体"/>
      <w:sz w:val="24"/>
    </w:rPr>
  </w:style>
  <w:style w:type="character" w:customStyle="1" w:styleId="72">
    <w:name w:val="批注框文本 Char"/>
    <w:link w:val="28"/>
    <w:autoRedefine/>
    <w:qFormat/>
    <w:locked/>
    <w:uiPriority w:val="0"/>
    <w:rPr>
      <w:rFonts w:ascii="Times New Roman" w:hAnsi="Times New Roman" w:eastAsia="宋体"/>
      <w:sz w:val="18"/>
    </w:rPr>
  </w:style>
  <w:style w:type="character" w:customStyle="1" w:styleId="73">
    <w:name w:val="页脚 Char"/>
    <w:link w:val="29"/>
    <w:autoRedefine/>
    <w:qFormat/>
    <w:locked/>
    <w:uiPriority w:val="0"/>
    <w:rPr>
      <w:sz w:val="18"/>
    </w:rPr>
  </w:style>
  <w:style w:type="character" w:customStyle="1" w:styleId="74">
    <w:name w:val="页眉 Char"/>
    <w:link w:val="30"/>
    <w:autoRedefine/>
    <w:qFormat/>
    <w:locked/>
    <w:uiPriority w:val="0"/>
    <w:rPr>
      <w:sz w:val="18"/>
    </w:rPr>
  </w:style>
  <w:style w:type="character" w:customStyle="1" w:styleId="75">
    <w:name w:val="普通(网站) Char"/>
    <w:link w:val="41"/>
    <w:autoRedefine/>
    <w:qFormat/>
    <w:locked/>
    <w:uiPriority w:val="99"/>
    <w:rPr>
      <w:rFonts w:ascii="宋体" w:hAnsi="宋体" w:eastAsia="宋体"/>
      <w:sz w:val="24"/>
    </w:rPr>
  </w:style>
  <w:style w:type="character" w:customStyle="1" w:styleId="76">
    <w:name w:val="批注主题 Char"/>
    <w:link w:val="42"/>
    <w:autoRedefine/>
    <w:qFormat/>
    <w:locked/>
    <w:uiPriority w:val="0"/>
    <w:rPr>
      <w:rFonts w:ascii="Times New Roman" w:hAnsi="Times New Roman" w:eastAsia="宋体"/>
      <w:b/>
      <w:kern w:val="2"/>
      <w:sz w:val="24"/>
    </w:rPr>
  </w:style>
  <w:style w:type="character" w:customStyle="1" w:styleId="77">
    <w:name w:val="正文首行缩进 Char"/>
    <w:link w:val="43"/>
    <w:autoRedefine/>
    <w:qFormat/>
    <w:uiPriority w:val="0"/>
    <w:rPr>
      <w:kern w:val="2"/>
      <w:sz w:val="21"/>
      <w:szCs w:val="24"/>
    </w:rPr>
  </w:style>
  <w:style w:type="character" w:customStyle="1" w:styleId="78">
    <w:name w:val="正文首行缩进 2 Char"/>
    <w:link w:val="44"/>
    <w:autoRedefine/>
    <w:qFormat/>
    <w:uiPriority w:val="99"/>
    <w:rPr>
      <w:rFonts w:ascii="Calibri" w:hAnsi="Calibri" w:eastAsia="宋体"/>
      <w:kern w:val="2"/>
      <w:sz w:val="21"/>
      <w:szCs w:val="22"/>
    </w:rPr>
  </w:style>
  <w:style w:type="paragraph" w:customStyle="1" w:styleId="79">
    <w:name w:val="样式 标题 1 + 四号 段前: 0 磅 段后: 0 磅 行距: 1.5 倍行距"/>
    <w:basedOn w:val="80"/>
    <w:next w:val="81"/>
    <w:autoRedefine/>
    <w:qFormat/>
    <w:uiPriority w:val="99"/>
    <w:pPr>
      <w:jc w:val="center"/>
    </w:pPr>
  </w:style>
  <w:style w:type="paragraph" w:customStyle="1" w:styleId="80">
    <w:name w:val="1正文"/>
    <w:autoRedefine/>
    <w:qFormat/>
    <w:uiPriority w:val="0"/>
    <w:pPr>
      <w:snapToGrid w:val="0"/>
      <w:spacing w:line="360" w:lineRule="auto"/>
      <w:ind w:firstLine="200" w:firstLineChars="200"/>
      <w:jc w:val="both"/>
    </w:pPr>
    <w:rPr>
      <w:rFonts w:ascii="Tms Rmn" w:hAnsi="Tms Rmn" w:eastAsia="華康中楷體" w:cs="??"/>
      <w:kern w:val="2"/>
      <w:sz w:val="24"/>
      <w:szCs w:val="24"/>
      <w:lang w:val="en-US" w:eastAsia="zh-CN" w:bidi="ar-SA"/>
    </w:rPr>
  </w:style>
  <w:style w:type="paragraph" w:customStyle="1" w:styleId="81">
    <w:name w:val="文本正文"/>
    <w:basedOn w:val="1"/>
    <w:autoRedefine/>
    <w:qFormat/>
    <w:uiPriority w:val="0"/>
    <w:pPr>
      <w:snapToGrid w:val="0"/>
      <w:spacing w:line="360" w:lineRule="auto"/>
      <w:ind w:firstLine="510"/>
      <w:jc w:val="left"/>
    </w:pPr>
    <w:rPr>
      <w:spacing w:val="4"/>
      <w:kern w:val="24"/>
      <w:lang w:val="zh-CN"/>
    </w:rPr>
  </w:style>
  <w:style w:type="character" w:customStyle="1" w:styleId="82">
    <w:name w:val="正文文本 字符1"/>
    <w:autoRedefine/>
    <w:semiHidden/>
    <w:qFormat/>
    <w:uiPriority w:val="0"/>
    <w:rPr>
      <w:rFonts w:ascii="Times New Roman" w:hAnsi="Times New Roman" w:eastAsia="宋体"/>
      <w:sz w:val="24"/>
    </w:rPr>
  </w:style>
  <w:style w:type="character" w:customStyle="1" w:styleId="83">
    <w:name w:val="页脚 字符"/>
    <w:autoRedefine/>
    <w:qFormat/>
    <w:uiPriority w:val="99"/>
  </w:style>
  <w:style w:type="character" w:customStyle="1" w:styleId="84">
    <w:name w:val="批注文字 字符1"/>
    <w:autoRedefine/>
    <w:semiHidden/>
    <w:qFormat/>
    <w:uiPriority w:val="0"/>
    <w:rPr>
      <w:rFonts w:ascii="Times New Roman" w:hAnsi="Times New Roman" w:eastAsia="宋体"/>
      <w:sz w:val="24"/>
    </w:rPr>
  </w:style>
  <w:style w:type="character" w:customStyle="1" w:styleId="85">
    <w:name w:val="日期 字符"/>
    <w:autoRedefine/>
    <w:semiHidden/>
    <w:qFormat/>
    <w:uiPriority w:val="0"/>
    <w:rPr>
      <w:rFonts w:ascii="Times New Roman" w:hAnsi="Times New Roman" w:eastAsia="宋体"/>
      <w:sz w:val="24"/>
    </w:rPr>
  </w:style>
  <w:style w:type="character" w:customStyle="1" w:styleId="86">
    <w:name w:val="表格 Char"/>
    <w:link w:val="87"/>
    <w:autoRedefine/>
    <w:qFormat/>
    <w:locked/>
    <w:uiPriority w:val="0"/>
    <w:rPr>
      <w:rFonts w:ascii="宋体"/>
      <w:sz w:val="21"/>
    </w:rPr>
  </w:style>
  <w:style w:type="paragraph" w:customStyle="1" w:styleId="87">
    <w:name w:val="表格"/>
    <w:basedOn w:val="1"/>
    <w:next w:val="1"/>
    <w:link w:val="86"/>
    <w:autoRedefine/>
    <w:qFormat/>
    <w:uiPriority w:val="0"/>
    <w:pPr>
      <w:adjustRightInd w:val="0"/>
      <w:snapToGrid w:val="0"/>
      <w:spacing w:beforeLines="10" w:afterLines="10" w:line="259" w:lineRule="auto"/>
      <w:jc w:val="center"/>
    </w:pPr>
    <w:rPr>
      <w:rFonts w:ascii="宋体"/>
    </w:rPr>
  </w:style>
  <w:style w:type="character" w:customStyle="1" w:styleId="88">
    <w:name w:val="Char Char3"/>
    <w:autoRedefine/>
    <w:qFormat/>
    <w:locked/>
    <w:uiPriority w:val="0"/>
    <w:rPr>
      <w:rFonts w:hint="eastAsia" w:ascii="宋体" w:hAnsi="宋体" w:eastAsia="宋体"/>
      <w:kern w:val="2"/>
      <w:sz w:val="28"/>
      <w:szCs w:val="24"/>
      <w:lang w:val="en-US" w:eastAsia="zh-CN" w:bidi="ar-SA"/>
    </w:rPr>
  </w:style>
  <w:style w:type="paragraph" w:customStyle="1" w:styleId="89">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0">
    <w:name w:val="普通(网站)2"/>
    <w:basedOn w:val="1"/>
    <w:autoRedefine/>
    <w:qFormat/>
    <w:uiPriority w:val="0"/>
    <w:pPr>
      <w:widowControl/>
      <w:spacing w:before="100" w:beforeAutospacing="1" w:after="100" w:afterAutospacing="1"/>
      <w:jc w:val="left"/>
    </w:pPr>
    <w:rPr>
      <w:rFonts w:ascii="宋体" w:hAnsi="宋体"/>
      <w:sz w:val="24"/>
    </w:rPr>
  </w:style>
  <w:style w:type="paragraph" w:customStyle="1" w:styleId="91">
    <w:name w:val="1、正文文本"/>
    <w:next w:val="1"/>
    <w:autoRedefine/>
    <w:qFormat/>
    <w:uiPriority w:val="0"/>
    <w:pPr>
      <w:adjustRightInd w:val="0"/>
      <w:snapToGrid w:val="0"/>
      <w:spacing w:line="360" w:lineRule="auto"/>
      <w:ind w:firstLine="200" w:firstLineChars="200"/>
      <w:jc w:val="both"/>
    </w:pPr>
    <w:rPr>
      <w:rFonts w:ascii="Times New Roman" w:hAnsi="Times New Roman" w:eastAsia="宋体" w:cs="宋体"/>
      <w:kern w:val="2"/>
      <w:sz w:val="24"/>
      <w:lang w:val="en-US" w:eastAsia="zh-CN" w:bidi="ar-SA"/>
    </w:rPr>
  </w:style>
  <w:style w:type="paragraph" w:customStyle="1" w:styleId="92">
    <w:name w:val="表格文字1"/>
    <w:basedOn w:val="93"/>
    <w:next w:val="91"/>
    <w:autoRedefine/>
    <w:qFormat/>
    <w:uiPriority w:val="0"/>
    <w:pPr>
      <w:adjustRightInd w:val="0"/>
      <w:snapToGrid w:val="0"/>
      <w:jc w:val="center"/>
    </w:pPr>
    <w:rPr>
      <w:snapToGrid w:val="0"/>
      <w:szCs w:val="21"/>
    </w:rPr>
  </w:style>
  <w:style w:type="paragraph" w:customStyle="1" w:styleId="93">
    <w:name w:val="表格中文字"/>
    <w:basedOn w:val="1"/>
    <w:autoRedefine/>
    <w:qFormat/>
    <w:uiPriority w:val="0"/>
    <w:rPr>
      <w:szCs w:val="52"/>
    </w:rPr>
  </w:style>
  <w:style w:type="paragraph" w:customStyle="1" w:styleId="94">
    <w:name w:val="Default"/>
    <w:autoRedefine/>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95">
    <w:name w:val="正文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6">
    <w:name w:val="AA正文"/>
    <w:basedOn w:val="1"/>
    <w:autoRedefine/>
    <w:qFormat/>
    <w:uiPriority w:val="99"/>
    <w:pPr>
      <w:ind w:firstLine="800"/>
    </w:pPr>
  </w:style>
  <w:style w:type="paragraph" w:customStyle="1" w:styleId="97">
    <w:name w:val="123456"/>
    <w:basedOn w:val="1"/>
    <w:autoRedefine/>
    <w:qFormat/>
    <w:uiPriority w:val="0"/>
    <w:pPr>
      <w:spacing w:line="360" w:lineRule="auto"/>
      <w:ind w:firstLine="200" w:firstLineChars="200"/>
    </w:pPr>
    <w:rPr>
      <w:sz w:val="24"/>
    </w:rPr>
  </w:style>
  <w:style w:type="paragraph" w:styleId="98">
    <w:name w:val="List Paragraph"/>
    <w:basedOn w:val="1"/>
    <w:link w:val="99"/>
    <w:autoRedefine/>
    <w:qFormat/>
    <w:uiPriority w:val="1"/>
    <w:pPr>
      <w:ind w:firstLine="420" w:firstLineChars="200"/>
    </w:pPr>
    <w:rPr>
      <w:rFonts w:ascii="Calibri" w:hAnsi="Calibri"/>
      <w:szCs w:val="22"/>
    </w:rPr>
  </w:style>
  <w:style w:type="character" w:customStyle="1" w:styleId="99">
    <w:name w:val="列出段落 Char"/>
    <w:link w:val="98"/>
    <w:autoRedefine/>
    <w:qFormat/>
    <w:uiPriority w:val="1"/>
    <w:rPr>
      <w:rFonts w:ascii="Calibri" w:hAnsi="Calibri"/>
      <w:kern w:val="2"/>
      <w:sz w:val="21"/>
      <w:szCs w:val="22"/>
    </w:rPr>
  </w:style>
  <w:style w:type="character" w:customStyle="1" w:styleId="100">
    <w:name w:val="注释标题 Char"/>
    <w:autoRedefine/>
    <w:qFormat/>
    <w:uiPriority w:val="0"/>
    <w:rPr>
      <w:kern w:val="2"/>
      <w:sz w:val="21"/>
      <w:szCs w:val="24"/>
    </w:rPr>
  </w:style>
  <w:style w:type="paragraph" w:customStyle="1" w:styleId="101">
    <w:name w:val="正文文本缩进 21"/>
    <w:basedOn w:val="1"/>
    <w:autoRedefine/>
    <w:qFormat/>
    <w:uiPriority w:val="0"/>
    <w:pPr>
      <w:spacing w:after="120" w:line="480" w:lineRule="auto"/>
      <w:ind w:left="420" w:leftChars="200"/>
    </w:pPr>
    <w:rPr>
      <w:rFonts w:ascii="Calibri" w:hAnsi="Calibri"/>
      <w:szCs w:val="22"/>
    </w:rPr>
  </w:style>
  <w:style w:type="paragraph" w:customStyle="1" w:styleId="102">
    <w:name w:val="Table Paragraph"/>
    <w:basedOn w:val="1"/>
    <w:autoRedefine/>
    <w:qFormat/>
    <w:uiPriority w:val="1"/>
    <w:pPr>
      <w:jc w:val="left"/>
    </w:pPr>
    <w:rPr>
      <w:rFonts w:ascii="Calibri" w:hAnsi="Calibri"/>
      <w:sz w:val="22"/>
      <w:szCs w:val="22"/>
      <w:lang w:eastAsia="en-US"/>
    </w:rPr>
  </w:style>
  <w:style w:type="paragraph" w:customStyle="1" w:styleId="103">
    <w:name w:val="Char Char Char Char"/>
    <w:basedOn w:val="1"/>
    <w:autoRedefine/>
    <w:qFormat/>
    <w:uiPriority w:val="0"/>
    <w:pPr>
      <w:adjustRightInd w:val="0"/>
      <w:snapToGrid w:val="0"/>
      <w:spacing w:line="360" w:lineRule="auto"/>
      <w:ind w:firstLine="200" w:firstLineChars="200"/>
    </w:pPr>
    <w:rPr>
      <w:sz w:val="24"/>
    </w:rPr>
  </w:style>
  <w:style w:type="character" w:customStyle="1" w:styleId="104">
    <w:name w:val="font41"/>
    <w:autoRedefine/>
    <w:qFormat/>
    <w:uiPriority w:val="0"/>
    <w:rPr>
      <w:rFonts w:hint="eastAsia" w:ascii="宋体" w:hAnsi="宋体" w:eastAsia="宋体" w:cs="宋体"/>
      <w:b/>
      <w:color w:val="000000"/>
      <w:kern w:val="0"/>
      <w:sz w:val="21"/>
      <w:szCs w:val="21"/>
      <w:u w:val="none"/>
      <w:lang w:eastAsia="en-US"/>
    </w:rPr>
  </w:style>
  <w:style w:type="character" w:customStyle="1" w:styleId="105">
    <w:name w:val="font01"/>
    <w:autoRedefine/>
    <w:qFormat/>
    <w:uiPriority w:val="0"/>
    <w:rPr>
      <w:rFonts w:hint="eastAsia" w:ascii="宋体" w:hAnsi="宋体" w:eastAsia="宋体" w:cs="宋体"/>
      <w:b/>
      <w:color w:val="000000"/>
      <w:kern w:val="0"/>
      <w:sz w:val="20"/>
      <w:szCs w:val="20"/>
      <w:u w:val="none"/>
      <w:lang w:eastAsia="en-US"/>
    </w:rPr>
  </w:style>
  <w:style w:type="character" w:customStyle="1" w:styleId="106">
    <w:name w:val="font81"/>
    <w:autoRedefine/>
    <w:qFormat/>
    <w:uiPriority w:val="0"/>
    <w:rPr>
      <w:rFonts w:hint="eastAsia" w:ascii="宋体" w:hAnsi="宋体" w:eastAsia="宋体" w:cs="宋体"/>
      <w:color w:val="000000"/>
      <w:kern w:val="0"/>
      <w:sz w:val="21"/>
      <w:szCs w:val="21"/>
      <w:u w:val="none"/>
      <w:lang w:eastAsia="en-US"/>
    </w:rPr>
  </w:style>
  <w:style w:type="character" w:customStyle="1" w:styleId="107">
    <w:name w:val="font91"/>
    <w:autoRedefine/>
    <w:qFormat/>
    <w:uiPriority w:val="0"/>
    <w:rPr>
      <w:rFonts w:hint="eastAsia" w:ascii="宋体" w:hAnsi="宋体" w:eastAsia="宋体" w:cs="宋体"/>
      <w:color w:val="000000"/>
      <w:kern w:val="0"/>
      <w:sz w:val="21"/>
      <w:szCs w:val="21"/>
      <w:u w:val="none"/>
      <w:vertAlign w:val="superscript"/>
      <w:lang w:eastAsia="en-US"/>
    </w:rPr>
  </w:style>
  <w:style w:type="character" w:customStyle="1" w:styleId="108">
    <w:name w:val="font11"/>
    <w:autoRedefine/>
    <w:qFormat/>
    <w:uiPriority w:val="0"/>
    <w:rPr>
      <w:rFonts w:hint="default" w:ascii="Times New Roman" w:hAnsi="Times New Roman" w:eastAsia="仿宋_GB2312" w:cs="Times New Roman"/>
      <w:b/>
      <w:color w:val="000000"/>
      <w:kern w:val="0"/>
      <w:sz w:val="21"/>
      <w:szCs w:val="21"/>
      <w:u w:val="none"/>
      <w:vertAlign w:val="superscript"/>
      <w:lang w:eastAsia="en-US"/>
    </w:rPr>
  </w:style>
  <w:style w:type="character" w:customStyle="1" w:styleId="109">
    <w:name w:val="govicon"/>
    <w:autoRedefine/>
    <w:qFormat/>
    <w:uiPriority w:val="0"/>
  </w:style>
  <w:style w:type="paragraph" w:customStyle="1" w:styleId="110">
    <w:name w:val="表内容"/>
    <w:basedOn w:val="1"/>
    <w:link w:val="111"/>
    <w:autoRedefine/>
    <w:qFormat/>
    <w:uiPriority w:val="0"/>
    <w:pPr>
      <w:jc w:val="center"/>
    </w:pPr>
    <w:rPr>
      <w:rFonts w:eastAsia="仿宋"/>
      <w:szCs w:val="22"/>
    </w:rPr>
  </w:style>
  <w:style w:type="character" w:customStyle="1" w:styleId="111">
    <w:name w:val="表内容 Char"/>
    <w:link w:val="110"/>
    <w:autoRedefine/>
    <w:qFormat/>
    <w:locked/>
    <w:uiPriority w:val="0"/>
    <w:rPr>
      <w:rFonts w:eastAsia="仿宋"/>
      <w:kern w:val="2"/>
      <w:sz w:val="21"/>
      <w:szCs w:val="22"/>
    </w:rPr>
  </w:style>
  <w:style w:type="character" w:customStyle="1" w:styleId="112">
    <w:name w:val="NormalCharacter"/>
    <w:autoRedefine/>
    <w:qFormat/>
    <w:uiPriority w:val="0"/>
  </w:style>
  <w:style w:type="character" w:customStyle="1" w:styleId="113">
    <w:name w:val="trumbowyg-msg-error"/>
    <w:autoRedefine/>
    <w:qFormat/>
    <w:uiPriority w:val="0"/>
    <w:rPr>
      <w:color w:val="E74C3C"/>
    </w:rPr>
  </w:style>
  <w:style w:type="character" w:customStyle="1" w:styleId="114">
    <w:name w:val="trumbowyg-msg-error1"/>
    <w:autoRedefine/>
    <w:qFormat/>
    <w:uiPriority w:val="0"/>
    <w:rPr>
      <w:color w:val="E74C3C"/>
    </w:rPr>
  </w:style>
  <w:style w:type="character" w:customStyle="1" w:styleId="115">
    <w:name w:val="fontstrikethrough"/>
    <w:autoRedefine/>
    <w:qFormat/>
    <w:uiPriority w:val="0"/>
    <w:rPr>
      <w:strike/>
    </w:rPr>
  </w:style>
  <w:style w:type="character" w:customStyle="1" w:styleId="116">
    <w:name w:val="hidden"/>
    <w:autoRedefine/>
    <w:qFormat/>
    <w:uiPriority w:val="0"/>
    <w:rPr>
      <w:vanish/>
    </w:rPr>
  </w:style>
  <w:style w:type="character" w:customStyle="1" w:styleId="117">
    <w:name w:val="fontborder"/>
    <w:autoRedefine/>
    <w:qFormat/>
    <w:uiPriority w:val="0"/>
    <w:rPr>
      <w:bdr w:val="single" w:color="000000" w:sz="6" w:space="0"/>
    </w:rPr>
  </w:style>
  <w:style w:type="character" w:customStyle="1" w:styleId="118">
    <w:name w:val="two-lines"/>
    <w:autoRedefine/>
    <w:qFormat/>
    <w:uiPriority w:val="0"/>
  </w:style>
  <w:style w:type="character" w:customStyle="1" w:styleId="119">
    <w:name w:val="one-lines"/>
    <w:autoRedefine/>
    <w:qFormat/>
    <w:uiPriority w:val="0"/>
  </w:style>
  <w:style w:type="character" w:customStyle="1" w:styleId="120">
    <w:name w:val="hidden3"/>
    <w:autoRedefine/>
    <w:qFormat/>
    <w:uiPriority w:val="0"/>
    <w:rPr>
      <w:vanish/>
    </w:rPr>
  </w:style>
  <w:style w:type="character" w:customStyle="1" w:styleId="121">
    <w:name w:val="正文文本 Char1"/>
    <w:autoRedefine/>
    <w:qFormat/>
    <w:uiPriority w:val="0"/>
    <w:rPr>
      <w:rFonts w:eastAsia="宋体"/>
      <w:kern w:val="2"/>
      <w:sz w:val="28"/>
      <w:szCs w:val="24"/>
      <w:lang w:val="en-US" w:eastAsia="zh-CN" w:bidi="ar-SA"/>
    </w:rPr>
  </w:style>
  <w:style w:type="paragraph" w:customStyle="1" w:styleId="122">
    <w:name w:val="11"/>
    <w:basedOn w:val="17"/>
    <w:autoRedefine/>
    <w:qFormat/>
    <w:uiPriority w:val="0"/>
    <w:pPr>
      <w:widowControl w:val="0"/>
      <w:autoSpaceDE w:val="0"/>
      <w:autoSpaceDN w:val="0"/>
      <w:adjustRightInd w:val="0"/>
      <w:snapToGrid/>
      <w:spacing w:before="0" w:after="0" w:line="360" w:lineRule="auto"/>
      <w:ind w:right="0" w:firstLine="1320" w:firstLineChars="550"/>
      <w:textAlignment w:val="baseline"/>
    </w:pPr>
    <w:rPr>
      <w:kern w:val="2"/>
      <w:sz w:val="24"/>
      <w:szCs w:val="24"/>
    </w:rPr>
  </w:style>
  <w:style w:type="character" w:customStyle="1" w:styleId="123">
    <w:name w:val="ggzbt011"/>
    <w:autoRedefine/>
    <w:qFormat/>
    <w:uiPriority w:val="0"/>
  </w:style>
  <w:style w:type="paragraph" w:customStyle="1" w:styleId="124">
    <w:name w:val="z表格"/>
    <w:basedOn w:val="1"/>
    <w:autoRedefine/>
    <w:qFormat/>
    <w:uiPriority w:val="0"/>
    <w:pPr>
      <w:widowControl/>
      <w:spacing w:line="360" w:lineRule="exact"/>
      <w:jc w:val="center"/>
    </w:pPr>
    <w:rPr>
      <w:szCs w:val="21"/>
    </w:rPr>
  </w:style>
  <w:style w:type="paragraph" w:customStyle="1" w:styleId="125">
    <w:name w:val="制表格"/>
    <w:basedOn w:val="1"/>
    <w:autoRedefine/>
    <w:qFormat/>
    <w:uiPriority w:val="0"/>
    <w:pPr>
      <w:jc w:val="center"/>
    </w:pPr>
    <w:rPr>
      <w:snapToGrid w:val="0"/>
      <w:szCs w:val="28"/>
    </w:rPr>
  </w:style>
  <w:style w:type="character" w:customStyle="1" w:styleId="126">
    <w:name w:val="正文文本 字符"/>
    <w:autoRedefine/>
    <w:qFormat/>
    <w:locked/>
    <w:uiPriority w:val="0"/>
    <w:rPr>
      <w:sz w:val="18"/>
    </w:rPr>
  </w:style>
  <w:style w:type="paragraph" w:customStyle="1" w:styleId="127">
    <w:name w:val="Char Char Char1 Char"/>
    <w:basedOn w:val="1"/>
    <w:autoRedefine/>
    <w:qFormat/>
    <w:uiPriority w:val="99"/>
    <w:pPr>
      <w:widowControl/>
      <w:jc w:val="left"/>
    </w:pPr>
  </w:style>
  <w:style w:type="paragraph" w:customStyle="1" w:styleId="128">
    <w:name w:val="Char Char Char Char Char Char Char Char Char Char Char Char Char Char Char Char Char Char Char"/>
    <w:basedOn w:val="1"/>
    <w:autoRedefine/>
    <w:semiHidden/>
    <w:qFormat/>
    <w:uiPriority w:val="0"/>
    <w:rPr>
      <w:snapToGrid w:val="0"/>
    </w:rPr>
  </w:style>
  <w:style w:type="paragraph" w:customStyle="1" w:styleId="129">
    <w:name w:val="样式 1正文 + (中文) 宋体 小四 黑色 首行缩进:  1.96 字符 行距: 1.5 倍行距"/>
    <w:basedOn w:val="1"/>
    <w:autoRedefine/>
    <w:qFormat/>
    <w:uiPriority w:val="0"/>
    <w:pPr>
      <w:spacing w:line="360" w:lineRule="auto"/>
      <w:ind w:firstLine="196" w:firstLineChars="196"/>
    </w:pPr>
    <w:rPr>
      <w:rFonts w:cs="宋体"/>
      <w:snapToGrid w:val="0"/>
      <w:color w:val="000000"/>
      <w:kern w:val="28"/>
      <w:sz w:val="24"/>
    </w:rPr>
  </w:style>
  <w:style w:type="paragraph" w:customStyle="1" w:styleId="130">
    <w:name w:val="样式 标题 4款标题1.1.1.1标题 4XW Char标题 4XW Char Char标题 4 Char标题 4XW..."/>
    <w:basedOn w:val="6"/>
    <w:link w:val="131"/>
    <w:autoRedefine/>
    <w:qFormat/>
    <w:uiPriority w:val="0"/>
    <w:pPr>
      <w:spacing w:before="31" w:beforeLines="10" w:after="31" w:afterLines="10" w:line="360" w:lineRule="auto"/>
      <w:ind w:right="238"/>
      <w:jc w:val="left"/>
    </w:pPr>
    <w:rPr>
      <w:rFonts w:ascii="Times New Roman" w:hAnsi="Times New Roman" w:cs="宋体"/>
      <w:bCs w:val="0"/>
      <w:snapToGrid w:val="0"/>
      <w:sz w:val="24"/>
      <w:szCs w:val="20"/>
    </w:rPr>
  </w:style>
  <w:style w:type="character" w:customStyle="1" w:styleId="131">
    <w:name w:val="样式 标题 4款标题1.1.1.1标题 4XW Char标题 4XW Char Char标题 4 Char标题 4XW... Char"/>
    <w:link w:val="130"/>
    <w:autoRedefine/>
    <w:qFormat/>
    <w:uiPriority w:val="0"/>
    <w:rPr>
      <w:rFonts w:cs="宋体"/>
      <w:b/>
      <w:snapToGrid/>
      <w:sz w:val="24"/>
    </w:rPr>
  </w:style>
  <w:style w:type="character" w:customStyle="1" w:styleId="132">
    <w:name w:val="正文缩进 字符"/>
    <w:autoRedefine/>
    <w:qFormat/>
    <w:uiPriority w:val="0"/>
    <w:rPr>
      <w:kern w:val="24"/>
      <w:sz w:val="28"/>
      <w:szCs w:val="24"/>
    </w:rPr>
  </w:style>
  <w:style w:type="character" w:customStyle="1" w:styleId="133">
    <w:name w:val="无间隔 Char"/>
    <w:link w:val="134"/>
    <w:autoRedefine/>
    <w:qFormat/>
    <w:uiPriority w:val="1"/>
    <w:rPr>
      <w:color w:val="000000"/>
      <w:kern w:val="2"/>
      <w:sz w:val="24"/>
      <w:szCs w:val="24"/>
    </w:rPr>
  </w:style>
  <w:style w:type="paragraph" w:styleId="134">
    <w:name w:val="No Spacing"/>
    <w:basedOn w:val="1"/>
    <w:link w:val="133"/>
    <w:autoRedefine/>
    <w:qFormat/>
    <w:uiPriority w:val="1"/>
    <w:pPr>
      <w:spacing w:line="500" w:lineRule="exact"/>
      <w:ind w:firstLine="200" w:firstLineChars="200"/>
    </w:pPr>
    <w:rPr>
      <w:color w:val="000000"/>
      <w:sz w:val="24"/>
    </w:rPr>
  </w:style>
  <w:style w:type="paragraph" w:customStyle="1" w:styleId="135">
    <w:name w:val="Char Char Char1 Char1"/>
    <w:basedOn w:val="1"/>
    <w:autoRedefine/>
    <w:qFormat/>
    <w:uiPriority w:val="0"/>
    <w:pPr>
      <w:widowControl/>
      <w:jc w:val="left"/>
    </w:pPr>
  </w:style>
  <w:style w:type="character" w:customStyle="1" w:styleId="136">
    <w:name w:val="普通(网站) 字符"/>
    <w:autoRedefine/>
    <w:qFormat/>
    <w:locked/>
    <w:uiPriority w:val="0"/>
    <w:rPr>
      <w:rFonts w:ascii="宋体" w:hAnsi="宋体"/>
      <w:sz w:val="24"/>
      <w:lang w:val="zh-CN" w:eastAsia="zh-CN"/>
    </w:rPr>
  </w:style>
  <w:style w:type="character" w:customStyle="1" w:styleId="137">
    <w:name w:val="文 Char"/>
    <w:link w:val="138"/>
    <w:autoRedefine/>
    <w:qFormat/>
    <w:uiPriority w:val="0"/>
    <w:rPr>
      <w:kern w:val="2"/>
      <w:sz w:val="28"/>
      <w:szCs w:val="28"/>
    </w:rPr>
  </w:style>
  <w:style w:type="paragraph" w:customStyle="1" w:styleId="138">
    <w:name w:val="文"/>
    <w:basedOn w:val="1"/>
    <w:link w:val="137"/>
    <w:autoRedefine/>
    <w:qFormat/>
    <w:uiPriority w:val="0"/>
    <w:pPr>
      <w:tabs>
        <w:tab w:val="left" w:pos="142"/>
      </w:tabs>
      <w:spacing w:line="360" w:lineRule="auto"/>
      <w:ind w:right="-2" w:firstLine="560" w:firstLineChars="200"/>
    </w:pPr>
    <w:rPr>
      <w:sz w:val="28"/>
      <w:szCs w:val="28"/>
    </w:rPr>
  </w:style>
  <w:style w:type="character" w:customStyle="1" w:styleId="139">
    <w:name w:val="批注文字 字符"/>
    <w:autoRedefine/>
    <w:qFormat/>
    <w:locked/>
    <w:uiPriority w:val="0"/>
    <w:rPr>
      <w:sz w:val="24"/>
      <w:lang w:val="zh-CN" w:eastAsia="zh-CN"/>
    </w:rPr>
  </w:style>
  <w:style w:type="character" w:customStyle="1" w:styleId="140">
    <w:name w:val="标题 2 Char"/>
    <w:basedOn w:val="47"/>
    <w:link w:val="3"/>
    <w:autoRedefine/>
    <w:qFormat/>
    <w:uiPriority w:val="9"/>
    <w:rPr>
      <w:rFonts w:asciiTheme="majorHAnsi" w:hAnsiTheme="majorHAnsi" w:eastAsiaTheme="majorEastAsia" w:cstheme="majorBidi"/>
      <w:b/>
      <w:bCs/>
      <w:kern w:val="2"/>
      <w:sz w:val="32"/>
      <w:szCs w:val="32"/>
    </w:rPr>
  </w:style>
  <w:style w:type="character" w:customStyle="1" w:styleId="141">
    <w:name w:val="标题 1 Char"/>
    <w:basedOn w:val="47"/>
    <w:link w:val="2"/>
    <w:autoRedefine/>
    <w:qFormat/>
    <w:uiPriority w:val="0"/>
    <w:rPr>
      <w:rFonts w:eastAsia="黑体"/>
      <w:b/>
      <w:bCs/>
      <w:color w:val="000000"/>
      <w:kern w:val="44"/>
      <w:sz w:val="30"/>
      <w:szCs w:val="30"/>
    </w:rPr>
  </w:style>
  <w:style w:type="paragraph" w:customStyle="1" w:styleId="142">
    <w:name w:val="Char Char Char1 Char2"/>
    <w:basedOn w:val="1"/>
    <w:autoRedefine/>
    <w:qFormat/>
    <w:uiPriority w:val="0"/>
    <w:pPr>
      <w:widowControl/>
      <w:jc w:val="left"/>
    </w:pPr>
    <w:rPr>
      <w:kern w:val="2"/>
      <w:sz w:val="21"/>
    </w:rPr>
  </w:style>
  <w:style w:type="paragraph" w:customStyle="1" w:styleId="143">
    <w:name w:val="表内文字"/>
    <w:basedOn w:val="1"/>
    <w:link w:val="144"/>
    <w:autoRedefine/>
    <w:qFormat/>
    <w:uiPriority w:val="0"/>
    <w:pPr>
      <w:adjustRightInd w:val="0"/>
      <w:snapToGrid w:val="0"/>
      <w:spacing w:line="320" w:lineRule="exact"/>
      <w:jc w:val="center"/>
    </w:pPr>
    <w:rPr>
      <w:kern w:val="2"/>
      <w:sz w:val="21"/>
    </w:rPr>
  </w:style>
  <w:style w:type="character" w:customStyle="1" w:styleId="144">
    <w:name w:val="表内文字 Char"/>
    <w:link w:val="143"/>
    <w:autoRedefine/>
    <w:qFormat/>
    <w:locked/>
    <w:uiPriority w:val="0"/>
    <w:rPr>
      <w:kern w:val="2"/>
      <w:sz w:val="21"/>
    </w:rPr>
  </w:style>
  <w:style w:type="character" w:customStyle="1" w:styleId="145">
    <w:name w:val="无间隔 字符1"/>
    <w:autoRedefine/>
    <w:qFormat/>
    <w:uiPriority w:val="1"/>
    <w:rPr>
      <w:color w:val="000000"/>
      <w:kern w:val="2"/>
      <w:sz w:val="24"/>
      <w:szCs w:val="24"/>
    </w:rPr>
  </w:style>
  <w:style w:type="character" w:customStyle="1" w:styleId="146">
    <w:name w:val="纯文本 字符"/>
    <w:autoRedefine/>
    <w:qFormat/>
    <w:uiPriority w:val="0"/>
    <w:rPr>
      <w:rFonts w:ascii="宋体" w:hAnsi="Courier New"/>
      <w:kern w:val="2"/>
      <w:sz w:val="21"/>
      <w:szCs w:val="21"/>
    </w:rPr>
  </w:style>
  <w:style w:type="paragraph" w:customStyle="1" w:styleId="147">
    <w:name w:val="正文 二院"/>
    <w:basedOn w:val="1"/>
    <w:autoRedefine/>
    <w:qFormat/>
    <w:uiPriority w:val="0"/>
    <w:pPr>
      <w:spacing w:line="360" w:lineRule="auto"/>
      <w:ind w:firstLine="200" w:firstLineChars="200"/>
    </w:pPr>
    <w:rPr>
      <w:color w:val="000000"/>
      <w:kern w:val="2"/>
      <w:sz w:val="24"/>
      <w:szCs w:val="22"/>
    </w:rPr>
  </w:style>
  <w:style w:type="paragraph" w:customStyle="1" w:styleId="148">
    <w:name w:val="_Style 5"/>
    <w:autoRedefine/>
    <w:qFormat/>
    <w:uiPriority w:val="0"/>
    <w:pPr>
      <w:widowControl w:val="0"/>
      <w:jc w:val="center"/>
    </w:pPr>
    <w:rPr>
      <w:rFonts w:ascii="Calibri" w:hAnsi="Calibri" w:eastAsia="宋体" w:cs="Times New Roman"/>
      <w:kern w:val="2"/>
      <w:sz w:val="21"/>
      <w:szCs w:val="22"/>
      <w:lang w:val="en-US" w:eastAsia="zh-CN" w:bidi="ar-SA"/>
    </w:rPr>
  </w:style>
  <w:style w:type="paragraph" w:customStyle="1" w:styleId="149">
    <w:name w:val="Char Char Char1 Char3"/>
    <w:basedOn w:val="1"/>
    <w:autoRedefine/>
    <w:qFormat/>
    <w:uiPriority w:val="0"/>
    <w:pPr>
      <w:widowControl/>
      <w:jc w:val="left"/>
    </w:pPr>
    <w:rPr>
      <w:kern w:val="2"/>
      <w:sz w:val="21"/>
    </w:rPr>
  </w:style>
  <w:style w:type="character" w:customStyle="1" w:styleId="150">
    <w:name w:val="正文首行缩进1 Char"/>
    <w:link w:val="151"/>
    <w:autoRedefine/>
    <w:qFormat/>
    <w:uiPriority w:val="0"/>
  </w:style>
  <w:style w:type="paragraph" w:customStyle="1" w:styleId="151">
    <w:name w:val="正文首行缩进1"/>
    <w:basedOn w:val="1"/>
    <w:link w:val="150"/>
    <w:autoRedefine/>
    <w:qFormat/>
    <w:uiPriority w:val="0"/>
    <w:pPr>
      <w:spacing w:line="360" w:lineRule="auto"/>
      <w:ind w:firstLine="480" w:firstLineChars="200"/>
    </w:pPr>
  </w:style>
  <w:style w:type="character" w:customStyle="1" w:styleId="152">
    <w:name w:val="标准正文 Char"/>
    <w:link w:val="153"/>
    <w:autoRedefine/>
    <w:qFormat/>
    <w:uiPriority w:val="0"/>
    <w:rPr>
      <w:rFonts w:ascii="Tahoma" w:hAnsi="宋体" w:eastAsia="黑体" w:cs="Tahoma"/>
      <w:color w:val="FF0000"/>
      <w:sz w:val="24"/>
      <w:szCs w:val="24"/>
    </w:rPr>
  </w:style>
  <w:style w:type="paragraph" w:customStyle="1" w:styleId="153">
    <w:name w:val="标准正文"/>
    <w:basedOn w:val="1"/>
    <w:link w:val="152"/>
    <w:autoRedefine/>
    <w:qFormat/>
    <w:uiPriority w:val="0"/>
    <w:pPr>
      <w:autoSpaceDE w:val="0"/>
      <w:autoSpaceDN w:val="0"/>
      <w:adjustRightInd w:val="0"/>
      <w:snapToGrid w:val="0"/>
      <w:spacing w:line="360" w:lineRule="auto"/>
      <w:ind w:firstLine="480" w:firstLineChars="200"/>
      <w:contextualSpacing/>
      <w:jc w:val="left"/>
    </w:pPr>
    <w:rPr>
      <w:rFonts w:ascii="Tahoma" w:hAnsi="宋体" w:eastAsia="黑体" w:cs="Tahoma"/>
      <w:color w:val="FF0000"/>
      <w:sz w:val="24"/>
      <w:szCs w:val="24"/>
    </w:rPr>
  </w:style>
  <w:style w:type="character" w:customStyle="1" w:styleId="154">
    <w:name w:val="正文缩进 Char1"/>
    <w:autoRedefine/>
    <w:qFormat/>
    <w:uiPriority w:val="0"/>
    <w:rPr>
      <w:rFonts w:ascii="宋体" w:eastAsia="宋体"/>
      <w:kern w:val="2"/>
      <w:sz w:val="24"/>
      <w:lang w:val="en-US" w:eastAsia="zh-CN" w:bidi="ar-SA"/>
    </w:rPr>
  </w:style>
  <w:style w:type="character" w:customStyle="1" w:styleId="155">
    <w:name w:val="ca-1"/>
    <w:basedOn w:val="47"/>
    <w:autoRedefine/>
    <w:qFormat/>
    <w:uiPriority w:val="0"/>
    <w:rPr>
      <w:sz w:val="21"/>
    </w:rPr>
  </w:style>
  <w:style w:type="character" w:customStyle="1" w:styleId="156">
    <w:name w:val="网格型c Char Char"/>
    <w:basedOn w:val="47"/>
    <w:autoRedefine/>
    <w:qFormat/>
    <w:uiPriority w:val="0"/>
    <w:rPr>
      <w:rFonts w:eastAsia="宋体"/>
      <w:kern w:val="2"/>
      <w:sz w:val="21"/>
      <w:szCs w:val="21"/>
      <w:lang w:val="en-US" w:eastAsia="zh-CN" w:bidi="ar-SA"/>
    </w:rPr>
  </w:style>
  <w:style w:type="character" w:customStyle="1" w:styleId="157">
    <w:name w:val="font101"/>
    <w:basedOn w:val="47"/>
    <w:autoRedefine/>
    <w:qFormat/>
    <w:uiPriority w:val="0"/>
    <w:rPr>
      <w:rFonts w:hint="default" w:ascii="Times New Roman" w:hAnsi="Times New Roman" w:cs="Times New Roman"/>
      <w:color w:val="800000"/>
      <w:sz w:val="21"/>
      <w:szCs w:val="21"/>
      <w:u w:val="none"/>
      <w:vertAlign w:val="subscript"/>
    </w:rPr>
  </w:style>
  <w:style w:type="character" w:customStyle="1" w:styleId="158">
    <w:name w:val="ENFI表体 Char Char"/>
    <w:link w:val="159"/>
    <w:autoRedefine/>
    <w:qFormat/>
    <w:uiPriority w:val="0"/>
    <w:rPr>
      <w:rFonts w:eastAsia="仿宋_GB2312"/>
      <w:sz w:val="24"/>
    </w:rPr>
  </w:style>
  <w:style w:type="paragraph" w:customStyle="1" w:styleId="159">
    <w:name w:val="ENFI表体"/>
    <w:basedOn w:val="1"/>
    <w:link w:val="158"/>
    <w:autoRedefine/>
    <w:qFormat/>
    <w:uiPriority w:val="0"/>
    <w:pPr>
      <w:widowControl/>
      <w:adjustRightInd w:val="0"/>
      <w:snapToGrid w:val="0"/>
      <w:spacing w:line="240" w:lineRule="atLeast"/>
      <w:ind w:firstLine="200" w:firstLineChars="200"/>
      <w:jc w:val="center"/>
    </w:pPr>
    <w:rPr>
      <w:rFonts w:eastAsia="仿宋_GB2312"/>
      <w:sz w:val="24"/>
    </w:rPr>
  </w:style>
  <w:style w:type="character" w:customStyle="1" w:styleId="160">
    <w:name w:val="不明显强调1"/>
    <w:autoRedefine/>
    <w:qFormat/>
    <w:uiPriority w:val="19"/>
    <w:rPr>
      <w:i/>
      <w:iCs/>
      <w:color w:val="404040"/>
    </w:rPr>
  </w:style>
  <w:style w:type="character" w:customStyle="1" w:styleId="161">
    <w:name w:val="正文文字 Char Char"/>
    <w:link w:val="162"/>
    <w:autoRedefine/>
    <w:qFormat/>
    <w:uiPriority w:val="0"/>
    <w:rPr>
      <w:rFonts w:ascii="仿宋_GB2312" w:eastAsia="仿宋_GB2312"/>
      <w:color w:val="000000"/>
      <w:kern w:val="2"/>
      <w:sz w:val="24"/>
      <w:szCs w:val="24"/>
    </w:rPr>
  </w:style>
  <w:style w:type="paragraph" w:customStyle="1" w:styleId="162">
    <w:name w:val="正文文字"/>
    <w:basedOn w:val="1"/>
    <w:link w:val="161"/>
    <w:autoRedefine/>
    <w:qFormat/>
    <w:uiPriority w:val="0"/>
    <w:pPr>
      <w:spacing w:line="460" w:lineRule="exact"/>
      <w:ind w:firstLine="480" w:firstLineChars="200"/>
    </w:pPr>
    <w:rPr>
      <w:rFonts w:ascii="仿宋_GB2312" w:eastAsia="仿宋_GB2312"/>
      <w:color w:val="000000"/>
      <w:kern w:val="2"/>
      <w:sz w:val="24"/>
      <w:szCs w:val="24"/>
    </w:rPr>
  </w:style>
  <w:style w:type="character" w:customStyle="1" w:styleId="163">
    <w:name w:val="manage_name"/>
    <w:basedOn w:val="47"/>
    <w:autoRedefine/>
    <w:qFormat/>
    <w:uiPriority w:val="0"/>
    <w:rPr>
      <w:sz w:val="21"/>
    </w:rPr>
  </w:style>
  <w:style w:type="character" w:customStyle="1" w:styleId="164">
    <w:name w:val="尾注文本 Char"/>
    <w:basedOn w:val="47"/>
    <w:link w:val="27"/>
    <w:autoRedefine/>
    <w:qFormat/>
    <w:uiPriority w:val="99"/>
    <w:rPr>
      <w:kern w:val="2"/>
      <w:sz w:val="24"/>
      <w:szCs w:val="24"/>
    </w:rPr>
  </w:style>
  <w:style w:type="character" w:customStyle="1" w:styleId="165">
    <w:name w:val="postbody1"/>
    <w:basedOn w:val="47"/>
    <w:autoRedefine/>
    <w:qFormat/>
    <w:uiPriority w:val="0"/>
    <w:rPr>
      <w:sz w:val="18"/>
      <w:szCs w:val="18"/>
    </w:rPr>
  </w:style>
  <w:style w:type="character" w:customStyle="1" w:styleId="166">
    <w:name w:val="标题1"/>
    <w:basedOn w:val="47"/>
    <w:autoRedefine/>
    <w:qFormat/>
    <w:uiPriority w:val="0"/>
    <w:rPr>
      <w:sz w:val="21"/>
    </w:rPr>
  </w:style>
  <w:style w:type="character" w:customStyle="1" w:styleId="167">
    <w:name w:val="报告 Char"/>
    <w:link w:val="168"/>
    <w:autoRedefine/>
    <w:qFormat/>
    <w:uiPriority w:val="0"/>
  </w:style>
  <w:style w:type="paragraph" w:customStyle="1" w:styleId="168">
    <w:name w:val="报告"/>
    <w:basedOn w:val="1"/>
    <w:link w:val="167"/>
    <w:autoRedefine/>
    <w:qFormat/>
    <w:uiPriority w:val="0"/>
    <w:pPr>
      <w:spacing w:line="500" w:lineRule="exact"/>
      <w:ind w:firstLine="480" w:firstLineChars="200"/>
    </w:pPr>
  </w:style>
  <w:style w:type="character" w:customStyle="1" w:styleId="169">
    <w:name w:val="三甲正文 Char"/>
    <w:link w:val="170"/>
    <w:autoRedefine/>
    <w:qFormat/>
    <w:uiPriority w:val="0"/>
    <w:rPr>
      <w:rFonts w:ascii="宋体" w:hAnsi="宋体"/>
      <w:color w:val="000000"/>
      <w:kern w:val="2"/>
      <w:sz w:val="24"/>
      <w:szCs w:val="24"/>
    </w:rPr>
  </w:style>
  <w:style w:type="paragraph" w:customStyle="1" w:styleId="170">
    <w:name w:val="三甲正文"/>
    <w:basedOn w:val="1"/>
    <w:link w:val="169"/>
    <w:autoRedefine/>
    <w:qFormat/>
    <w:uiPriority w:val="0"/>
    <w:pPr>
      <w:spacing w:line="360" w:lineRule="auto"/>
      <w:ind w:firstLine="480" w:firstLineChars="200"/>
    </w:pPr>
    <w:rPr>
      <w:rFonts w:ascii="宋体" w:hAnsi="宋体"/>
      <w:color w:val="000000"/>
      <w:kern w:val="2"/>
      <w:sz w:val="24"/>
      <w:szCs w:val="24"/>
    </w:rPr>
  </w:style>
  <w:style w:type="character" w:customStyle="1" w:styleId="171">
    <w:name w:val="正文文本缩进 2 Char"/>
    <w:basedOn w:val="47"/>
    <w:link w:val="26"/>
    <w:autoRedefine/>
    <w:qFormat/>
    <w:uiPriority w:val="99"/>
    <w:rPr>
      <w:sz w:val="28"/>
    </w:rPr>
  </w:style>
  <w:style w:type="character" w:customStyle="1" w:styleId="172">
    <w:name w:val="font21"/>
    <w:autoRedefine/>
    <w:qFormat/>
    <w:uiPriority w:val="0"/>
    <w:rPr>
      <w:rFonts w:hint="default" w:ascii="Times New Roman" w:hAnsi="Times New Roman" w:cs="Times New Roman"/>
      <w:color w:val="000000"/>
      <w:sz w:val="21"/>
      <w:szCs w:val="21"/>
    </w:rPr>
  </w:style>
  <w:style w:type="character" w:customStyle="1" w:styleId="173">
    <w:name w:val="font31"/>
    <w:autoRedefine/>
    <w:qFormat/>
    <w:uiPriority w:val="0"/>
    <w:rPr>
      <w:rFonts w:hint="default" w:ascii="Times New Roman" w:hAnsi="Times New Roman" w:cs="Times New Roman"/>
      <w:color w:val="000000"/>
      <w:sz w:val="21"/>
      <w:szCs w:val="21"/>
      <w:vertAlign w:val="superscript"/>
    </w:rPr>
  </w:style>
  <w:style w:type="character" w:customStyle="1" w:styleId="174">
    <w:name w:val="纯文本 Char1"/>
    <w:autoRedefine/>
    <w:qFormat/>
    <w:uiPriority w:val="0"/>
    <w:rPr>
      <w:rFonts w:hint="eastAsia" w:ascii="宋体" w:hAnsi="Courier New" w:eastAsia="宋体" w:cs="Courier New"/>
      <w:kern w:val="2"/>
      <w:sz w:val="21"/>
      <w:szCs w:val="21"/>
    </w:rPr>
  </w:style>
  <w:style w:type="character" w:customStyle="1" w:styleId="175">
    <w:name w:val="font51"/>
    <w:autoRedefine/>
    <w:qFormat/>
    <w:uiPriority w:val="0"/>
    <w:rPr>
      <w:rFonts w:hint="default" w:ascii="Times New Roman" w:hAnsi="Times New Roman" w:cs="Times New Roman"/>
      <w:color w:val="000000"/>
      <w:sz w:val="21"/>
      <w:szCs w:val="21"/>
      <w:u w:val="none"/>
    </w:rPr>
  </w:style>
  <w:style w:type="character" w:customStyle="1" w:styleId="176">
    <w:name w:val="页眉 Char1"/>
    <w:basedOn w:val="47"/>
    <w:autoRedefine/>
    <w:semiHidden/>
    <w:qFormat/>
    <w:uiPriority w:val="99"/>
    <w:rPr>
      <w:rFonts w:ascii="Times New Roman" w:hAnsi="Times New Roman"/>
      <w:kern w:val="2"/>
      <w:sz w:val="18"/>
      <w:szCs w:val="18"/>
    </w:rPr>
  </w:style>
  <w:style w:type="character" w:customStyle="1" w:styleId="177">
    <w:name w:val="批注文字 Char1"/>
    <w:basedOn w:val="47"/>
    <w:autoRedefine/>
    <w:semiHidden/>
    <w:qFormat/>
    <w:uiPriority w:val="99"/>
    <w:rPr>
      <w:rFonts w:ascii="Times New Roman" w:hAnsi="Times New Roman"/>
      <w:kern w:val="2"/>
      <w:sz w:val="24"/>
    </w:rPr>
  </w:style>
  <w:style w:type="character" w:customStyle="1" w:styleId="178">
    <w:name w:val="纯文本 Char2"/>
    <w:basedOn w:val="47"/>
    <w:autoRedefine/>
    <w:semiHidden/>
    <w:qFormat/>
    <w:uiPriority w:val="99"/>
    <w:rPr>
      <w:rFonts w:ascii="宋体" w:hAnsi="Courier New" w:cs="Courier New"/>
      <w:kern w:val="2"/>
      <w:sz w:val="21"/>
      <w:szCs w:val="21"/>
    </w:rPr>
  </w:style>
  <w:style w:type="character" w:customStyle="1" w:styleId="179">
    <w:name w:val="正文文本缩进 Char1"/>
    <w:basedOn w:val="47"/>
    <w:autoRedefine/>
    <w:semiHidden/>
    <w:qFormat/>
    <w:uiPriority w:val="99"/>
    <w:rPr>
      <w:rFonts w:ascii="Times New Roman" w:hAnsi="Times New Roman"/>
      <w:kern w:val="2"/>
      <w:sz w:val="24"/>
    </w:rPr>
  </w:style>
  <w:style w:type="character" w:customStyle="1" w:styleId="180">
    <w:name w:val="文档结构图 Char1"/>
    <w:basedOn w:val="47"/>
    <w:autoRedefine/>
    <w:semiHidden/>
    <w:qFormat/>
    <w:uiPriority w:val="99"/>
    <w:rPr>
      <w:rFonts w:ascii="宋体" w:hAnsi="Times New Roman"/>
      <w:kern w:val="2"/>
      <w:sz w:val="18"/>
      <w:szCs w:val="18"/>
    </w:rPr>
  </w:style>
  <w:style w:type="character" w:customStyle="1" w:styleId="181">
    <w:name w:val="正文文本缩进 2 Char1"/>
    <w:basedOn w:val="47"/>
    <w:autoRedefine/>
    <w:semiHidden/>
    <w:qFormat/>
    <w:uiPriority w:val="99"/>
    <w:rPr>
      <w:rFonts w:ascii="Times New Roman" w:hAnsi="Times New Roman"/>
      <w:kern w:val="2"/>
      <w:sz w:val="24"/>
    </w:rPr>
  </w:style>
  <w:style w:type="character" w:customStyle="1" w:styleId="182">
    <w:name w:val="批注框文本 Char1"/>
    <w:basedOn w:val="47"/>
    <w:autoRedefine/>
    <w:semiHidden/>
    <w:qFormat/>
    <w:uiPriority w:val="99"/>
    <w:rPr>
      <w:rFonts w:ascii="Times New Roman" w:hAnsi="Times New Roman"/>
      <w:kern w:val="2"/>
      <w:sz w:val="18"/>
      <w:szCs w:val="18"/>
    </w:rPr>
  </w:style>
  <w:style w:type="character" w:customStyle="1" w:styleId="183">
    <w:name w:val="正文文本缩进 3 Char"/>
    <w:basedOn w:val="47"/>
    <w:link w:val="38"/>
    <w:autoRedefine/>
    <w:qFormat/>
    <w:uiPriority w:val="0"/>
    <w:rPr>
      <w:kern w:val="2"/>
      <w:sz w:val="24"/>
      <w:szCs w:val="24"/>
    </w:rPr>
  </w:style>
  <w:style w:type="character" w:customStyle="1" w:styleId="184">
    <w:name w:val="尾注文本 Char1"/>
    <w:basedOn w:val="47"/>
    <w:autoRedefine/>
    <w:semiHidden/>
    <w:qFormat/>
    <w:uiPriority w:val="99"/>
  </w:style>
  <w:style w:type="character" w:customStyle="1" w:styleId="185">
    <w:name w:val="副标题 Char"/>
    <w:basedOn w:val="47"/>
    <w:link w:val="35"/>
    <w:autoRedefine/>
    <w:qFormat/>
    <w:uiPriority w:val="11"/>
    <w:rPr>
      <w:rFonts w:ascii="Calibri" w:hAnsi="Calibri"/>
      <w:bCs/>
      <w:kern w:val="28"/>
      <w:sz w:val="21"/>
      <w:szCs w:val="32"/>
    </w:rPr>
  </w:style>
  <w:style w:type="paragraph" w:customStyle="1" w:styleId="186">
    <w:name w:val="123"/>
    <w:basedOn w:val="1"/>
    <w:autoRedefine/>
    <w:qFormat/>
    <w:uiPriority w:val="0"/>
    <w:pPr>
      <w:spacing w:line="420" w:lineRule="exact"/>
      <w:ind w:firstLine="200" w:firstLineChars="200"/>
    </w:pPr>
    <w:rPr>
      <w:rFonts w:eastAsia="仿宋_GB2312"/>
      <w:kern w:val="2"/>
      <w:sz w:val="24"/>
      <w:szCs w:val="24"/>
    </w:rPr>
  </w:style>
  <w:style w:type="paragraph" w:customStyle="1" w:styleId="187">
    <w:name w:val="正文部分"/>
    <w:basedOn w:val="1"/>
    <w:autoRedefine/>
    <w:semiHidden/>
    <w:qFormat/>
    <w:uiPriority w:val="0"/>
    <w:pPr>
      <w:spacing w:line="360" w:lineRule="auto"/>
      <w:ind w:firstLine="200" w:firstLineChars="200"/>
    </w:pPr>
    <w:rPr>
      <w:rFonts w:ascii="宋体" w:hAnsi="宋体"/>
      <w:snapToGrid w:val="0"/>
      <w:kern w:val="2"/>
      <w:sz w:val="28"/>
      <w:szCs w:val="28"/>
    </w:rPr>
  </w:style>
  <w:style w:type="paragraph" w:customStyle="1" w:styleId="188">
    <w:name w:val="表"/>
    <w:basedOn w:val="1"/>
    <w:next w:val="1"/>
    <w:autoRedefine/>
    <w:qFormat/>
    <w:uiPriority w:val="0"/>
    <w:pPr>
      <w:adjustRightInd w:val="0"/>
      <w:spacing w:before="120" w:line="360" w:lineRule="auto"/>
      <w:ind w:firstLine="200" w:firstLineChars="200"/>
      <w:jc w:val="center"/>
      <w:textAlignment w:val="baseline"/>
    </w:pPr>
    <w:rPr>
      <w:sz w:val="24"/>
    </w:rPr>
  </w:style>
  <w:style w:type="character" w:customStyle="1" w:styleId="189">
    <w:name w:val="页脚 Char1"/>
    <w:basedOn w:val="47"/>
    <w:autoRedefine/>
    <w:semiHidden/>
    <w:qFormat/>
    <w:uiPriority w:val="99"/>
    <w:rPr>
      <w:rFonts w:ascii="Times New Roman" w:hAnsi="Times New Roman"/>
      <w:kern w:val="2"/>
      <w:sz w:val="18"/>
      <w:szCs w:val="18"/>
    </w:rPr>
  </w:style>
  <w:style w:type="character" w:customStyle="1" w:styleId="190">
    <w:name w:val="日期 Char1"/>
    <w:basedOn w:val="47"/>
    <w:autoRedefine/>
    <w:semiHidden/>
    <w:qFormat/>
    <w:uiPriority w:val="99"/>
    <w:rPr>
      <w:rFonts w:ascii="Times New Roman" w:hAnsi="Times New Roman"/>
      <w:kern w:val="2"/>
      <w:sz w:val="24"/>
    </w:rPr>
  </w:style>
  <w:style w:type="paragraph" w:customStyle="1" w:styleId="191">
    <w:name w:val="正文文本缩进 22"/>
    <w:basedOn w:val="1"/>
    <w:autoRedefine/>
    <w:qFormat/>
    <w:uiPriority w:val="0"/>
    <w:pPr>
      <w:spacing w:line="360" w:lineRule="auto"/>
      <w:ind w:firstLine="480" w:firstLineChars="200"/>
    </w:pPr>
    <w:rPr>
      <w:kern w:val="2"/>
      <w:sz w:val="24"/>
      <w:szCs w:val="24"/>
    </w:rPr>
  </w:style>
  <w:style w:type="paragraph" w:customStyle="1" w:styleId="192">
    <w:name w:val="正文缩进1"/>
    <w:basedOn w:val="1"/>
    <w:autoRedefine/>
    <w:qFormat/>
    <w:uiPriority w:val="0"/>
    <w:pPr>
      <w:spacing w:line="360" w:lineRule="auto"/>
      <w:ind w:firstLine="420" w:firstLineChars="200"/>
    </w:pPr>
    <w:rPr>
      <w:kern w:val="2"/>
      <w:sz w:val="24"/>
      <w:szCs w:val="24"/>
    </w:rPr>
  </w:style>
  <w:style w:type="paragraph" w:customStyle="1" w:styleId="193">
    <w:name w:val="标书正文"/>
    <w:basedOn w:val="1"/>
    <w:autoRedefine/>
    <w:qFormat/>
    <w:uiPriority w:val="0"/>
    <w:pPr>
      <w:spacing w:line="360" w:lineRule="auto"/>
      <w:ind w:firstLine="480" w:firstLineChars="200"/>
    </w:pPr>
    <w:rPr>
      <w:kern w:val="2"/>
      <w:sz w:val="24"/>
      <w:szCs w:val="24"/>
    </w:rPr>
  </w:style>
  <w:style w:type="paragraph" w:customStyle="1" w:styleId="194">
    <w:name w:val="小四21"/>
    <w:basedOn w:val="1"/>
    <w:autoRedefine/>
    <w:qFormat/>
    <w:uiPriority w:val="0"/>
    <w:pPr>
      <w:spacing w:line="440" w:lineRule="exact"/>
      <w:ind w:firstLine="200" w:firstLineChars="200"/>
    </w:pPr>
    <w:rPr>
      <w:rFonts w:eastAsia="仿宋_GB2312"/>
      <w:kern w:val="2"/>
      <w:sz w:val="24"/>
      <w:szCs w:val="24"/>
    </w:rPr>
  </w:style>
  <w:style w:type="paragraph" w:customStyle="1" w:styleId="195">
    <w:name w:val="表题"/>
    <w:basedOn w:val="1"/>
    <w:autoRedefine/>
    <w:qFormat/>
    <w:uiPriority w:val="0"/>
    <w:pPr>
      <w:snapToGrid w:val="0"/>
      <w:spacing w:before="156" w:beforeLines="50" w:line="360" w:lineRule="auto"/>
      <w:ind w:firstLine="200" w:firstLineChars="200"/>
      <w:jc w:val="center"/>
    </w:pPr>
    <w:rPr>
      <w:b/>
      <w:color w:val="000000"/>
      <w:kern w:val="2"/>
      <w:sz w:val="24"/>
    </w:rPr>
  </w:style>
  <w:style w:type="paragraph" w:customStyle="1" w:styleId="196">
    <w:name w:val="报告书表格"/>
    <w:basedOn w:val="1"/>
    <w:autoRedefine/>
    <w:qFormat/>
    <w:uiPriority w:val="99"/>
    <w:pPr>
      <w:adjustRightInd w:val="0"/>
      <w:spacing w:before="60" w:after="60" w:line="240" w:lineRule="atLeast"/>
      <w:ind w:firstLine="200" w:firstLineChars="200"/>
      <w:jc w:val="center"/>
    </w:pPr>
    <w:rPr>
      <w:sz w:val="24"/>
    </w:rPr>
  </w:style>
  <w:style w:type="paragraph" w:customStyle="1" w:styleId="197">
    <w:name w:val="中文报告书样式"/>
    <w:basedOn w:val="1"/>
    <w:autoRedefine/>
    <w:qFormat/>
    <w:uiPriority w:val="99"/>
    <w:pPr>
      <w:adjustRightInd w:val="0"/>
      <w:spacing w:line="480" w:lineRule="atLeast"/>
      <w:ind w:firstLine="482" w:firstLineChars="200"/>
      <w:textAlignment w:val="baseline"/>
    </w:pPr>
    <w:rPr>
      <w:kern w:val="24"/>
      <w:sz w:val="24"/>
    </w:rPr>
  </w:style>
  <w:style w:type="paragraph" w:customStyle="1" w:styleId="198">
    <w:name w:val="正文缩"/>
    <w:basedOn w:val="1"/>
    <w:autoRedefine/>
    <w:qFormat/>
    <w:uiPriority w:val="0"/>
    <w:pPr>
      <w:adjustRightInd w:val="0"/>
      <w:snapToGrid w:val="0"/>
      <w:spacing w:line="480" w:lineRule="atLeast"/>
      <w:ind w:firstLine="567" w:firstLineChars="200"/>
    </w:pPr>
    <w:rPr>
      <w:rFonts w:hint="eastAsia" w:ascii="宋体"/>
      <w:spacing w:val="6"/>
      <w:sz w:val="28"/>
    </w:rPr>
  </w:style>
  <w:style w:type="paragraph" w:customStyle="1" w:styleId="199">
    <w:name w:val="填表内容"/>
    <w:basedOn w:val="1"/>
    <w:autoRedefine/>
    <w:qFormat/>
    <w:uiPriority w:val="0"/>
    <w:pPr>
      <w:adjustRightInd w:val="0"/>
      <w:spacing w:line="480" w:lineRule="exact"/>
      <w:ind w:firstLine="560" w:firstLineChars="200"/>
      <w:jc w:val="left"/>
      <w:textAlignment w:val="baseline"/>
    </w:pPr>
    <w:rPr>
      <w:rFonts w:ascii="楷体_GB2312" w:eastAsia="楷体_GB2312"/>
      <w:kern w:val="2"/>
      <w:sz w:val="28"/>
    </w:rPr>
  </w:style>
  <w:style w:type="paragraph" w:customStyle="1" w:styleId="200">
    <w:name w:val="列出段落1"/>
    <w:basedOn w:val="1"/>
    <w:autoRedefine/>
    <w:qFormat/>
    <w:uiPriority w:val="34"/>
    <w:pPr>
      <w:spacing w:line="360" w:lineRule="auto"/>
      <w:ind w:firstLine="420" w:firstLineChars="200"/>
    </w:pPr>
    <w:rPr>
      <w:kern w:val="2"/>
      <w:sz w:val="24"/>
    </w:rPr>
  </w:style>
  <w:style w:type="paragraph" w:customStyle="1" w:styleId="201">
    <w:name w:val="样式 小四 行距: 1.5 倍行距"/>
    <w:basedOn w:val="1"/>
    <w:autoRedefine/>
    <w:qFormat/>
    <w:uiPriority w:val="0"/>
    <w:pPr>
      <w:spacing w:line="360" w:lineRule="auto"/>
      <w:ind w:firstLine="200" w:firstLineChars="200"/>
    </w:pPr>
    <w:rPr>
      <w:rFonts w:cs="宋体"/>
      <w:kern w:val="2"/>
      <w:sz w:val="24"/>
    </w:rPr>
  </w:style>
  <w:style w:type="paragraph" w:customStyle="1" w:styleId="202">
    <w:name w:val="正文首行缩进2"/>
    <w:basedOn w:val="17"/>
    <w:autoRedefine/>
    <w:qFormat/>
    <w:uiPriority w:val="0"/>
    <w:pPr>
      <w:widowControl w:val="0"/>
      <w:snapToGrid/>
      <w:spacing w:before="0" w:after="0" w:line="360" w:lineRule="auto"/>
      <w:ind w:right="0" w:firstLine="420" w:firstLineChars="100"/>
      <w:jc w:val="center"/>
    </w:pPr>
    <w:rPr>
      <w:kern w:val="2"/>
      <w:sz w:val="21"/>
      <w:szCs w:val="24"/>
    </w:rPr>
  </w:style>
  <w:style w:type="paragraph" w:customStyle="1" w:styleId="203">
    <w:name w:val="正文1"/>
    <w:basedOn w:val="1"/>
    <w:next w:val="1"/>
    <w:autoRedefine/>
    <w:qFormat/>
    <w:uiPriority w:val="0"/>
    <w:pPr>
      <w:tabs>
        <w:tab w:val="left" w:pos="2490"/>
      </w:tabs>
      <w:spacing w:line="400" w:lineRule="exact"/>
      <w:ind w:firstLine="200" w:firstLineChars="200"/>
    </w:pPr>
    <w:rPr>
      <w:kern w:val="2"/>
      <w:sz w:val="24"/>
      <w:szCs w:val="28"/>
    </w:rPr>
  </w:style>
  <w:style w:type="paragraph" w:customStyle="1" w:styleId="204">
    <w:name w:val="5文章(治)"/>
    <w:basedOn w:val="1"/>
    <w:autoRedefine/>
    <w:qFormat/>
    <w:uiPriority w:val="99"/>
    <w:pPr>
      <w:spacing w:line="360" w:lineRule="auto"/>
      <w:ind w:firstLine="560" w:firstLineChars="200"/>
    </w:pPr>
    <w:rPr>
      <w:rFonts w:eastAsia="楷体_GB2312"/>
      <w:kern w:val="2"/>
      <w:sz w:val="28"/>
    </w:rPr>
  </w:style>
  <w:style w:type="paragraph" w:customStyle="1" w:styleId="205">
    <w:name w:val="正文11111"/>
    <w:basedOn w:val="1"/>
    <w:autoRedefine/>
    <w:qFormat/>
    <w:uiPriority w:val="0"/>
    <w:pPr>
      <w:adjustRightInd w:val="0"/>
      <w:snapToGrid w:val="0"/>
      <w:spacing w:line="360" w:lineRule="auto"/>
      <w:ind w:firstLine="200" w:firstLineChars="200"/>
    </w:pPr>
    <w:rPr>
      <w:rFonts w:hAnsi="宋体" w:cs="宋体"/>
      <w:kern w:val="2"/>
      <w:sz w:val="24"/>
    </w:rPr>
  </w:style>
  <w:style w:type="paragraph" w:customStyle="1" w:styleId="206">
    <w:name w:val="正文样式 宋体 四号"/>
    <w:basedOn w:val="1"/>
    <w:autoRedefine/>
    <w:qFormat/>
    <w:uiPriority w:val="0"/>
    <w:pPr>
      <w:adjustRightInd w:val="0"/>
      <w:snapToGrid w:val="0"/>
      <w:spacing w:before="31" w:after="31" w:line="360" w:lineRule="auto"/>
      <w:ind w:firstLine="200" w:firstLineChars="200"/>
    </w:pPr>
    <w:rPr>
      <w:rFonts w:ascii="宋体" w:hAnsi="宋体"/>
      <w:bCs/>
      <w:kern w:val="2"/>
      <w:sz w:val="24"/>
      <w:szCs w:val="21"/>
    </w:rPr>
  </w:style>
  <w:style w:type="paragraph" w:customStyle="1" w:styleId="207">
    <w:name w:val="Char Char2 Char Char Char Char"/>
    <w:basedOn w:val="1"/>
    <w:autoRedefine/>
    <w:qFormat/>
    <w:uiPriority w:val="99"/>
    <w:rPr>
      <w:kern w:val="2"/>
      <w:sz w:val="21"/>
      <w:szCs w:val="21"/>
    </w:rPr>
  </w:style>
  <w:style w:type="paragraph" w:customStyle="1" w:styleId="208">
    <w:name w:val="文章正文"/>
    <w:basedOn w:val="1"/>
    <w:autoRedefine/>
    <w:qFormat/>
    <w:uiPriority w:val="0"/>
    <w:pPr>
      <w:spacing w:line="360" w:lineRule="auto"/>
      <w:ind w:firstLine="480" w:firstLineChars="200"/>
    </w:pPr>
    <w:rPr>
      <w:kern w:val="2"/>
      <w:sz w:val="24"/>
    </w:rPr>
  </w:style>
  <w:style w:type="paragraph" w:customStyle="1" w:styleId="209">
    <w:name w:val="报告书正文"/>
    <w:basedOn w:val="1"/>
    <w:autoRedefine/>
    <w:qFormat/>
    <w:uiPriority w:val="0"/>
    <w:pPr>
      <w:spacing w:line="360" w:lineRule="auto"/>
      <w:ind w:firstLine="480" w:firstLineChars="200"/>
    </w:pPr>
    <w:rPr>
      <w:sz w:val="24"/>
      <w:szCs w:val="24"/>
    </w:rPr>
  </w:style>
  <w:style w:type="paragraph" w:customStyle="1" w:styleId="210">
    <w:name w:val="Char Char Char Char Char Char Char Char Char Char"/>
    <w:basedOn w:val="1"/>
    <w:autoRedefine/>
    <w:qFormat/>
    <w:uiPriority w:val="0"/>
    <w:pPr>
      <w:spacing w:line="240" w:lineRule="exact"/>
      <w:ind w:firstLine="200" w:firstLineChars="200"/>
    </w:pPr>
    <w:rPr>
      <w:kern w:val="2"/>
      <w:sz w:val="24"/>
    </w:rPr>
  </w:style>
  <w:style w:type="paragraph" w:customStyle="1" w:styleId="211">
    <w:name w:val="文本内容"/>
    <w:basedOn w:val="1"/>
    <w:autoRedefine/>
    <w:qFormat/>
    <w:uiPriority w:val="99"/>
    <w:pPr>
      <w:spacing w:line="360" w:lineRule="auto"/>
      <w:ind w:firstLine="480" w:firstLineChars="200"/>
    </w:pPr>
    <w:rPr>
      <w:rFonts w:ascii="Calibri" w:hAnsi="Calibri" w:cs="宋体"/>
      <w:kern w:val="2"/>
      <w:sz w:val="24"/>
      <w:szCs w:val="24"/>
    </w:rPr>
  </w:style>
  <w:style w:type="paragraph" w:customStyle="1" w:styleId="212">
    <w:name w:val="文本"/>
    <w:basedOn w:val="1"/>
    <w:autoRedefine/>
    <w:qFormat/>
    <w:uiPriority w:val="0"/>
    <w:pPr>
      <w:adjustRightInd w:val="0"/>
      <w:snapToGrid w:val="0"/>
      <w:spacing w:before="10" w:beforeLines="10" w:after="10" w:afterLines="10" w:line="360" w:lineRule="auto"/>
      <w:ind w:firstLine="200" w:firstLineChars="200"/>
    </w:pPr>
    <w:rPr>
      <w:kern w:val="2"/>
      <w:sz w:val="24"/>
    </w:rPr>
  </w:style>
  <w:style w:type="paragraph" w:customStyle="1" w:styleId="213">
    <w:name w:val="书正文"/>
    <w:basedOn w:val="1"/>
    <w:autoRedefine/>
    <w:qFormat/>
    <w:uiPriority w:val="0"/>
    <w:pPr>
      <w:keepNext/>
      <w:wordWrap w:val="0"/>
      <w:topLinePunct/>
      <w:spacing w:line="360" w:lineRule="auto"/>
      <w:ind w:firstLine="420" w:firstLineChars="200"/>
    </w:pPr>
    <w:rPr>
      <w:kern w:val="2"/>
      <w:sz w:val="24"/>
    </w:rPr>
  </w:style>
  <w:style w:type="paragraph" w:customStyle="1" w:styleId="214">
    <w:name w:val="Char Char2 Char Char Char Char1"/>
    <w:basedOn w:val="1"/>
    <w:autoRedefine/>
    <w:qFormat/>
    <w:uiPriority w:val="0"/>
    <w:rPr>
      <w:kern w:val="2"/>
      <w:sz w:val="21"/>
      <w:szCs w:val="21"/>
    </w:rPr>
  </w:style>
  <w:style w:type="paragraph" w:customStyle="1" w:styleId="215">
    <w:name w:val="表头格式"/>
    <w:basedOn w:val="1"/>
    <w:next w:val="1"/>
    <w:autoRedefine/>
    <w:qFormat/>
    <w:uiPriority w:val="0"/>
    <w:pPr>
      <w:spacing w:line="360" w:lineRule="auto"/>
      <w:jc w:val="center"/>
    </w:pPr>
    <w:rPr>
      <w:b/>
      <w:kern w:val="2"/>
      <w:sz w:val="24"/>
    </w:rPr>
  </w:style>
  <w:style w:type="paragraph" w:customStyle="1" w:styleId="216">
    <w:name w:val="Normal+2"/>
    <w:basedOn w:val="94"/>
    <w:next w:val="94"/>
    <w:autoRedefine/>
    <w:unhideWhenUsed/>
    <w:qFormat/>
    <w:uiPriority w:val="99"/>
    <w:rPr>
      <w:rFonts w:hAnsi="Calibri"/>
    </w:rPr>
  </w:style>
  <w:style w:type="paragraph" w:customStyle="1" w:styleId="217">
    <w:name w:val="Char Char Char Char Char Char Char"/>
    <w:basedOn w:val="1"/>
    <w:autoRedefine/>
    <w:semiHidden/>
    <w:qFormat/>
    <w:uiPriority w:val="0"/>
    <w:pPr>
      <w:spacing w:line="360" w:lineRule="auto"/>
      <w:ind w:firstLine="200" w:firstLineChars="200"/>
    </w:pPr>
    <w:rPr>
      <w:kern w:val="2"/>
      <w:sz w:val="21"/>
      <w:szCs w:val="24"/>
    </w:rPr>
  </w:style>
  <w:style w:type="paragraph" w:customStyle="1" w:styleId="218">
    <w:name w:val="样式 正文缩进正文缩进2正文缩进 Char Char正文缩进 Char Char Char Char正文缩进 Char ..."/>
    <w:basedOn w:val="11"/>
    <w:autoRedefine/>
    <w:qFormat/>
    <w:uiPriority w:val="0"/>
    <w:pPr>
      <w:adjustRightInd w:val="0"/>
      <w:snapToGrid w:val="0"/>
      <w:spacing w:beforeLines="0"/>
    </w:pPr>
    <w:rPr>
      <w:rFonts w:ascii="宋体" w:hAnsi="Calibri" w:cs="宋体"/>
      <w:kern w:val="2"/>
      <w:szCs w:val="24"/>
    </w:rPr>
  </w:style>
  <w:style w:type="paragraph" w:customStyle="1" w:styleId="219">
    <w:name w:val="Char"/>
    <w:basedOn w:val="1"/>
    <w:autoRedefine/>
    <w:qFormat/>
    <w:uiPriority w:val="0"/>
    <w:pPr>
      <w:widowControl/>
      <w:spacing w:line="360" w:lineRule="auto"/>
      <w:ind w:firstLine="200" w:firstLineChars="200"/>
      <w:jc w:val="left"/>
    </w:pPr>
    <w:rPr>
      <w:rFonts w:ascii="宋体" w:hAnsi="宋体" w:cs="宋体"/>
      <w:sz w:val="24"/>
      <w:szCs w:val="24"/>
    </w:rPr>
  </w:style>
  <w:style w:type="paragraph" w:customStyle="1" w:styleId="220">
    <w:name w:val="样式 仿宋_GB2312 四号 行距: 固定值 25 磅"/>
    <w:basedOn w:val="1"/>
    <w:autoRedefine/>
    <w:qFormat/>
    <w:uiPriority w:val="0"/>
    <w:pPr>
      <w:spacing w:line="420" w:lineRule="exact"/>
      <w:ind w:firstLine="200" w:firstLineChars="200"/>
    </w:pPr>
    <w:rPr>
      <w:rFonts w:ascii="仿宋_GB2312" w:eastAsia="仿宋_GB2312" w:cs="宋体"/>
      <w:kern w:val="2"/>
      <w:sz w:val="24"/>
    </w:rPr>
  </w:style>
  <w:style w:type="paragraph" w:customStyle="1" w:styleId="221">
    <w:name w:val="报告表正文"/>
    <w:basedOn w:val="1"/>
    <w:autoRedefine/>
    <w:qFormat/>
    <w:uiPriority w:val="0"/>
    <w:pPr>
      <w:adjustRightInd w:val="0"/>
      <w:spacing w:line="312" w:lineRule="auto"/>
      <w:ind w:left="113" w:right="113" w:firstLine="482" w:firstLineChars="200"/>
      <w:jc w:val="left"/>
      <w:textAlignment w:val="baseline"/>
    </w:pPr>
    <w:rPr>
      <w:sz w:val="24"/>
    </w:rPr>
  </w:style>
  <w:style w:type="paragraph" w:customStyle="1" w:styleId="222">
    <w:name w:val="4"/>
    <w:basedOn w:val="1"/>
    <w:next w:val="38"/>
    <w:autoRedefine/>
    <w:qFormat/>
    <w:uiPriority w:val="0"/>
    <w:pPr>
      <w:spacing w:line="360" w:lineRule="auto"/>
      <w:ind w:firstLine="524" w:firstLineChars="187"/>
    </w:pPr>
    <w:rPr>
      <w:rFonts w:ascii="宋体" w:hAnsi="宋体"/>
      <w:kern w:val="2"/>
      <w:sz w:val="24"/>
      <w:szCs w:val="24"/>
    </w:rPr>
  </w:style>
  <w:style w:type="paragraph" w:customStyle="1" w:styleId="223">
    <w:name w:val="Char1 Char Char Char"/>
    <w:basedOn w:val="1"/>
    <w:autoRedefine/>
    <w:qFormat/>
    <w:uiPriority w:val="0"/>
    <w:pPr>
      <w:autoSpaceDE w:val="0"/>
      <w:autoSpaceDN w:val="0"/>
      <w:adjustRightInd w:val="0"/>
      <w:snapToGrid w:val="0"/>
      <w:spacing w:before="50" w:after="50" w:line="360" w:lineRule="auto"/>
      <w:ind w:firstLine="560" w:firstLineChars="200"/>
    </w:pPr>
    <w:rPr>
      <w:kern w:val="2"/>
      <w:sz w:val="24"/>
    </w:rPr>
  </w:style>
  <w:style w:type="paragraph" w:customStyle="1" w:styleId="224">
    <w:name w:val="表头"/>
    <w:basedOn w:val="1"/>
    <w:autoRedefine/>
    <w:qFormat/>
    <w:uiPriority w:val="0"/>
    <w:pPr>
      <w:spacing w:line="360" w:lineRule="auto"/>
      <w:ind w:firstLine="200" w:firstLineChars="200"/>
      <w:jc w:val="center"/>
    </w:pPr>
    <w:rPr>
      <w:rFonts w:eastAsia="黑体"/>
      <w:kern w:val="2"/>
      <w:sz w:val="21"/>
      <w:szCs w:val="24"/>
    </w:rPr>
  </w:style>
  <w:style w:type="paragraph" w:customStyle="1" w:styleId="225">
    <w:name w:val="表内字"/>
    <w:autoRedefine/>
    <w:qFormat/>
    <w:uiPriority w:val="0"/>
    <w:pPr>
      <w:spacing w:line="312" w:lineRule="auto"/>
      <w:jc w:val="center"/>
    </w:pPr>
    <w:rPr>
      <w:rFonts w:ascii="Arial" w:hAnsi="Arial" w:eastAsia="宋体" w:cs="Arial"/>
      <w:color w:val="000000"/>
      <w:sz w:val="21"/>
      <w:szCs w:val="22"/>
      <w:lang w:val="en-US" w:eastAsia="zh-CN" w:bidi="ar-SA"/>
    </w:rPr>
  </w:style>
  <w:style w:type="paragraph" w:customStyle="1" w:styleId="226">
    <w:name w:val="表格文字"/>
    <w:basedOn w:val="1"/>
    <w:autoRedefine/>
    <w:qFormat/>
    <w:uiPriority w:val="0"/>
    <w:pPr>
      <w:spacing w:line="0" w:lineRule="atLeast"/>
      <w:ind w:firstLine="200" w:firstLineChars="200"/>
      <w:jc w:val="center"/>
      <w:outlineLvl w:val="2"/>
    </w:pPr>
    <w:rPr>
      <w:rFonts w:ascii="宋体" w:hAnsi="宋体"/>
      <w:kern w:val="2"/>
      <w:sz w:val="24"/>
    </w:rPr>
  </w:style>
  <w:style w:type="paragraph" w:customStyle="1" w:styleId="227">
    <w:name w:val="样式标题5"/>
    <w:basedOn w:val="1"/>
    <w:next w:val="209"/>
    <w:autoRedefine/>
    <w:qFormat/>
    <w:uiPriority w:val="0"/>
    <w:pPr>
      <w:numPr>
        <w:ilvl w:val="6"/>
        <w:numId w:val="1"/>
      </w:numPr>
      <w:spacing w:line="360" w:lineRule="auto"/>
      <w:ind w:firstLine="200" w:firstLineChars="200"/>
    </w:pPr>
    <w:rPr>
      <w:kern w:val="2"/>
      <w:sz w:val="24"/>
    </w:rPr>
  </w:style>
  <w:style w:type="paragraph" w:customStyle="1" w:styleId="228">
    <w:name w:val="图表"/>
    <w:autoRedefine/>
    <w:qFormat/>
    <w:uiPriority w:val="0"/>
    <w:pPr>
      <w:jc w:val="center"/>
    </w:pPr>
    <w:rPr>
      <w:rFonts w:ascii="Calibri" w:hAnsi="Calibri" w:eastAsia="宋体" w:cs="Times New Roman"/>
      <w:sz w:val="21"/>
      <w:lang w:val="en-US" w:eastAsia="zh-CN" w:bidi="ar-SA"/>
    </w:rPr>
  </w:style>
  <w:style w:type="paragraph" w:customStyle="1" w:styleId="229">
    <w:name w:val="cj正文"/>
    <w:basedOn w:val="1"/>
    <w:autoRedefine/>
    <w:qFormat/>
    <w:uiPriority w:val="99"/>
    <w:pPr>
      <w:widowControl/>
      <w:spacing w:line="360" w:lineRule="auto"/>
      <w:ind w:firstLine="200" w:firstLineChars="200"/>
    </w:pPr>
    <w:rPr>
      <w:sz w:val="24"/>
      <w:szCs w:val="24"/>
    </w:rPr>
  </w:style>
  <w:style w:type="paragraph" w:customStyle="1" w:styleId="230">
    <w:name w:val="样式7"/>
    <w:basedOn w:val="36"/>
    <w:autoRedefine/>
    <w:qFormat/>
    <w:uiPriority w:val="0"/>
    <w:pPr>
      <w:ind w:left="0" w:firstLine="200" w:firstLineChars="200"/>
    </w:pPr>
    <w:rPr>
      <w:rFonts w:eastAsia="黑体"/>
      <w:sz w:val="28"/>
    </w:rPr>
  </w:style>
  <w:style w:type="paragraph" w:customStyle="1" w:styleId="231">
    <w:name w:val="列出段落11"/>
    <w:basedOn w:val="1"/>
    <w:autoRedefine/>
    <w:qFormat/>
    <w:uiPriority w:val="0"/>
    <w:pPr>
      <w:spacing w:line="360" w:lineRule="auto"/>
      <w:ind w:firstLine="420" w:firstLineChars="200"/>
    </w:pPr>
    <w:rPr>
      <w:kern w:val="2"/>
      <w:sz w:val="24"/>
    </w:rPr>
  </w:style>
  <w:style w:type="paragraph" w:customStyle="1" w:styleId="232">
    <w:name w:val="正文2"/>
    <w:basedOn w:val="1"/>
    <w:autoRedefine/>
    <w:qFormat/>
    <w:uiPriority w:val="99"/>
    <w:pPr>
      <w:adjustRightInd w:val="0"/>
      <w:snapToGrid w:val="0"/>
      <w:spacing w:line="440" w:lineRule="atLeast"/>
      <w:ind w:firstLine="567"/>
    </w:pPr>
    <w:rPr>
      <w:kern w:val="2"/>
      <w:sz w:val="24"/>
    </w:rPr>
  </w:style>
  <w:style w:type="paragraph" w:customStyle="1" w:styleId="233">
    <w:name w:val="文章正文无缩进"/>
    <w:basedOn w:val="208"/>
    <w:autoRedefine/>
    <w:qFormat/>
    <w:uiPriority w:val="0"/>
    <w:pPr>
      <w:ind w:firstLine="0" w:firstLineChars="0"/>
    </w:pPr>
  </w:style>
  <w:style w:type="paragraph" w:customStyle="1" w:styleId="234">
    <w:name w:val="xl25"/>
    <w:basedOn w:val="1"/>
    <w:autoRedefine/>
    <w:qFormat/>
    <w:uiPriority w:val="0"/>
    <w:pPr>
      <w:widowControl/>
      <w:spacing w:before="100" w:beforeAutospacing="1" w:after="100" w:afterAutospacing="1" w:line="360" w:lineRule="auto"/>
      <w:ind w:firstLine="200" w:firstLineChars="200"/>
      <w:jc w:val="center"/>
    </w:pPr>
    <w:rPr>
      <w:sz w:val="24"/>
      <w:szCs w:val="21"/>
    </w:rPr>
  </w:style>
  <w:style w:type="paragraph" w:customStyle="1" w:styleId="235">
    <w:name w:val="样式2"/>
    <w:basedOn w:val="5"/>
    <w:autoRedefine/>
    <w:qFormat/>
    <w:uiPriority w:val="0"/>
    <w:pPr>
      <w:keepNext w:val="0"/>
      <w:adjustRightInd w:val="0"/>
      <w:snapToGrid w:val="0"/>
      <w:spacing w:before="120" w:after="120" w:line="360" w:lineRule="auto"/>
      <w:ind w:firstLine="200" w:firstLineChars="200"/>
      <w:jc w:val="center"/>
      <w:textAlignment w:val="bottom"/>
    </w:pPr>
    <w:rPr>
      <w:rFonts w:ascii="Arial" w:hAnsi="Arial"/>
      <w:spacing w:val="60"/>
      <w:sz w:val="24"/>
      <w:szCs w:val="24"/>
    </w:rPr>
  </w:style>
  <w:style w:type="paragraph" w:customStyle="1" w:styleId="236">
    <w:name w:val="表格内容"/>
    <w:basedOn w:val="11"/>
    <w:autoRedefine/>
    <w:qFormat/>
    <w:uiPriority w:val="0"/>
    <w:pPr>
      <w:spacing w:beforeLines="0" w:line="320" w:lineRule="exact"/>
      <w:ind w:firstLine="420"/>
      <w:jc w:val="center"/>
    </w:pPr>
    <w:rPr>
      <w:rFonts w:ascii="仿宋_GB2312" w:hAnsi="Calibri" w:eastAsia="仿宋_GB2312"/>
      <w:kern w:val="2"/>
      <w:sz w:val="21"/>
    </w:rPr>
  </w:style>
  <w:style w:type="paragraph" w:customStyle="1" w:styleId="237">
    <w:name w:val="正文文本缩进1"/>
    <w:basedOn w:val="1"/>
    <w:autoRedefine/>
    <w:qFormat/>
    <w:uiPriority w:val="0"/>
    <w:pPr>
      <w:spacing w:line="360" w:lineRule="auto"/>
      <w:ind w:firstLine="560" w:firstLineChars="200"/>
    </w:pPr>
    <w:rPr>
      <w:rFonts w:ascii="宋体"/>
      <w:kern w:val="2"/>
      <w:sz w:val="28"/>
      <w:szCs w:val="24"/>
    </w:rPr>
  </w:style>
  <w:style w:type="paragraph" w:customStyle="1" w:styleId="238">
    <w:name w:val="陈正文1"/>
    <w:basedOn w:val="1"/>
    <w:autoRedefine/>
    <w:qFormat/>
    <w:uiPriority w:val="0"/>
    <w:pPr>
      <w:spacing w:line="360" w:lineRule="auto"/>
      <w:ind w:firstLine="560" w:firstLineChars="200"/>
    </w:pPr>
    <w:rPr>
      <w:rFonts w:ascii="宋体" w:hAnsi="宋体"/>
      <w:sz w:val="24"/>
      <w:szCs w:val="28"/>
    </w:rPr>
  </w:style>
  <w:style w:type="paragraph" w:customStyle="1" w:styleId="239">
    <w:name w:val="默认段落字体 Para Char Char Char Char Char Char1 Char Char Char Char"/>
    <w:basedOn w:val="1"/>
    <w:autoRedefine/>
    <w:qFormat/>
    <w:uiPriority w:val="0"/>
    <w:pPr>
      <w:snapToGrid w:val="0"/>
      <w:spacing w:line="360" w:lineRule="auto"/>
      <w:ind w:firstLine="200" w:firstLineChars="200"/>
    </w:pPr>
    <w:rPr>
      <w:rFonts w:eastAsia="仿宋_GB2312"/>
      <w:kern w:val="2"/>
      <w:sz w:val="24"/>
      <w:szCs w:val="24"/>
    </w:rPr>
  </w:style>
  <w:style w:type="paragraph" w:customStyle="1" w:styleId="240">
    <w:name w:val="无间隔1"/>
    <w:autoRedefine/>
    <w:qFormat/>
    <w:uiPriority w:val="99"/>
    <w:pPr>
      <w:widowControl w:val="0"/>
      <w:jc w:val="both"/>
    </w:pPr>
    <w:rPr>
      <w:rFonts w:ascii="Calibri" w:hAnsi="Calibri" w:eastAsia="宋体" w:cs="Times New Roman"/>
      <w:kern w:val="2"/>
      <w:sz w:val="21"/>
      <w:szCs w:val="24"/>
      <w:lang w:val="en-US" w:eastAsia="zh-CN" w:bidi="ar-SA"/>
    </w:rPr>
  </w:style>
  <w:style w:type="paragraph" w:customStyle="1" w:styleId="241">
    <w:name w:val="表标题"/>
    <w:basedOn w:val="11"/>
    <w:next w:val="1"/>
    <w:autoRedefine/>
    <w:qFormat/>
    <w:uiPriority w:val="0"/>
    <w:pPr>
      <w:spacing w:beforeLines="0"/>
      <w:ind w:firstLine="480"/>
    </w:pPr>
    <w:rPr>
      <w:bCs/>
      <w:color w:val="FF0000"/>
      <w:kern w:val="44"/>
      <w:szCs w:val="24"/>
    </w:rPr>
  </w:style>
  <w:style w:type="paragraph" w:customStyle="1" w:styleId="242">
    <w:name w:val="p0"/>
    <w:basedOn w:val="1"/>
    <w:autoRedefine/>
    <w:qFormat/>
    <w:uiPriority w:val="0"/>
    <w:pPr>
      <w:widowControl/>
      <w:spacing w:line="360" w:lineRule="auto"/>
      <w:ind w:firstLine="200" w:firstLineChars="200"/>
    </w:pPr>
    <w:rPr>
      <w:sz w:val="24"/>
      <w:szCs w:val="21"/>
    </w:rPr>
  </w:style>
  <w:style w:type="paragraph" w:customStyle="1" w:styleId="243">
    <w:name w:val="1"/>
    <w:basedOn w:val="1"/>
    <w:next w:val="11"/>
    <w:autoRedefine/>
    <w:qFormat/>
    <w:uiPriority w:val="0"/>
    <w:pPr>
      <w:spacing w:line="360" w:lineRule="auto"/>
      <w:ind w:firstLine="420" w:firstLineChars="200"/>
    </w:pPr>
    <w:rPr>
      <w:kern w:val="2"/>
      <w:sz w:val="24"/>
    </w:rPr>
  </w:style>
  <w:style w:type="paragraph" w:customStyle="1" w:styleId="244">
    <w:name w:val="项目文字"/>
    <w:basedOn w:val="1"/>
    <w:autoRedefine/>
    <w:qFormat/>
    <w:uiPriority w:val="0"/>
    <w:pPr>
      <w:numPr>
        <w:ilvl w:val="0"/>
        <w:numId w:val="2"/>
      </w:numPr>
      <w:tabs>
        <w:tab w:val="left" w:pos="900"/>
      </w:tabs>
      <w:spacing w:line="360" w:lineRule="auto"/>
      <w:ind w:firstLine="200" w:firstLineChars="200"/>
    </w:pPr>
    <w:rPr>
      <w:rFonts w:ascii="Calibri" w:hAnsi="Calibri"/>
      <w:kern w:val="2"/>
      <w:sz w:val="24"/>
      <w:szCs w:val="22"/>
    </w:rPr>
  </w:style>
  <w:style w:type="paragraph" w:customStyle="1" w:styleId="245">
    <w:name w:val="样式3"/>
    <w:basedOn w:val="17"/>
    <w:autoRedefine/>
    <w:qFormat/>
    <w:uiPriority w:val="99"/>
    <w:pPr>
      <w:widowControl w:val="0"/>
      <w:snapToGrid/>
      <w:spacing w:before="0" w:after="0" w:line="600" w:lineRule="exact"/>
      <w:ind w:right="0" w:firstLine="200" w:firstLineChars="200"/>
    </w:pPr>
    <w:rPr>
      <w:kern w:val="2"/>
      <w:sz w:val="28"/>
      <w:szCs w:val="24"/>
    </w:rPr>
  </w:style>
  <w:style w:type="paragraph" w:customStyle="1" w:styleId="246">
    <w:name w:val="样式1"/>
    <w:basedOn w:val="1"/>
    <w:autoRedefine/>
    <w:qFormat/>
    <w:uiPriority w:val="0"/>
    <w:pPr>
      <w:spacing w:line="360" w:lineRule="auto"/>
      <w:ind w:firstLine="200" w:firstLineChars="200"/>
    </w:pPr>
    <w:rPr>
      <w:rFonts w:ascii="Tahoma" w:hAnsi="Tahoma" w:eastAsia="Courier New" w:cs="Tahoma"/>
      <w:kern w:val="2"/>
      <w:sz w:val="24"/>
      <w:szCs w:val="22"/>
    </w:rPr>
  </w:style>
  <w:style w:type="paragraph" w:customStyle="1" w:styleId="247">
    <w:name w:val="1正文段落"/>
    <w:basedOn w:val="1"/>
    <w:autoRedefine/>
    <w:qFormat/>
    <w:uiPriority w:val="0"/>
    <w:pPr>
      <w:spacing w:line="360" w:lineRule="auto"/>
      <w:ind w:firstLine="480" w:firstLineChars="200"/>
    </w:pPr>
    <w:rPr>
      <w:snapToGrid w:val="0"/>
      <w:sz w:val="24"/>
    </w:rPr>
  </w:style>
  <w:style w:type="paragraph" w:customStyle="1" w:styleId="248">
    <w:name w:val="3级1"/>
    <w:basedOn w:val="1"/>
    <w:next w:val="1"/>
    <w:autoRedefine/>
    <w:qFormat/>
    <w:uiPriority w:val="99"/>
    <w:pPr>
      <w:spacing w:line="360" w:lineRule="auto"/>
      <w:ind w:firstLine="200" w:firstLineChars="200"/>
    </w:pPr>
    <w:rPr>
      <w:rFonts w:eastAsia="黑体"/>
      <w:kern w:val="2"/>
      <w:sz w:val="24"/>
      <w:szCs w:val="21"/>
    </w:rPr>
  </w:style>
  <w:style w:type="paragraph" w:customStyle="1" w:styleId="249">
    <w:name w:val="正文标准样式"/>
    <w:basedOn w:val="1"/>
    <w:autoRedefine/>
    <w:qFormat/>
    <w:uiPriority w:val="0"/>
    <w:pPr>
      <w:adjustRightInd w:val="0"/>
      <w:spacing w:line="300" w:lineRule="auto"/>
      <w:ind w:firstLine="482" w:firstLineChars="200"/>
      <w:textAlignment w:val="baseline"/>
    </w:pPr>
    <w:rPr>
      <w:sz w:val="24"/>
    </w:rPr>
  </w:style>
  <w:style w:type="paragraph" w:customStyle="1" w:styleId="250">
    <w:name w:val="bw1"/>
    <w:basedOn w:val="1"/>
    <w:autoRedefine/>
    <w:qFormat/>
    <w:uiPriority w:val="0"/>
    <w:pPr>
      <w:adjustRightInd w:val="0"/>
      <w:snapToGrid w:val="0"/>
      <w:spacing w:line="240" w:lineRule="atLeast"/>
      <w:ind w:left="6" w:right="6" w:firstLine="200" w:firstLineChars="200"/>
      <w:jc w:val="center"/>
    </w:pPr>
    <w:rPr>
      <w:rFonts w:ascii="Arial Narrow" w:hAnsi="Arial Narrow" w:eastAsia="楷体_GB2312"/>
      <w:color w:val="000000"/>
      <w:spacing w:val="-2"/>
      <w:w w:val="90"/>
      <w:kern w:val="2"/>
      <w:szCs w:val="18"/>
    </w:rPr>
  </w:style>
  <w:style w:type="paragraph" w:customStyle="1" w:styleId="251">
    <w:name w:val="xl29"/>
    <w:basedOn w:val="1"/>
    <w:autoRedefine/>
    <w:qFormat/>
    <w:uiPriority w:val="0"/>
    <w:pPr>
      <w:widowControl/>
      <w:pBdr>
        <w:left w:val="single" w:color="auto" w:sz="4" w:space="0"/>
        <w:right w:val="single" w:color="auto" w:sz="4" w:space="0"/>
      </w:pBdr>
      <w:spacing w:before="100" w:beforeAutospacing="1" w:after="100" w:afterAutospacing="1" w:line="360" w:lineRule="auto"/>
      <w:ind w:firstLine="200" w:firstLineChars="200"/>
      <w:jc w:val="center"/>
    </w:pPr>
    <w:rPr>
      <w:rFonts w:ascii="Tahoma" w:hAnsi="Tahoma" w:eastAsia="黑体" w:cs="Tahoma"/>
      <w:sz w:val="24"/>
      <w:szCs w:val="24"/>
    </w:rPr>
  </w:style>
  <w:style w:type="paragraph" w:customStyle="1" w:styleId="252">
    <w:name w:val="表格内容2"/>
    <w:basedOn w:val="1"/>
    <w:autoRedefine/>
    <w:qFormat/>
    <w:uiPriority w:val="0"/>
    <w:pPr>
      <w:widowControl/>
      <w:spacing w:line="360" w:lineRule="auto"/>
      <w:ind w:firstLine="200" w:firstLineChars="200"/>
      <w:jc w:val="center"/>
    </w:pPr>
    <w:rPr>
      <w:rFonts w:ascii="Calibri" w:hAnsi="Calibri" w:cs="Calibri"/>
      <w:sz w:val="21"/>
      <w:szCs w:val="21"/>
    </w:rPr>
  </w:style>
  <w:style w:type="paragraph" w:customStyle="1" w:styleId="253">
    <w:name w:val="zhang正文"/>
    <w:basedOn w:val="1"/>
    <w:next w:val="1"/>
    <w:autoRedefine/>
    <w:qFormat/>
    <w:uiPriority w:val="99"/>
    <w:pPr>
      <w:autoSpaceDE w:val="0"/>
      <w:autoSpaceDN w:val="0"/>
      <w:snapToGrid w:val="0"/>
      <w:spacing w:after="120" w:line="500" w:lineRule="atLeast"/>
      <w:ind w:left="420" w:leftChars="200" w:firstLine="539"/>
    </w:pPr>
    <w:rPr>
      <w:rFonts w:hint="eastAsia" w:eastAsia="楷体_GB2312"/>
      <w:kern w:val="2"/>
      <w:sz w:val="28"/>
      <w:szCs w:val="24"/>
    </w:rPr>
  </w:style>
  <w:style w:type="paragraph" w:customStyle="1" w:styleId="254">
    <w:name w:val="李发荣个人正文"/>
    <w:basedOn w:val="1"/>
    <w:autoRedefine/>
    <w:qFormat/>
    <w:uiPriority w:val="0"/>
    <w:pPr>
      <w:widowControl/>
      <w:spacing w:line="360" w:lineRule="auto"/>
      <w:ind w:firstLine="504" w:firstLineChars="200"/>
    </w:pPr>
    <w:rPr>
      <w:rFonts w:hint="eastAsia" w:ascii="宋体" w:hAnsi="宋体" w:cs="宋体"/>
      <w:sz w:val="24"/>
      <w:szCs w:val="24"/>
    </w:rPr>
  </w:style>
  <w:style w:type="table" w:customStyle="1" w:styleId="255">
    <w:name w:val="网格型刘1"/>
    <w:basedOn w:val="45"/>
    <w:autoRedefine/>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
    <w:name w:val="Table Normal"/>
    <w:autoRedefine/>
    <w:unhideWhenUsed/>
    <w:qFormat/>
    <w:uiPriority w:val="2"/>
    <w:rPr>
      <w:rFonts w:ascii="Calibri" w:hAnsi="Calibri"/>
    </w:rPr>
    <w:tblPr>
      <w:tblCellMar>
        <w:top w:w="0" w:type="dxa"/>
        <w:left w:w="0" w:type="dxa"/>
        <w:bottom w:w="0" w:type="dxa"/>
        <w:right w:w="0" w:type="dxa"/>
      </w:tblCellMar>
    </w:tblPr>
  </w:style>
  <w:style w:type="table" w:customStyle="1" w:styleId="257">
    <w:name w:val="环评表格"/>
    <w:basedOn w:val="45"/>
    <w:autoRedefine/>
    <w:qFormat/>
    <w:uiPriority w:val="99"/>
    <w:pPr>
      <w:jc w:val="center"/>
    </w:pPr>
    <w:rPr>
      <w:rFonts w:cs="Arial"/>
    </w:rPr>
    <w:tblPr>
      <w:jc w:val="center"/>
      <w:tblBorders>
        <w:top w:val="single" w:color="000000" w:sz="12" w:space="0"/>
        <w:bottom w:val="single" w:color="000000" w:sz="12" w:space="0"/>
        <w:insideH w:val="single" w:color="000000" w:sz="4" w:space="0"/>
        <w:insideV w:val="single" w:color="000000" w:sz="4" w:space="0"/>
      </w:tblBorders>
    </w:tblPr>
    <w:trPr>
      <w:jc w:val="center"/>
    </w:trPr>
    <w:tcPr>
      <w:vAlign w:val="center"/>
    </w:tcPr>
  </w:style>
  <w:style w:type="character" w:customStyle="1" w:styleId="258">
    <w:name w:val="标题 5 Char"/>
    <w:basedOn w:val="47"/>
    <w:link w:val="7"/>
    <w:autoRedefine/>
    <w:qFormat/>
    <w:uiPriority w:val="9"/>
    <w:rPr>
      <w:rFonts w:ascii="宋体" w:hAnsi="宋体" w:cs="宋体"/>
      <w:b/>
      <w:bCs/>
      <w:sz w:val="28"/>
      <w:szCs w:val="28"/>
      <w:lang w:eastAsia="en-US"/>
    </w:rPr>
  </w:style>
  <w:style w:type="character" w:customStyle="1" w:styleId="259">
    <w:name w:val="标题 6 Char"/>
    <w:basedOn w:val="47"/>
    <w:link w:val="8"/>
    <w:autoRedefine/>
    <w:qFormat/>
    <w:uiPriority w:val="9"/>
    <w:rPr>
      <w:rFonts w:asciiTheme="majorHAnsi" w:hAnsiTheme="majorHAnsi" w:eastAsiaTheme="majorEastAsia" w:cstheme="majorBidi"/>
      <w:b/>
      <w:bCs/>
      <w:sz w:val="24"/>
      <w:szCs w:val="24"/>
      <w:lang w:eastAsia="en-US"/>
    </w:rPr>
  </w:style>
  <w:style w:type="paragraph" w:customStyle="1" w:styleId="260">
    <w:name w:val="Heading #2|1"/>
    <w:basedOn w:val="1"/>
    <w:autoRedefine/>
    <w:qFormat/>
    <w:uiPriority w:val="0"/>
    <w:pPr>
      <w:autoSpaceDE w:val="0"/>
      <w:autoSpaceDN w:val="0"/>
      <w:spacing w:after="200"/>
      <w:jc w:val="left"/>
      <w:outlineLvl w:val="1"/>
    </w:pPr>
    <w:rPr>
      <w:rFonts w:ascii="宋体" w:hAnsi="宋体" w:cs="宋体"/>
      <w:sz w:val="28"/>
      <w:szCs w:val="28"/>
      <w:lang w:val="zh-TW" w:eastAsia="zh-TW" w:bidi="zh-TW"/>
    </w:rPr>
  </w:style>
  <w:style w:type="paragraph" w:customStyle="1" w:styleId="261">
    <w:name w:val="Body text|1"/>
    <w:basedOn w:val="1"/>
    <w:autoRedefine/>
    <w:qFormat/>
    <w:uiPriority w:val="0"/>
    <w:pPr>
      <w:autoSpaceDE w:val="0"/>
      <w:autoSpaceDN w:val="0"/>
      <w:spacing w:after="330" w:line="480" w:lineRule="auto"/>
      <w:ind w:firstLine="400"/>
      <w:jc w:val="left"/>
    </w:pPr>
    <w:rPr>
      <w:rFonts w:ascii="宋体" w:hAnsi="宋体" w:cs="宋体"/>
      <w:lang w:val="zh-TW" w:eastAsia="zh-TW" w:bidi="zh-TW"/>
    </w:rPr>
  </w:style>
  <w:style w:type="paragraph" w:customStyle="1" w:styleId="262">
    <w:name w:val="Table caption|1"/>
    <w:basedOn w:val="1"/>
    <w:autoRedefine/>
    <w:qFormat/>
    <w:uiPriority w:val="0"/>
    <w:pPr>
      <w:autoSpaceDE w:val="0"/>
      <w:autoSpaceDN w:val="0"/>
      <w:jc w:val="left"/>
    </w:pPr>
    <w:rPr>
      <w:rFonts w:ascii="宋体" w:hAnsi="宋体" w:cs="宋体"/>
      <w:b/>
      <w:bCs/>
      <w:lang w:val="zh-TW" w:eastAsia="zh-TW" w:bidi="zh-TW"/>
    </w:rPr>
  </w:style>
  <w:style w:type="paragraph" w:customStyle="1" w:styleId="263">
    <w:name w:val="Other|1"/>
    <w:basedOn w:val="1"/>
    <w:autoRedefine/>
    <w:qFormat/>
    <w:uiPriority w:val="0"/>
    <w:pPr>
      <w:autoSpaceDE w:val="0"/>
      <w:autoSpaceDN w:val="0"/>
      <w:jc w:val="left"/>
    </w:pPr>
    <w:rPr>
      <w:rFonts w:ascii="宋体" w:hAnsi="宋体" w:cs="宋体"/>
      <w:lang w:val="zh-TW" w:eastAsia="zh-TW" w:bidi="zh-TW"/>
    </w:rPr>
  </w:style>
  <w:style w:type="paragraph" w:customStyle="1" w:styleId="264">
    <w:name w:val="Picture caption|1"/>
    <w:basedOn w:val="1"/>
    <w:autoRedefine/>
    <w:qFormat/>
    <w:uiPriority w:val="0"/>
    <w:pPr>
      <w:autoSpaceDE w:val="0"/>
      <w:autoSpaceDN w:val="0"/>
      <w:jc w:val="left"/>
    </w:pPr>
    <w:rPr>
      <w:rFonts w:ascii="宋体" w:hAnsi="宋体" w:cs="宋体"/>
      <w:b/>
      <w:bCs/>
      <w:lang w:val="zh-TW" w:eastAsia="zh-TW" w:bidi="zh-TW"/>
    </w:rPr>
  </w:style>
  <w:style w:type="paragraph" w:customStyle="1" w:styleId="265">
    <w:name w:val="Heading #1|1"/>
    <w:basedOn w:val="1"/>
    <w:autoRedefine/>
    <w:qFormat/>
    <w:uiPriority w:val="0"/>
    <w:pPr>
      <w:autoSpaceDE w:val="0"/>
      <w:autoSpaceDN w:val="0"/>
      <w:spacing w:after="300"/>
      <w:jc w:val="left"/>
      <w:outlineLvl w:val="0"/>
    </w:pPr>
    <w:rPr>
      <w:rFonts w:ascii="宋体" w:hAnsi="宋体" w:cs="宋体"/>
      <w:sz w:val="28"/>
      <w:szCs w:val="28"/>
      <w:lang w:val="zh-TW" w:eastAsia="zh-TW" w:bidi="zh-TW"/>
    </w:rPr>
  </w:style>
  <w:style w:type="paragraph" w:customStyle="1" w:styleId="266">
    <w:name w:val="Heading #3|1"/>
    <w:basedOn w:val="1"/>
    <w:autoRedefine/>
    <w:qFormat/>
    <w:uiPriority w:val="0"/>
    <w:pPr>
      <w:autoSpaceDE w:val="0"/>
      <w:autoSpaceDN w:val="0"/>
      <w:spacing w:after="200"/>
      <w:jc w:val="left"/>
      <w:outlineLvl w:val="2"/>
    </w:pPr>
    <w:rPr>
      <w:rFonts w:ascii="宋体" w:hAnsi="宋体" w:cs="宋体"/>
      <w:sz w:val="28"/>
      <w:szCs w:val="28"/>
      <w:lang w:val="zh-TW" w:eastAsia="zh-TW" w:bidi="zh-TW"/>
    </w:rPr>
  </w:style>
  <w:style w:type="paragraph" w:customStyle="1" w:styleId="267">
    <w:name w:val="Header or footer|1"/>
    <w:basedOn w:val="1"/>
    <w:autoRedefine/>
    <w:qFormat/>
    <w:uiPriority w:val="0"/>
    <w:pPr>
      <w:autoSpaceDE w:val="0"/>
      <w:autoSpaceDN w:val="0"/>
      <w:jc w:val="left"/>
    </w:pPr>
    <w:rPr>
      <w:rFonts w:ascii="宋体" w:hAnsi="宋体" w:cs="宋体"/>
      <w:lang w:val="zh-TW" w:eastAsia="zh-TW" w:bidi="zh-TW"/>
    </w:rPr>
  </w:style>
  <w:style w:type="character" w:customStyle="1" w:styleId="268">
    <w:name w:val="页眉 字符"/>
    <w:basedOn w:val="47"/>
    <w:autoRedefine/>
    <w:qFormat/>
    <w:uiPriority w:val="0"/>
    <w:rPr>
      <w:rFonts w:ascii="宋体" w:hAnsi="宋体" w:eastAsia="宋体" w:cs="宋体"/>
      <w:sz w:val="18"/>
      <w:szCs w:val="18"/>
      <w:lang w:eastAsia="en-US"/>
    </w:rPr>
  </w:style>
  <w:style w:type="character" w:customStyle="1" w:styleId="269">
    <w:name w:val="批注框文本 字符"/>
    <w:basedOn w:val="47"/>
    <w:autoRedefine/>
    <w:qFormat/>
    <w:uiPriority w:val="0"/>
    <w:rPr>
      <w:rFonts w:ascii="宋体" w:hAnsi="宋体" w:eastAsia="宋体" w:cs="宋体"/>
      <w:sz w:val="18"/>
      <w:szCs w:val="18"/>
      <w:lang w:eastAsia="en-US"/>
    </w:rPr>
  </w:style>
  <w:style w:type="character" w:customStyle="1" w:styleId="270">
    <w:name w:val="title-text"/>
    <w:basedOn w:val="47"/>
    <w:autoRedefine/>
    <w:qFormat/>
    <w:uiPriority w:val="0"/>
  </w:style>
  <w:style w:type="paragraph" w:customStyle="1" w:styleId="271">
    <w:name w:val="lh-表格文字-报告书"/>
    <w:autoRedefine/>
    <w:qFormat/>
    <w:uiPriority w:val="0"/>
    <w:pPr>
      <w:jc w:val="center"/>
    </w:pPr>
    <w:rPr>
      <w:rFonts w:ascii="Times New Roman" w:hAnsi="Times New Roman" w:eastAsia="宋体" w:cstheme="minorBidi"/>
      <w:snapToGrid w:val="0"/>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6.wmf"/><Relationship Id="rId22" Type="http://schemas.openxmlformats.org/officeDocument/2006/relationships/oleObject" Target="embeddings/oleObject5.bin"/><Relationship Id="rId21" Type="http://schemas.openxmlformats.org/officeDocument/2006/relationships/image" Target="media/image5.png"/><Relationship Id="rId20" Type="http://schemas.openxmlformats.org/officeDocument/2006/relationships/image" Target="media/image4.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3.emf"/><Relationship Id="rId17" Type="http://schemas.openxmlformats.org/officeDocument/2006/relationships/oleObject" Target="embeddings/oleObject3.bin"/><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127</Pages>
  <Words>316</Words>
  <Characters>341</Characters>
  <Lines>999</Lines>
  <Paragraphs>281</Paragraphs>
  <TotalTime>5</TotalTime>
  <ScaleCrop>false</ScaleCrop>
  <LinksUpToDate>false</LinksUpToDate>
  <CharactersWithSpaces>403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2023-06-20T16:30:00Z</dcterms:created>
  <dc:creator>lhj</dc:creator>
  <cp:lastModifiedBy>Administrator</cp:lastModifiedBy>
  <cp:lastPrinted>2023-05-26T03:27:00Z</cp:lastPrinted>
  <dcterms:modified xsi:type="dcterms:W3CDTF">2024-12-20T08:00:31Z</dcterms:modified>
  <dc:title>附件2</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1FB31D8598E749AD925D2008913184AD</vt:lpwstr>
  </property>
</Properties>
</file>