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bookmarkStart w:id="0" w:name="OLE_LINK1"/>
      <w:r>
        <w:rPr>
          <w:rFonts w:hint="eastAsia" w:ascii="方正小标宋简体" w:hAnsi="方正小标宋简体" w:eastAsia="方正小标宋简体" w:cs="方正小标宋简体"/>
          <w:color w:val="000000"/>
          <w:kern w:val="0"/>
          <w:sz w:val="44"/>
          <w:szCs w:val="44"/>
          <w:lang w:val="en-US" w:eastAsia="zh-CN" w:bidi="ar"/>
        </w:rPr>
        <w:t>龙泉村、白栎村光伏发电项目</w:t>
      </w:r>
      <w:bookmarkEnd w:id="0"/>
      <w:r>
        <w:rPr>
          <w:rFonts w:hint="eastAsia" w:ascii="方正小标宋简体" w:hAnsi="方正小标宋简体" w:eastAsia="方正小标宋简体" w:cs="方正小标宋简体"/>
          <w:color w:val="000000"/>
          <w:kern w:val="0"/>
          <w:sz w:val="44"/>
          <w:szCs w:val="44"/>
          <w:lang w:val="en-US" w:eastAsia="zh-CN" w:bidi="ar"/>
        </w:rPr>
        <w:t>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国华（寻甸）新能源有限公司：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你单位上报的委托云南欣驰环保科技有限公司编制的《</w:t>
      </w:r>
      <w:bookmarkStart w:id="1" w:name="OLE_LINK2"/>
      <w:r>
        <w:rPr>
          <w:rFonts w:hint="default" w:ascii="Times New Roman" w:hAnsi="Times New Roman" w:eastAsia="仿宋_GB2312" w:cs="Times New Roman"/>
          <w:color w:val="000000"/>
          <w:kern w:val="0"/>
          <w:sz w:val="32"/>
          <w:szCs w:val="32"/>
          <w:lang w:val="en-US" w:eastAsia="zh-CN" w:bidi="ar"/>
        </w:rPr>
        <w:t>龙泉村、白栎村光伏发电项目</w:t>
      </w:r>
      <w:bookmarkEnd w:id="1"/>
      <w:r>
        <w:rPr>
          <w:rFonts w:hint="default" w:ascii="Times New Roman" w:hAnsi="Times New Roman" w:eastAsia="仿宋_GB2312" w:cs="Times New Roman"/>
          <w:color w:val="000000"/>
          <w:kern w:val="0"/>
          <w:sz w:val="32"/>
          <w:szCs w:val="32"/>
          <w:lang w:val="en-US" w:eastAsia="zh-CN" w:bidi="ar"/>
        </w:rPr>
        <w:t>环境影响报告表》（以下简称《报告表》）收悉。根据《中华人民共和国环境影响评价法》第二十二条、《建设项目环境保护管理条例》第九条，经研究，批复如下：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w:t>
      </w:r>
      <w:r>
        <w:rPr>
          <w:rFonts w:hint="eastAsia" w:ascii="Times New Roman" w:hAnsi="Times New Roman" w:eastAsia="仿宋_GB2312" w:cs="Times New Roman"/>
          <w:color w:val="000000"/>
          <w:kern w:val="0"/>
          <w:sz w:val="32"/>
          <w:szCs w:val="32"/>
          <w:lang w:val="en-US" w:eastAsia="zh-CN" w:bidi="ar"/>
        </w:rPr>
        <w:t>位于</w:t>
      </w:r>
      <w:r>
        <w:rPr>
          <w:rFonts w:hint="default" w:ascii="Times New Roman" w:hAnsi="Times New Roman" w:eastAsia="仿宋_GB2312" w:cs="Times New Roman"/>
          <w:color w:val="000000"/>
          <w:kern w:val="0"/>
          <w:sz w:val="32"/>
          <w:szCs w:val="32"/>
          <w:lang w:val="en-US" w:eastAsia="zh-CN" w:bidi="ar"/>
        </w:rPr>
        <w:t>寻甸县先锋镇大窝铺村、富鲁村（项目中心位置地理坐标为</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东经：102°58′35.921″，北纬：25°32′39.294″</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。本项目为建设容量30MW的光伏发电项目，总</w:t>
      </w:r>
      <w:r>
        <w:rPr>
          <w:rFonts w:hint="eastAsia" w:ascii="Times New Roman" w:hAnsi="Times New Roman" w:eastAsia="仿宋_GB2312" w:cs="Times New Roman"/>
          <w:color w:val="000000"/>
          <w:kern w:val="0"/>
          <w:sz w:val="32"/>
          <w:szCs w:val="32"/>
          <w:lang w:val="en-US" w:eastAsia="zh-CN" w:bidi="ar"/>
        </w:rPr>
        <w:t>占</w:t>
      </w:r>
      <w:r>
        <w:rPr>
          <w:rFonts w:hint="default" w:ascii="Times New Roman" w:hAnsi="Times New Roman" w:eastAsia="仿宋_GB2312" w:cs="Times New Roman"/>
          <w:color w:val="000000"/>
          <w:kern w:val="0"/>
          <w:sz w:val="32"/>
          <w:szCs w:val="32"/>
          <w:lang w:val="en-US" w:eastAsia="zh-CN" w:bidi="ar"/>
        </w:rPr>
        <w:t>地面积约为30.18hm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，其中临时用地26.56hm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，永久占地3.62hm</w:t>
      </w:r>
      <w:r>
        <w:rPr>
          <w:rFonts w:hint="default"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。由</w:t>
      </w:r>
      <w:r>
        <w:rPr>
          <w:rFonts w:hint="default" w:ascii="Times New Roman" w:hAnsi="Times New Roman" w:eastAsia="仿宋_GB2312" w:cs="Times New Roman"/>
          <w:color w:val="000000"/>
          <w:kern w:val="0"/>
          <w:sz w:val="32"/>
          <w:szCs w:val="32"/>
          <w:lang w:val="en-US" w:eastAsia="zh-CN" w:bidi="ar"/>
        </w:rPr>
        <w:t>11个光伏子方阵</w:t>
      </w:r>
      <w:r>
        <w:rPr>
          <w:rFonts w:hint="eastAsia" w:ascii="Times New Roman" w:hAnsi="Times New Roman" w:eastAsia="仿宋_GB2312" w:cs="Times New Roman"/>
          <w:color w:val="000000"/>
          <w:kern w:val="0"/>
          <w:sz w:val="32"/>
          <w:szCs w:val="32"/>
          <w:lang w:val="en-US" w:eastAsia="zh-CN" w:bidi="ar"/>
        </w:rPr>
        <w:t>、94台320kW型组串式逆变器、11台35kV箱式变压器、11台电缆分接箱、1座</w:t>
      </w:r>
      <w:r>
        <w:rPr>
          <w:rFonts w:hint="default" w:ascii="Times New Roman" w:hAnsi="Times New Roman" w:eastAsia="仿宋_GB2312" w:cs="Times New Roman"/>
          <w:color w:val="000000"/>
          <w:kern w:val="0"/>
          <w:sz w:val="32"/>
          <w:szCs w:val="32"/>
          <w:lang w:val="en-US" w:eastAsia="zh-CN" w:bidi="ar"/>
        </w:rPr>
        <w:t>35kV</w:t>
      </w:r>
      <w:r>
        <w:rPr>
          <w:rFonts w:hint="eastAsia" w:ascii="Times New Roman" w:hAnsi="Times New Roman" w:eastAsia="仿宋_GB2312" w:cs="Times New Roman"/>
          <w:color w:val="000000"/>
          <w:kern w:val="0"/>
          <w:sz w:val="32"/>
          <w:szCs w:val="32"/>
          <w:lang w:val="en-US" w:eastAsia="zh-CN" w:bidi="ar"/>
        </w:rPr>
        <w:t>开关站和集电线路组成，并</w:t>
      </w:r>
      <w:r>
        <w:rPr>
          <w:rFonts w:hint="default" w:ascii="Times New Roman" w:hAnsi="Times New Roman" w:eastAsia="仿宋_GB2312" w:cs="Times New Roman"/>
          <w:color w:val="000000"/>
          <w:kern w:val="0"/>
          <w:sz w:val="32"/>
          <w:szCs w:val="32"/>
          <w:lang w:val="en-US" w:eastAsia="zh-CN" w:bidi="ar"/>
        </w:rPr>
        <w:t>配套</w:t>
      </w:r>
      <w:r>
        <w:rPr>
          <w:rFonts w:hint="eastAsia" w:ascii="Times New Roman" w:hAnsi="Times New Roman" w:eastAsia="仿宋_GB2312" w:cs="Times New Roman"/>
          <w:color w:val="000000"/>
          <w:kern w:val="0"/>
          <w:sz w:val="32"/>
          <w:szCs w:val="32"/>
          <w:lang w:val="en-US" w:eastAsia="zh-CN" w:bidi="ar"/>
        </w:rPr>
        <w:t>建设</w:t>
      </w:r>
      <w:r>
        <w:rPr>
          <w:rFonts w:hint="default" w:ascii="Times New Roman" w:hAnsi="Times New Roman" w:eastAsia="仿宋_GB2312" w:cs="Times New Roman"/>
          <w:color w:val="000000"/>
          <w:kern w:val="0"/>
          <w:sz w:val="32"/>
          <w:szCs w:val="32"/>
          <w:lang w:val="en-US" w:eastAsia="zh-CN" w:bidi="ar"/>
        </w:rPr>
        <w:t>公辅工程和环保工程</w:t>
      </w:r>
      <w:r>
        <w:rPr>
          <w:rFonts w:hint="eastAsia" w:ascii="Times New Roman" w:hAnsi="Times New Roman" w:eastAsia="仿宋_GB2312" w:cs="Times New Roman"/>
          <w:color w:val="000000"/>
          <w:kern w:val="0"/>
          <w:sz w:val="32"/>
          <w:szCs w:val="32"/>
          <w:lang w:val="en-US" w:eastAsia="zh-CN" w:bidi="ar"/>
        </w:rPr>
        <w:t>设施。</w:t>
      </w:r>
      <w:r>
        <w:rPr>
          <w:rFonts w:hint="default" w:ascii="Times New Roman" w:hAnsi="Times New Roman" w:eastAsia="仿宋_GB2312" w:cs="Times New Roman"/>
          <w:color w:val="000000"/>
          <w:kern w:val="0"/>
          <w:sz w:val="32"/>
          <w:szCs w:val="32"/>
          <w:lang w:val="en-US" w:eastAsia="zh-CN" w:bidi="ar"/>
        </w:rPr>
        <w:t>项目生产运营期为25年</w:t>
      </w:r>
      <w:r>
        <w:rPr>
          <w:rFonts w:hint="eastAsia" w:ascii="Times New Roman" w:hAnsi="Times New Roman" w:eastAsia="仿宋_GB2312" w:cs="Times New Roman"/>
          <w:color w:val="000000"/>
          <w:kern w:val="0"/>
          <w:sz w:val="32"/>
          <w:szCs w:val="32"/>
          <w:lang w:val="en-US" w:eastAsia="zh-CN" w:bidi="ar"/>
        </w:rPr>
        <w:t>，总投资14000万元，环保投资120.4万元。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本项目不建设升压站，升压站依托现已建成投运的220kV板桥风电场升压站。项目的送出线路和东北部区域的光伏区至开关站的集电线路均单独立项建设，不属于本项目建设内容和评价对象。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根据昆明市生态环境工程评估中心《关于对〈龙泉村、白栎村光伏发电项目环境影响报告表〉的技术评估意见》(昆环评估意见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运营期</w:t>
      </w:r>
      <w:r>
        <w:rPr>
          <w:rFonts w:hint="eastAsia" w:ascii="Times New Roman" w:hAnsi="Times New Roman" w:eastAsia="仿宋_GB2312" w:cs="Times New Roman"/>
          <w:color w:val="000000"/>
          <w:kern w:val="0"/>
          <w:sz w:val="32"/>
          <w:szCs w:val="32"/>
          <w:lang w:val="en-US" w:eastAsia="zh-CN" w:bidi="ar"/>
        </w:rPr>
        <w:t>太阳能电池板清洗废水经收集处理后全部回用于光伏板下方植被浇灌，不得外排。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w:t>
      </w:r>
      <w:r>
        <w:rPr>
          <w:rFonts w:hint="eastAsia" w:ascii="Times New Roman" w:hAnsi="Times New Roman" w:eastAsia="仿宋_GB2312" w:cs="Times New Roman"/>
          <w:color w:val="000000"/>
          <w:kern w:val="0"/>
          <w:sz w:val="32"/>
          <w:szCs w:val="32"/>
          <w:lang w:val="en-US" w:eastAsia="zh-CN" w:bidi="ar"/>
        </w:rPr>
        <w:t>应采取</w:t>
      </w:r>
      <w:r>
        <w:rPr>
          <w:rFonts w:hint="default" w:ascii="Times New Roman" w:hAnsi="Times New Roman" w:eastAsia="仿宋_GB2312" w:cs="Times New Roman"/>
          <w:color w:val="000000"/>
          <w:kern w:val="0"/>
          <w:sz w:val="32"/>
          <w:szCs w:val="32"/>
          <w:lang w:val="en-US" w:eastAsia="zh-CN" w:bidi="ar"/>
        </w:rPr>
        <w:t>沉淀</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措施全部</w:t>
      </w:r>
      <w:r>
        <w:rPr>
          <w:rFonts w:hint="default" w:ascii="Times New Roman" w:hAnsi="Times New Roman" w:eastAsia="仿宋_GB2312" w:cs="Times New Roman"/>
          <w:color w:val="000000"/>
          <w:kern w:val="0"/>
          <w:sz w:val="32"/>
          <w:szCs w:val="32"/>
          <w:lang w:val="en-US" w:eastAsia="zh-CN" w:bidi="ar"/>
        </w:rPr>
        <w:t>回用于</w:t>
      </w:r>
      <w:r>
        <w:rPr>
          <w:rFonts w:hint="eastAsia" w:ascii="Times New Roman" w:hAnsi="Times New Roman" w:eastAsia="仿宋_GB2312" w:cs="Times New Roman"/>
          <w:color w:val="000000"/>
          <w:kern w:val="0"/>
          <w:sz w:val="32"/>
          <w:szCs w:val="32"/>
          <w:lang w:val="en-US" w:eastAsia="zh-CN" w:bidi="ar"/>
        </w:rPr>
        <w:t>施工用水及施工场地</w:t>
      </w:r>
      <w:r>
        <w:rPr>
          <w:rFonts w:hint="default" w:ascii="Times New Roman" w:hAnsi="Times New Roman" w:eastAsia="仿宋_GB2312" w:cs="Times New Roman"/>
          <w:color w:val="000000"/>
          <w:kern w:val="0"/>
          <w:sz w:val="32"/>
          <w:szCs w:val="32"/>
          <w:lang w:val="en-US" w:eastAsia="zh-CN" w:bidi="ar"/>
        </w:rPr>
        <w:t>洒水降尘，</w:t>
      </w:r>
      <w:r>
        <w:rPr>
          <w:rFonts w:hint="eastAsia" w:ascii="Times New Roman" w:hAnsi="Times New Roman" w:eastAsia="仿宋_GB2312" w:cs="Times New Roman"/>
          <w:color w:val="000000"/>
          <w:kern w:val="0"/>
          <w:sz w:val="32"/>
          <w:szCs w:val="32"/>
          <w:lang w:val="en-US" w:eastAsia="zh-CN" w:bidi="ar"/>
        </w:rPr>
        <w:t>禁止施工废水排入周围地表水体</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w:t>
      </w:r>
      <w:r>
        <w:rPr>
          <w:rFonts w:hint="eastAsia" w:ascii="Times New Roman" w:hAnsi="Times New Roman" w:eastAsia="仿宋_GB2312" w:cs="Times New Roman"/>
          <w:color w:val="000000"/>
          <w:kern w:val="0"/>
          <w:sz w:val="32"/>
          <w:szCs w:val="32"/>
          <w:lang w:val="en-US" w:eastAsia="zh-CN" w:bidi="ar"/>
        </w:rPr>
        <w:t>废气排放</w:t>
      </w:r>
      <w:r>
        <w:rPr>
          <w:rFonts w:hint="default" w:ascii="Times New Roman" w:hAnsi="Times New Roman" w:eastAsia="仿宋_GB2312" w:cs="Times New Roman"/>
          <w:color w:val="000000"/>
          <w:kern w:val="0"/>
          <w:sz w:val="32"/>
          <w:szCs w:val="32"/>
          <w:lang w:val="en-US" w:eastAsia="zh-CN" w:bidi="ar"/>
        </w:rPr>
        <w:t>应符合《大气污染物综合排放标准》（GB16297-1996）表2</w:t>
      </w:r>
      <w:r>
        <w:rPr>
          <w:rFonts w:hint="eastAsia" w:ascii="Times New Roman" w:hAnsi="Times New Roman" w:eastAsia="仿宋_GB2312" w:cs="Times New Roman"/>
          <w:color w:val="000000"/>
          <w:kern w:val="0"/>
          <w:sz w:val="32"/>
          <w:szCs w:val="32"/>
          <w:lang w:val="en-US" w:eastAsia="zh-CN" w:bidi="ar"/>
        </w:rPr>
        <w:t>中</w:t>
      </w:r>
      <w:r>
        <w:rPr>
          <w:rFonts w:hint="default" w:ascii="Times New Roman" w:hAnsi="Times New Roman" w:eastAsia="仿宋_GB2312" w:cs="Times New Roman"/>
          <w:color w:val="000000"/>
          <w:kern w:val="0"/>
          <w:sz w:val="32"/>
          <w:szCs w:val="32"/>
          <w:lang w:val="en-US" w:eastAsia="zh-CN" w:bidi="ar"/>
        </w:rPr>
        <w:t>无组织排放监控浓度限值</w:t>
      </w:r>
      <w:r>
        <w:rPr>
          <w:rFonts w:hint="eastAsia" w:ascii="Times New Roman" w:hAnsi="Times New Roman" w:eastAsia="仿宋_GB2312" w:cs="Times New Roman"/>
          <w:color w:val="000000"/>
          <w:kern w:val="0"/>
          <w:sz w:val="32"/>
          <w:szCs w:val="32"/>
          <w:lang w:val="en-US" w:eastAsia="zh-CN" w:bidi="ar"/>
        </w:rPr>
        <w:t>标准要求</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（三）产生噪声的场所应合理布局，产生噪声的设备应作隔声降噪处理，开关站四周设置实体围墙</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光伏区、开关站</w:t>
      </w:r>
      <w:r>
        <w:rPr>
          <w:rFonts w:hint="eastAsia" w:ascii="Times New Roman" w:hAnsi="Times New Roman" w:eastAsia="仿宋_GB2312" w:cs="Times New Roman"/>
          <w:color w:val="000000"/>
          <w:kern w:val="0"/>
          <w:sz w:val="32"/>
          <w:szCs w:val="32"/>
          <w:lang w:val="en-US" w:eastAsia="zh-CN" w:bidi="ar"/>
        </w:rPr>
        <w:t>等</w:t>
      </w:r>
      <w:r>
        <w:rPr>
          <w:rFonts w:hint="default" w:ascii="Times New Roman" w:hAnsi="Times New Roman" w:eastAsia="仿宋_GB2312" w:cs="Times New Roman"/>
          <w:color w:val="000000"/>
          <w:kern w:val="0"/>
          <w:sz w:val="32"/>
          <w:szCs w:val="32"/>
          <w:lang w:val="en-US" w:eastAsia="zh-CN" w:bidi="ar"/>
        </w:rPr>
        <w:t>场界噪声满足《工业企业厂界环境噪声排放标准》（GB12348-2008）1类区昼</w:t>
      </w:r>
      <w:r>
        <w:rPr>
          <w:rFonts w:hint="eastAsia" w:ascii="Times New Roman" w:hAnsi="Times New Roman" w:eastAsia="仿宋_GB2312" w:cs="Times New Roman"/>
          <w:color w:val="000000"/>
          <w:kern w:val="0"/>
          <w:sz w:val="32"/>
          <w:szCs w:val="32"/>
          <w:lang w:val="en-US" w:eastAsia="zh-CN" w:bidi="ar"/>
        </w:rPr>
        <w:t>、夜</w:t>
      </w:r>
      <w:r>
        <w:rPr>
          <w:rFonts w:hint="default" w:ascii="Times New Roman" w:hAnsi="Times New Roman" w:eastAsia="仿宋_GB2312" w:cs="Times New Roman"/>
          <w:color w:val="000000"/>
          <w:kern w:val="0"/>
          <w:sz w:val="32"/>
          <w:szCs w:val="32"/>
          <w:lang w:val="en-US" w:eastAsia="zh-CN" w:bidi="ar"/>
        </w:rPr>
        <w:t>间标准要求。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施工期产生的建筑垃圾分类收集堆存后回收利用，不能利用的委托有资质单位清运至合法的建筑垃圾消纳场，不得随意倾倒。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废旧的光伏组件、废逆变器由</w:t>
      </w:r>
      <w:r>
        <w:rPr>
          <w:rFonts w:hint="default" w:ascii="Times New Roman" w:hAnsi="Times New Roman" w:eastAsia="仿宋_GB2312" w:cs="Times New Roman"/>
          <w:color w:val="000000"/>
          <w:kern w:val="0"/>
          <w:sz w:val="32"/>
          <w:szCs w:val="32"/>
          <w:lang w:val="en-US" w:eastAsia="zh-CN" w:bidi="ar"/>
        </w:rPr>
        <w:t>专门贮存室暂存，最终由厂家回收处置；检修产生的废旧电气元件，由建设单位回收后外售废品回收机构</w:t>
      </w:r>
      <w:r>
        <w:rPr>
          <w:rFonts w:hint="eastAsia" w:ascii="Times New Roman" w:hAnsi="Times New Roman" w:eastAsia="仿宋_GB2312" w:cs="Times New Roman"/>
          <w:color w:val="000000"/>
          <w:kern w:val="0"/>
          <w:sz w:val="32"/>
          <w:szCs w:val="32"/>
          <w:lang w:val="en-US" w:eastAsia="zh-CN" w:bidi="ar"/>
        </w:rPr>
        <w:t>；废矿物</w:t>
      </w:r>
      <w:r>
        <w:rPr>
          <w:rFonts w:hint="default" w:ascii="Times New Roman" w:hAnsi="Times New Roman" w:eastAsia="仿宋_GB2312" w:cs="Times New Roman"/>
          <w:color w:val="000000"/>
          <w:kern w:val="0"/>
          <w:sz w:val="32"/>
          <w:szCs w:val="32"/>
          <w:lang w:val="en-US" w:eastAsia="zh-CN" w:bidi="ar"/>
        </w:rPr>
        <w:t>油</w:t>
      </w:r>
      <w:r>
        <w:rPr>
          <w:rFonts w:hint="eastAsia" w:ascii="Times New Roman" w:hAnsi="Times New Roman" w:eastAsia="仿宋_GB2312" w:cs="Times New Roman"/>
          <w:color w:val="000000"/>
          <w:kern w:val="0"/>
          <w:sz w:val="32"/>
          <w:szCs w:val="32"/>
          <w:lang w:val="en-US" w:eastAsia="zh-CN" w:bidi="ar"/>
        </w:rPr>
        <w:t>、废铅酸蓄电池等危险废物分类收集后按《危险废物贮存污染控制标准》（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）、《危险废物收集贮存运输技术规范》（HJ2025-2012）要求妥善收集、暂存，规范设置危险废物暂存间，委托有资质单位定期清运处理。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按照《报告表》落实各项生态环境保护措施，做好施工期间的环境管理工作，确保生态环境安全。严格控制施工占地范围，严禁随意破坏原有植被和砍伐林木，禁止捕杀野生动物，电池组件阵列下方不得改变林草地用途，不得裸露地表、硬化或作其他用途。施工结束后及时对施工临时占地、施工迹地进行清理和恢复，减少施工期对生态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）严格执行环评风险影响评价中的各项防范措施，并建设相应的风险防范设施。光伏场区每个箱式变压器下方设置1个事故油池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严格按照《危险废物贮存污染控制标准》（GB 18597-2023）重点防渗进行设计建设，容积满足100%事故泄漏。编制突发环境事件应急预案并报我局备案，加强应急演练，建立完善应急报告制度，落实应急物资和经费，最大限度减轻风险事故对周围环境的影响。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请寻甸县生态环境保护综合行政执法大队负责组织项目环境执法现场监察和日常监督管理。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CN" w:bidi="ar"/>
        </w:rPr>
        <w:t>日</w:t>
      </w:r>
      <w:bookmarkStart w:id="2" w:name="_GoBack"/>
      <w:bookmarkEnd w:id="2"/>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9FDF4962-2B65-4FF4-A11F-4CAC8289AD83}"/>
  </w:font>
  <w:font w:name="仿宋_GB2312">
    <w:panose1 w:val="02010609030101010101"/>
    <w:charset w:val="86"/>
    <w:family w:val="auto"/>
    <w:pitch w:val="default"/>
    <w:sig w:usb0="00000001" w:usb1="080E0000" w:usb2="00000000" w:usb3="00000000" w:csb0="00040000" w:csb1="00000000"/>
    <w:embedRegular r:id="rId2" w:fontKey="{713848D4-3AF9-498D-A40D-7FC278F5CF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1e29b1c3-a28b-4e70-8551-4831ed56d61d"/>
  </w:docVars>
  <w:rsids>
    <w:rsidRoot w:val="205A64FE"/>
    <w:rsid w:val="011B34D9"/>
    <w:rsid w:val="016469D5"/>
    <w:rsid w:val="03FD0897"/>
    <w:rsid w:val="06E96BF0"/>
    <w:rsid w:val="07003538"/>
    <w:rsid w:val="07047ECE"/>
    <w:rsid w:val="07056611"/>
    <w:rsid w:val="07CD3A3C"/>
    <w:rsid w:val="085034CC"/>
    <w:rsid w:val="09242161"/>
    <w:rsid w:val="09501527"/>
    <w:rsid w:val="09574530"/>
    <w:rsid w:val="09682D30"/>
    <w:rsid w:val="0B6158EF"/>
    <w:rsid w:val="0B725406"/>
    <w:rsid w:val="0BBF17D2"/>
    <w:rsid w:val="0C7E7DDA"/>
    <w:rsid w:val="0CEF2A86"/>
    <w:rsid w:val="0D7B27E6"/>
    <w:rsid w:val="0DA62398"/>
    <w:rsid w:val="0F295095"/>
    <w:rsid w:val="0F7751CB"/>
    <w:rsid w:val="10DE353E"/>
    <w:rsid w:val="114E7FBF"/>
    <w:rsid w:val="12C80001"/>
    <w:rsid w:val="13E06DE0"/>
    <w:rsid w:val="15344D3E"/>
    <w:rsid w:val="16842E16"/>
    <w:rsid w:val="16B03286"/>
    <w:rsid w:val="17CA0378"/>
    <w:rsid w:val="182C6111"/>
    <w:rsid w:val="190856D1"/>
    <w:rsid w:val="19DB2D10"/>
    <w:rsid w:val="1C442B37"/>
    <w:rsid w:val="1C776FFB"/>
    <w:rsid w:val="1E6D7CAF"/>
    <w:rsid w:val="1FE67D5E"/>
    <w:rsid w:val="205A64FE"/>
    <w:rsid w:val="211B0C99"/>
    <w:rsid w:val="23444EE2"/>
    <w:rsid w:val="275F084A"/>
    <w:rsid w:val="27DE43F7"/>
    <w:rsid w:val="284303FE"/>
    <w:rsid w:val="28B7647D"/>
    <w:rsid w:val="2AAD4DE5"/>
    <w:rsid w:val="2AB53CB1"/>
    <w:rsid w:val="2B3D4FB4"/>
    <w:rsid w:val="2B636170"/>
    <w:rsid w:val="300F6C4F"/>
    <w:rsid w:val="30355826"/>
    <w:rsid w:val="303C2D7D"/>
    <w:rsid w:val="304A0BE3"/>
    <w:rsid w:val="32F426CD"/>
    <w:rsid w:val="34381AE7"/>
    <w:rsid w:val="359758E5"/>
    <w:rsid w:val="3599165E"/>
    <w:rsid w:val="35E328D9"/>
    <w:rsid w:val="370A3C09"/>
    <w:rsid w:val="37E706C5"/>
    <w:rsid w:val="39567866"/>
    <w:rsid w:val="3A05363B"/>
    <w:rsid w:val="3B4751DC"/>
    <w:rsid w:val="3CE379C9"/>
    <w:rsid w:val="3CE60F00"/>
    <w:rsid w:val="3D9D5A63"/>
    <w:rsid w:val="3EC50C85"/>
    <w:rsid w:val="3F214472"/>
    <w:rsid w:val="40AE4EEF"/>
    <w:rsid w:val="41926BCA"/>
    <w:rsid w:val="41AA2E44"/>
    <w:rsid w:val="42450BBC"/>
    <w:rsid w:val="426A17F0"/>
    <w:rsid w:val="44D8697E"/>
    <w:rsid w:val="452D2A17"/>
    <w:rsid w:val="46B02CAB"/>
    <w:rsid w:val="46B34549"/>
    <w:rsid w:val="4B1F03FF"/>
    <w:rsid w:val="4B4E65EF"/>
    <w:rsid w:val="4C170BB6"/>
    <w:rsid w:val="4C6F694B"/>
    <w:rsid w:val="4C8147A2"/>
    <w:rsid w:val="4E1F4272"/>
    <w:rsid w:val="4F197025"/>
    <w:rsid w:val="4F530677"/>
    <w:rsid w:val="4F8E5B53"/>
    <w:rsid w:val="529F3A25"/>
    <w:rsid w:val="57E744EC"/>
    <w:rsid w:val="596D4A2C"/>
    <w:rsid w:val="597B6BDE"/>
    <w:rsid w:val="5A87563E"/>
    <w:rsid w:val="5BE27BBD"/>
    <w:rsid w:val="5C9C13F9"/>
    <w:rsid w:val="5D396AC1"/>
    <w:rsid w:val="5FA04EE8"/>
    <w:rsid w:val="5FBD4249"/>
    <w:rsid w:val="605E4DBC"/>
    <w:rsid w:val="63792FF4"/>
    <w:rsid w:val="64DD3F42"/>
    <w:rsid w:val="65381238"/>
    <w:rsid w:val="65E43E8E"/>
    <w:rsid w:val="67C972D1"/>
    <w:rsid w:val="683D381B"/>
    <w:rsid w:val="68D94361"/>
    <w:rsid w:val="6AF36CDB"/>
    <w:rsid w:val="6C766689"/>
    <w:rsid w:val="6CFB2365"/>
    <w:rsid w:val="6E056B89"/>
    <w:rsid w:val="6ED2320B"/>
    <w:rsid w:val="70992B18"/>
    <w:rsid w:val="72473092"/>
    <w:rsid w:val="75E874BC"/>
    <w:rsid w:val="769B3A88"/>
    <w:rsid w:val="7899684C"/>
    <w:rsid w:val="795D5ACB"/>
    <w:rsid w:val="79687D3A"/>
    <w:rsid w:val="7B3F191B"/>
    <w:rsid w:val="7BB67714"/>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2166</Words>
  <Characters>2315</Characters>
  <Lines>0</Lines>
  <Paragraphs>0</Paragraphs>
  <TotalTime>142</TotalTime>
  <ScaleCrop>false</ScaleCrop>
  <LinksUpToDate>false</LinksUpToDate>
  <CharactersWithSpaces>2324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2025-02-24T03:37:41Z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8AF8BC473F7E46AF85CA449FAF516219_13</vt:lpwstr>
  </property>
</Properties>
</file>