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昆明市生态环境局寻甸分局关于对《中国石化销售股份有限公司云南昆明寻甸梧桐加油站隐患原址改造项目环境影响报告表》的批复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中国石化销售股份有限公司云南昆明石油分公司：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你单位上报的委托昆明阳光恒业环境工程有限公司编制的《</w:t>
      </w:r>
      <w:bookmarkStart w:id="0" w:name="OLE_LINK2"/>
      <w:r>
        <w:rPr>
          <w:rFonts w:hint="default" w:ascii="Times New Roman" w:hAnsi="Times New Roman" w:eastAsia="仿宋_GB2312" w:cs="Times New Roman"/>
          <w:color w:val="000000"/>
          <w:kern w:val="0"/>
          <w:sz w:val="32"/>
          <w:szCs w:val="32"/>
          <w:lang w:val="en-US" w:eastAsia="zh-CN" w:bidi="ar"/>
        </w:rPr>
        <w:t>中国石化销售股份有限公司云南昆明寻甸梧桐加油站隐患原址改造项目</w:t>
      </w:r>
      <w:bookmarkEnd w:id="0"/>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项目建设地点位于云南省昆明市寻甸县功山镇梧桐村（项目中心位置地理坐标为：东经</w:t>
      </w:r>
      <w:r>
        <w:rPr>
          <w:rFonts w:hint="eastAsia" w:ascii="Times New Roman" w:hAnsi="Times New Roman" w:eastAsia="仿宋_GB2312" w:cs="Times New Roman"/>
          <w:color w:val="000000"/>
          <w:kern w:val="0"/>
          <w:sz w:val="32"/>
          <w:szCs w:val="32"/>
          <w:lang w:val="en-US" w:eastAsia="zh-CN" w:bidi="ar"/>
        </w:rPr>
        <w:t>102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34.801</w:t>
      </w:r>
      <w:r>
        <w:rPr>
          <w:rFonts w:hint="default" w:ascii="Times New Roman" w:hAnsi="Times New Roman" w:eastAsia="仿宋_GB2312" w:cs="Times New Roman"/>
          <w:color w:val="000000"/>
          <w:kern w:val="0"/>
          <w:sz w:val="32"/>
          <w:szCs w:val="32"/>
          <w:lang w:val="en-US" w:eastAsia="zh-CN" w:bidi="ar"/>
        </w:rPr>
        <w:t>″，北纬25°</w:t>
      </w:r>
      <w:r>
        <w:rPr>
          <w:rFonts w:hint="eastAsia" w:ascii="Times New Roman" w:hAnsi="Times New Roman" w:eastAsia="仿宋_GB2312" w:cs="Times New Roman"/>
          <w:color w:val="000000"/>
          <w:kern w:val="0"/>
          <w:sz w:val="32"/>
          <w:szCs w:val="32"/>
          <w:lang w:val="en-US" w:eastAsia="zh-CN" w:bidi="ar"/>
        </w:rPr>
        <w:t>43</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26.024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建设内容主要有站房、油罐区、罩棚、卸油区和2台120kW一体式直流双枪快充充电桩。站房位于项目东侧，罩棚和油罐区（位于罩棚下）位于加油站中央，罩棚下设置2个加油岛，油罐区设置3个埋地式双层油罐，30m³92#汽油储罐1个，30m³95#汽油储油罐1个，30m³0#柴油储油罐1个，总储油量为75m³（柴油罐容积折半计入油罐总容积）；卸油区位于油罐区的东北侧，按油品设有3个单独的卸油口，1个油气回收油管，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程。项目总投资1500万元，其中环保投资104.75万元。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根据昆明市生态环境工程评估中心《关于对〈中国石化销售股份有限公司云南昆明寻甸梧桐加油站隐患原址改造项目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油罐区、加油区设置环保沟，并与三级油水分离池相连。项目地坪冲洗水、初期雨水经三级油水分离池处理后委托绿运垃圾清运有限公司清运处置。厨房用水经隔油池处理与其他生活废水、外来人员冲厕废水进入化粪池处理委托寻甸绿运垃圾清运有限公司清运处置，不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卸油区和加油区均分别设置油气回收装置，</w:t>
      </w:r>
      <w:r>
        <w:rPr>
          <w:rFonts w:hint="default" w:ascii="Times New Roman" w:hAnsi="Times New Roman" w:eastAsia="仿宋_GB2312" w:cs="Times New Roman"/>
          <w:color w:val="000000"/>
          <w:kern w:val="0"/>
          <w:sz w:val="32"/>
          <w:szCs w:val="32"/>
          <w:lang w:val="en-US" w:eastAsia="zh-CN" w:bidi="ar"/>
        </w:rPr>
        <w:t>厂界</w:t>
      </w:r>
      <w:r>
        <w:rPr>
          <w:rFonts w:hint="eastAsia" w:ascii="Times New Roman" w:hAnsi="Times New Roman" w:eastAsia="仿宋_GB2312" w:cs="Times New Roman"/>
          <w:color w:val="000000"/>
          <w:kern w:val="0"/>
          <w:sz w:val="32"/>
          <w:szCs w:val="32"/>
          <w:lang w:val="en-US" w:eastAsia="zh-CN" w:bidi="ar"/>
        </w:rPr>
        <w:t>非甲烷总烃</w:t>
      </w:r>
      <w:r>
        <w:rPr>
          <w:rFonts w:hint="default" w:ascii="Times New Roman" w:hAnsi="Times New Roman" w:eastAsia="仿宋_GB2312" w:cs="Times New Roman"/>
          <w:color w:val="000000"/>
          <w:kern w:val="0"/>
          <w:sz w:val="32"/>
          <w:szCs w:val="32"/>
          <w:lang w:val="en-US" w:eastAsia="zh-CN" w:bidi="ar"/>
        </w:rPr>
        <w:t>满足《</w:t>
      </w:r>
      <w:r>
        <w:rPr>
          <w:rFonts w:hint="eastAsia" w:ascii="Times New Roman" w:hAnsi="Times New Roman" w:eastAsia="仿宋_GB2312" w:cs="Times New Roman"/>
          <w:color w:val="000000"/>
          <w:kern w:val="0"/>
          <w:sz w:val="32"/>
          <w:szCs w:val="32"/>
          <w:lang w:val="en-US" w:eastAsia="zh-CN" w:bidi="ar"/>
        </w:rPr>
        <w:t>加油站大气污染物排放标准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20952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2020</w:t>
      </w:r>
      <w:r>
        <w:rPr>
          <w:rFonts w:hint="default" w:ascii="Times New Roman" w:hAnsi="Times New Roman" w:eastAsia="仿宋_GB2312" w:cs="Times New Roman"/>
          <w:color w:val="000000"/>
          <w:kern w:val="0"/>
          <w:sz w:val="32"/>
          <w:szCs w:val="32"/>
          <w:lang w:val="en-US" w:eastAsia="zh-CN" w:bidi="ar"/>
        </w:rPr>
        <w:t>）表</w:t>
      </w:r>
      <w:r>
        <w:rPr>
          <w:rFonts w:hint="eastAsia" w:ascii="Times New Roman" w:hAnsi="Times New Roman" w:eastAsia="仿宋_GB2312" w:cs="Times New Roman"/>
          <w:color w:val="000000"/>
          <w:kern w:val="0"/>
          <w:sz w:val="32"/>
          <w:szCs w:val="32"/>
          <w:lang w:val="en-US" w:eastAsia="zh-CN" w:bidi="ar"/>
        </w:rPr>
        <w:t>3排放限值；厂区内非甲烷总烃无组织排放浓度满足《挥发性有机物无组织排放控制标准》(GB37822-2019)。</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产生噪声的场所应合理布局，产生噪声的设备应作隔声降噪处理，加强运输车辆的管理。西侧界</w:t>
      </w:r>
      <w:bookmarkStart w:id="1" w:name="OLE_LINK1"/>
      <w:r>
        <w:rPr>
          <w:rFonts w:hint="default" w:ascii="Times New Roman" w:hAnsi="Times New Roman" w:eastAsia="仿宋_GB2312" w:cs="Times New Roman"/>
          <w:color w:val="000000"/>
          <w:kern w:val="0"/>
          <w:sz w:val="32"/>
          <w:szCs w:val="32"/>
          <w:lang w:val="en-US" w:eastAsia="zh-CN" w:bidi="ar"/>
        </w:rPr>
        <w:t>昼、夜间</w:t>
      </w:r>
      <w:bookmarkEnd w:id="1"/>
      <w:r>
        <w:rPr>
          <w:rFonts w:hint="default" w:ascii="Times New Roman" w:hAnsi="Times New Roman" w:eastAsia="仿宋_GB2312" w:cs="Times New Roman"/>
          <w:color w:val="000000"/>
          <w:kern w:val="0"/>
          <w:sz w:val="32"/>
          <w:szCs w:val="32"/>
          <w:lang w:val="en-US" w:eastAsia="zh-CN" w:bidi="ar"/>
        </w:rPr>
        <w:t>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《工业企业厂界环境噪声排放标准》（GB12348-2008）4类标准</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；其余厂界昼、夜间</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《工业企业厂界环境噪声排放标准》（GB12348-2008）2类标准</w:t>
      </w:r>
      <w:r>
        <w:rPr>
          <w:rFonts w:hint="eastAsia" w:ascii="Times New Roman" w:hAnsi="Times New Roman" w:eastAsia="仿宋_GB2312" w:cs="Times New Roman"/>
          <w:color w:val="000000"/>
          <w:kern w:val="0"/>
          <w:sz w:val="32"/>
          <w:szCs w:val="32"/>
          <w:lang w:val="en-US" w:eastAsia="zh-CN" w:bidi="ar"/>
        </w:rPr>
        <w:t>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按照《报告表》提出的固废处置措施加强固体废物综合利用和规范处置，防止产生二次污染。三级油水分离池废油、油罐清洗产生的油罐残渣及废滤网、清洗废液、废消防砂、清洗过程产生的含油废抹布、废手套</w:t>
      </w:r>
      <w:r>
        <w:rPr>
          <w:rFonts w:hint="eastAsia" w:ascii="Times New Roman" w:hAnsi="Times New Roman" w:eastAsia="仿宋_GB2312" w:cs="Times New Roman"/>
          <w:color w:val="000000"/>
          <w:kern w:val="0"/>
          <w:sz w:val="32"/>
          <w:szCs w:val="32"/>
          <w:lang w:val="en-US" w:eastAsia="zh-CN" w:bidi="ar"/>
        </w:rPr>
        <w:t>等危险废物按《危险废物贮存污染控制标准》（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餐厨垃圾（含隔油池油脂）委托有资质单位清运处置；化粪池污泥、生活垃圾委托环卫部门清运。</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在项目区</w:t>
      </w:r>
      <w:r>
        <w:rPr>
          <w:rFonts w:hint="eastAsia" w:ascii="Times New Roman" w:hAnsi="Times New Roman" w:eastAsia="仿宋_GB2312" w:cs="Times New Roman"/>
          <w:sz w:val="32"/>
          <w:szCs w:val="32"/>
          <w:lang w:val="en-US" w:eastAsia="zh-CN"/>
        </w:rPr>
        <w:t>设置1个地下水监测井，加强地下水跟踪监测。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sz w:val="32"/>
          <w:szCs w:val="32"/>
          <w:lang w:eastAsia="zh-CN"/>
        </w:rPr>
        <w:t>（八）针对现有项目存在的环境问题，完成各项“以新带老”措施。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bookmarkStart w:id="2" w:name="_GoBack"/>
      <w:bookmarkEnd w:id="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AE193970-29A6-4A3B-BEAC-5168E86C99DD}"/>
  </w:font>
  <w:font w:name="仿宋_GB2312">
    <w:panose1 w:val="02010609030101010101"/>
    <w:charset w:val="86"/>
    <w:family w:val="auto"/>
    <w:pitch w:val="default"/>
    <w:sig w:usb0="00000001" w:usb1="080E0000" w:usb2="00000000" w:usb3="00000000" w:csb0="00040000" w:csb1="00000000"/>
    <w:embedRegular r:id="rId2" w:fontKey="{E807BB26-7D14-4E5F-A164-2FF65ECC903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4806B11"/>
    <w:rsid w:val="04F91383"/>
    <w:rsid w:val="05526700"/>
    <w:rsid w:val="07056611"/>
    <w:rsid w:val="074F1149"/>
    <w:rsid w:val="07B92A66"/>
    <w:rsid w:val="08234384"/>
    <w:rsid w:val="08DA7138"/>
    <w:rsid w:val="0C7B6998"/>
    <w:rsid w:val="0EF9276D"/>
    <w:rsid w:val="103A0940"/>
    <w:rsid w:val="10872711"/>
    <w:rsid w:val="114E7FBF"/>
    <w:rsid w:val="116F4196"/>
    <w:rsid w:val="12192A7F"/>
    <w:rsid w:val="1565422D"/>
    <w:rsid w:val="170B2BB3"/>
    <w:rsid w:val="1C1B5646"/>
    <w:rsid w:val="1C6F7740"/>
    <w:rsid w:val="1E262080"/>
    <w:rsid w:val="1EF6141C"/>
    <w:rsid w:val="1F444545"/>
    <w:rsid w:val="1F5302BA"/>
    <w:rsid w:val="20427645"/>
    <w:rsid w:val="205A64FE"/>
    <w:rsid w:val="23201794"/>
    <w:rsid w:val="23F23130"/>
    <w:rsid w:val="28B7647D"/>
    <w:rsid w:val="2A727AC6"/>
    <w:rsid w:val="2AB949A8"/>
    <w:rsid w:val="2B091374"/>
    <w:rsid w:val="31DB72C2"/>
    <w:rsid w:val="331210F9"/>
    <w:rsid w:val="34F8431E"/>
    <w:rsid w:val="374675C3"/>
    <w:rsid w:val="38795776"/>
    <w:rsid w:val="39A83B0F"/>
    <w:rsid w:val="3A6C5593"/>
    <w:rsid w:val="3B3E47A6"/>
    <w:rsid w:val="3BCB0097"/>
    <w:rsid w:val="3D8E3A72"/>
    <w:rsid w:val="3F0D09C6"/>
    <w:rsid w:val="40FC0CF2"/>
    <w:rsid w:val="44D8697E"/>
    <w:rsid w:val="46AB7443"/>
    <w:rsid w:val="48621714"/>
    <w:rsid w:val="48945CB4"/>
    <w:rsid w:val="491F7C74"/>
    <w:rsid w:val="49B20AE8"/>
    <w:rsid w:val="4AB03279"/>
    <w:rsid w:val="4EF94AC3"/>
    <w:rsid w:val="4F376033"/>
    <w:rsid w:val="500130CE"/>
    <w:rsid w:val="54E2330F"/>
    <w:rsid w:val="55E63D85"/>
    <w:rsid w:val="56E60023"/>
    <w:rsid w:val="57BB325E"/>
    <w:rsid w:val="58DF4D2A"/>
    <w:rsid w:val="5A87563E"/>
    <w:rsid w:val="5AA24261"/>
    <w:rsid w:val="5FB75E92"/>
    <w:rsid w:val="61B54D3F"/>
    <w:rsid w:val="61D07906"/>
    <w:rsid w:val="643028DD"/>
    <w:rsid w:val="64326150"/>
    <w:rsid w:val="64850E7B"/>
    <w:rsid w:val="64B446CE"/>
    <w:rsid w:val="66100C18"/>
    <w:rsid w:val="66EA1469"/>
    <w:rsid w:val="67D77C40"/>
    <w:rsid w:val="69845BA5"/>
    <w:rsid w:val="6B243229"/>
    <w:rsid w:val="6F9F6C7F"/>
    <w:rsid w:val="6FD95334"/>
    <w:rsid w:val="72AC2FFA"/>
    <w:rsid w:val="75387DBD"/>
    <w:rsid w:val="7541595C"/>
    <w:rsid w:val="75690305"/>
    <w:rsid w:val="775F730A"/>
    <w:rsid w:val="778F4AD4"/>
    <w:rsid w:val="7AE42945"/>
    <w:rsid w:val="7B705F89"/>
    <w:rsid w:val="7BE87289"/>
    <w:rsid w:val="7CC115F7"/>
    <w:rsid w:val="7CC540B3"/>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2318</Words>
  <Characters>2545</Characters>
  <Lines>0</Lines>
  <Paragraphs>0</Paragraphs>
  <TotalTime>217</TotalTime>
  <ScaleCrop>false</ScaleCrop>
  <LinksUpToDate>false</LinksUpToDate>
  <CharactersWithSpaces>2560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2025-02-24T03:37:21Z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4FB0D838C93244D3955E46A9DB29DC70_13</vt:lpwstr>
  </property>
</Properties>
</file>