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4F5BA">
      <w:pPr>
        <w:adjustRightInd w:val="0"/>
        <w:snapToGrid w:val="0"/>
        <w:jc w:val="center"/>
        <w:outlineLvl w:val="0"/>
        <w:rPr>
          <w:rFonts w:hint="default" w:ascii="Times New Roman" w:hAnsi="Times New Roman" w:cs="Times New Roman"/>
          <w:bCs/>
          <w:color w:val="auto"/>
          <w:sz w:val="72"/>
          <w:szCs w:val="72"/>
        </w:rPr>
      </w:pPr>
      <w:bookmarkStart w:id="0" w:name="_Toc12127"/>
      <w:bookmarkStart w:id="1" w:name="_Toc22349"/>
      <w:bookmarkStart w:id="2" w:name="_Toc26449"/>
      <w:bookmarkStart w:id="3" w:name="_Toc432"/>
      <w:bookmarkStart w:id="4" w:name="_Toc29685"/>
      <w:bookmarkStart w:id="146" w:name="_GoBack"/>
      <w:bookmarkEnd w:id="146"/>
    </w:p>
    <w:p w14:paraId="08FCA3EE">
      <w:pPr>
        <w:bidi w:val="0"/>
        <w:rPr>
          <w:rFonts w:hint="default"/>
          <w:color w:val="auto"/>
        </w:rPr>
      </w:pPr>
    </w:p>
    <w:p w14:paraId="7342D806">
      <w:pPr>
        <w:bidi w:val="0"/>
        <w:rPr>
          <w:rFonts w:hint="default"/>
          <w:color w:val="auto"/>
        </w:rPr>
      </w:pPr>
    </w:p>
    <w:p w14:paraId="6E3E63D9">
      <w:pPr>
        <w:adjustRightInd w:val="0"/>
        <w:snapToGrid w:val="0"/>
        <w:jc w:val="center"/>
        <w:outlineLvl w:val="0"/>
        <w:rPr>
          <w:rFonts w:hint="default" w:ascii="Times New Roman" w:hAnsi="Times New Roman" w:cs="Times New Roman"/>
          <w:bCs/>
          <w:color w:val="auto"/>
          <w:sz w:val="72"/>
          <w:szCs w:val="72"/>
        </w:rPr>
      </w:pPr>
      <w:r>
        <w:rPr>
          <w:rFonts w:hint="default" w:ascii="Times New Roman" w:hAnsi="Times New Roman" w:cs="Times New Roman"/>
          <w:bCs/>
          <w:color w:val="auto"/>
          <w:sz w:val="72"/>
          <w:szCs w:val="72"/>
        </w:rPr>
        <w:t>建设项目环境影响报告表</w:t>
      </w:r>
      <w:bookmarkEnd w:id="0"/>
      <w:bookmarkEnd w:id="1"/>
      <w:bookmarkEnd w:id="2"/>
      <w:bookmarkEnd w:id="3"/>
    </w:p>
    <w:p w14:paraId="6A838A47">
      <w:pPr>
        <w:adjustRightInd w:val="0"/>
        <w:snapToGrid w:val="0"/>
        <w:spacing w:before="192" w:beforeLines="80"/>
        <w:jc w:val="center"/>
        <w:rPr>
          <w:rFonts w:hint="default" w:ascii="Times New Roman" w:hAnsi="Times New Roman" w:cs="Times New Roman"/>
          <w:bCs/>
          <w:color w:val="auto"/>
          <w:sz w:val="48"/>
          <w:szCs w:val="48"/>
        </w:rPr>
      </w:pPr>
      <w:r>
        <w:rPr>
          <w:rFonts w:hint="default" w:ascii="Times New Roman" w:hAnsi="Times New Roman" w:cs="Times New Roman"/>
          <w:bCs/>
          <w:color w:val="auto"/>
          <w:sz w:val="48"/>
          <w:szCs w:val="48"/>
        </w:rPr>
        <w:t>（污染影响类）</w:t>
      </w:r>
    </w:p>
    <w:p w14:paraId="7A5640CB">
      <w:pPr>
        <w:widowControl/>
        <w:snapToGrid w:val="0"/>
        <w:spacing w:before="60" w:after="160" w:line="259" w:lineRule="auto"/>
        <w:ind w:right="113"/>
        <w:jc w:val="center"/>
        <w:rPr>
          <w:rFonts w:hint="default" w:ascii="Times New Roman" w:hAnsi="Times New Roman" w:eastAsia="宋体" w:cs="Times New Roman"/>
          <w:b/>
          <w:color w:val="auto"/>
          <w:kern w:val="0"/>
          <w:sz w:val="32"/>
          <w:szCs w:val="20"/>
          <w:lang w:val="en-US" w:eastAsia="zh-CN" w:bidi="ar-SA"/>
        </w:rPr>
      </w:pPr>
    </w:p>
    <w:p w14:paraId="07E1190B">
      <w:pPr>
        <w:adjustRightInd w:val="0"/>
        <w:snapToGrid w:val="0"/>
        <w:spacing w:line="288" w:lineRule="auto"/>
        <w:jc w:val="center"/>
        <w:rPr>
          <w:rFonts w:hint="default" w:ascii="Times New Roman" w:hAnsi="Times New Roman" w:cs="Times New Roman"/>
          <w:color w:val="auto"/>
          <w:kern w:val="44"/>
          <w:sz w:val="44"/>
          <w:szCs w:val="44"/>
        </w:rPr>
      </w:pPr>
    </w:p>
    <w:p w14:paraId="2E1BDB79">
      <w:pPr>
        <w:jc w:val="center"/>
        <w:rPr>
          <w:rFonts w:hint="default" w:ascii="Times New Roman" w:hAnsi="Times New Roman" w:cs="Times New Roman"/>
          <w:color w:val="auto"/>
          <w:sz w:val="52"/>
          <w:szCs w:val="52"/>
        </w:rPr>
      </w:pPr>
    </w:p>
    <w:p w14:paraId="2AEB95D0">
      <w:pPr>
        <w:keepNext w:val="0"/>
        <w:keepLines w:val="0"/>
        <w:pageBreakBefore w:val="0"/>
        <w:widowControl w:val="0"/>
        <w:kinsoku/>
        <w:wordWrap/>
        <w:overflowPunct/>
        <w:topLinePunct w:val="0"/>
        <w:autoSpaceDE/>
        <w:autoSpaceDN/>
        <w:bidi w:val="0"/>
        <w:ind w:firstLine="0"/>
        <w:textAlignment w:val="auto"/>
        <w:rPr>
          <w:rFonts w:hint="default" w:ascii="Times New Roman" w:hAnsi="Times New Roman" w:cs="Times New Roman"/>
          <w:color w:val="auto"/>
          <w:sz w:val="44"/>
          <w:szCs w:val="44"/>
        </w:rPr>
      </w:pPr>
    </w:p>
    <w:p w14:paraId="0D934CB9">
      <w:pPr>
        <w:keepNext w:val="0"/>
        <w:keepLines w:val="0"/>
        <w:pageBreakBefore w:val="0"/>
        <w:widowControl w:val="0"/>
        <w:kinsoku/>
        <w:wordWrap/>
        <w:overflowPunct/>
        <w:topLinePunct w:val="0"/>
        <w:autoSpaceDE/>
        <w:autoSpaceDN/>
        <w:bidi w:val="0"/>
        <w:ind w:firstLine="0"/>
        <w:textAlignment w:val="auto"/>
        <w:rPr>
          <w:rFonts w:hint="default" w:ascii="Times New Roman" w:hAnsi="Times New Roman" w:cs="Times New Roman"/>
          <w:color w:val="auto"/>
          <w:sz w:val="44"/>
          <w:szCs w:val="44"/>
        </w:rPr>
      </w:pPr>
    </w:p>
    <w:p w14:paraId="3086A839">
      <w:pPr>
        <w:keepNext w:val="0"/>
        <w:keepLines w:val="0"/>
        <w:pageBreakBefore w:val="0"/>
        <w:widowControl w:val="0"/>
        <w:kinsoku/>
        <w:wordWrap/>
        <w:overflowPunct/>
        <w:topLinePunct w:val="0"/>
        <w:autoSpaceDE/>
        <w:autoSpaceDN/>
        <w:bidi w:val="0"/>
        <w:adjustRightInd w:val="0"/>
        <w:snapToGrid w:val="0"/>
        <w:spacing w:line="360" w:lineRule="auto"/>
        <w:ind w:left="718" w:leftChars="342" w:firstLine="0" w:firstLineChars="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cs="Times New Roman"/>
          <w:color w:val="auto"/>
          <w:sz w:val="36"/>
          <w:szCs w:val="36"/>
        </w:rPr>
        <w:t>项目名称：</w:t>
      </w:r>
      <w:r>
        <w:rPr>
          <w:rFonts w:hint="default" w:ascii="Times New Roman" w:hAnsi="Times New Roman" w:eastAsia="宋体" w:cs="Times New Roman"/>
          <w:color w:val="auto"/>
          <w:sz w:val="36"/>
          <w:szCs w:val="36"/>
          <w:u w:val="single"/>
          <w:lang w:val="en-US" w:eastAsia="zh-CN"/>
        </w:rPr>
        <w:t xml:space="preserve"> </w:t>
      </w:r>
      <w:r>
        <w:rPr>
          <w:rFonts w:hint="eastAsia" w:cs="Times New Roman"/>
          <w:color w:val="auto"/>
          <w:sz w:val="36"/>
          <w:szCs w:val="36"/>
          <w:u w:val="single"/>
          <w:lang w:val="en-US" w:eastAsia="zh-CN"/>
        </w:rPr>
        <w:t>中国石化销售股份有限公司云南昆明寻甸梧桐加油站隐患原址改造项目</w:t>
      </w:r>
      <w:r>
        <w:rPr>
          <w:rFonts w:hint="default" w:ascii="Times New Roman" w:hAnsi="Times New Roman" w:eastAsia="宋体" w:cs="Times New Roman"/>
          <w:color w:val="auto"/>
          <w:sz w:val="36"/>
          <w:szCs w:val="36"/>
          <w:u w:val="single"/>
          <w:lang w:val="en-US" w:eastAsia="zh-CN"/>
        </w:rPr>
        <w:t xml:space="preserve"> </w:t>
      </w:r>
    </w:p>
    <w:p w14:paraId="17F7AB1D">
      <w:pPr>
        <w:keepNext w:val="0"/>
        <w:keepLines w:val="0"/>
        <w:pageBreakBefore w:val="0"/>
        <w:widowControl w:val="0"/>
        <w:kinsoku/>
        <w:wordWrap/>
        <w:overflowPunct/>
        <w:topLinePunct w:val="0"/>
        <w:autoSpaceDE/>
        <w:autoSpaceDN/>
        <w:bidi w:val="0"/>
        <w:adjustRightInd w:val="0"/>
        <w:snapToGrid w:val="0"/>
        <w:spacing w:line="360" w:lineRule="auto"/>
        <w:ind w:left="718" w:leftChars="342" w:firstLine="0" w:firstLineChars="0"/>
        <w:textAlignment w:val="auto"/>
        <w:rPr>
          <w:rFonts w:hint="default" w:ascii="Times New Roman" w:hAnsi="Times New Roman" w:cs="Times New Roman"/>
          <w:color w:val="auto"/>
          <w:sz w:val="36"/>
          <w:szCs w:val="36"/>
          <w:u w:val="single"/>
          <w:lang w:val="en-US"/>
        </w:rPr>
      </w:pPr>
      <w:r>
        <w:rPr>
          <w:rFonts w:hint="default" w:ascii="Times New Roman" w:hAnsi="Times New Roman" w:cs="Times New Roman"/>
          <w:color w:val="auto"/>
          <w:sz w:val="36"/>
          <w:szCs w:val="36"/>
        </w:rPr>
        <w:t>建设单位（盖章）：</w:t>
      </w:r>
      <w:r>
        <w:rPr>
          <w:rFonts w:hint="default" w:ascii="Times New Roman" w:hAnsi="Times New Roman" w:eastAsia="宋体" w:cs="Times New Roman"/>
          <w:color w:val="auto"/>
          <w:sz w:val="36"/>
          <w:szCs w:val="36"/>
          <w:u w:val="single"/>
          <w:lang w:val="en-US" w:eastAsia="zh-CN"/>
        </w:rPr>
        <w:t xml:space="preserve"> </w:t>
      </w:r>
      <w:r>
        <w:rPr>
          <w:rFonts w:hint="eastAsia" w:cs="Times New Roman"/>
          <w:color w:val="auto"/>
          <w:sz w:val="36"/>
          <w:szCs w:val="36"/>
          <w:u w:val="single"/>
          <w:lang w:val="en-US" w:eastAsia="zh-CN"/>
        </w:rPr>
        <w:t>中国石化销售股份有限公司云南昆明石油分公司</w:t>
      </w:r>
      <w:r>
        <w:rPr>
          <w:rFonts w:hint="default" w:ascii="Times New Roman" w:hAnsi="Times New Roman" w:eastAsia="宋体" w:cs="Times New Roman"/>
          <w:color w:val="auto"/>
          <w:sz w:val="36"/>
          <w:szCs w:val="36"/>
          <w:u w:val="single"/>
          <w:lang w:val="en-US" w:eastAsia="zh-CN"/>
        </w:rPr>
        <w:t xml:space="preserve"> </w:t>
      </w:r>
    </w:p>
    <w:p w14:paraId="592A437E">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textAlignment w:val="auto"/>
        <w:rPr>
          <w:rFonts w:hint="default" w:ascii="Times New Roman" w:hAnsi="Times New Roman" w:eastAsia="宋体" w:cs="Times New Roman"/>
          <w:color w:val="auto"/>
          <w:sz w:val="36"/>
          <w:szCs w:val="36"/>
          <w:u w:val="none"/>
          <w:lang w:val="en-US" w:eastAsia="zh-CN"/>
        </w:rPr>
      </w:pPr>
      <w:r>
        <w:rPr>
          <w:rFonts w:hint="default" w:ascii="Times New Roman" w:hAnsi="Times New Roman" w:cs="Times New Roman"/>
          <w:color w:val="auto"/>
          <w:sz w:val="36"/>
          <w:szCs w:val="36"/>
        </w:rPr>
        <w:t>编制日期：</w:t>
      </w:r>
      <w:bookmarkStart w:id="5" w:name="_Hlk57884087"/>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cs="Times New Roman"/>
          <w:color w:val="auto"/>
          <w:sz w:val="36"/>
          <w:szCs w:val="36"/>
          <w:u w:val="single"/>
          <w:lang w:val="en-US" w:eastAsia="zh-CN"/>
        </w:rPr>
        <w:t>202</w:t>
      </w:r>
      <w:r>
        <w:rPr>
          <w:rFonts w:hint="eastAsia" w:cs="Times New Roman"/>
          <w:color w:val="auto"/>
          <w:sz w:val="36"/>
          <w:szCs w:val="36"/>
          <w:u w:val="single"/>
          <w:lang w:val="en-US" w:eastAsia="zh-CN"/>
        </w:rPr>
        <w:t>5</w:t>
      </w:r>
      <w:r>
        <w:rPr>
          <w:rFonts w:hint="default" w:ascii="Times New Roman" w:hAnsi="Times New Roman" w:cs="Times New Roman"/>
          <w:color w:val="auto"/>
          <w:sz w:val="36"/>
          <w:szCs w:val="36"/>
          <w:u w:val="single"/>
          <w:lang w:val="en-US" w:eastAsia="zh-CN"/>
        </w:rPr>
        <w:t>年</w:t>
      </w:r>
      <w:r>
        <w:rPr>
          <w:rFonts w:hint="eastAsia" w:cs="Times New Roman"/>
          <w:color w:val="auto"/>
          <w:sz w:val="36"/>
          <w:szCs w:val="36"/>
          <w:u w:val="single"/>
          <w:lang w:val="en-US" w:eastAsia="zh-CN"/>
        </w:rPr>
        <w:t>1</w:t>
      </w:r>
      <w:r>
        <w:rPr>
          <w:rFonts w:hint="default" w:ascii="Times New Roman" w:hAnsi="Times New Roman" w:cs="Times New Roman"/>
          <w:color w:val="auto"/>
          <w:sz w:val="36"/>
          <w:szCs w:val="36"/>
          <w:u w:val="single"/>
          <w:lang w:val="en-US" w:eastAsia="zh-CN"/>
        </w:rPr>
        <w:t xml:space="preserve">月              </w:t>
      </w:r>
    </w:p>
    <w:p w14:paraId="579F3469">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default" w:ascii="Times New Roman" w:hAnsi="Times New Roman" w:cs="Times New Roman"/>
          <w:color w:val="auto"/>
          <w:sz w:val="36"/>
          <w:szCs w:val="36"/>
        </w:rPr>
      </w:pPr>
    </w:p>
    <w:p w14:paraId="643D6D08">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default" w:ascii="Times New Roman" w:hAnsi="Times New Roman" w:cs="Times New Roman"/>
          <w:color w:val="auto"/>
          <w:sz w:val="36"/>
          <w:szCs w:val="36"/>
        </w:rPr>
      </w:pPr>
    </w:p>
    <w:p w14:paraId="00AD4EF4">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default" w:ascii="Times New Roman" w:hAnsi="Times New Roman" w:cs="Times New Roman"/>
          <w:color w:val="auto"/>
          <w:sz w:val="36"/>
          <w:szCs w:val="36"/>
        </w:rPr>
      </w:pPr>
    </w:p>
    <w:p w14:paraId="6F690428">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default" w:ascii="Times New Roman" w:hAnsi="Times New Roman" w:cs="Times New Roman"/>
          <w:color w:val="auto"/>
          <w:sz w:val="36"/>
          <w:szCs w:val="36"/>
        </w:rPr>
      </w:pPr>
    </w:p>
    <w:bookmarkEnd w:id="5"/>
    <w:p w14:paraId="2CD42413">
      <w:pPr>
        <w:tabs>
          <w:tab w:val="left" w:pos="1078"/>
        </w:tabs>
        <w:bidi w:val="0"/>
        <w:jc w:val="center"/>
        <w:rPr>
          <w:rFonts w:hint="default" w:ascii="Times New Roman" w:hAnsi="Times New Roman" w:cs="Times New Roman"/>
          <w:color w:val="auto"/>
          <w:sz w:val="36"/>
          <w:szCs w:val="36"/>
        </w:rPr>
      </w:pPr>
      <w:bookmarkStart w:id="6" w:name="_Toc20329"/>
    </w:p>
    <w:p w14:paraId="2F1A188F">
      <w:pPr>
        <w:tabs>
          <w:tab w:val="left" w:pos="1078"/>
        </w:tabs>
        <w:bidi w:val="0"/>
        <w:jc w:val="center"/>
        <w:rPr>
          <w:rFonts w:hint="default" w:ascii="Times New Roman" w:hAnsi="Times New Roman" w:cs="Times New Roman"/>
          <w:color w:val="auto"/>
          <w:lang w:eastAsia="zh-CN"/>
        </w:rPr>
        <w:sectPr>
          <w:headerReference r:id="rId3" w:type="default"/>
          <w:footerReference r:id="rId4" w:type="default"/>
          <w:pgSz w:w="11906" w:h="16838"/>
          <w:pgMar w:top="1417" w:right="1134" w:bottom="1417" w:left="1134" w:header="851" w:footer="992" w:gutter="0"/>
          <w:pgNumType w:fmt="decimal"/>
          <w:cols w:space="425" w:num="1"/>
          <w:docGrid w:type="lines" w:linePitch="312" w:charSpace="0"/>
        </w:sectPr>
      </w:pPr>
      <w:r>
        <w:rPr>
          <w:rFonts w:hint="default" w:ascii="Times New Roman" w:hAnsi="Times New Roman" w:cs="Times New Roman"/>
          <w:color w:val="auto"/>
          <w:sz w:val="36"/>
          <w:szCs w:val="36"/>
        </w:rPr>
        <w:t>中华人民共和国生态环境部制</w:t>
      </w:r>
      <w:bookmarkEnd w:id="6"/>
    </w:p>
    <w:sdt>
      <w:sdtPr>
        <w:rPr>
          <w:rFonts w:hint="default" w:ascii="Times New Roman" w:hAnsi="Times New Roman" w:eastAsia="宋体" w:cs="Times New Roman"/>
          <w:color w:val="auto"/>
          <w:kern w:val="2"/>
          <w:sz w:val="21"/>
          <w:szCs w:val="24"/>
          <w:lang w:val="en-US" w:eastAsia="zh-CN" w:bidi="ar-SA"/>
        </w:rPr>
        <w:id w:val="147454606"/>
        <w15:color w:val="DBDBDB"/>
        <w:docPartObj>
          <w:docPartGallery w:val="Table of Contents"/>
          <w:docPartUnique/>
        </w:docPartObj>
      </w:sdtPr>
      <w:sdtEndPr>
        <w:rPr>
          <w:rFonts w:hint="default" w:ascii="Times New Roman" w:hAnsi="Times New Roman" w:eastAsia="黑体" w:cs="Times New Roman"/>
          <w:b/>
          <w:snapToGrid w:val="0"/>
          <w:color w:val="auto"/>
          <w:kern w:val="2"/>
          <w:sz w:val="21"/>
          <w:szCs w:val="30"/>
          <w:lang w:val="en-US" w:eastAsia="zh-CN" w:bidi="ar-SA"/>
        </w:rPr>
      </w:sdtEndPr>
      <w:sdtContent>
        <w:p w14:paraId="4E02E3F7">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rPr>
            <w:t>目录</w:t>
          </w:r>
          <w:r>
            <w:rPr>
              <w:rFonts w:hint="default" w:ascii="Times New Roman" w:hAnsi="Times New Roman" w:eastAsia="宋体" w:cs="Times New Roman"/>
              <w:snapToGrid w:val="0"/>
              <w:color w:val="auto"/>
              <w:sz w:val="24"/>
              <w:szCs w:val="24"/>
            </w:rPr>
            <w:fldChar w:fldCharType="begin"/>
          </w:r>
          <w:r>
            <w:rPr>
              <w:rFonts w:hint="default" w:ascii="Times New Roman" w:hAnsi="Times New Roman" w:eastAsia="宋体" w:cs="Times New Roman"/>
              <w:snapToGrid w:val="0"/>
              <w:color w:val="auto"/>
              <w:sz w:val="24"/>
              <w:szCs w:val="24"/>
            </w:rPr>
            <w:instrText xml:space="preserve">TOC \o "1-2" \h \u </w:instrText>
          </w:r>
          <w:r>
            <w:rPr>
              <w:rFonts w:hint="default" w:ascii="Times New Roman" w:hAnsi="Times New Roman" w:eastAsia="宋体" w:cs="Times New Roman"/>
              <w:snapToGrid w:val="0"/>
              <w:color w:val="auto"/>
              <w:sz w:val="24"/>
              <w:szCs w:val="24"/>
            </w:rPr>
            <w:fldChar w:fldCharType="separate"/>
          </w:r>
        </w:p>
        <w:p w14:paraId="6B8F8230">
          <w:pPr>
            <w:pStyle w:val="58"/>
            <w:tabs>
              <w:tab w:val="right" w:leader="dot" w:pos="9638"/>
            </w:tabs>
            <w:spacing w:line="360" w:lineRule="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snapToGrid w:val="0"/>
              <w:color w:val="auto"/>
              <w:sz w:val="24"/>
              <w:szCs w:val="24"/>
            </w:rPr>
            <w:fldChar w:fldCharType="begin"/>
          </w:r>
          <w:r>
            <w:rPr>
              <w:rFonts w:hint="default" w:ascii="Times New Roman" w:hAnsi="Times New Roman" w:eastAsia="宋体" w:cs="Times New Roman"/>
              <w:b w:val="0"/>
              <w:bCs/>
              <w:snapToGrid w:val="0"/>
              <w:color w:val="auto"/>
              <w:sz w:val="24"/>
              <w:szCs w:val="24"/>
            </w:rPr>
            <w:instrText xml:space="preserve"> HYPERLINK \l _Toc15531 </w:instrText>
          </w:r>
          <w:r>
            <w:rPr>
              <w:rFonts w:hint="default" w:ascii="Times New Roman" w:hAnsi="Times New Roman" w:eastAsia="宋体" w:cs="Times New Roman"/>
              <w:b w:val="0"/>
              <w:bCs/>
              <w:snapToGrid w:val="0"/>
              <w:color w:val="auto"/>
              <w:sz w:val="24"/>
              <w:szCs w:val="24"/>
            </w:rPr>
            <w:fldChar w:fldCharType="separate"/>
          </w:r>
          <w:r>
            <w:rPr>
              <w:rFonts w:hint="default" w:ascii="Times New Roman" w:hAnsi="Times New Roman" w:eastAsia="宋体" w:cs="Times New Roman"/>
              <w:b w:val="0"/>
              <w:bCs/>
              <w:snapToGrid w:val="0"/>
              <w:color w:val="auto"/>
              <w:sz w:val="24"/>
              <w:szCs w:val="24"/>
            </w:rPr>
            <w:t>一、建设项目基本情况</w:t>
          </w:r>
          <w:r>
            <w:rPr>
              <w:rFonts w:hint="default" w:ascii="Times New Roman" w:hAnsi="Times New Roman" w:eastAsia="宋体" w:cs="Times New Roman"/>
              <w:b w:val="0"/>
              <w:bCs/>
              <w:color w:val="auto"/>
              <w:sz w:val="24"/>
              <w:szCs w:val="24"/>
            </w:rPr>
            <w:tab/>
          </w: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PAGEREF _Toc15531 \h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rPr>
            <w:t>1</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snapToGrid w:val="0"/>
              <w:color w:val="auto"/>
              <w:sz w:val="24"/>
              <w:szCs w:val="24"/>
            </w:rPr>
            <w:fldChar w:fldCharType="end"/>
          </w:r>
        </w:p>
        <w:p w14:paraId="3B6C40CF">
          <w:pPr>
            <w:pStyle w:val="58"/>
            <w:tabs>
              <w:tab w:val="right" w:leader="dot" w:pos="9638"/>
            </w:tabs>
            <w:spacing w:line="360" w:lineRule="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snapToGrid w:val="0"/>
              <w:color w:val="auto"/>
              <w:sz w:val="24"/>
              <w:szCs w:val="24"/>
            </w:rPr>
            <w:fldChar w:fldCharType="begin"/>
          </w:r>
          <w:r>
            <w:rPr>
              <w:rFonts w:hint="default" w:ascii="Times New Roman" w:hAnsi="Times New Roman" w:eastAsia="宋体" w:cs="Times New Roman"/>
              <w:b w:val="0"/>
              <w:bCs/>
              <w:snapToGrid w:val="0"/>
              <w:color w:val="auto"/>
              <w:sz w:val="24"/>
              <w:szCs w:val="24"/>
            </w:rPr>
            <w:instrText xml:space="preserve"> HYPERLINK \l _Toc16051 </w:instrText>
          </w:r>
          <w:r>
            <w:rPr>
              <w:rFonts w:hint="default" w:ascii="Times New Roman" w:hAnsi="Times New Roman" w:eastAsia="宋体" w:cs="Times New Roman"/>
              <w:b w:val="0"/>
              <w:bCs/>
              <w:snapToGrid w:val="0"/>
              <w:color w:val="auto"/>
              <w:sz w:val="24"/>
              <w:szCs w:val="24"/>
            </w:rPr>
            <w:fldChar w:fldCharType="separate"/>
          </w:r>
          <w:r>
            <w:rPr>
              <w:rFonts w:hint="default" w:ascii="Times New Roman" w:hAnsi="Times New Roman" w:eastAsia="宋体" w:cs="Times New Roman"/>
              <w:b w:val="0"/>
              <w:bCs/>
              <w:snapToGrid w:val="0"/>
              <w:color w:val="auto"/>
              <w:sz w:val="24"/>
              <w:szCs w:val="24"/>
            </w:rPr>
            <w:t>二、建设项目工程分析</w:t>
          </w:r>
          <w:r>
            <w:rPr>
              <w:rFonts w:hint="default" w:ascii="Times New Roman" w:hAnsi="Times New Roman" w:eastAsia="宋体" w:cs="Times New Roman"/>
              <w:b w:val="0"/>
              <w:bCs/>
              <w:color w:val="auto"/>
              <w:sz w:val="24"/>
              <w:szCs w:val="24"/>
            </w:rPr>
            <w:tab/>
          </w: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PAGEREF _Toc16051 \h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rPr>
            <w:t>20</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snapToGrid w:val="0"/>
              <w:color w:val="auto"/>
              <w:sz w:val="24"/>
              <w:szCs w:val="24"/>
            </w:rPr>
            <w:fldChar w:fldCharType="end"/>
          </w:r>
        </w:p>
        <w:p w14:paraId="2DEA32AE">
          <w:pPr>
            <w:pStyle w:val="58"/>
            <w:tabs>
              <w:tab w:val="right" w:leader="dot" w:pos="9638"/>
            </w:tabs>
            <w:spacing w:line="360" w:lineRule="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snapToGrid w:val="0"/>
              <w:color w:val="auto"/>
              <w:sz w:val="24"/>
              <w:szCs w:val="24"/>
            </w:rPr>
            <w:fldChar w:fldCharType="begin"/>
          </w:r>
          <w:r>
            <w:rPr>
              <w:rFonts w:hint="default" w:ascii="Times New Roman" w:hAnsi="Times New Roman" w:eastAsia="宋体" w:cs="Times New Roman"/>
              <w:b w:val="0"/>
              <w:bCs/>
              <w:snapToGrid w:val="0"/>
              <w:color w:val="auto"/>
              <w:sz w:val="24"/>
              <w:szCs w:val="24"/>
            </w:rPr>
            <w:instrText xml:space="preserve"> HYPERLINK \l _Toc19693 </w:instrText>
          </w:r>
          <w:r>
            <w:rPr>
              <w:rFonts w:hint="default" w:ascii="Times New Roman" w:hAnsi="Times New Roman" w:eastAsia="宋体" w:cs="Times New Roman"/>
              <w:b w:val="0"/>
              <w:bCs/>
              <w:snapToGrid w:val="0"/>
              <w:color w:val="auto"/>
              <w:sz w:val="24"/>
              <w:szCs w:val="24"/>
            </w:rPr>
            <w:fldChar w:fldCharType="separate"/>
          </w:r>
          <w:r>
            <w:rPr>
              <w:rFonts w:hint="default" w:ascii="Times New Roman" w:hAnsi="Times New Roman" w:eastAsia="宋体" w:cs="Times New Roman"/>
              <w:b w:val="0"/>
              <w:bCs/>
              <w:snapToGrid w:val="0"/>
              <w:color w:val="auto"/>
              <w:sz w:val="24"/>
              <w:szCs w:val="24"/>
            </w:rPr>
            <w:t>三、区域环境质量现状、环境保护目标及评价标准</w:t>
          </w:r>
          <w:r>
            <w:rPr>
              <w:rFonts w:hint="default" w:ascii="Times New Roman" w:hAnsi="Times New Roman" w:eastAsia="宋体" w:cs="Times New Roman"/>
              <w:b w:val="0"/>
              <w:bCs/>
              <w:color w:val="auto"/>
              <w:sz w:val="24"/>
              <w:szCs w:val="24"/>
            </w:rPr>
            <w:tab/>
          </w: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PAGEREF _Toc19693 \h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rPr>
            <w:t>39</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snapToGrid w:val="0"/>
              <w:color w:val="auto"/>
              <w:sz w:val="24"/>
              <w:szCs w:val="24"/>
            </w:rPr>
            <w:fldChar w:fldCharType="end"/>
          </w:r>
        </w:p>
        <w:p w14:paraId="36A9D0CC">
          <w:pPr>
            <w:pStyle w:val="58"/>
            <w:tabs>
              <w:tab w:val="right" w:leader="dot" w:pos="9638"/>
            </w:tabs>
            <w:spacing w:line="360" w:lineRule="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snapToGrid w:val="0"/>
              <w:color w:val="auto"/>
              <w:sz w:val="24"/>
              <w:szCs w:val="24"/>
            </w:rPr>
            <w:fldChar w:fldCharType="begin"/>
          </w:r>
          <w:r>
            <w:rPr>
              <w:rFonts w:hint="default" w:ascii="Times New Roman" w:hAnsi="Times New Roman" w:eastAsia="宋体" w:cs="Times New Roman"/>
              <w:b w:val="0"/>
              <w:bCs/>
              <w:snapToGrid w:val="0"/>
              <w:color w:val="auto"/>
              <w:sz w:val="24"/>
              <w:szCs w:val="24"/>
            </w:rPr>
            <w:instrText xml:space="preserve"> HYPERLINK \l _Toc16053 </w:instrText>
          </w:r>
          <w:r>
            <w:rPr>
              <w:rFonts w:hint="default" w:ascii="Times New Roman" w:hAnsi="Times New Roman" w:eastAsia="宋体" w:cs="Times New Roman"/>
              <w:b w:val="0"/>
              <w:bCs/>
              <w:snapToGrid w:val="0"/>
              <w:color w:val="auto"/>
              <w:sz w:val="24"/>
              <w:szCs w:val="24"/>
            </w:rPr>
            <w:fldChar w:fldCharType="separate"/>
          </w:r>
          <w:r>
            <w:rPr>
              <w:rFonts w:hint="default" w:ascii="Times New Roman" w:hAnsi="Times New Roman" w:eastAsia="宋体" w:cs="Times New Roman"/>
              <w:b w:val="0"/>
              <w:bCs/>
              <w:snapToGrid w:val="0"/>
              <w:color w:val="auto"/>
              <w:sz w:val="24"/>
              <w:szCs w:val="24"/>
            </w:rPr>
            <w:t>四、主要环境影响和保护措施</w:t>
          </w:r>
          <w:r>
            <w:rPr>
              <w:rFonts w:hint="default" w:ascii="Times New Roman" w:hAnsi="Times New Roman" w:eastAsia="宋体" w:cs="Times New Roman"/>
              <w:b w:val="0"/>
              <w:bCs/>
              <w:color w:val="auto"/>
              <w:sz w:val="24"/>
              <w:szCs w:val="24"/>
            </w:rPr>
            <w:tab/>
          </w: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PAGEREF _Toc16053 \h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rPr>
            <w:t>48</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snapToGrid w:val="0"/>
              <w:color w:val="auto"/>
              <w:sz w:val="24"/>
              <w:szCs w:val="24"/>
            </w:rPr>
            <w:fldChar w:fldCharType="end"/>
          </w:r>
        </w:p>
        <w:p w14:paraId="32967EDC">
          <w:pPr>
            <w:pStyle w:val="58"/>
            <w:tabs>
              <w:tab w:val="right" w:leader="dot" w:pos="9638"/>
            </w:tabs>
            <w:spacing w:line="360" w:lineRule="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snapToGrid w:val="0"/>
              <w:color w:val="auto"/>
              <w:sz w:val="24"/>
              <w:szCs w:val="24"/>
            </w:rPr>
            <w:fldChar w:fldCharType="begin"/>
          </w:r>
          <w:r>
            <w:rPr>
              <w:rFonts w:hint="default" w:ascii="Times New Roman" w:hAnsi="Times New Roman" w:eastAsia="宋体" w:cs="Times New Roman"/>
              <w:b w:val="0"/>
              <w:bCs/>
              <w:snapToGrid w:val="0"/>
              <w:color w:val="auto"/>
              <w:sz w:val="24"/>
              <w:szCs w:val="24"/>
            </w:rPr>
            <w:instrText xml:space="preserve"> HYPERLINK \l _Toc4731 </w:instrText>
          </w:r>
          <w:r>
            <w:rPr>
              <w:rFonts w:hint="default" w:ascii="Times New Roman" w:hAnsi="Times New Roman" w:eastAsia="宋体" w:cs="Times New Roman"/>
              <w:b w:val="0"/>
              <w:bCs/>
              <w:snapToGrid w:val="0"/>
              <w:color w:val="auto"/>
              <w:sz w:val="24"/>
              <w:szCs w:val="24"/>
            </w:rPr>
            <w:fldChar w:fldCharType="separate"/>
          </w:r>
          <w:r>
            <w:rPr>
              <w:rFonts w:hint="default" w:ascii="Times New Roman" w:hAnsi="Times New Roman" w:eastAsia="宋体" w:cs="Times New Roman"/>
              <w:b w:val="0"/>
              <w:bCs/>
              <w:snapToGrid w:val="0"/>
              <w:color w:val="auto"/>
              <w:sz w:val="24"/>
              <w:szCs w:val="24"/>
            </w:rPr>
            <w:t>五、环境保护措施监督检查清单</w:t>
          </w:r>
          <w:r>
            <w:rPr>
              <w:rFonts w:hint="default" w:ascii="Times New Roman" w:hAnsi="Times New Roman" w:eastAsia="宋体" w:cs="Times New Roman"/>
              <w:b w:val="0"/>
              <w:bCs/>
              <w:color w:val="auto"/>
              <w:sz w:val="24"/>
              <w:szCs w:val="24"/>
            </w:rPr>
            <w:tab/>
          </w: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PAGEREF _Toc4731 \h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rPr>
            <w:t>85</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snapToGrid w:val="0"/>
              <w:color w:val="auto"/>
              <w:sz w:val="24"/>
              <w:szCs w:val="24"/>
            </w:rPr>
            <w:fldChar w:fldCharType="end"/>
          </w:r>
        </w:p>
        <w:p w14:paraId="22957771">
          <w:pPr>
            <w:pStyle w:val="58"/>
            <w:tabs>
              <w:tab w:val="right" w:leader="dot" w:pos="9638"/>
            </w:tabs>
            <w:spacing w:line="360" w:lineRule="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snapToGrid w:val="0"/>
              <w:color w:val="auto"/>
              <w:sz w:val="24"/>
              <w:szCs w:val="24"/>
            </w:rPr>
            <w:fldChar w:fldCharType="begin"/>
          </w:r>
          <w:r>
            <w:rPr>
              <w:rFonts w:hint="default" w:ascii="Times New Roman" w:hAnsi="Times New Roman" w:eastAsia="宋体" w:cs="Times New Roman"/>
              <w:b w:val="0"/>
              <w:bCs/>
              <w:snapToGrid w:val="0"/>
              <w:color w:val="auto"/>
              <w:sz w:val="24"/>
              <w:szCs w:val="24"/>
            </w:rPr>
            <w:instrText xml:space="preserve"> HYPERLINK \l _Toc30460 </w:instrText>
          </w:r>
          <w:r>
            <w:rPr>
              <w:rFonts w:hint="default" w:ascii="Times New Roman" w:hAnsi="Times New Roman" w:eastAsia="宋体" w:cs="Times New Roman"/>
              <w:b w:val="0"/>
              <w:bCs/>
              <w:snapToGrid w:val="0"/>
              <w:color w:val="auto"/>
              <w:sz w:val="24"/>
              <w:szCs w:val="24"/>
            </w:rPr>
            <w:fldChar w:fldCharType="separate"/>
          </w:r>
          <w:r>
            <w:rPr>
              <w:rFonts w:hint="default" w:ascii="Times New Roman" w:hAnsi="Times New Roman" w:eastAsia="宋体" w:cs="Times New Roman"/>
              <w:b w:val="0"/>
              <w:bCs/>
              <w:snapToGrid w:val="0"/>
              <w:color w:val="auto"/>
              <w:sz w:val="24"/>
              <w:szCs w:val="24"/>
            </w:rPr>
            <w:t>六、结论</w:t>
          </w:r>
          <w:r>
            <w:rPr>
              <w:rFonts w:hint="default" w:ascii="Times New Roman" w:hAnsi="Times New Roman" w:eastAsia="宋体" w:cs="Times New Roman"/>
              <w:b w:val="0"/>
              <w:bCs/>
              <w:color w:val="auto"/>
              <w:sz w:val="24"/>
              <w:szCs w:val="24"/>
            </w:rPr>
            <w:tab/>
          </w: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PAGEREF _Toc30460 \h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rPr>
            <w:t>89</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snapToGrid w:val="0"/>
              <w:color w:val="auto"/>
              <w:sz w:val="24"/>
              <w:szCs w:val="24"/>
            </w:rPr>
            <w:fldChar w:fldCharType="end"/>
          </w:r>
        </w:p>
        <w:p w14:paraId="5EF9ACD3">
          <w:pPr>
            <w:pStyle w:val="58"/>
            <w:tabs>
              <w:tab w:val="right" w:leader="dot" w:pos="9638"/>
            </w:tabs>
            <w:spacing w:line="360" w:lineRule="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snapToGrid w:val="0"/>
              <w:color w:val="auto"/>
              <w:sz w:val="24"/>
              <w:szCs w:val="24"/>
            </w:rPr>
            <w:fldChar w:fldCharType="begin"/>
          </w:r>
          <w:r>
            <w:rPr>
              <w:rFonts w:hint="default" w:ascii="Times New Roman" w:hAnsi="Times New Roman" w:eastAsia="宋体" w:cs="Times New Roman"/>
              <w:b w:val="0"/>
              <w:bCs/>
              <w:snapToGrid w:val="0"/>
              <w:color w:val="auto"/>
              <w:sz w:val="24"/>
              <w:szCs w:val="24"/>
            </w:rPr>
            <w:instrText xml:space="preserve"> HYPERLINK \l _Toc24202 </w:instrText>
          </w:r>
          <w:r>
            <w:rPr>
              <w:rFonts w:hint="default" w:ascii="Times New Roman" w:hAnsi="Times New Roman" w:eastAsia="宋体" w:cs="Times New Roman"/>
              <w:b w:val="0"/>
              <w:bCs/>
              <w:snapToGrid w:val="0"/>
              <w:color w:val="auto"/>
              <w:sz w:val="24"/>
              <w:szCs w:val="24"/>
            </w:rPr>
            <w:fldChar w:fldCharType="separate"/>
          </w:r>
          <w:r>
            <w:rPr>
              <w:rFonts w:hint="default" w:ascii="Times New Roman" w:hAnsi="Times New Roman" w:eastAsia="宋体" w:cs="Times New Roman"/>
              <w:b w:val="0"/>
              <w:bCs/>
              <w:color w:val="auto"/>
              <w:sz w:val="24"/>
              <w:szCs w:val="24"/>
            </w:rPr>
            <w:t>建设项目污染物排放量汇总表</w:t>
          </w:r>
          <w:r>
            <w:rPr>
              <w:rFonts w:hint="default" w:ascii="Times New Roman" w:hAnsi="Times New Roman" w:eastAsia="宋体" w:cs="Times New Roman"/>
              <w:b w:val="0"/>
              <w:bCs/>
              <w:color w:val="auto"/>
              <w:sz w:val="24"/>
              <w:szCs w:val="24"/>
            </w:rPr>
            <w:tab/>
          </w:r>
          <w:r>
            <w:rPr>
              <w:rFonts w:hint="default" w:ascii="Times New Roman" w:hAnsi="Times New Roman" w:eastAsia="宋体" w:cs="Times New Roman"/>
              <w:b w:val="0"/>
              <w:bCs/>
              <w:color w:val="auto"/>
              <w:sz w:val="24"/>
              <w:szCs w:val="24"/>
            </w:rPr>
            <w:fldChar w:fldCharType="begin"/>
          </w:r>
          <w:r>
            <w:rPr>
              <w:rFonts w:hint="default" w:ascii="Times New Roman" w:hAnsi="Times New Roman" w:eastAsia="宋体" w:cs="Times New Roman"/>
              <w:b w:val="0"/>
              <w:bCs/>
              <w:color w:val="auto"/>
              <w:sz w:val="24"/>
              <w:szCs w:val="24"/>
            </w:rPr>
            <w:instrText xml:space="preserve"> PAGEREF _Toc24202 \h </w:instrText>
          </w:r>
          <w:r>
            <w:rPr>
              <w:rFonts w:hint="default" w:ascii="Times New Roman" w:hAnsi="Times New Roman" w:eastAsia="宋体" w:cs="Times New Roman"/>
              <w:b w:val="0"/>
              <w:bCs/>
              <w:color w:val="auto"/>
              <w:sz w:val="24"/>
              <w:szCs w:val="24"/>
            </w:rPr>
            <w:fldChar w:fldCharType="separate"/>
          </w:r>
          <w:r>
            <w:rPr>
              <w:rFonts w:hint="default" w:ascii="Times New Roman" w:hAnsi="Times New Roman" w:eastAsia="宋体" w:cs="Times New Roman"/>
              <w:b w:val="0"/>
              <w:bCs/>
              <w:color w:val="auto"/>
              <w:sz w:val="24"/>
              <w:szCs w:val="24"/>
            </w:rPr>
            <w:t>90</w:t>
          </w:r>
          <w:r>
            <w:rPr>
              <w:rFonts w:hint="default" w:ascii="Times New Roman" w:hAnsi="Times New Roman" w:eastAsia="宋体" w:cs="Times New Roman"/>
              <w:b w:val="0"/>
              <w:bCs/>
              <w:color w:val="auto"/>
              <w:sz w:val="24"/>
              <w:szCs w:val="24"/>
            </w:rPr>
            <w:fldChar w:fldCharType="end"/>
          </w:r>
          <w:r>
            <w:rPr>
              <w:rFonts w:hint="default" w:ascii="Times New Roman" w:hAnsi="Times New Roman" w:eastAsia="宋体" w:cs="Times New Roman"/>
              <w:b w:val="0"/>
              <w:bCs/>
              <w:snapToGrid w:val="0"/>
              <w:color w:val="auto"/>
              <w:sz w:val="24"/>
              <w:szCs w:val="24"/>
            </w:rPr>
            <w:fldChar w:fldCharType="end"/>
          </w:r>
        </w:p>
        <w:p w14:paraId="1B8B205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snapToGrid w:val="0"/>
              <w:color w:val="auto"/>
              <w:sz w:val="24"/>
              <w:szCs w:val="24"/>
            </w:rPr>
            <w:fldChar w:fldCharType="end"/>
          </w:r>
          <w:r>
            <w:rPr>
              <w:rFonts w:hint="default" w:ascii="Times New Roman" w:hAnsi="Times New Roman" w:eastAsia="宋体" w:cs="Times New Roman"/>
              <w:b w:val="0"/>
              <w:bCs/>
              <w:snapToGrid w:val="0"/>
              <w:color w:val="auto"/>
              <w:sz w:val="24"/>
              <w:szCs w:val="24"/>
              <w:lang w:val="en-US" w:eastAsia="zh-CN"/>
            </w:rPr>
            <w:t>附图：</w:t>
          </w:r>
        </w:p>
        <w:p w14:paraId="46AFE0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rPr>
          </w:pPr>
          <w:r>
            <w:rPr>
              <w:rFonts w:hint="default" w:ascii="Times New Roman" w:hAnsi="Times New Roman" w:eastAsia="宋体" w:cs="Times New Roman"/>
              <w:b w:val="0"/>
              <w:bCs/>
              <w:snapToGrid w:val="0"/>
              <w:color w:val="auto"/>
              <w:sz w:val="24"/>
              <w:szCs w:val="24"/>
            </w:rPr>
            <w:t>附图1 项目区地理位置图</w:t>
          </w:r>
        </w:p>
        <w:p w14:paraId="2227A7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rPr>
          </w:pPr>
          <w:r>
            <w:rPr>
              <w:rFonts w:hint="default" w:ascii="Times New Roman" w:hAnsi="Times New Roman" w:eastAsia="宋体" w:cs="Times New Roman"/>
              <w:b w:val="0"/>
              <w:bCs/>
              <w:snapToGrid w:val="0"/>
              <w:color w:val="auto"/>
              <w:sz w:val="24"/>
              <w:szCs w:val="24"/>
            </w:rPr>
            <w:t>附图2 周边关系图</w:t>
          </w:r>
        </w:p>
        <w:p w14:paraId="0D60CC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rPr>
          </w:pPr>
          <w:r>
            <w:rPr>
              <w:rFonts w:hint="default" w:ascii="Times New Roman" w:hAnsi="Times New Roman" w:eastAsia="宋体" w:cs="Times New Roman"/>
              <w:b w:val="0"/>
              <w:bCs/>
              <w:snapToGrid w:val="0"/>
              <w:color w:val="auto"/>
              <w:sz w:val="24"/>
              <w:szCs w:val="24"/>
            </w:rPr>
            <w:t>附图3 水系图</w:t>
          </w:r>
        </w:p>
        <w:p w14:paraId="516A40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rPr>
          </w:pPr>
          <w:r>
            <w:rPr>
              <w:rFonts w:hint="default" w:ascii="Times New Roman" w:hAnsi="Times New Roman" w:eastAsia="宋体" w:cs="Times New Roman"/>
              <w:b w:val="0"/>
              <w:bCs/>
              <w:snapToGrid w:val="0"/>
              <w:color w:val="auto"/>
              <w:sz w:val="24"/>
              <w:szCs w:val="24"/>
            </w:rPr>
            <w:t>附图4 总平面布置图</w:t>
          </w:r>
        </w:p>
        <w:p w14:paraId="6FC4D2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rPr>
          </w:pPr>
          <w:r>
            <w:rPr>
              <w:rFonts w:hint="default" w:ascii="Times New Roman" w:hAnsi="Times New Roman" w:eastAsia="宋体" w:cs="Times New Roman"/>
              <w:b w:val="0"/>
              <w:bCs/>
              <w:snapToGrid w:val="0"/>
              <w:color w:val="auto"/>
              <w:sz w:val="24"/>
              <w:szCs w:val="24"/>
            </w:rPr>
            <w:t>附图5 分区防渗图</w:t>
          </w:r>
        </w:p>
        <w:p w14:paraId="3BA951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rPr>
          </w:pPr>
          <w:r>
            <w:rPr>
              <w:rFonts w:hint="default" w:ascii="Times New Roman" w:hAnsi="Times New Roman" w:eastAsia="宋体" w:cs="Times New Roman"/>
              <w:b w:val="0"/>
              <w:bCs/>
              <w:snapToGrid w:val="0"/>
              <w:color w:val="auto"/>
              <w:sz w:val="24"/>
              <w:szCs w:val="24"/>
            </w:rPr>
            <w:t>附图6 环境现状监测布点图</w:t>
          </w:r>
        </w:p>
        <w:p w14:paraId="52DB12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rPr>
          </w:pPr>
          <w:r>
            <w:rPr>
              <w:rFonts w:hint="default" w:ascii="Times New Roman" w:hAnsi="Times New Roman" w:eastAsia="宋体" w:cs="Times New Roman"/>
              <w:b w:val="0"/>
              <w:bCs/>
              <w:snapToGrid w:val="0"/>
              <w:color w:val="auto"/>
              <w:sz w:val="24"/>
              <w:szCs w:val="24"/>
            </w:rPr>
            <w:t>附图7 项目与昆明市环境管控分区位置关系图</w:t>
          </w:r>
        </w:p>
        <w:p w14:paraId="7E6CC3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附图</w:t>
          </w:r>
          <w:r>
            <w:rPr>
              <w:rFonts w:hint="eastAsia" w:cs="Times New Roman"/>
              <w:b w:val="0"/>
              <w:bCs/>
              <w:snapToGrid w:val="0"/>
              <w:color w:val="auto"/>
              <w:sz w:val="24"/>
              <w:szCs w:val="24"/>
              <w:lang w:val="en-US" w:eastAsia="zh-CN"/>
            </w:rPr>
            <w:t>8</w:t>
          </w:r>
          <w:r>
            <w:rPr>
              <w:rFonts w:hint="default" w:ascii="Times New Roman" w:hAnsi="Times New Roman" w:cs="Times New Roman"/>
              <w:b w:val="0"/>
              <w:bCs/>
              <w:snapToGrid w:val="0"/>
              <w:color w:val="auto"/>
              <w:sz w:val="24"/>
              <w:szCs w:val="24"/>
              <w:lang w:val="en-US" w:eastAsia="zh-CN"/>
            </w:rPr>
            <w:t xml:space="preserve"> 项目区水文地质图</w:t>
          </w:r>
        </w:p>
        <w:p w14:paraId="2CE4DEB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w:t>
          </w:r>
        </w:p>
        <w:p w14:paraId="4EF2BD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附件1</w:t>
          </w:r>
          <w:r>
            <w:rPr>
              <w:rFonts w:hint="default" w:ascii="Times New Roman" w:hAnsi="Times New Roman" w:cs="Times New Roman"/>
              <w:b w:val="0"/>
              <w:bCs/>
              <w:snapToGrid w:val="0"/>
              <w:color w:val="auto"/>
              <w:sz w:val="24"/>
              <w:szCs w:val="24"/>
              <w:lang w:val="en-US" w:eastAsia="zh-CN"/>
            </w:rPr>
            <w:t>委托书</w:t>
          </w:r>
        </w:p>
        <w:p w14:paraId="2F0AB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附件2</w:t>
          </w:r>
          <w:r>
            <w:rPr>
              <w:rFonts w:hint="eastAsia" w:cs="Times New Roman"/>
              <w:b w:val="0"/>
              <w:bCs/>
              <w:snapToGrid w:val="0"/>
              <w:color w:val="auto"/>
              <w:sz w:val="24"/>
              <w:szCs w:val="24"/>
              <w:lang w:val="en-US" w:eastAsia="zh-CN"/>
            </w:rPr>
            <w:t>土地证</w:t>
          </w:r>
        </w:p>
        <w:p w14:paraId="6B74D4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附件3</w:t>
          </w:r>
          <w:r>
            <w:rPr>
              <w:rFonts w:hint="eastAsia" w:cs="Times New Roman"/>
              <w:b w:val="0"/>
              <w:bCs/>
              <w:snapToGrid w:val="0"/>
              <w:color w:val="auto"/>
              <w:sz w:val="24"/>
              <w:szCs w:val="24"/>
              <w:lang w:val="en-US" w:eastAsia="zh-CN"/>
            </w:rPr>
            <w:t>三区三线</w:t>
          </w:r>
        </w:p>
        <w:p w14:paraId="76982B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w:t>
          </w:r>
          <w:r>
            <w:rPr>
              <w:rFonts w:hint="default" w:ascii="Times New Roman" w:hAnsi="Times New Roman" w:cs="Times New Roman"/>
              <w:b w:val="0"/>
              <w:bCs/>
              <w:snapToGrid w:val="0"/>
              <w:color w:val="auto"/>
              <w:sz w:val="24"/>
              <w:szCs w:val="24"/>
              <w:lang w:val="en-US" w:eastAsia="zh-CN"/>
            </w:rPr>
            <w:t>4营业执照</w:t>
          </w:r>
        </w:p>
        <w:p w14:paraId="44A2BD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w:t>
          </w:r>
          <w:r>
            <w:rPr>
              <w:rFonts w:hint="default" w:ascii="Times New Roman" w:hAnsi="Times New Roman" w:cs="Times New Roman"/>
              <w:b w:val="0"/>
              <w:bCs/>
              <w:snapToGrid w:val="0"/>
              <w:color w:val="auto"/>
              <w:sz w:val="24"/>
              <w:szCs w:val="24"/>
              <w:lang w:val="en-US" w:eastAsia="zh-CN"/>
            </w:rPr>
            <w:t>5</w:t>
          </w:r>
          <w:r>
            <w:rPr>
              <w:rFonts w:hint="default" w:ascii="Times New Roman" w:hAnsi="Times New Roman" w:eastAsia="宋体" w:cs="Times New Roman"/>
              <w:b w:val="0"/>
              <w:bCs/>
              <w:snapToGrid w:val="0"/>
              <w:color w:val="auto"/>
              <w:sz w:val="24"/>
              <w:szCs w:val="24"/>
              <w:lang w:val="en-US" w:eastAsia="zh-CN"/>
            </w:rPr>
            <w:t>投资备案证</w:t>
          </w:r>
        </w:p>
        <w:p w14:paraId="12863F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附件6昆明市商务局关于对中国石化销售股份有限公司云南昆明寻甸梧桐加油站进行原址改造的批复</w:t>
          </w:r>
        </w:p>
        <w:p w14:paraId="38B748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w:t>
          </w:r>
          <w:r>
            <w:rPr>
              <w:rFonts w:hint="default" w:ascii="Times New Roman" w:hAnsi="Times New Roman" w:cs="Times New Roman"/>
              <w:b w:val="0"/>
              <w:bCs/>
              <w:snapToGrid w:val="0"/>
              <w:color w:val="auto"/>
              <w:sz w:val="24"/>
              <w:szCs w:val="24"/>
              <w:lang w:val="en-US" w:eastAsia="zh-CN"/>
            </w:rPr>
            <w:t>7</w:t>
          </w:r>
          <w:r>
            <w:rPr>
              <w:rFonts w:hint="eastAsia" w:cs="Times New Roman"/>
              <w:b w:val="0"/>
              <w:bCs/>
              <w:snapToGrid w:val="0"/>
              <w:color w:val="auto"/>
              <w:sz w:val="24"/>
              <w:szCs w:val="24"/>
              <w:lang w:val="en-US" w:eastAsia="zh-CN"/>
            </w:rPr>
            <w:t>环评批复</w:t>
          </w:r>
        </w:p>
        <w:p w14:paraId="33CE6A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w:t>
          </w:r>
          <w:r>
            <w:rPr>
              <w:rFonts w:hint="default" w:ascii="Times New Roman" w:hAnsi="Times New Roman" w:cs="Times New Roman"/>
              <w:b w:val="0"/>
              <w:bCs/>
              <w:snapToGrid w:val="0"/>
              <w:color w:val="auto"/>
              <w:sz w:val="24"/>
              <w:szCs w:val="24"/>
              <w:lang w:val="en-US" w:eastAsia="zh-CN"/>
            </w:rPr>
            <w:t>8</w:t>
          </w:r>
          <w:r>
            <w:rPr>
              <w:rFonts w:hint="eastAsia" w:cs="Times New Roman"/>
              <w:b w:val="0"/>
              <w:bCs/>
              <w:snapToGrid w:val="0"/>
              <w:color w:val="auto"/>
              <w:sz w:val="24"/>
              <w:szCs w:val="24"/>
              <w:lang w:val="en-US" w:eastAsia="zh-CN"/>
            </w:rPr>
            <w:t>验收意见</w:t>
          </w:r>
        </w:p>
        <w:p w14:paraId="4A701D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附件9</w:t>
          </w:r>
          <w:r>
            <w:rPr>
              <w:rFonts w:hint="eastAsia" w:cs="Times New Roman"/>
              <w:b w:val="0"/>
              <w:bCs/>
              <w:snapToGrid w:val="0"/>
              <w:color w:val="auto"/>
              <w:sz w:val="24"/>
              <w:szCs w:val="24"/>
              <w:lang w:val="en-US" w:eastAsia="zh-CN"/>
            </w:rPr>
            <w:t>排污登记回执</w:t>
          </w:r>
        </w:p>
        <w:p w14:paraId="15915E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w:t>
          </w:r>
          <w:r>
            <w:rPr>
              <w:rFonts w:hint="eastAsia" w:cs="Times New Roman"/>
              <w:b w:val="0"/>
              <w:bCs/>
              <w:snapToGrid w:val="0"/>
              <w:color w:val="auto"/>
              <w:sz w:val="24"/>
              <w:szCs w:val="24"/>
              <w:lang w:val="en-US" w:eastAsia="zh-CN"/>
            </w:rPr>
            <w:t>10应急预案备案表</w:t>
          </w:r>
        </w:p>
        <w:p w14:paraId="05FDE7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附件1</w:t>
          </w:r>
          <w:r>
            <w:rPr>
              <w:rFonts w:hint="default" w:ascii="Times New Roman" w:hAnsi="Times New Roman" w:cs="Times New Roman"/>
              <w:b w:val="0"/>
              <w:bCs/>
              <w:snapToGrid w:val="0"/>
              <w:color w:val="auto"/>
              <w:sz w:val="24"/>
              <w:szCs w:val="24"/>
              <w:lang w:val="en-US" w:eastAsia="zh-CN"/>
            </w:rPr>
            <w:t>1</w:t>
          </w:r>
          <w:r>
            <w:rPr>
              <w:rFonts w:hint="default" w:ascii="Times New Roman" w:hAnsi="Times New Roman" w:eastAsia="宋体" w:cs="Times New Roman"/>
              <w:b w:val="0"/>
              <w:bCs/>
              <w:snapToGrid w:val="0"/>
              <w:color w:val="auto"/>
              <w:sz w:val="24"/>
              <w:szCs w:val="24"/>
              <w:lang w:val="en-US" w:eastAsia="zh-CN"/>
            </w:rPr>
            <w:t xml:space="preserve"> </w:t>
          </w:r>
          <w:r>
            <w:rPr>
              <w:rFonts w:hint="eastAsia" w:cs="Times New Roman"/>
              <w:b w:val="0"/>
              <w:bCs/>
              <w:snapToGrid w:val="0"/>
              <w:color w:val="auto"/>
              <w:sz w:val="24"/>
              <w:szCs w:val="24"/>
              <w:lang w:val="en-US" w:eastAsia="zh-CN"/>
            </w:rPr>
            <w:t>化粪池清掏协议</w:t>
          </w:r>
        </w:p>
        <w:p w14:paraId="39023A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附件1</w:t>
          </w:r>
          <w:r>
            <w:rPr>
              <w:rFonts w:hint="eastAsia" w:cs="Times New Roman"/>
              <w:b w:val="0"/>
              <w:bCs/>
              <w:snapToGrid w:val="0"/>
              <w:color w:val="auto"/>
              <w:sz w:val="24"/>
              <w:szCs w:val="24"/>
              <w:lang w:val="en-US" w:eastAsia="zh-CN"/>
            </w:rPr>
            <w:t>2环境质量现状监测</w:t>
          </w:r>
        </w:p>
        <w:p w14:paraId="31934E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snapToGrid w:val="0"/>
              <w:color w:val="auto"/>
              <w:sz w:val="24"/>
              <w:szCs w:val="24"/>
              <w:lang w:val="en-US" w:eastAsia="zh-CN"/>
            </w:rPr>
          </w:pPr>
          <w:r>
            <w:rPr>
              <w:rFonts w:hint="eastAsia" w:cs="Times New Roman"/>
              <w:b w:val="0"/>
              <w:bCs/>
              <w:snapToGrid w:val="0"/>
              <w:color w:val="auto"/>
              <w:sz w:val="24"/>
              <w:szCs w:val="24"/>
              <w:lang w:val="en-US" w:eastAsia="zh-CN"/>
            </w:rPr>
            <w:t>附件13合同</w:t>
          </w:r>
        </w:p>
        <w:p w14:paraId="7A2AF4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snapToGrid w:val="0"/>
              <w:color w:val="auto"/>
              <w:sz w:val="24"/>
              <w:szCs w:val="24"/>
              <w:lang w:val="en-US" w:eastAsia="zh-CN"/>
            </w:rPr>
          </w:pPr>
          <w:r>
            <w:rPr>
              <w:rFonts w:hint="eastAsia" w:cs="Times New Roman"/>
              <w:b w:val="0"/>
              <w:bCs/>
              <w:snapToGrid w:val="0"/>
              <w:color w:val="auto"/>
              <w:sz w:val="24"/>
              <w:szCs w:val="24"/>
              <w:lang w:val="en-US" w:eastAsia="zh-CN"/>
            </w:rPr>
            <w:t>附件14现状监测</w:t>
          </w:r>
        </w:p>
        <w:p w14:paraId="6BF19E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napToGrid w:val="0"/>
              <w:color w:val="auto"/>
              <w:sz w:val="24"/>
              <w:szCs w:val="24"/>
              <w:lang w:val="en-US" w:eastAsia="zh-CN"/>
            </w:rPr>
          </w:pPr>
          <w:r>
            <w:rPr>
              <w:rFonts w:hint="eastAsia" w:cs="Times New Roman"/>
              <w:b w:val="0"/>
              <w:bCs/>
              <w:snapToGrid w:val="0"/>
              <w:color w:val="auto"/>
              <w:sz w:val="24"/>
              <w:szCs w:val="24"/>
              <w:lang w:val="en-US" w:eastAsia="zh-CN"/>
            </w:rPr>
            <w:t>附件15关于查询梧桐加油站隐患原址改造项目涉及生态环境分区管控情况的复函</w:t>
          </w:r>
        </w:p>
        <w:p w14:paraId="1BD821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napToGrid w:val="0"/>
              <w:color w:val="auto"/>
              <w:sz w:val="24"/>
              <w:szCs w:val="24"/>
              <w:lang w:val="en-US" w:eastAsia="zh-CN"/>
            </w:rPr>
          </w:pPr>
          <w:r>
            <w:rPr>
              <w:rFonts w:hint="eastAsia" w:cs="Times New Roman"/>
              <w:b w:val="0"/>
              <w:bCs/>
              <w:snapToGrid w:val="0"/>
              <w:color w:val="auto"/>
              <w:sz w:val="24"/>
              <w:szCs w:val="24"/>
              <w:lang w:val="en-US" w:eastAsia="zh-CN"/>
            </w:rPr>
            <w:t>附件16信息公开</w:t>
          </w:r>
        </w:p>
        <w:p w14:paraId="736189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napToGrid w:val="0"/>
              <w:color w:val="auto"/>
              <w:sz w:val="24"/>
              <w:szCs w:val="24"/>
              <w:lang w:val="en-US" w:eastAsia="zh-CN"/>
            </w:rPr>
          </w:pPr>
          <w:r>
            <w:rPr>
              <w:rFonts w:hint="default" w:ascii="Times New Roman" w:hAnsi="Times New Roman" w:eastAsia="宋体" w:cs="Times New Roman"/>
              <w:b w:val="0"/>
              <w:bCs/>
              <w:snapToGrid w:val="0"/>
              <w:color w:val="auto"/>
              <w:sz w:val="24"/>
              <w:szCs w:val="24"/>
              <w:lang w:val="en-US" w:eastAsia="zh-CN"/>
            </w:rPr>
            <w:t>附件</w:t>
          </w:r>
          <w:r>
            <w:rPr>
              <w:rFonts w:hint="eastAsia" w:cs="Times New Roman"/>
              <w:b w:val="0"/>
              <w:bCs/>
              <w:snapToGrid w:val="0"/>
              <w:color w:val="auto"/>
              <w:sz w:val="24"/>
              <w:szCs w:val="24"/>
              <w:lang w:val="en-US" w:eastAsia="zh-CN"/>
            </w:rPr>
            <w:t>17</w:t>
          </w:r>
          <w:r>
            <w:rPr>
              <w:rFonts w:hint="default" w:ascii="Times New Roman" w:hAnsi="Times New Roman" w:eastAsia="宋体" w:cs="Times New Roman"/>
              <w:b w:val="0"/>
              <w:bCs/>
              <w:snapToGrid w:val="0"/>
              <w:color w:val="auto"/>
              <w:sz w:val="24"/>
              <w:szCs w:val="24"/>
              <w:lang w:val="en-US" w:eastAsia="zh-CN"/>
            </w:rPr>
            <w:t>内审表</w:t>
          </w:r>
        </w:p>
        <w:p w14:paraId="467832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snapToGrid w:val="0"/>
              <w:color w:val="auto"/>
              <w:sz w:val="24"/>
              <w:szCs w:val="24"/>
              <w:lang w:val="en-US" w:eastAsia="zh-CN"/>
            </w:rPr>
          </w:pPr>
          <w:r>
            <w:rPr>
              <w:rFonts w:hint="eastAsia" w:cs="Times New Roman"/>
              <w:b w:val="0"/>
              <w:bCs/>
              <w:snapToGrid w:val="0"/>
              <w:color w:val="auto"/>
              <w:sz w:val="24"/>
              <w:szCs w:val="24"/>
              <w:lang w:val="en-US" w:eastAsia="zh-CN"/>
            </w:rPr>
            <w:t>附件18项目进度表</w:t>
          </w:r>
        </w:p>
        <w:p w14:paraId="7A1A73C3">
          <w:pPr>
            <w:pStyle w:val="5"/>
            <w:rPr>
              <w:rFonts w:hint="default" w:ascii="Times New Roman" w:hAnsi="Times New Roman" w:cs="Times New Roman"/>
              <w:color w:val="auto"/>
              <w:lang w:val="en-US" w:eastAsia="zh-CN"/>
            </w:rPr>
          </w:pPr>
        </w:p>
        <w:p w14:paraId="0BA44A6C">
          <w:pPr>
            <w:bidi w:val="0"/>
            <w:rPr>
              <w:rFonts w:hint="default" w:ascii="Times New Roman" w:hAnsi="Times New Roman" w:cs="Times New Roman"/>
              <w:color w:val="auto"/>
              <w:lang w:val="en-US" w:eastAsia="zh-CN"/>
            </w:rPr>
          </w:pPr>
        </w:p>
        <w:p w14:paraId="0838D8AD">
          <w:pPr>
            <w:rPr>
              <w:rFonts w:hint="default" w:ascii="Times New Roman" w:hAnsi="Times New Roman" w:eastAsia="黑体" w:cs="Times New Roman"/>
              <w:snapToGrid w:val="0"/>
              <w:color w:val="auto"/>
              <w:sz w:val="30"/>
              <w:szCs w:val="30"/>
            </w:rPr>
            <w:sectPr>
              <w:footerReference r:id="rId5" w:type="default"/>
              <w:pgSz w:w="11906" w:h="16838"/>
              <w:pgMar w:top="1417" w:right="1134" w:bottom="1417" w:left="1134" w:header="851" w:footer="992" w:gutter="0"/>
              <w:pgNumType w:fmt="decimal"/>
              <w:cols w:space="425" w:num="1"/>
              <w:docGrid w:type="lines" w:linePitch="312" w:charSpace="0"/>
            </w:sectPr>
          </w:pPr>
        </w:p>
      </w:sdtContent>
    </w:sdt>
    <w:p w14:paraId="3803BCA1">
      <w:pPr>
        <w:pStyle w:val="24"/>
        <w:jc w:val="center"/>
        <w:outlineLvl w:val="0"/>
        <w:rPr>
          <w:rFonts w:hint="default" w:ascii="Times New Roman" w:hAnsi="Times New Roman" w:eastAsia="黑体" w:cs="Times New Roman"/>
          <w:snapToGrid w:val="0"/>
          <w:color w:val="auto"/>
          <w:sz w:val="30"/>
          <w:szCs w:val="30"/>
        </w:rPr>
      </w:pPr>
      <w:bookmarkStart w:id="7" w:name="_Toc15531"/>
      <w:r>
        <w:rPr>
          <w:rFonts w:hint="default" w:ascii="Times New Roman" w:hAnsi="Times New Roman" w:eastAsia="黑体" w:cs="Times New Roman"/>
          <w:snapToGrid w:val="0"/>
          <w:color w:val="auto"/>
          <w:sz w:val="30"/>
          <w:szCs w:val="30"/>
        </w:rPr>
        <w:t>一、建设项目基本情况</w:t>
      </w:r>
      <w:bookmarkEnd w:id="4"/>
      <w:bookmarkEnd w:id="7"/>
    </w:p>
    <w:tbl>
      <w:tblPr>
        <w:tblStyle w:val="27"/>
        <w:tblW w:w="97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28"/>
        <w:gridCol w:w="3123"/>
        <w:gridCol w:w="2535"/>
        <w:gridCol w:w="3098"/>
      </w:tblGrid>
      <w:tr w14:paraId="1EF15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8" w:type="dxa"/>
            <w:noWrap w:val="0"/>
            <w:tcMar>
              <w:top w:w="16" w:type="dxa"/>
              <w:left w:w="16" w:type="dxa"/>
              <w:right w:w="16" w:type="dxa"/>
            </w:tcMar>
            <w:vAlign w:val="center"/>
          </w:tcPr>
          <w:p w14:paraId="2B97CD8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8756" w:type="dxa"/>
            <w:gridSpan w:val="3"/>
            <w:noWrap w:val="0"/>
            <w:vAlign w:val="center"/>
          </w:tcPr>
          <w:p w14:paraId="1F03014A">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中国石化销售股份有限公司云南昆明寻甸梧桐加油站隐患原址改造项目</w:t>
            </w:r>
          </w:p>
        </w:tc>
      </w:tr>
      <w:tr w14:paraId="541CB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028" w:type="dxa"/>
            <w:noWrap w:val="0"/>
            <w:tcMar>
              <w:top w:w="16" w:type="dxa"/>
              <w:left w:w="16" w:type="dxa"/>
              <w:right w:w="16" w:type="dxa"/>
            </w:tcMar>
            <w:vAlign w:val="center"/>
          </w:tcPr>
          <w:p w14:paraId="2872197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8756" w:type="dxa"/>
            <w:gridSpan w:val="3"/>
            <w:noWrap w:val="0"/>
            <w:vAlign w:val="center"/>
          </w:tcPr>
          <w:p w14:paraId="48E24178">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2409-530129-04-02-870380 </w:t>
            </w:r>
          </w:p>
        </w:tc>
      </w:tr>
      <w:tr w14:paraId="2C1DF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8" w:type="dxa"/>
            <w:noWrap w:val="0"/>
            <w:tcMar>
              <w:top w:w="16" w:type="dxa"/>
              <w:left w:w="16" w:type="dxa"/>
              <w:right w:w="16" w:type="dxa"/>
            </w:tcMar>
            <w:vAlign w:val="center"/>
          </w:tcPr>
          <w:p w14:paraId="251D1A8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3123" w:type="dxa"/>
            <w:noWrap w:val="0"/>
            <w:vAlign w:val="center"/>
          </w:tcPr>
          <w:p w14:paraId="2FF56D16">
            <w:pPr>
              <w:adjustRightInd w:val="0"/>
              <w:snapToGrid w:val="0"/>
              <w:jc w:val="center"/>
              <w:rPr>
                <w:rFonts w:hint="default" w:ascii="Times New Roman" w:hAnsi="Times New Roman" w:eastAsia="宋体" w:cs="Times New Roman"/>
                <w:color w:val="auto"/>
                <w:sz w:val="24"/>
                <w:szCs w:val="24"/>
                <w:lang w:val="en-US" w:eastAsia="zh-CN"/>
              </w:rPr>
            </w:pPr>
          </w:p>
        </w:tc>
        <w:tc>
          <w:tcPr>
            <w:tcW w:w="2535" w:type="dxa"/>
            <w:noWrap w:val="0"/>
            <w:vAlign w:val="center"/>
          </w:tcPr>
          <w:p w14:paraId="6072210F">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3098" w:type="dxa"/>
            <w:noWrap w:val="0"/>
            <w:vAlign w:val="center"/>
          </w:tcPr>
          <w:p w14:paraId="05A21617">
            <w:pPr>
              <w:adjustRightInd w:val="0"/>
              <w:snapToGrid w:val="0"/>
              <w:jc w:val="center"/>
              <w:rPr>
                <w:rFonts w:hint="default" w:ascii="Times New Roman" w:hAnsi="Times New Roman" w:eastAsia="宋体" w:cs="Times New Roman"/>
                <w:color w:val="auto"/>
                <w:sz w:val="24"/>
                <w:szCs w:val="24"/>
                <w:lang w:val="en-US" w:eastAsia="zh-CN"/>
              </w:rPr>
            </w:pPr>
          </w:p>
        </w:tc>
      </w:tr>
      <w:tr w14:paraId="30A95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8" w:hRule="atLeast"/>
          <w:jc w:val="center"/>
        </w:trPr>
        <w:tc>
          <w:tcPr>
            <w:tcW w:w="1028" w:type="dxa"/>
            <w:noWrap w:val="0"/>
            <w:tcMar>
              <w:top w:w="16" w:type="dxa"/>
              <w:left w:w="16" w:type="dxa"/>
              <w:right w:w="16" w:type="dxa"/>
            </w:tcMar>
            <w:vAlign w:val="center"/>
          </w:tcPr>
          <w:p w14:paraId="3D1B60CF">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8756" w:type="dxa"/>
            <w:gridSpan w:val="3"/>
            <w:noWrap w:val="0"/>
            <w:vAlign w:val="center"/>
          </w:tcPr>
          <w:p w14:paraId="279F345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云南</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省</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昆明</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市</w:t>
            </w:r>
            <w:r>
              <w:rPr>
                <w:rFonts w:hint="default" w:ascii="Times New Roman" w:hAnsi="Times New Roman" w:cs="Times New Roman"/>
                <w:color w:val="auto"/>
                <w:sz w:val="24"/>
                <w:szCs w:val="24"/>
                <w:u w:val="single"/>
                <w:lang w:val="en-US" w:eastAsia="zh-CN"/>
              </w:rPr>
              <w:t xml:space="preserve"> </w:t>
            </w:r>
            <w:r>
              <w:rPr>
                <w:rFonts w:hint="eastAsia" w:cs="Times New Roman"/>
                <w:color w:val="auto"/>
                <w:sz w:val="24"/>
                <w:szCs w:val="24"/>
                <w:u w:val="single"/>
                <w:lang w:val="en-US" w:eastAsia="zh-CN"/>
              </w:rPr>
              <w:t>寻甸</w:t>
            </w:r>
            <w:r>
              <w:rPr>
                <w:rFonts w:hint="default" w:ascii="Times New Roman" w:hAnsi="Times New Roman" w:cs="Times New Roman"/>
                <w:color w:val="auto"/>
                <w:sz w:val="24"/>
                <w:szCs w:val="24"/>
                <w:u w:val="single"/>
                <w:lang w:val="en-US" w:eastAsia="zh-CN"/>
              </w:rPr>
              <w:t xml:space="preserve"> </w:t>
            </w:r>
            <w:r>
              <w:rPr>
                <w:rFonts w:hint="eastAsia" w:cs="Times New Roman"/>
                <w:color w:val="auto"/>
                <w:sz w:val="24"/>
                <w:szCs w:val="24"/>
                <w:u w:val="none"/>
                <w:lang w:val="en-US" w:eastAsia="zh-CN"/>
              </w:rPr>
              <w:t>县</w:t>
            </w:r>
            <w:r>
              <w:rPr>
                <w:rFonts w:hint="default" w:ascii="Times New Roman" w:hAnsi="Times New Roman" w:cs="Times New Roman"/>
                <w:color w:val="auto"/>
                <w:sz w:val="24"/>
                <w:szCs w:val="24"/>
                <w:u w:val="single"/>
              </w:rPr>
              <w:t xml:space="preserve"> 功山镇梧桐村</w:t>
            </w:r>
          </w:p>
        </w:tc>
      </w:tr>
      <w:tr w14:paraId="570F1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028" w:type="dxa"/>
            <w:noWrap w:val="0"/>
            <w:tcMar>
              <w:top w:w="16" w:type="dxa"/>
              <w:left w:w="16" w:type="dxa"/>
              <w:right w:w="16" w:type="dxa"/>
            </w:tcMar>
            <w:vAlign w:val="center"/>
          </w:tcPr>
          <w:p w14:paraId="0A05203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8756" w:type="dxa"/>
            <w:gridSpan w:val="3"/>
            <w:noWrap w:val="0"/>
            <w:vAlign w:val="center"/>
          </w:tcPr>
          <w:p w14:paraId="50E4B4CB">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102</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15</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34.801</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2</w:t>
            </w:r>
            <w:r>
              <w:rPr>
                <w:rFonts w:hint="eastAsia" w:cs="Times New Roman"/>
                <w:color w:val="auto"/>
                <w:sz w:val="24"/>
                <w:szCs w:val="24"/>
                <w:u w:val="single"/>
                <w:lang w:val="en-US" w:eastAsia="zh-CN"/>
              </w:rPr>
              <w:t>5</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43</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26.024</w:t>
            </w:r>
            <w:r>
              <w:rPr>
                <w:rFonts w:hint="default" w:ascii="Times New Roman" w:hAnsi="Times New Roman" w:cs="Times New Roman"/>
                <w:color w:val="auto"/>
                <w:sz w:val="24"/>
                <w:szCs w:val="24"/>
              </w:rPr>
              <w:t>秒）</w:t>
            </w:r>
          </w:p>
        </w:tc>
      </w:tr>
      <w:tr w14:paraId="232B6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1028" w:type="dxa"/>
            <w:noWrap w:val="0"/>
            <w:tcMar>
              <w:top w:w="16" w:type="dxa"/>
              <w:left w:w="16" w:type="dxa"/>
              <w:right w:w="16" w:type="dxa"/>
            </w:tcMar>
            <w:vAlign w:val="center"/>
          </w:tcPr>
          <w:p w14:paraId="75AA6B8A">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国民经济行业类别</w:t>
            </w:r>
          </w:p>
        </w:tc>
        <w:tc>
          <w:tcPr>
            <w:tcW w:w="3123" w:type="dxa"/>
            <w:noWrap w:val="0"/>
            <w:vAlign w:val="center"/>
          </w:tcPr>
          <w:p w14:paraId="068C0666">
            <w:pPr>
              <w:keepNext w:val="0"/>
              <w:keepLines w:val="0"/>
              <w:widowControl/>
              <w:suppressLineNumbers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5265机动车燃油零售</w:t>
            </w:r>
          </w:p>
        </w:tc>
        <w:tc>
          <w:tcPr>
            <w:tcW w:w="2535" w:type="dxa"/>
            <w:noWrap w:val="0"/>
            <w:vAlign w:val="center"/>
          </w:tcPr>
          <w:p w14:paraId="118F3F0A">
            <w:pPr>
              <w:adjustRightInd w:val="0"/>
              <w:snapToGrid w:val="0"/>
              <w:jc w:val="center"/>
              <w:rPr>
                <w:rFonts w:hint="default" w:ascii="Times New Roman" w:hAnsi="Times New Roman" w:cs="Times New Roman"/>
                <w:color w:val="auto"/>
                <w:sz w:val="24"/>
                <w:szCs w:val="24"/>
              </w:rPr>
            </w:pPr>
            <w:bookmarkStart w:id="8" w:name="_Hlk49843745"/>
            <w:r>
              <w:rPr>
                <w:rFonts w:hint="default" w:ascii="Times New Roman" w:hAnsi="Times New Roman" w:cs="Times New Roman"/>
                <w:color w:val="auto"/>
                <w:sz w:val="24"/>
                <w:szCs w:val="24"/>
              </w:rPr>
              <w:t>建设项目</w:t>
            </w:r>
          </w:p>
          <w:p w14:paraId="53F7427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8"/>
          </w:p>
        </w:tc>
        <w:tc>
          <w:tcPr>
            <w:tcW w:w="3098" w:type="dxa"/>
            <w:noWrap w:val="0"/>
            <w:vAlign w:val="center"/>
          </w:tcPr>
          <w:p w14:paraId="7EB0FFCF">
            <w:pPr>
              <w:keepNext w:val="0"/>
              <w:keepLines w:val="0"/>
              <w:widowControl/>
              <w:suppressLineNumbers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119加油、加气站</w:t>
            </w:r>
          </w:p>
        </w:tc>
      </w:tr>
      <w:tr w14:paraId="74373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1" w:hRule="atLeast"/>
          <w:jc w:val="center"/>
        </w:trPr>
        <w:tc>
          <w:tcPr>
            <w:tcW w:w="1028" w:type="dxa"/>
            <w:noWrap w:val="0"/>
            <w:tcMar>
              <w:top w:w="16" w:type="dxa"/>
              <w:left w:w="16" w:type="dxa"/>
              <w:right w:w="16" w:type="dxa"/>
            </w:tcMar>
            <w:vAlign w:val="center"/>
          </w:tcPr>
          <w:p w14:paraId="29C884E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3123" w:type="dxa"/>
            <w:noWrap w:val="0"/>
            <w:vAlign w:val="center"/>
          </w:tcPr>
          <w:p w14:paraId="6F01C367">
            <w:pPr>
              <w:jc w:val="left"/>
              <w:rPr>
                <w:rFonts w:hint="default" w:ascii="Times New Roman" w:hAnsi="Times New Roman" w:cs="Times New Roman"/>
                <w:color w:val="auto"/>
                <w:sz w:val="24"/>
                <w:szCs w:val="24"/>
              </w:rPr>
            </w:pPr>
            <w:r>
              <w:rPr>
                <w:rFonts w:hint="eastAsia" w:cs="Times New Roman"/>
                <w:color w:val="auto"/>
                <w:sz w:val="24"/>
                <w:lang w:eastAsia="zh-CN"/>
              </w:rPr>
              <w:t>□</w:t>
            </w:r>
            <w:r>
              <w:rPr>
                <w:rFonts w:hint="default" w:ascii="Times New Roman" w:hAnsi="Times New Roman" w:cs="Times New Roman"/>
                <w:color w:val="auto"/>
                <w:sz w:val="24"/>
                <w:szCs w:val="24"/>
              </w:rPr>
              <w:t>新建（迁建）</w:t>
            </w:r>
          </w:p>
          <w:p w14:paraId="05591F34">
            <w:pPr>
              <w:jc w:val="left"/>
              <w:rPr>
                <w:rFonts w:hint="default" w:ascii="Times New Roman" w:hAnsi="Times New Roman" w:cs="Times New Roman"/>
                <w:color w:val="auto"/>
                <w:sz w:val="24"/>
                <w:szCs w:val="24"/>
              </w:rPr>
            </w:pPr>
            <w:r>
              <w:rPr>
                <w:rFonts w:hint="eastAsia" w:cs="Times New Roman"/>
                <w:color w:val="auto"/>
                <w:sz w:val="24"/>
                <w:lang w:eastAsia="zh-CN"/>
              </w:rPr>
              <w:t>□</w:t>
            </w:r>
            <w:r>
              <w:rPr>
                <w:rFonts w:hint="default" w:ascii="Times New Roman" w:hAnsi="Times New Roman" w:cs="Times New Roman"/>
                <w:color w:val="auto"/>
                <w:sz w:val="24"/>
                <w:szCs w:val="24"/>
              </w:rPr>
              <w:t>改建</w:t>
            </w:r>
          </w:p>
          <w:p w14:paraId="5C8E350A">
            <w:pPr>
              <w:jc w:val="left"/>
              <w:rPr>
                <w:rFonts w:hint="default" w:ascii="Times New Roman" w:hAnsi="Times New Roman" w:cs="Times New Roman"/>
                <w:color w:val="auto"/>
                <w:sz w:val="24"/>
                <w:szCs w:val="24"/>
              </w:rPr>
            </w:pPr>
            <w:r>
              <w:rPr>
                <w:rFonts w:hint="eastAsia" w:cs="Times New Roman"/>
                <w:color w:val="auto"/>
                <w:sz w:val="24"/>
                <w:lang w:eastAsia="zh-CN"/>
              </w:rPr>
              <w:t>□</w:t>
            </w:r>
            <w:r>
              <w:rPr>
                <w:rFonts w:hint="default" w:ascii="Times New Roman" w:hAnsi="Times New Roman" w:cs="Times New Roman"/>
                <w:color w:val="auto"/>
                <w:sz w:val="24"/>
                <w:szCs w:val="24"/>
              </w:rPr>
              <w:t>扩建</w:t>
            </w:r>
          </w:p>
          <w:p w14:paraId="7056B525">
            <w:pPr>
              <w:jc w:val="left"/>
              <w:rPr>
                <w:rFonts w:hint="default" w:ascii="Times New Roman" w:hAnsi="Times New Roman" w:cs="Times New Roman"/>
                <w:color w:val="auto"/>
                <w:sz w:val="24"/>
                <w:szCs w:val="24"/>
              </w:rPr>
            </w:pPr>
            <w:r>
              <w:rPr>
                <w:rFonts w:hint="eastAsia" w:cs="Times New Roman"/>
                <w:color w:val="auto"/>
                <w:sz w:val="24"/>
                <w:lang w:eastAsia="zh-CN"/>
              </w:rPr>
              <w:t>☑</w:t>
            </w:r>
            <w:r>
              <w:rPr>
                <w:rFonts w:hint="default" w:ascii="Times New Roman" w:hAnsi="Times New Roman" w:cs="Times New Roman"/>
                <w:color w:val="auto"/>
                <w:sz w:val="24"/>
                <w:szCs w:val="24"/>
              </w:rPr>
              <w:t>技术改造</w:t>
            </w:r>
          </w:p>
        </w:tc>
        <w:tc>
          <w:tcPr>
            <w:tcW w:w="2535" w:type="dxa"/>
            <w:noWrap w:val="0"/>
            <w:vAlign w:val="center"/>
          </w:tcPr>
          <w:p w14:paraId="609242E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3F42B88D">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098" w:type="dxa"/>
            <w:noWrap w:val="0"/>
            <w:vAlign w:val="center"/>
          </w:tcPr>
          <w:p w14:paraId="443BE9F9">
            <w:pPr>
              <w:jc w:val="left"/>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 xml:space="preserve">首次申报项目             </w:t>
            </w:r>
          </w:p>
          <w:p w14:paraId="3598EFA0">
            <w:pPr>
              <w:jc w:val="left"/>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不予批准后再次申报项目</w:t>
            </w:r>
          </w:p>
          <w:p w14:paraId="71D0D031">
            <w:pPr>
              <w:jc w:val="left"/>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 xml:space="preserve">超五年重新审核项目     </w:t>
            </w:r>
          </w:p>
          <w:p w14:paraId="66509EA8">
            <w:pPr>
              <w:jc w:val="left"/>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重大变动重新报批项目</w:t>
            </w:r>
          </w:p>
        </w:tc>
      </w:tr>
      <w:tr w14:paraId="43057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1028" w:type="dxa"/>
            <w:noWrap w:val="0"/>
            <w:tcMar>
              <w:top w:w="16" w:type="dxa"/>
              <w:left w:w="16" w:type="dxa"/>
              <w:right w:w="16" w:type="dxa"/>
            </w:tcMar>
            <w:vAlign w:val="center"/>
          </w:tcPr>
          <w:p w14:paraId="3B6E3A7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058BB59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3123" w:type="dxa"/>
            <w:noWrap w:val="0"/>
            <w:vAlign w:val="center"/>
          </w:tcPr>
          <w:p w14:paraId="0AAD6447">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寻甸回族彝族自治县发展和改革局</w:t>
            </w:r>
          </w:p>
        </w:tc>
        <w:tc>
          <w:tcPr>
            <w:tcW w:w="2535" w:type="dxa"/>
            <w:noWrap w:val="0"/>
            <w:vAlign w:val="center"/>
          </w:tcPr>
          <w:p w14:paraId="15678BED">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36F0CBA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3098" w:type="dxa"/>
            <w:noWrap w:val="0"/>
            <w:vAlign w:val="center"/>
          </w:tcPr>
          <w:p w14:paraId="24BEA7AC">
            <w:pPr>
              <w:tabs>
                <w:tab w:val="center" w:pos="1445"/>
                <w:tab w:val="right" w:pos="2770"/>
              </w:tabs>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14:paraId="2E4754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028" w:type="dxa"/>
            <w:noWrap w:val="0"/>
            <w:tcMar>
              <w:top w:w="16" w:type="dxa"/>
              <w:left w:w="16" w:type="dxa"/>
              <w:right w:w="16" w:type="dxa"/>
            </w:tcMar>
            <w:vAlign w:val="center"/>
          </w:tcPr>
          <w:p w14:paraId="1449EB2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3123" w:type="dxa"/>
            <w:noWrap w:val="0"/>
            <w:vAlign w:val="center"/>
          </w:tcPr>
          <w:p w14:paraId="3703E353">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1500</w:t>
            </w:r>
          </w:p>
        </w:tc>
        <w:tc>
          <w:tcPr>
            <w:tcW w:w="2535" w:type="dxa"/>
            <w:noWrap w:val="0"/>
            <w:tcMar>
              <w:top w:w="16" w:type="dxa"/>
              <w:left w:w="16" w:type="dxa"/>
              <w:right w:w="16" w:type="dxa"/>
            </w:tcMar>
            <w:vAlign w:val="center"/>
          </w:tcPr>
          <w:p w14:paraId="427B049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3098" w:type="dxa"/>
            <w:noWrap w:val="0"/>
            <w:vAlign w:val="center"/>
          </w:tcPr>
          <w:p w14:paraId="748F2E9D">
            <w:pPr>
              <w:tabs>
                <w:tab w:val="center" w:pos="1385"/>
              </w:tabs>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104.75</w:t>
            </w:r>
          </w:p>
        </w:tc>
      </w:tr>
      <w:tr w14:paraId="36EF8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028" w:type="dxa"/>
            <w:noWrap w:val="0"/>
            <w:tcMar>
              <w:top w:w="16" w:type="dxa"/>
              <w:left w:w="16" w:type="dxa"/>
              <w:right w:w="16" w:type="dxa"/>
            </w:tcMar>
            <w:vAlign w:val="center"/>
          </w:tcPr>
          <w:p w14:paraId="16B4ECF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3123" w:type="dxa"/>
            <w:noWrap w:val="0"/>
            <w:vAlign w:val="center"/>
          </w:tcPr>
          <w:p w14:paraId="6552F4C9">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6.98</w:t>
            </w:r>
          </w:p>
        </w:tc>
        <w:tc>
          <w:tcPr>
            <w:tcW w:w="2535" w:type="dxa"/>
            <w:noWrap w:val="0"/>
            <w:tcMar>
              <w:top w:w="16" w:type="dxa"/>
              <w:left w:w="16" w:type="dxa"/>
              <w:right w:w="16" w:type="dxa"/>
            </w:tcMar>
            <w:vAlign w:val="center"/>
          </w:tcPr>
          <w:p w14:paraId="2785C2E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098" w:type="dxa"/>
            <w:noWrap w:val="0"/>
            <w:vAlign w:val="center"/>
          </w:tcPr>
          <w:p w14:paraId="6859BC4F">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个月</w:t>
            </w:r>
          </w:p>
        </w:tc>
      </w:tr>
      <w:tr w14:paraId="1E761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8" w:type="dxa"/>
            <w:noWrap w:val="0"/>
            <w:tcMar>
              <w:top w:w="16" w:type="dxa"/>
              <w:left w:w="16" w:type="dxa"/>
              <w:right w:w="16" w:type="dxa"/>
            </w:tcMar>
            <w:vAlign w:val="center"/>
          </w:tcPr>
          <w:p w14:paraId="7E9D926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3123" w:type="dxa"/>
            <w:noWrap w:val="0"/>
            <w:vAlign w:val="center"/>
          </w:tcPr>
          <w:p w14:paraId="1833E7EA">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否</w:t>
            </w:r>
          </w:p>
          <w:p w14:paraId="0F616723">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p>
        </w:tc>
        <w:tc>
          <w:tcPr>
            <w:tcW w:w="2535" w:type="dxa"/>
            <w:noWrap w:val="0"/>
            <w:tcMar>
              <w:top w:w="16" w:type="dxa"/>
              <w:left w:w="16" w:type="dxa"/>
              <w:right w:w="16" w:type="dxa"/>
            </w:tcMar>
            <w:vAlign w:val="center"/>
          </w:tcPr>
          <w:p w14:paraId="04827E48">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14:paraId="7678D70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3098" w:type="dxa"/>
            <w:noWrap w:val="0"/>
            <w:vAlign w:val="center"/>
          </w:tcPr>
          <w:p w14:paraId="39D51AEE">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w:t>
            </w:r>
          </w:p>
        </w:tc>
      </w:tr>
      <w:tr w14:paraId="1856C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8" w:type="dxa"/>
            <w:noWrap w:val="0"/>
            <w:vAlign w:val="center"/>
          </w:tcPr>
          <w:p w14:paraId="722857F2">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w:t>
            </w:r>
          </w:p>
          <w:p w14:paraId="707F1B83">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情况</w:t>
            </w:r>
          </w:p>
        </w:tc>
        <w:tc>
          <w:tcPr>
            <w:tcW w:w="8756" w:type="dxa"/>
            <w:gridSpan w:val="3"/>
            <w:noWrap w:val="0"/>
            <w:vAlign w:val="center"/>
          </w:tcPr>
          <w:p w14:paraId="24EA9B8A">
            <w:pPr>
              <w:bidi w:val="0"/>
              <w:spacing w:line="360" w:lineRule="auto"/>
              <w:ind w:firstLine="480" w:firstLineChars="20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根据《建设项目环境影响报告表编制技术指南》（污染影响类）（试行）“表1</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Times New Roman" w:cs="Times New Roman"/>
                <w:color w:val="auto"/>
                <w:sz w:val="24"/>
                <w:szCs w:val="24"/>
                <w:highlight w:val="none"/>
                <w:lang w:val="zh-CN"/>
              </w:rPr>
              <w:t>专项评价设置原则表”的要求，本项目专项评价设置情况具体如下表所示。</w:t>
            </w:r>
          </w:p>
          <w:p w14:paraId="76FCDEC6">
            <w:pPr>
              <w:keepNext w:val="0"/>
              <w:keepLines w:val="0"/>
              <w:suppressLineNumbers w:val="0"/>
              <w:spacing w:before="0" w:beforeLines="0" w:beforeAutospacing="0" w:after="0" w:afterLines="0" w:afterAutospacing="0" w:line="240" w:lineRule="auto"/>
              <w:ind w:left="0" w:right="0" w:firstLine="48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表1-1 专项评价设置情况分析表</w:t>
            </w:r>
          </w:p>
          <w:tbl>
            <w:tblPr>
              <w:tblStyle w:val="28"/>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3082"/>
              <w:gridCol w:w="3450"/>
              <w:gridCol w:w="936"/>
            </w:tblGrid>
            <w:tr w14:paraId="7BBF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7" w:type="dxa"/>
                  <w:noWrap w:val="0"/>
                  <w:vAlign w:val="center"/>
                </w:tcPr>
                <w:p w14:paraId="232B981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cs="Times New Roman"/>
                      <w:b/>
                      <w:bCs/>
                      <w:color w:val="auto"/>
                      <w:kern w:val="0"/>
                      <w:sz w:val="21"/>
                      <w:szCs w:val="21"/>
                      <w:highlight w:val="none"/>
                      <w:vertAlign w:val="baseline"/>
                      <w:lang w:val="en-US" w:eastAsia="zh-CN"/>
                    </w:rPr>
                    <w:t>环境影响因素</w:t>
                  </w:r>
                </w:p>
              </w:tc>
              <w:tc>
                <w:tcPr>
                  <w:tcW w:w="3082" w:type="dxa"/>
                  <w:noWrap w:val="0"/>
                  <w:vAlign w:val="center"/>
                </w:tcPr>
                <w:p w14:paraId="4EE4832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cs="Times New Roman"/>
                      <w:b/>
                      <w:bCs/>
                      <w:color w:val="auto"/>
                      <w:kern w:val="0"/>
                      <w:sz w:val="21"/>
                      <w:szCs w:val="21"/>
                      <w:highlight w:val="none"/>
                      <w:vertAlign w:val="baseline"/>
                      <w:lang w:val="en-US" w:eastAsia="zh-CN"/>
                    </w:rPr>
                    <w:t>专项设置规则</w:t>
                  </w:r>
                </w:p>
              </w:tc>
              <w:tc>
                <w:tcPr>
                  <w:tcW w:w="3450" w:type="dxa"/>
                  <w:noWrap w:val="0"/>
                  <w:vAlign w:val="center"/>
                </w:tcPr>
                <w:p w14:paraId="4DC8ACB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cs="Times New Roman"/>
                      <w:b/>
                      <w:bCs/>
                      <w:color w:val="auto"/>
                      <w:kern w:val="0"/>
                      <w:sz w:val="21"/>
                      <w:szCs w:val="21"/>
                      <w:highlight w:val="none"/>
                      <w:vertAlign w:val="baseline"/>
                      <w:lang w:val="en-US" w:eastAsia="zh-CN"/>
                    </w:rPr>
                    <w:t>本项目情况</w:t>
                  </w:r>
                </w:p>
              </w:tc>
              <w:tc>
                <w:tcPr>
                  <w:tcW w:w="936" w:type="dxa"/>
                  <w:noWrap w:val="0"/>
                  <w:vAlign w:val="center"/>
                </w:tcPr>
                <w:p w14:paraId="4834FD5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cs="Times New Roman"/>
                      <w:b/>
                      <w:bCs/>
                      <w:color w:val="auto"/>
                      <w:kern w:val="0"/>
                      <w:sz w:val="21"/>
                      <w:szCs w:val="21"/>
                      <w:highlight w:val="none"/>
                      <w:vertAlign w:val="baseline"/>
                      <w:lang w:val="en-US" w:eastAsia="zh-CN"/>
                    </w:rPr>
                    <w:t>是否设置专项</w:t>
                  </w:r>
                </w:p>
              </w:tc>
            </w:tr>
            <w:tr w14:paraId="5909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67" w:type="dxa"/>
                  <w:noWrap w:val="0"/>
                  <w:vAlign w:val="center"/>
                </w:tcPr>
                <w:p w14:paraId="11D7AD8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大气</w:t>
                  </w:r>
                </w:p>
              </w:tc>
              <w:tc>
                <w:tcPr>
                  <w:tcW w:w="3082" w:type="dxa"/>
                  <w:noWrap w:val="0"/>
                  <w:vAlign w:val="center"/>
                </w:tcPr>
                <w:p w14:paraId="0DBEBE0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jc w:val="both"/>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eastAsia="Times New Roman" w:cs="Times New Roman"/>
                      <w:color w:val="auto"/>
                      <w:sz w:val="21"/>
                      <w:szCs w:val="21"/>
                      <w:highlight w:val="none"/>
                      <w:lang w:val="zh-CN"/>
                    </w:rPr>
                    <w:t>排放废气含有《有毒有害大气污染物名录》的污染物（不包括无排放标准的污染物）、二噁英、苯并[a]芘、氰化物、氯气且厂界外500米范围内有环境空气保护目标的建设项目。</w:t>
                  </w:r>
                </w:p>
              </w:tc>
              <w:tc>
                <w:tcPr>
                  <w:tcW w:w="3450" w:type="dxa"/>
                  <w:noWrap w:val="0"/>
                  <w:vAlign w:val="center"/>
                </w:tcPr>
                <w:p w14:paraId="227A2F3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both"/>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lang w:val="en-US" w:eastAsia="zh-CN"/>
                    </w:rPr>
                    <w:t>项目运营过程中产生废气主要为非甲烷总烃，不含需设置大气专项评价的排放因子。</w:t>
                  </w:r>
                </w:p>
              </w:tc>
              <w:tc>
                <w:tcPr>
                  <w:tcW w:w="936" w:type="dxa"/>
                  <w:noWrap w:val="0"/>
                  <w:vAlign w:val="center"/>
                </w:tcPr>
                <w:p w14:paraId="55923D4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否</w:t>
                  </w:r>
                </w:p>
              </w:tc>
            </w:tr>
            <w:tr w14:paraId="6DB0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1067" w:type="dxa"/>
                  <w:noWrap w:val="0"/>
                  <w:vAlign w:val="center"/>
                </w:tcPr>
                <w:p w14:paraId="3F06FA5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地表水</w:t>
                  </w:r>
                </w:p>
              </w:tc>
              <w:tc>
                <w:tcPr>
                  <w:tcW w:w="3082" w:type="dxa"/>
                  <w:noWrap w:val="0"/>
                  <w:vAlign w:val="center"/>
                </w:tcPr>
                <w:p w14:paraId="71FC237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jc w:val="both"/>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eastAsia="Times New Roman" w:cs="Times New Roman"/>
                      <w:color w:val="auto"/>
                      <w:sz w:val="21"/>
                      <w:szCs w:val="21"/>
                      <w:highlight w:val="none"/>
                      <w:lang w:val="zh-CN"/>
                    </w:rPr>
                    <w:t>新增工业废水直排建设项目（槽罐车外送污水处理厂的除外）；新增废水直排的污水集中处理厂。</w:t>
                  </w:r>
                </w:p>
              </w:tc>
              <w:tc>
                <w:tcPr>
                  <w:tcW w:w="3450" w:type="dxa"/>
                  <w:noWrap w:val="0"/>
                  <w:vAlign w:val="center"/>
                </w:tcPr>
                <w:p w14:paraId="35EFE54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both"/>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lang w:val="en-US" w:eastAsia="zh-CN"/>
                    </w:rPr>
                    <w:t>本项目无</w:t>
                  </w:r>
                  <w:r>
                    <w:rPr>
                      <w:rFonts w:hint="default" w:ascii="Times New Roman" w:hAnsi="Times New Roman" w:eastAsia="宋体" w:cs="Times New Roman"/>
                      <w:color w:val="auto"/>
                      <w:kern w:val="0"/>
                      <w:sz w:val="21"/>
                      <w:szCs w:val="21"/>
                      <w:highlight w:val="none"/>
                      <w:lang w:val="en-US" w:eastAsia="zh-CN"/>
                    </w:rPr>
                    <w:t>生产废水</w:t>
                  </w:r>
                  <w:r>
                    <w:rPr>
                      <w:rFonts w:hint="default" w:ascii="Times New Roman" w:hAnsi="Times New Roman" w:cs="Times New Roman"/>
                      <w:color w:val="auto"/>
                      <w:kern w:val="0"/>
                      <w:sz w:val="21"/>
                      <w:szCs w:val="21"/>
                      <w:highlight w:val="none"/>
                      <w:lang w:val="en-US" w:eastAsia="zh-CN"/>
                    </w:rPr>
                    <w:t>产生</w:t>
                  </w:r>
                  <w:r>
                    <w:rPr>
                      <w:rFonts w:hint="default" w:ascii="Times New Roman" w:hAnsi="Times New Roman" w:eastAsia="宋体" w:cs="Times New Roman"/>
                      <w:color w:val="auto"/>
                      <w:kern w:val="0"/>
                      <w:sz w:val="21"/>
                      <w:szCs w:val="21"/>
                      <w:highlight w:val="none"/>
                      <w:lang w:val="en-US" w:eastAsia="zh-CN"/>
                    </w:rPr>
                    <w:t>。项目区食堂含油废水经隔油池预处理后与其余办公生活废水及外来人员冲厕废水一同进入化粪池处理，地面冲洗废水经三级油水分离池处理，上述所有废水最终</w:t>
                  </w:r>
                  <w:r>
                    <w:rPr>
                      <w:rFonts w:hint="eastAsia" w:ascii="Times New Roman" w:hAnsi="Times New Roman" w:eastAsia="宋体" w:cs="Times New Roman"/>
                      <w:color w:val="auto"/>
                      <w:kern w:val="0"/>
                      <w:sz w:val="21"/>
                      <w:szCs w:val="21"/>
                      <w:highlight w:val="none"/>
                      <w:lang w:val="en-US" w:eastAsia="zh-CN"/>
                    </w:rPr>
                    <w:t>委托寻甸绿运垃圾清运有限公司</w:t>
                  </w:r>
                  <w:r>
                    <w:rPr>
                      <w:rFonts w:hint="eastAsia" w:cs="Times New Roman"/>
                      <w:color w:val="auto"/>
                      <w:kern w:val="0"/>
                      <w:sz w:val="21"/>
                      <w:szCs w:val="21"/>
                      <w:highlight w:val="none"/>
                      <w:lang w:val="en-US" w:eastAsia="zh-CN"/>
                    </w:rPr>
                    <w:t>清运处置</w:t>
                  </w:r>
                  <w:r>
                    <w:rPr>
                      <w:rFonts w:hint="default" w:ascii="Times New Roman" w:hAnsi="Times New Roman" w:eastAsia="宋体" w:cs="Times New Roman"/>
                      <w:snapToGrid w:val="0"/>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故本次评价地表水不开展专项评价。</w:t>
                  </w:r>
                </w:p>
              </w:tc>
              <w:tc>
                <w:tcPr>
                  <w:tcW w:w="936" w:type="dxa"/>
                  <w:noWrap w:val="0"/>
                  <w:vAlign w:val="center"/>
                </w:tcPr>
                <w:p w14:paraId="46FEB73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否</w:t>
                  </w:r>
                </w:p>
              </w:tc>
            </w:tr>
            <w:tr w14:paraId="7727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1067" w:type="dxa"/>
                  <w:noWrap w:val="0"/>
                  <w:vAlign w:val="center"/>
                </w:tcPr>
                <w:p w14:paraId="24AC7EA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环境风险</w:t>
                  </w:r>
                </w:p>
              </w:tc>
              <w:tc>
                <w:tcPr>
                  <w:tcW w:w="3082" w:type="dxa"/>
                  <w:noWrap w:val="0"/>
                  <w:vAlign w:val="center"/>
                </w:tcPr>
                <w:p w14:paraId="1C7C5CD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jc w:val="both"/>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有毒有害和易燃易爆危险物质存储量超过临界量的建设项目。</w:t>
                  </w:r>
                </w:p>
              </w:tc>
              <w:tc>
                <w:tcPr>
                  <w:tcW w:w="3450" w:type="dxa"/>
                  <w:noWrap w:val="0"/>
                  <w:vAlign w:val="center"/>
                </w:tcPr>
                <w:p w14:paraId="4965B03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jc w:val="both"/>
                    <w:textAlignment w:val="auto"/>
                    <w:rPr>
                      <w:rFonts w:hint="default"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en-US" w:eastAsia="zh-CN"/>
                    </w:rPr>
                    <w:t>本项目涉及的危险物质为柴油、汽油和废机油，柴油最大储存量约为22.95t（临界量2500t），汽油最大储存量约为40.5t（临界量2500t），废矿物油最大储存量约为0.575t（临界量2500t），均不存在</w:t>
                  </w:r>
                  <w:r>
                    <w:rPr>
                      <w:rFonts w:hint="default" w:ascii="Times New Roman" w:hAnsi="Times New Roman" w:eastAsia="Times New Roman" w:cs="Times New Roman"/>
                      <w:color w:val="auto"/>
                      <w:sz w:val="21"/>
                      <w:szCs w:val="21"/>
                      <w:highlight w:val="none"/>
                      <w:lang w:val="zh-CN"/>
                    </w:rPr>
                    <w:t>危险物质存储量超过临界量的情况，故不开展环境风险专项评价。</w:t>
                  </w:r>
                </w:p>
              </w:tc>
              <w:tc>
                <w:tcPr>
                  <w:tcW w:w="936" w:type="dxa"/>
                  <w:noWrap w:val="0"/>
                  <w:vAlign w:val="center"/>
                </w:tcPr>
                <w:p w14:paraId="48B551F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否</w:t>
                  </w:r>
                </w:p>
              </w:tc>
            </w:tr>
            <w:tr w14:paraId="14FC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7" w:type="dxa"/>
                  <w:noWrap w:val="0"/>
                  <w:vAlign w:val="center"/>
                </w:tcPr>
                <w:p w14:paraId="5B49496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生态</w:t>
                  </w:r>
                </w:p>
              </w:tc>
              <w:tc>
                <w:tcPr>
                  <w:tcW w:w="3082" w:type="dxa"/>
                  <w:noWrap w:val="0"/>
                  <w:vAlign w:val="center"/>
                </w:tcPr>
                <w:p w14:paraId="3FE60A1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eastAsia="Times New Roman" w:cs="Times New Roman"/>
                      <w:color w:val="auto"/>
                      <w:sz w:val="21"/>
                      <w:szCs w:val="21"/>
                      <w:highlight w:val="none"/>
                      <w:lang w:val="zh-CN"/>
                    </w:rPr>
                    <w:t>取水口下游500米范围内有重要水生生物的自然产卵场、索饵场、越冬场和洄游通道的新增河道取水的污染类建设项目。</w:t>
                  </w:r>
                </w:p>
              </w:tc>
              <w:tc>
                <w:tcPr>
                  <w:tcW w:w="3450" w:type="dxa"/>
                  <w:noWrap w:val="0"/>
                  <w:vAlign w:val="center"/>
                </w:tcPr>
                <w:p w14:paraId="1A9DDA6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本项目用水为自来水，不涉及河道取水，故不开展生态专项评价。</w:t>
                  </w:r>
                </w:p>
              </w:tc>
              <w:tc>
                <w:tcPr>
                  <w:tcW w:w="936" w:type="dxa"/>
                  <w:noWrap w:val="0"/>
                  <w:vAlign w:val="center"/>
                </w:tcPr>
                <w:p w14:paraId="56BF1A0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否</w:t>
                  </w:r>
                </w:p>
              </w:tc>
            </w:tr>
            <w:tr w14:paraId="5CC6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067" w:type="dxa"/>
                  <w:noWrap w:val="0"/>
                  <w:vAlign w:val="center"/>
                </w:tcPr>
                <w:p w14:paraId="3160B31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海洋</w:t>
                  </w:r>
                </w:p>
              </w:tc>
              <w:tc>
                <w:tcPr>
                  <w:tcW w:w="3082" w:type="dxa"/>
                  <w:noWrap w:val="0"/>
                  <w:vAlign w:val="center"/>
                </w:tcPr>
                <w:p w14:paraId="43FBA2D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jc w:val="center"/>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eastAsia="Times New Roman" w:cs="Times New Roman"/>
                      <w:color w:val="auto"/>
                      <w:sz w:val="21"/>
                      <w:szCs w:val="21"/>
                      <w:highlight w:val="none"/>
                      <w:lang w:val="zh-CN"/>
                    </w:rPr>
                    <w:t>直接向海排放污染物的海洋工程建设项目。</w:t>
                  </w:r>
                </w:p>
              </w:tc>
              <w:tc>
                <w:tcPr>
                  <w:tcW w:w="3450" w:type="dxa"/>
                  <w:noWrap w:val="0"/>
                  <w:vAlign w:val="center"/>
                </w:tcPr>
                <w:p w14:paraId="248C9A8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本项目不属于海洋工程，不涉及向海排放污染物，故不开展海洋专项评价。</w:t>
                  </w:r>
                </w:p>
              </w:tc>
              <w:tc>
                <w:tcPr>
                  <w:tcW w:w="936" w:type="dxa"/>
                  <w:noWrap w:val="0"/>
                  <w:vAlign w:val="center"/>
                </w:tcPr>
                <w:p w14:paraId="03E4D96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b/>
                      <w:bCs/>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否</w:t>
                  </w:r>
                </w:p>
              </w:tc>
            </w:tr>
          </w:tbl>
          <w:p w14:paraId="71A8D05B">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p>
        </w:tc>
      </w:tr>
      <w:tr w14:paraId="7DC8FC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8" w:type="dxa"/>
            <w:noWrap w:val="0"/>
            <w:vAlign w:val="center"/>
          </w:tcPr>
          <w:p w14:paraId="62845E39">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8756" w:type="dxa"/>
            <w:gridSpan w:val="3"/>
            <w:noWrap w:val="0"/>
            <w:vAlign w:val="center"/>
          </w:tcPr>
          <w:p w14:paraId="27216E7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无</w:t>
            </w:r>
          </w:p>
        </w:tc>
      </w:tr>
      <w:tr w14:paraId="09E52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8" w:type="dxa"/>
            <w:noWrap w:val="0"/>
            <w:vAlign w:val="center"/>
          </w:tcPr>
          <w:p w14:paraId="197A801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14:paraId="5962B29D">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8756" w:type="dxa"/>
            <w:gridSpan w:val="3"/>
            <w:noWrap w:val="0"/>
            <w:vAlign w:val="center"/>
          </w:tcPr>
          <w:p w14:paraId="018B460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无</w:t>
            </w:r>
          </w:p>
        </w:tc>
      </w:tr>
      <w:tr w14:paraId="05201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8" w:type="dxa"/>
            <w:noWrap w:val="0"/>
            <w:vAlign w:val="center"/>
          </w:tcPr>
          <w:p w14:paraId="5FA73A1B">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8756" w:type="dxa"/>
            <w:gridSpan w:val="3"/>
            <w:noWrap w:val="0"/>
            <w:vAlign w:val="center"/>
          </w:tcPr>
          <w:p w14:paraId="4DE8EE41">
            <w:pPr>
              <w:bidi w:val="0"/>
              <w:spacing w:line="360" w:lineRule="auto"/>
              <w:jc w:val="center"/>
              <w:rPr>
                <w:rFonts w:hint="default" w:ascii="Times New Roman" w:hAnsi="Times New Roman" w:cs="Times New Roman"/>
                <w:color w:val="auto"/>
                <w:lang w:val="en-US" w:eastAsia="zh-CN"/>
              </w:rPr>
            </w:pPr>
            <w:r>
              <w:rPr>
                <w:rFonts w:hint="eastAsia" w:cs="Times New Roman"/>
                <w:color w:val="auto"/>
                <w:kern w:val="0"/>
                <w:sz w:val="21"/>
                <w:szCs w:val="21"/>
                <w:lang w:val="en-US" w:eastAsia="zh-CN" w:bidi="ar-SA"/>
              </w:rPr>
              <w:t>无</w:t>
            </w:r>
          </w:p>
        </w:tc>
      </w:tr>
      <w:tr w14:paraId="04E5D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8" w:type="dxa"/>
            <w:noWrap w:val="0"/>
            <w:vAlign w:val="center"/>
          </w:tcPr>
          <w:p w14:paraId="6D78B8CB">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8756" w:type="dxa"/>
            <w:gridSpan w:val="3"/>
            <w:noWrap w:val="0"/>
            <w:vAlign w:val="center"/>
          </w:tcPr>
          <w:p w14:paraId="0BBF6EF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三线一单</w:t>
            </w:r>
            <w:r>
              <w:rPr>
                <w:rFonts w:hint="default" w:ascii="Times New Roman" w:hAnsi="Times New Roman" w:eastAsia="宋体" w:cs="Times New Roman"/>
                <w:b/>
                <w:bCs/>
                <w:color w:val="auto"/>
                <w:sz w:val="24"/>
                <w:lang w:eastAsia="zh-CN"/>
              </w:rPr>
              <w:t>”的符合性分析</w:t>
            </w:r>
          </w:p>
          <w:p w14:paraId="1B62DAD2">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cs="Times New Roman"/>
                <w:b w:val="0"/>
                <w:bCs w:val="0"/>
                <w:color w:val="auto"/>
                <w:sz w:val="24"/>
                <w:highlight w:val="none"/>
                <w:lang w:val="en-US" w:eastAsia="zh-CN"/>
              </w:rPr>
              <w:t>根据《昆明市生态环境分区管控动态更新方案》</w:t>
            </w:r>
            <w:r>
              <w:rPr>
                <w:rFonts w:hint="eastAsia" w:cs="Times New Roman"/>
                <w:b w:val="0"/>
                <w:bCs w:val="0"/>
                <w:color w:val="auto"/>
                <w:sz w:val="24"/>
                <w:highlight w:val="none"/>
                <w:lang w:val="en-US" w:eastAsia="zh-CN"/>
              </w:rPr>
              <w:t>，寻甸县共计10个管控单元，</w:t>
            </w:r>
            <w:r>
              <w:rPr>
                <w:rFonts w:hint="default" w:ascii="Times New Roman" w:hAnsi="Times New Roman" w:eastAsia="宋体" w:cs="Times New Roman"/>
                <w:color w:val="auto"/>
                <w:sz w:val="24"/>
                <w:lang w:val="en-US" w:eastAsia="zh-CN"/>
              </w:rPr>
              <w:t>其中：3个优先保护单元，分别是寻甸回族彝族自治县生态保护红线优先保护单元、寻甸回族彝族自治县饮用水水源地优先保护单元、寻甸回族彝族自治县一般生态空间优先保护单元；1个一般管控单元；</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个重点管控单元，分别是寻甸回族彝族自治县矿产资源重点管控单元、云南寻甸产业园区重点管控单元、寻甸回族彝族自治县大气环境受体敏感重点管控单元、云南东川产业园区（天生桥片区）重点管控单元、寻甸回族彝族自治县乡镇生活污染重点管控单元、寻甸回族彝族自治县城区生活污染重点管控单元</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根据附件15《关于查询梧桐加油站隐患原址改造项目涉及生态环境分区管控情况的复函》（昆环评估复函</w:t>
            </w:r>
            <w:r>
              <w:rPr>
                <w:rFonts w:hint="eastAsia" w:ascii="微软雅黑" w:hAnsi="微软雅黑" w:eastAsia="微软雅黑" w:cs="微软雅黑"/>
                <w:color w:val="auto"/>
                <w:sz w:val="24"/>
                <w:highlight w:val="none"/>
                <w:lang w:val="en-US" w:eastAsia="zh-CN"/>
              </w:rPr>
              <w:t>〔</w:t>
            </w:r>
            <w:r>
              <w:rPr>
                <w:rFonts w:hint="eastAsia" w:cs="Times New Roman"/>
                <w:color w:val="auto"/>
                <w:sz w:val="24"/>
                <w:highlight w:val="none"/>
                <w:lang w:val="en-US" w:eastAsia="zh-CN"/>
              </w:rPr>
              <w:t>2024</w:t>
            </w:r>
            <w:r>
              <w:rPr>
                <w:rFonts w:hint="eastAsia" w:ascii="微软雅黑" w:hAnsi="微软雅黑" w:eastAsia="微软雅黑" w:cs="微软雅黑"/>
                <w:color w:val="auto"/>
                <w:sz w:val="24"/>
                <w:highlight w:val="none"/>
                <w:lang w:val="en-US" w:eastAsia="zh-CN"/>
              </w:rPr>
              <w:t>〕</w:t>
            </w:r>
            <w:r>
              <w:rPr>
                <w:rFonts w:hint="eastAsia" w:cs="Times New Roman"/>
                <w:color w:val="auto"/>
                <w:sz w:val="24"/>
                <w:highlight w:val="none"/>
                <w:lang w:val="en-US" w:eastAsia="zh-CN"/>
              </w:rPr>
              <w:t>365号），本项目属于寻甸回族彝族自治县一般管控单元。</w:t>
            </w:r>
          </w:p>
          <w:p w14:paraId="0AA5A27A">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lang w:val="en-US" w:eastAsia="zh-CN"/>
              </w:rPr>
              <w:t>项目与《昆明市生态环境分区管控动态更新方案》</w:t>
            </w:r>
            <w:r>
              <w:rPr>
                <w:rFonts w:hint="default" w:ascii="Times New Roman" w:hAnsi="Times New Roman" w:eastAsia="宋体" w:cs="Times New Roman"/>
                <w:b w:val="0"/>
                <w:bCs w:val="0"/>
                <w:color w:val="auto"/>
                <w:sz w:val="24"/>
                <w:highlight w:val="none"/>
                <w:lang w:val="en-US" w:eastAsia="zh-CN"/>
              </w:rPr>
              <w:t>符合性分析如表1-</w:t>
            </w: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val="en-US" w:eastAsia="zh-CN"/>
              </w:rPr>
              <w:t>所示。</w:t>
            </w:r>
          </w:p>
          <w:p w14:paraId="6DAB0039">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表1-</w:t>
            </w:r>
            <w:r>
              <w:rPr>
                <w:rFonts w:hint="eastAsia" w:cs="Times New Roman"/>
                <w:b/>
                <w:bCs/>
                <w:color w:val="auto"/>
                <w:lang w:val="en-US" w:eastAsia="zh-CN"/>
              </w:rPr>
              <w:t>2</w:t>
            </w:r>
            <w:r>
              <w:rPr>
                <w:rFonts w:hint="default" w:ascii="Times New Roman" w:hAnsi="Times New Roman" w:cs="Times New Roman"/>
                <w:b/>
                <w:bCs/>
                <w:color w:val="auto"/>
              </w:rPr>
              <w:t xml:space="preserve"> 项目与“</w:t>
            </w:r>
            <w:r>
              <w:rPr>
                <w:rFonts w:hint="default" w:ascii="Times New Roman" w:hAnsi="Times New Roman" w:cs="Times New Roman"/>
                <w:b/>
                <w:bCs/>
                <w:color w:val="auto"/>
                <w:lang w:val="en-US" w:eastAsia="zh-CN"/>
              </w:rPr>
              <w:t>昆明市生态环境分区管控动态更新方案</w:t>
            </w:r>
            <w:r>
              <w:rPr>
                <w:rFonts w:hint="default" w:ascii="Times New Roman" w:hAnsi="Times New Roman" w:cs="Times New Roman"/>
                <w:b/>
                <w:bCs/>
                <w:color w:val="auto"/>
              </w:rPr>
              <w:t>”的符合性分析情况一览表</w:t>
            </w:r>
          </w:p>
          <w:tbl>
            <w:tblPr>
              <w:tblStyle w:val="28"/>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646"/>
              <w:gridCol w:w="4426"/>
              <w:gridCol w:w="689"/>
            </w:tblGrid>
            <w:tr w14:paraId="21AD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gridSpan w:val="2"/>
                  <w:noWrap w:val="0"/>
                  <w:vAlign w:val="center"/>
                </w:tcPr>
                <w:p w14:paraId="7ECF13F9">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昆明市生态环境分区管控动态更新方案</w:t>
                  </w:r>
                </w:p>
              </w:tc>
              <w:tc>
                <w:tcPr>
                  <w:tcW w:w="4426" w:type="dxa"/>
                  <w:noWrap w:val="0"/>
                  <w:vAlign w:val="center"/>
                </w:tcPr>
                <w:p w14:paraId="22577D6D">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项目情况</w:t>
                  </w:r>
                </w:p>
              </w:tc>
              <w:tc>
                <w:tcPr>
                  <w:tcW w:w="689" w:type="dxa"/>
                  <w:noWrap w:val="0"/>
                  <w:vAlign w:val="center"/>
                </w:tcPr>
                <w:p w14:paraId="11368ECB">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符合情况</w:t>
                  </w:r>
                </w:p>
              </w:tc>
            </w:tr>
            <w:tr w14:paraId="756A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8" w:type="dxa"/>
                  <w:gridSpan w:val="4"/>
                  <w:noWrap w:val="0"/>
                  <w:vAlign w:val="center"/>
                </w:tcPr>
                <w:p w14:paraId="3D1E8292">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Cs w:val="21"/>
                    </w:rPr>
                    <w:t>1、生态保护红线和一般生态空间</w:t>
                  </w:r>
                </w:p>
              </w:tc>
            </w:tr>
            <w:tr w14:paraId="495D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3403" w:type="dxa"/>
                  <w:gridSpan w:val="2"/>
                  <w:noWrap w:val="0"/>
                  <w:vAlign w:val="center"/>
                </w:tcPr>
                <w:p w14:paraId="7D9C97B0">
                  <w:pPr>
                    <w:autoSpaceDE w:val="0"/>
                    <w:autoSpaceDN w:val="0"/>
                    <w:adjustRightInd w:val="0"/>
                    <w:snapToGrid w:val="0"/>
                    <w:jc w:val="both"/>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u w:val="none"/>
                    </w:rPr>
                    <w:t>更新后，生态保护红线全面与《昆明市国土空间总体规划（2021-2035年）》衔接，全市生态保护红线面积4274.70平方公里，占全市国土面积的 20.34%，较原有面积占比减少1.85%。全市一般生态空间面积5151.56km</w:t>
                  </w:r>
                  <w:r>
                    <w:rPr>
                      <w:rFonts w:hint="default" w:ascii="Times New Roman" w:hAnsi="Times New Roman" w:eastAsia="宋体" w:cs="Times New Roman"/>
                      <w:color w:val="auto"/>
                      <w:sz w:val="21"/>
                      <w:szCs w:val="21"/>
                      <w:u w:val="none"/>
                      <w:vertAlign w:val="superscript"/>
                    </w:rPr>
                    <w:t>2</w:t>
                  </w:r>
                  <w:r>
                    <w:rPr>
                      <w:rFonts w:hint="default" w:ascii="Times New Roman" w:hAnsi="Times New Roman" w:eastAsia="宋体" w:cs="Times New Roman"/>
                      <w:color w:val="auto"/>
                      <w:sz w:val="21"/>
                      <w:szCs w:val="21"/>
                      <w:u w:val="none"/>
                    </w:rPr>
                    <w:t>，占国土空间面积的24.37%，较原有面积占比增加2.45%。</w:t>
                  </w:r>
                </w:p>
              </w:tc>
              <w:tc>
                <w:tcPr>
                  <w:tcW w:w="4426" w:type="dxa"/>
                  <w:noWrap w:val="0"/>
                  <w:vAlign w:val="center"/>
                </w:tcPr>
                <w:p w14:paraId="58445354">
                  <w:pPr>
                    <w:autoSpaceDE w:val="0"/>
                    <w:autoSpaceDN w:val="0"/>
                    <w:adjustRightInd w:val="0"/>
                    <w:snapToGrid w:val="0"/>
                    <w:jc w:val="both"/>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lang w:val="en-US" w:eastAsia="zh-CN"/>
                    </w:rPr>
                    <w:t>本项目位于</w:t>
                  </w:r>
                  <w:r>
                    <w:rPr>
                      <w:rFonts w:hint="eastAsia" w:cs="Times New Roman"/>
                      <w:color w:val="auto"/>
                      <w:sz w:val="21"/>
                      <w:szCs w:val="21"/>
                      <w:lang w:val="en-US" w:eastAsia="zh-CN"/>
                    </w:rPr>
                    <w:t>云南省昆明市寻甸县功山镇梧桐村</w:t>
                  </w:r>
                  <w:r>
                    <w:rPr>
                      <w:rFonts w:hint="default" w:ascii="Times New Roman" w:hAnsi="Times New Roman" w:eastAsia="宋体" w:cs="Times New Roman"/>
                      <w:color w:val="auto"/>
                      <w:sz w:val="21"/>
                      <w:szCs w:val="21"/>
                      <w:lang w:val="en-US" w:eastAsia="zh-CN"/>
                    </w:rPr>
                    <w:t>，地处东经</w:t>
                  </w:r>
                  <w:r>
                    <w:rPr>
                      <w:rFonts w:hint="default" w:ascii="Times New Roman" w:hAnsi="Times New Roman" w:eastAsia="宋体" w:cs="Times New Roman"/>
                      <w:color w:val="auto"/>
                      <w:lang w:val="en-US" w:eastAsia="zh-CN"/>
                    </w:rPr>
                    <w:t>102</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lang w:val="en-US" w:eastAsia="zh-CN"/>
                    </w:rPr>
                    <w:t>15</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rPr>
                    <w:t xml:space="preserve"> </w:t>
                  </w:r>
                  <w:r>
                    <w:rPr>
                      <w:rFonts w:hint="eastAsia" w:ascii="Times New Roman" w:hAnsi="Times New Roman" w:eastAsia="宋体" w:cs="Times New Roman"/>
                      <w:color w:val="auto"/>
                      <w:lang w:val="en-US" w:eastAsia="zh-CN"/>
                    </w:rPr>
                    <w:t>34.801</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，北纬</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5</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lang w:val="en-US" w:eastAsia="zh-CN"/>
                    </w:rPr>
                    <w:t>43</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lang w:val="en-US" w:eastAsia="zh-CN"/>
                    </w:rPr>
                    <w:t>26.024</w:t>
                  </w:r>
                  <w:r>
                    <w:rPr>
                      <w:rFonts w:hint="default" w:ascii="Times New Roman" w:hAnsi="Times New Roman" w:cs="Times New Roman"/>
                      <w:color w:val="auto"/>
                      <w:sz w:val="21"/>
                      <w:szCs w:val="21"/>
                      <w:lang w:val="en-US" w:eastAsia="zh-CN"/>
                    </w:rPr>
                    <w:t>″，项目已取得</w:t>
                  </w:r>
                  <w:r>
                    <w:rPr>
                      <w:rFonts w:hint="eastAsia" w:cs="Times New Roman"/>
                      <w:color w:val="auto"/>
                      <w:sz w:val="21"/>
                      <w:szCs w:val="21"/>
                      <w:lang w:val="en-US" w:eastAsia="zh-CN"/>
                    </w:rPr>
                    <w:t>寻甸回族彝族自治县自然资源局</w:t>
                  </w:r>
                  <w:r>
                    <w:rPr>
                      <w:rFonts w:hint="default" w:ascii="Times New Roman" w:hAnsi="Times New Roman" w:eastAsia="宋体" w:cs="Times New Roman"/>
                      <w:color w:val="auto"/>
                      <w:sz w:val="21"/>
                      <w:szCs w:val="21"/>
                      <w:lang w:val="en-US" w:eastAsia="zh-CN"/>
                    </w:rPr>
                    <w:t>于</w:t>
                  </w:r>
                  <w:r>
                    <w:rPr>
                      <w:rFonts w:hint="default" w:ascii="Times New Roman" w:hAnsi="Times New Roman" w:cs="Times New Roman"/>
                      <w:color w:val="auto"/>
                      <w:sz w:val="21"/>
                      <w:szCs w:val="21"/>
                      <w:lang w:val="en-US" w:eastAsia="zh-CN"/>
                    </w:rPr>
                    <w:t>2024年</w:t>
                  </w: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月1</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日</w:t>
                  </w:r>
                  <w:r>
                    <w:rPr>
                      <w:rFonts w:hint="default" w:ascii="Times New Roman" w:hAnsi="Times New Roman" w:eastAsia="宋体" w:cs="Times New Roman"/>
                      <w:color w:val="auto"/>
                      <w:sz w:val="21"/>
                      <w:szCs w:val="21"/>
                      <w:lang w:val="en-US" w:eastAsia="zh-CN"/>
                    </w:rPr>
                    <w:t>出具的《</w:t>
                  </w:r>
                  <w:r>
                    <w:rPr>
                      <w:rFonts w:hint="eastAsia" w:cs="Times New Roman"/>
                      <w:color w:val="auto"/>
                      <w:sz w:val="21"/>
                      <w:szCs w:val="21"/>
                      <w:lang w:val="en-US" w:eastAsia="zh-CN"/>
                    </w:rPr>
                    <w:t>关于云南昆明寻甸梧桐加油站隐患治理项目范围是否涉及永久基本农田的说明、是否涉及生态保护红线及城镇开发边界的情况说明</w:t>
                  </w:r>
                  <w:r>
                    <w:rPr>
                      <w:rFonts w:hint="default" w:ascii="Times New Roman" w:hAnsi="Times New Roman" w:eastAsia="宋体" w:cs="Times New Roman"/>
                      <w:color w:val="auto"/>
                      <w:sz w:val="21"/>
                      <w:szCs w:val="21"/>
                      <w:lang w:val="en-US" w:eastAsia="zh-CN"/>
                    </w:rPr>
                    <w:t>》（附件</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未占用生态保护红线和永久基本农田</w:t>
                  </w:r>
                  <w:r>
                    <w:rPr>
                      <w:rFonts w:hint="eastAsia" w:cs="Times New Roman"/>
                      <w:color w:val="auto"/>
                      <w:sz w:val="21"/>
                      <w:szCs w:val="21"/>
                      <w:lang w:val="en-US" w:eastAsia="zh-CN"/>
                    </w:rPr>
                    <w:t>、不涉及城镇开发边界</w:t>
                  </w:r>
                  <w:r>
                    <w:rPr>
                      <w:rFonts w:hint="default" w:ascii="Times New Roman" w:hAnsi="Times New Roman" w:cs="Times New Roman"/>
                      <w:color w:val="auto"/>
                      <w:sz w:val="21"/>
                      <w:szCs w:val="21"/>
                      <w:lang w:val="en-US" w:eastAsia="zh-CN"/>
                    </w:rPr>
                    <w:t>。</w:t>
                  </w:r>
                </w:p>
              </w:tc>
              <w:tc>
                <w:tcPr>
                  <w:tcW w:w="689" w:type="dxa"/>
                  <w:noWrap w:val="0"/>
                  <w:vAlign w:val="center"/>
                </w:tcPr>
                <w:p w14:paraId="1FCE286B">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73DE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18" w:type="dxa"/>
                  <w:gridSpan w:val="4"/>
                  <w:noWrap w:val="0"/>
                  <w:vAlign w:val="center"/>
                </w:tcPr>
                <w:p w14:paraId="5882D253">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2、环境质量底线</w:t>
                  </w:r>
                </w:p>
              </w:tc>
            </w:tr>
            <w:tr w14:paraId="6FAB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3" w:type="dxa"/>
                  <w:gridSpan w:val="2"/>
                  <w:noWrap w:val="0"/>
                  <w:vAlign w:val="center"/>
                </w:tcPr>
                <w:p w14:paraId="61BCDFF5">
                  <w:pPr>
                    <w:autoSpaceDE w:val="0"/>
                    <w:autoSpaceDN w:val="0"/>
                    <w:adjustRightInd w:val="0"/>
                    <w:snapToGrid w:val="0"/>
                    <w:jc w:val="both"/>
                    <w:rPr>
                      <w:rFonts w:hint="default" w:ascii="Times New Roman" w:hAnsi="Times New Roman" w:eastAsia="宋体" w:cs="Times New Roman"/>
                      <w:color w:val="auto"/>
                      <w:kern w:val="0"/>
                      <w:szCs w:val="21"/>
                    </w:rPr>
                  </w:pPr>
                  <w:r>
                    <w:rPr>
                      <w:rFonts w:hint="default" w:ascii="Times New Roman" w:hAnsi="Times New Roman" w:eastAsia="宋体" w:cs="Times New Roman"/>
                      <w:bCs w:val="0"/>
                      <w:color w:val="auto"/>
                      <w:kern w:val="2"/>
                      <w:sz w:val="21"/>
                      <w:szCs w:val="16"/>
                      <w:lang w:val="en-US" w:eastAsia="zh-CN" w:bidi="ar-SA"/>
                    </w:rPr>
                    <w:t>到2025年，地表水国考断面达到或优于Ⅲ类的比例81.5%，45个省控地表水断面水质优良（达到或优于Ⅲ类）比例达到80%，劣V类水体全面消除，县级以上22个集中式饮用水水源达到或优于Ⅲ类比例为100%</w:t>
                  </w:r>
                  <w:r>
                    <w:rPr>
                      <w:rFonts w:hint="eastAsia" w:cs="Times New Roman"/>
                      <w:bCs w:val="0"/>
                      <w:color w:val="auto"/>
                      <w:kern w:val="2"/>
                      <w:sz w:val="21"/>
                      <w:szCs w:val="16"/>
                      <w:lang w:val="en-US" w:eastAsia="zh-CN" w:bidi="ar-SA"/>
                    </w:rPr>
                    <w:t>；</w:t>
                  </w:r>
                </w:p>
              </w:tc>
              <w:tc>
                <w:tcPr>
                  <w:tcW w:w="4426" w:type="dxa"/>
                  <w:noWrap w:val="0"/>
                  <w:vAlign w:val="center"/>
                </w:tcPr>
                <w:p w14:paraId="09B218A0">
                  <w:pPr>
                    <w:autoSpaceDE w:val="0"/>
                    <w:autoSpaceDN w:val="0"/>
                    <w:adjustRightInd w:val="0"/>
                    <w:snapToGrid w:val="0"/>
                    <w:jc w:val="both"/>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eastAsia="zh-CN"/>
                    </w:rPr>
                    <w:t>附近最近</w:t>
                  </w:r>
                  <w:r>
                    <w:rPr>
                      <w:rFonts w:hint="default" w:ascii="Times New Roman" w:hAnsi="Times New Roman" w:cs="Times New Roman"/>
                      <w:color w:val="auto"/>
                      <w:sz w:val="21"/>
                      <w:szCs w:val="21"/>
                    </w:rPr>
                    <w:t>地表水为</w:t>
                  </w:r>
                  <w:r>
                    <w:rPr>
                      <w:rFonts w:hint="eastAsia" w:cs="Times New Roman"/>
                      <w:bCs w:val="0"/>
                      <w:color w:val="auto"/>
                      <w:kern w:val="2"/>
                      <w:sz w:val="21"/>
                      <w:szCs w:val="16"/>
                      <w:lang w:val="en-US" w:eastAsia="zh-CN" w:bidi="ar-SA"/>
                    </w:rPr>
                    <w:t>西</w:t>
                  </w:r>
                  <w:r>
                    <w:rPr>
                      <w:rFonts w:hint="default" w:ascii="Times New Roman" w:hAnsi="Times New Roman" w:cs="Times New Roman"/>
                      <w:bCs w:val="0"/>
                      <w:color w:val="auto"/>
                      <w:kern w:val="2"/>
                      <w:sz w:val="21"/>
                      <w:szCs w:val="16"/>
                      <w:lang w:val="en-US" w:eastAsia="zh-CN" w:bidi="ar-SA"/>
                    </w:rPr>
                    <w:t>侧</w:t>
                  </w:r>
                  <w:r>
                    <w:rPr>
                      <w:rFonts w:hint="eastAsia" w:cs="Times New Roman"/>
                      <w:bCs w:val="0"/>
                      <w:color w:val="auto"/>
                      <w:kern w:val="2"/>
                      <w:sz w:val="21"/>
                      <w:szCs w:val="16"/>
                      <w:lang w:val="en-US" w:eastAsia="zh-CN" w:bidi="ar-SA"/>
                    </w:rPr>
                    <w:t>90</w:t>
                  </w:r>
                  <w:r>
                    <w:rPr>
                      <w:rFonts w:hint="default" w:ascii="Times New Roman" w:hAnsi="Times New Roman" w:eastAsia="宋体" w:cs="Times New Roman"/>
                      <w:bCs w:val="0"/>
                      <w:color w:val="auto"/>
                      <w:kern w:val="2"/>
                      <w:sz w:val="21"/>
                      <w:szCs w:val="16"/>
                      <w:lang w:val="en-US" w:eastAsia="zh-CN" w:bidi="ar-SA"/>
                    </w:rPr>
                    <w:t>m处</w:t>
                  </w:r>
                  <w:r>
                    <w:rPr>
                      <w:rFonts w:hint="default" w:ascii="Times New Roman" w:hAnsi="Times New Roman" w:eastAsia="宋体" w:cs="Times New Roman"/>
                      <w:color w:val="auto"/>
                      <w:sz w:val="21"/>
                      <w:szCs w:val="21"/>
                      <w:lang w:val="en-US" w:eastAsia="zh-CN"/>
                    </w:rPr>
                    <w:t>的</w:t>
                  </w:r>
                  <w:r>
                    <w:rPr>
                      <w:rFonts w:hint="eastAsia" w:cs="Times New Roman"/>
                      <w:color w:val="auto"/>
                      <w:sz w:val="21"/>
                      <w:szCs w:val="21"/>
                      <w:lang w:val="en-US" w:eastAsia="zh-CN"/>
                    </w:rPr>
                    <w:t>功山河</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流向响水河，进入大白河，经小江</w:t>
                  </w:r>
                  <w:r>
                    <w:rPr>
                      <w:rFonts w:hint="default" w:ascii="Times New Roman" w:hAnsi="Times New Roman" w:cs="Times New Roman"/>
                      <w:color w:val="auto"/>
                      <w:sz w:val="21"/>
                      <w:szCs w:val="21"/>
                      <w:lang w:val="en-US" w:eastAsia="zh-CN"/>
                    </w:rPr>
                    <w:t>汇入</w:t>
                  </w:r>
                  <w:r>
                    <w:rPr>
                      <w:rFonts w:hint="eastAsia" w:cs="Times New Roman"/>
                      <w:snapToGrid w:val="0"/>
                      <w:color w:val="auto"/>
                      <w:lang w:val="en-US" w:eastAsia="zh-CN"/>
                    </w:rPr>
                    <w:t>金沙江</w:t>
                  </w:r>
                  <w:r>
                    <w:rPr>
                      <w:rFonts w:hint="default" w:ascii="Times New Roman" w:hAnsi="Times New Roman" w:cs="Times New Roman"/>
                      <w:snapToGrid w:val="0"/>
                      <w:color w:val="auto"/>
                      <w:lang w:eastAsia="zh-CN"/>
                    </w:rPr>
                    <w:t>，</w:t>
                  </w:r>
                  <w:r>
                    <w:rPr>
                      <w:rFonts w:hint="default" w:ascii="Times New Roman" w:hAnsi="Times New Roman" w:cs="Times New Roman"/>
                      <w:snapToGrid w:val="0"/>
                      <w:color w:val="auto"/>
                      <w:lang w:val="en-US" w:eastAsia="zh-CN"/>
                    </w:rPr>
                    <w:t>根据</w:t>
                  </w:r>
                  <w:r>
                    <w:rPr>
                      <w:rFonts w:hint="eastAsia" w:cs="Times New Roman"/>
                      <w:snapToGrid w:val="0"/>
                      <w:color w:val="auto"/>
                      <w:lang w:eastAsia="zh-CN"/>
                    </w:rPr>
                    <w:t>《昆明市和滇中产业新区水功能区划（2010-2030年）》</w:t>
                  </w:r>
                  <w:r>
                    <w:rPr>
                      <w:rFonts w:hint="default" w:ascii="Times New Roman" w:hAnsi="Times New Roman" w:cs="Times New Roman"/>
                      <w:snapToGrid w:val="0"/>
                      <w:color w:val="auto"/>
                      <w:lang w:eastAsia="zh-CN"/>
                    </w:rPr>
                    <w:t>，</w:t>
                  </w:r>
                  <w:r>
                    <w:rPr>
                      <w:rFonts w:hint="eastAsia" w:cs="Times New Roman"/>
                      <w:snapToGrid w:val="0"/>
                      <w:color w:val="auto"/>
                      <w:lang w:val="en-US" w:eastAsia="zh-CN"/>
                    </w:rPr>
                    <w:t>属于功山河寻甸保留区，规划水平年水质目标为Ⅱ类</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根据《</w:t>
                  </w:r>
                  <w:r>
                    <w:rPr>
                      <w:rFonts w:hint="default" w:ascii="Times New Roman" w:hAnsi="Times New Roman" w:cs="Times New Roman"/>
                      <w:color w:val="auto"/>
                      <w:kern w:val="0"/>
                      <w:sz w:val="21"/>
                      <w:szCs w:val="21"/>
                      <w:lang w:val="en-US" w:eastAsia="zh-CN"/>
                    </w:rPr>
                    <w:t>寻甸县2024年第二季度环境质量公报</w:t>
                  </w:r>
                  <w:r>
                    <w:rPr>
                      <w:rFonts w:hint="eastAsia" w:cs="Times New Roman"/>
                      <w:color w:val="auto"/>
                      <w:kern w:val="0"/>
                      <w:sz w:val="21"/>
                      <w:szCs w:val="21"/>
                      <w:lang w:val="en-US" w:eastAsia="zh-CN"/>
                    </w:rPr>
                    <w:t>》小江流域寻甸段断面水质类别均达到《地表水环境质量标准》（GB3838-2002）Ⅲ类水质量标准。</w:t>
                  </w:r>
                  <w:r>
                    <w:rPr>
                      <w:rFonts w:hint="default" w:ascii="Times New Roman" w:hAnsi="Times New Roman" w:cs="Times New Roman"/>
                      <w:color w:val="auto"/>
                      <w:kern w:val="0"/>
                      <w:sz w:val="21"/>
                      <w:szCs w:val="21"/>
                      <w:lang w:val="en-US" w:eastAsia="zh-CN"/>
                    </w:rPr>
                    <w:t>项目食堂含油废水经隔油池预处理后与其余办公生活废水及外来人员冲厕废水一同进入化粪池处理，地面冲洗废水</w:t>
                  </w:r>
                  <w:r>
                    <w:rPr>
                      <w:rFonts w:hint="eastAsia" w:cs="Times New Roman"/>
                      <w:color w:val="auto"/>
                      <w:kern w:val="0"/>
                      <w:sz w:val="21"/>
                      <w:szCs w:val="21"/>
                      <w:lang w:val="en-US" w:eastAsia="zh-CN"/>
                    </w:rPr>
                    <w:t>、初期雨水</w:t>
                  </w:r>
                  <w:r>
                    <w:rPr>
                      <w:rFonts w:hint="default" w:ascii="Times New Roman" w:hAnsi="Times New Roman" w:cs="Times New Roman"/>
                      <w:color w:val="auto"/>
                      <w:kern w:val="0"/>
                      <w:sz w:val="21"/>
                      <w:szCs w:val="21"/>
                      <w:lang w:val="en-US" w:eastAsia="zh-CN"/>
                    </w:rPr>
                    <w:t>经三级油水分离池处理，上述所有废水</w:t>
                  </w:r>
                  <w:r>
                    <w:rPr>
                      <w:rFonts w:hint="eastAsia" w:cs="Times New Roman"/>
                      <w:color w:val="auto"/>
                      <w:sz w:val="21"/>
                      <w:szCs w:val="21"/>
                      <w:lang w:val="en-US" w:eastAsia="zh-CN"/>
                    </w:rPr>
                    <w:t>委托寻甸绿运垃圾清运有限公司清运，</w:t>
                  </w:r>
                  <w:r>
                    <w:rPr>
                      <w:rFonts w:hint="default" w:ascii="Times New Roman" w:hAnsi="Times New Roman" w:eastAsia="宋体" w:cs="Times New Roman"/>
                      <w:color w:val="auto"/>
                      <w:sz w:val="21"/>
                      <w:szCs w:val="21"/>
                      <w:lang w:val="en-US" w:eastAsia="zh-CN"/>
                    </w:rPr>
                    <w:t>不外排</w:t>
                  </w:r>
                  <w:r>
                    <w:rPr>
                      <w:rFonts w:hint="default"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不会改变区域水环境质量功能。</w:t>
                  </w:r>
                </w:p>
              </w:tc>
              <w:tc>
                <w:tcPr>
                  <w:tcW w:w="689" w:type="dxa"/>
                  <w:noWrap w:val="0"/>
                  <w:vAlign w:val="center"/>
                </w:tcPr>
                <w:p w14:paraId="1906BDC5">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0B96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3403" w:type="dxa"/>
                  <w:gridSpan w:val="2"/>
                  <w:noWrap w:val="0"/>
                  <w:vAlign w:val="center"/>
                </w:tcPr>
                <w:p w14:paraId="489C024E">
                  <w:pPr>
                    <w:autoSpaceDE w:val="0"/>
                    <w:autoSpaceDN w:val="0"/>
                    <w:adjustRightInd w:val="0"/>
                    <w:snapToGrid w:val="0"/>
                    <w:jc w:val="lef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空气质量优良天数比率达99.1%，细颗粒物（PM2.5）浓度不高于24微克/立方米，重污染天数为0</w:t>
                  </w:r>
                  <w:r>
                    <w:rPr>
                      <w:rFonts w:hint="eastAsia" w:cs="Times New Roman"/>
                      <w:color w:val="auto"/>
                      <w:kern w:val="0"/>
                      <w:szCs w:val="21"/>
                      <w:lang w:eastAsia="zh-CN"/>
                    </w:rPr>
                    <w:t>；</w:t>
                  </w:r>
                </w:p>
              </w:tc>
              <w:tc>
                <w:tcPr>
                  <w:tcW w:w="4426" w:type="dxa"/>
                  <w:noWrap w:val="0"/>
                  <w:vAlign w:val="center"/>
                </w:tcPr>
                <w:p w14:paraId="051CD490">
                  <w:pPr>
                    <w:autoSpaceDE w:val="0"/>
                    <w:autoSpaceDN w:val="0"/>
                    <w:adjustRightInd w:val="0"/>
                    <w:snapToGrid w:val="0"/>
                    <w:jc w:val="both"/>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highlight w:val="none"/>
                      <w:lang w:val="en-US" w:eastAsia="zh-CN"/>
                    </w:rPr>
                    <w:t>根据</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2023年度昆明市生态环境状况公报”</w:t>
                  </w:r>
                  <w:r>
                    <w:rPr>
                      <w:rFonts w:hint="default" w:ascii="Times New Roman" w:hAnsi="Times New Roman" w:cs="Times New Roman"/>
                      <w:color w:val="auto"/>
                      <w:kern w:val="0"/>
                      <w:szCs w:val="21"/>
                    </w:rPr>
                    <w:t>，各县（市）区环境空气质量总体保持良好，各项污染物平均浓度均达到二级空气质量标准</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项目所在区域为环境空气质量达标区</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项目运营期</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r>
                    <w:rPr>
                      <w:rFonts w:hint="default" w:ascii="Times New Roman" w:hAnsi="Times New Roman" w:eastAsia="宋体" w:cs="Times New Roman"/>
                      <w:color w:val="auto"/>
                      <w:sz w:val="21"/>
                      <w:szCs w:val="21"/>
                    </w:rPr>
                    <w:t>，不会改变区域环境空气质量功能。</w:t>
                  </w:r>
                </w:p>
              </w:tc>
              <w:tc>
                <w:tcPr>
                  <w:tcW w:w="689" w:type="dxa"/>
                  <w:noWrap w:val="0"/>
                  <w:vAlign w:val="center"/>
                </w:tcPr>
                <w:p w14:paraId="5BEC8667">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3453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gridSpan w:val="2"/>
                  <w:noWrap w:val="0"/>
                  <w:vAlign w:val="center"/>
                </w:tcPr>
                <w:p w14:paraId="63DA2B33">
                  <w:pPr>
                    <w:autoSpaceDE w:val="0"/>
                    <w:autoSpaceDN w:val="0"/>
                    <w:adjustRightInd w:val="0"/>
                    <w:snapToGrid w:val="0"/>
                    <w:jc w:val="left"/>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全市土壤环境质量总体保持稳定，局部稳中向好，受污染耕地安全利用率不低于90%，重点建设用地安全利用得到有效保障</w:t>
                  </w:r>
                  <w:r>
                    <w:rPr>
                      <w:rFonts w:hint="eastAsia" w:cs="Times New Roman"/>
                      <w:color w:val="auto"/>
                      <w:kern w:val="0"/>
                      <w:szCs w:val="21"/>
                      <w:lang w:eastAsia="zh-CN"/>
                    </w:rPr>
                    <w:t>。</w:t>
                  </w:r>
                </w:p>
              </w:tc>
              <w:tc>
                <w:tcPr>
                  <w:tcW w:w="4426" w:type="dxa"/>
                  <w:noWrap w:val="0"/>
                  <w:vAlign w:val="center"/>
                </w:tcPr>
                <w:p w14:paraId="5B9487C9">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szCs w:val="21"/>
                    </w:rPr>
                    <w:t>按照分区防控的要求，</w:t>
                  </w:r>
                  <w:r>
                    <w:rPr>
                      <w:rFonts w:hint="default" w:ascii="Times New Roman" w:hAnsi="Times New Roman" w:cs="Times New Roman"/>
                      <w:color w:val="auto"/>
                      <w:kern w:val="0"/>
                      <w:szCs w:val="21"/>
                    </w:rPr>
                    <w:t>实施分区防渗，采取土壤污染防治措施后，对土壤环境影响很小。</w:t>
                  </w:r>
                </w:p>
              </w:tc>
              <w:tc>
                <w:tcPr>
                  <w:tcW w:w="689" w:type="dxa"/>
                  <w:noWrap w:val="0"/>
                  <w:vAlign w:val="center"/>
                </w:tcPr>
                <w:p w14:paraId="02F7DB22">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6548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8518" w:type="dxa"/>
                  <w:gridSpan w:val="4"/>
                  <w:noWrap w:val="0"/>
                  <w:vAlign w:val="center"/>
                </w:tcPr>
                <w:p w14:paraId="30910F1C">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3、资源利用上线</w:t>
                  </w:r>
                </w:p>
              </w:tc>
            </w:tr>
            <w:tr w14:paraId="0E04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gridSpan w:val="2"/>
                  <w:noWrap w:val="0"/>
                  <w:vAlign w:val="center"/>
                </w:tcPr>
                <w:p w14:paraId="44BFC131">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eastAsia="宋体" w:cs="Times New Roman"/>
                      <w:color w:val="auto"/>
                      <w:sz w:val="21"/>
                      <w:szCs w:val="21"/>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4426" w:type="dxa"/>
                  <w:noWrap w:val="0"/>
                  <w:vAlign w:val="center"/>
                </w:tcPr>
                <w:p w14:paraId="66EF6D82">
                  <w:pPr>
                    <w:autoSpaceDE w:val="0"/>
                    <w:autoSpaceDN w:val="0"/>
                    <w:adjustRightInd w:val="0"/>
                    <w:snapToGrid w:val="0"/>
                    <w:jc w:val="both"/>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lang w:val="en-US" w:eastAsia="zh-CN"/>
                    </w:rPr>
                    <w:t>项目用地合规，已取得</w:t>
                  </w:r>
                  <w:r>
                    <w:rPr>
                      <w:rFonts w:hint="eastAsia" w:cs="Times New Roman"/>
                      <w:color w:val="auto"/>
                      <w:sz w:val="21"/>
                      <w:szCs w:val="21"/>
                      <w:lang w:val="en-US" w:eastAsia="zh-CN"/>
                    </w:rPr>
                    <w:t>寻甸回族彝族自治县国土资源局</w:t>
                  </w:r>
                  <w:r>
                    <w:rPr>
                      <w:rFonts w:hint="default" w:ascii="Times New Roman" w:hAnsi="Times New Roman" w:eastAsia="宋体" w:cs="Times New Roman"/>
                      <w:color w:val="auto"/>
                      <w:sz w:val="21"/>
                      <w:szCs w:val="21"/>
                      <w:lang w:val="en-US" w:eastAsia="zh-CN"/>
                    </w:rPr>
                    <w:t>于</w:t>
                  </w:r>
                  <w:r>
                    <w:rPr>
                      <w:rFonts w:hint="eastAsia" w:cs="Times New Roman"/>
                      <w:color w:val="auto"/>
                      <w:sz w:val="21"/>
                      <w:szCs w:val="21"/>
                      <w:lang w:val="en-US" w:eastAsia="zh-CN"/>
                    </w:rPr>
                    <w:t>2006</w:t>
                  </w:r>
                  <w:r>
                    <w:rPr>
                      <w:rFonts w:hint="default" w:ascii="Times New Roman" w:hAnsi="Times New Roman" w:eastAsia="宋体" w:cs="Times New Roman"/>
                      <w:color w:val="auto"/>
                      <w:sz w:val="21"/>
                      <w:szCs w:val="21"/>
                      <w:lang w:val="en-US" w:eastAsia="zh-CN"/>
                    </w:rPr>
                    <w:t>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日出具的《中国石化集团资产经营管理有限公司云南石油分公司</w:t>
                  </w:r>
                  <w:r>
                    <w:rPr>
                      <w:rFonts w:hint="eastAsia" w:cs="Times New Roman"/>
                      <w:color w:val="auto"/>
                      <w:sz w:val="21"/>
                      <w:szCs w:val="21"/>
                      <w:lang w:val="en-US" w:eastAsia="zh-CN"/>
                    </w:rPr>
                    <w:t>土地</w:t>
                  </w:r>
                  <w:r>
                    <w:rPr>
                      <w:rFonts w:hint="default" w:ascii="Times New Roman" w:hAnsi="Times New Roman" w:eastAsia="宋体" w:cs="Times New Roman"/>
                      <w:color w:val="auto"/>
                      <w:sz w:val="21"/>
                      <w:szCs w:val="21"/>
                      <w:lang w:val="en-US" w:eastAsia="zh-CN"/>
                    </w:rPr>
                    <w:t>证书-</w:t>
                  </w:r>
                  <w:r>
                    <w:rPr>
                      <w:rFonts w:hint="eastAsia" w:cs="Times New Roman"/>
                      <w:color w:val="auto"/>
                      <w:sz w:val="21"/>
                      <w:szCs w:val="21"/>
                      <w:lang w:val="en-US" w:eastAsia="zh-CN"/>
                    </w:rPr>
                    <w:t>寻国用（2006）第415号—NO004255367</w:t>
                  </w:r>
                  <w:r>
                    <w:rPr>
                      <w:rFonts w:hint="default" w:ascii="Times New Roman" w:hAnsi="Times New Roman" w:eastAsia="宋体" w:cs="Times New Roman"/>
                      <w:color w:val="auto"/>
                      <w:sz w:val="21"/>
                      <w:szCs w:val="21"/>
                      <w:lang w:val="en-US" w:eastAsia="zh-CN"/>
                    </w:rPr>
                    <w:t>》（附件</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已取得</w:t>
                  </w:r>
                  <w:r>
                    <w:rPr>
                      <w:rFonts w:hint="eastAsia" w:cs="Times New Roman"/>
                      <w:color w:val="auto"/>
                      <w:sz w:val="21"/>
                      <w:szCs w:val="21"/>
                      <w:lang w:val="en-US" w:eastAsia="zh-CN"/>
                    </w:rPr>
                    <w:t>寻甸回族彝族自治县自然资源局</w:t>
                  </w:r>
                  <w:r>
                    <w:rPr>
                      <w:rFonts w:hint="default" w:ascii="Times New Roman" w:hAnsi="Times New Roman" w:eastAsia="宋体" w:cs="Times New Roman"/>
                      <w:color w:val="auto"/>
                      <w:sz w:val="21"/>
                      <w:szCs w:val="21"/>
                      <w:lang w:val="en-US" w:eastAsia="zh-CN"/>
                    </w:rPr>
                    <w:t>于</w:t>
                  </w:r>
                  <w:r>
                    <w:rPr>
                      <w:rFonts w:hint="default" w:ascii="Times New Roman" w:hAnsi="Times New Roman" w:cs="Times New Roman"/>
                      <w:color w:val="auto"/>
                      <w:sz w:val="21"/>
                      <w:szCs w:val="21"/>
                      <w:lang w:val="en-US" w:eastAsia="zh-CN"/>
                    </w:rPr>
                    <w:t>2024年</w:t>
                  </w: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月1</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日</w:t>
                  </w:r>
                  <w:r>
                    <w:rPr>
                      <w:rFonts w:hint="default" w:ascii="Times New Roman" w:hAnsi="Times New Roman" w:eastAsia="宋体" w:cs="Times New Roman"/>
                      <w:color w:val="auto"/>
                      <w:sz w:val="21"/>
                      <w:szCs w:val="21"/>
                      <w:lang w:val="en-US" w:eastAsia="zh-CN"/>
                    </w:rPr>
                    <w:t>出具的《</w:t>
                  </w:r>
                  <w:r>
                    <w:rPr>
                      <w:rFonts w:hint="eastAsia" w:cs="Times New Roman"/>
                      <w:color w:val="auto"/>
                      <w:sz w:val="21"/>
                      <w:szCs w:val="21"/>
                      <w:lang w:val="en-US" w:eastAsia="zh-CN"/>
                    </w:rPr>
                    <w:t>关于云南昆明寻甸梧桐加油站隐患治理项目范围是否涉及永久基本农田的说明、是否涉及生态保护红线及城镇开发边界的情况说明</w:t>
                  </w:r>
                  <w:r>
                    <w:rPr>
                      <w:rFonts w:hint="default" w:ascii="Times New Roman" w:hAnsi="Times New Roman" w:eastAsia="宋体" w:cs="Times New Roman"/>
                      <w:color w:val="auto"/>
                      <w:sz w:val="21"/>
                      <w:szCs w:val="21"/>
                      <w:lang w:val="en-US" w:eastAsia="zh-CN"/>
                    </w:rPr>
                    <w:t>》（附件</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未占用生态保护红线和永久基本农田</w:t>
                  </w:r>
                  <w:r>
                    <w:rPr>
                      <w:rFonts w:hint="eastAsia" w:cs="Times New Roman"/>
                      <w:color w:val="auto"/>
                      <w:sz w:val="21"/>
                      <w:szCs w:val="21"/>
                      <w:lang w:val="en-US" w:eastAsia="zh-CN"/>
                    </w:rPr>
                    <w:t>、不涉及城镇开发边界</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本项目运营后</w:t>
                  </w:r>
                  <w:r>
                    <w:rPr>
                      <w:rFonts w:hint="default" w:ascii="Times New Roman" w:hAnsi="Times New Roman" w:eastAsia="宋体" w:cs="Times New Roman"/>
                      <w:color w:val="auto"/>
                      <w:sz w:val="21"/>
                      <w:szCs w:val="21"/>
                      <w:lang w:val="en-GB" w:eastAsia="zh-CN"/>
                    </w:rPr>
                    <w:t>会严格控制用水用电量，降低水、电消耗，项目</w:t>
                  </w:r>
                  <w:r>
                    <w:rPr>
                      <w:rFonts w:hint="default" w:ascii="Times New Roman" w:hAnsi="Times New Roman" w:eastAsia="宋体" w:cs="Times New Roman"/>
                      <w:color w:val="auto"/>
                      <w:sz w:val="21"/>
                      <w:szCs w:val="21"/>
                      <w:lang w:val="en-US" w:eastAsia="zh-CN"/>
                    </w:rPr>
                    <w:t>运营后会增加当地GDP，但水、电能耗较低，通过综合循环利用后对区域资源利用总量相对较少。</w:t>
                  </w:r>
                </w:p>
              </w:tc>
              <w:tc>
                <w:tcPr>
                  <w:tcW w:w="689" w:type="dxa"/>
                  <w:noWrap w:val="0"/>
                  <w:vAlign w:val="center"/>
                </w:tcPr>
                <w:p w14:paraId="2E9015BE">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265C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18" w:type="dxa"/>
                  <w:gridSpan w:val="4"/>
                  <w:noWrap w:val="0"/>
                  <w:vAlign w:val="center"/>
                </w:tcPr>
                <w:p w14:paraId="07FA9750">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cs="Times New Roman"/>
                      <w:color w:val="auto"/>
                      <w:sz w:val="21"/>
                      <w:szCs w:val="21"/>
                      <w:lang w:val="en-US" w:eastAsia="zh-CN"/>
                    </w:rPr>
                    <w:t>寻甸县生态环境准入清单—</w:t>
                  </w:r>
                  <w:r>
                    <w:rPr>
                      <w:rFonts w:hint="default" w:ascii="Times New Roman" w:hAnsi="Times New Roman" w:eastAsia="宋体" w:cs="Times New Roman"/>
                      <w:color w:val="auto"/>
                      <w:sz w:val="21"/>
                      <w:szCs w:val="21"/>
                    </w:rPr>
                    <w:t>一般管控单元</w:t>
                  </w:r>
                </w:p>
              </w:tc>
            </w:tr>
            <w:tr w14:paraId="3D62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restart"/>
                  <w:noWrap w:val="0"/>
                  <w:vAlign w:val="center"/>
                </w:tcPr>
                <w:p w14:paraId="39453035">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646" w:type="dxa"/>
                  <w:noWrap w:val="0"/>
                  <w:vAlign w:val="center"/>
                </w:tcPr>
                <w:p w14:paraId="46DAEB19">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1.禁止在林地、河湖管理范围内新建、改建、扩建房地产开发项目。</w:t>
                  </w:r>
                </w:p>
              </w:tc>
              <w:tc>
                <w:tcPr>
                  <w:tcW w:w="4426" w:type="dxa"/>
                  <w:noWrap w:val="0"/>
                  <w:vAlign w:val="center"/>
                </w:tcPr>
                <w:p w14:paraId="79C7CF91">
                  <w:pPr>
                    <w:autoSpaceDE w:val="0"/>
                    <w:autoSpaceDN w:val="0"/>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本项目为加油站建设项目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rPr>
                    <w:t>房地产开发项目</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位于</w:t>
                  </w:r>
                  <w:r>
                    <w:rPr>
                      <w:rFonts w:hint="eastAsia" w:cs="Times New Roman"/>
                      <w:color w:val="auto"/>
                      <w:sz w:val="21"/>
                      <w:szCs w:val="21"/>
                      <w:lang w:val="en-US" w:eastAsia="zh-CN"/>
                    </w:rPr>
                    <w:t>云南省昆明市寻甸县功山镇梧桐村。不在林地、</w:t>
                  </w:r>
                  <w:r>
                    <w:rPr>
                      <w:rFonts w:hint="default" w:ascii="Times New Roman" w:hAnsi="Times New Roman" w:eastAsia="宋体" w:cs="Times New Roman"/>
                      <w:color w:val="auto"/>
                      <w:sz w:val="21"/>
                      <w:szCs w:val="21"/>
                    </w:rPr>
                    <w:t>河湖管理范围内</w:t>
                  </w:r>
                  <w:r>
                    <w:rPr>
                      <w:rFonts w:hint="eastAsia" w:cs="Times New Roman"/>
                      <w:color w:val="auto"/>
                      <w:sz w:val="21"/>
                      <w:szCs w:val="21"/>
                      <w:lang w:eastAsia="zh-CN"/>
                    </w:rPr>
                    <w:t>，</w:t>
                  </w:r>
                  <w:r>
                    <w:rPr>
                      <w:rFonts w:hint="eastAsia" w:cs="Times New Roman"/>
                      <w:color w:val="auto"/>
                      <w:sz w:val="21"/>
                      <w:szCs w:val="21"/>
                      <w:lang w:val="en-US" w:eastAsia="zh-CN"/>
                    </w:rPr>
                    <w:t>取得了寻甸回族彝族自治县国土资源局</w:t>
                  </w:r>
                  <w:r>
                    <w:rPr>
                      <w:rFonts w:hint="default" w:ascii="Times New Roman" w:hAnsi="Times New Roman" w:eastAsia="宋体" w:cs="Times New Roman"/>
                      <w:color w:val="auto"/>
                      <w:sz w:val="21"/>
                      <w:szCs w:val="21"/>
                      <w:lang w:val="en-US" w:eastAsia="zh-CN"/>
                    </w:rPr>
                    <w:t>于</w:t>
                  </w:r>
                  <w:r>
                    <w:rPr>
                      <w:rFonts w:hint="eastAsia" w:cs="Times New Roman"/>
                      <w:color w:val="auto"/>
                      <w:sz w:val="21"/>
                      <w:szCs w:val="21"/>
                      <w:lang w:val="en-US" w:eastAsia="zh-CN"/>
                    </w:rPr>
                    <w:t>2006</w:t>
                  </w:r>
                  <w:r>
                    <w:rPr>
                      <w:rFonts w:hint="default" w:ascii="Times New Roman" w:hAnsi="Times New Roman" w:eastAsia="宋体" w:cs="Times New Roman"/>
                      <w:color w:val="auto"/>
                      <w:sz w:val="21"/>
                      <w:szCs w:val="21"/>
                      <w:lang w:val="en-US" w:eastAsia="zh-CN"/>
                    </w:rPr>
                    <w:t>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日出具的《中国石化集团资产经营管理有限公司云南石油分公司</w:t>
                  </w:r>
                  <w:r>
                    <w:rPr>
                      <w:rFonts w:hint="eastAsia" w:cs="Times New Roman"/>
                      <w:color w:val="auto"/>
                      <w:sz w:val="21"/>
                      <w:szCs w:val="21"/>
                      <w:lang w:val="en-US" w:eastAsia="zh-CN"/>
                    </w:rPr>
                    <w:t>土地</w:t>
                  </w:r>
                  <w:r>
                    <w:rPr>
                      <w:rFonts w:hint="default" w:ascii="Times New Roman" w:hAnsi="Times New Roman" w:eastAsia="宋体" w:cs="Times New Roman"/>
                      <w:color w:val="auto"/>
                      <w:sz w:val="21"/>
                      <w:szCs w:val="21"/>
                      <w:lang w:val="en-US" w:eastAsia="zh-CN"/>
                    </w:rPr>
                    <w:t>证书-</w:t>
                  </w:r>
                  <w:r>
                    <w:rPr>
                      <w:rFonts w:hint="eastAsia" w:cs="Times New Roman"/>
                      <w:color w:val="auto"/>
                      <w:sz w:val="21"/>
                      <w:szCs w:val="21"/>
                      <w:lang w:val="en-US" w:eastAsia="zh-CN"/>
                    </w:rPr>
                    <w:t>寻国用（2006）第415号—NO004255367</w:t>
                  </w:r>
                  <w:r>
                    <w:rPr>
                      <w:rFonts w:hint="default" w:ascii="Times New Roman" w:hAnsi="Times New Roman" w:eastAsia="宋体" w:cs="Times New Roman"/>
                      <w:color w:val="auto"/>
                      <w:sz w:val="21"/>
                      <w:szCs w:val="21"/>
                      <w:lang w:val="en-US" w:eastAsia="zh-CN"/>
                    </w:rPr>
                    <w:t>》（附件2）</w:t>
                  </w:r>
                  <w:r>
                    <w:rPr>
                      <w:rFonts w:hint="eastAsia" w:cs="Times New Roman"/>
                      <w:color w:val="auto"/>
                      <w:sz w:val="21"/>
                      <w:szCs w:val="21"/>
                      <w:lang w:val="en-US" w:eastAsia="zh-CN"/>
                    </w:rPr>
                    <w:t>。</w:t>
                  </w:r>
                </w:p>
              </w:tc>
              <w:tc>
                <w:tcPr>
                  <w:tcW w:w="689" w:type="dxa"/>
                  <w:noWrap w:val="0"/>
                  <w:vAlign w:val="center"/>
                </w:tcPr>
                <w:p w14:paraId="05D1B0D1">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59C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57" w:type="dxa"/>
                  <w:vMerge w:val="continue"/>
                  <w:noWrap w:val="0"/>
                  <w:vAlign w:val="center"/>
                </w:tcPr>
                <w:p w14:paraId="129068F3">
                  <w:pPr>
                    <w:autoSpaceDE w:val="0"/>
                    <w:autoSpaceDN w:val="0"/>
                    <w:adjustRightInd w:val="0"/>
                    <w:snapToGrid w:val="0"/>
                    <w:jc w:val="left"/>
                    <w:rPr>
                      <w:rFonts w:hint="default" w:ascii="Times New Roman" w:hAnsi="Times New Roman" w:eastAsia="宋体" w:cs="Times New Roman"/>
                      <w:color w:val="auto"/>
                      <w:sz w:val="21"/>
                      <w:szCs w:val="21"/>
                    </w:rPr>
                  </w:pPr>
                </w:p>
              </w:tc>
              <w:tc>
                <w:tcPr>
                  <w:tcW w:w="2646" w:type="dxa"/>
                  <w:noWrap w:val="0"/>
                  <w:vAlign w:val="center"/>
                </w:tcPr>
                <w:p w14:paraId="180F5B21">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2.禁止围湖造田和侵占江河滩地。</w:t>
                  </w:r>
                </w:p>
              </w:tc>
              <w:tc>
                <w:tcPr>
                  <w:tcW w:w="4426" w:type="dxa"/>
                  <w:noWrap w:val="0"/>
                  <w:vAlign w:val="center"/>
                </w:tcPr>
                <w:p w14:paraId="1D01A74C">
                  <w:pPr>
                    <w:autoSpaceDE w:val="0"/>
                    <w:autoSpaceDN w:val="0"/>
                    <w:adjustRightInd w:val="0"/>
                    <w:snapToGrid w:val="0"/>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位于</w:t>
                  </w:r>
                  <w:r>
                    <w:rPr>
                      <w:rFonts w:hint="eastAsia" w:cs="Times New Roman"/>
                      <w:color w:val="auto"/>
                      <w:sz w:val="21"/>
                      <w:szCs w:val="21"/>
                      <w:lang w:val="en-US" w:eastAsia="zh-CN"/>
                    </w:rPr>
                    <w:t>云南省昆明市寻甸县功山镇梧桐村，</w:t>
                  </w:r>
                  <w:r>
                    <w:rPr>
                      <w:rFonts w:hint="default" w:ascii="Times New Roman" w:hAnsi="Times New Roman" w:eastAsia="宋体" w:cs="Times New Roman"/>
                      <w:color w:val="auto"/>
                      <w:sz w:val="21"/>
                      <w:szCs w:val="21"/>
                      <w:lang w:val="en-US" w:eastAsia="zh-CN"/>
                    </w:rPr>
                    <w:t>为加油站建设项目</w:t>
                  </w:r>
                  <w:r>
                    <w:rPr>
                      <w:rFonts w:hint="eastAsia" w:cs="Times New Roman"/>
                      <w:color w:val="auto"/>
                      <w:sz w:val="21"/>
                      <w:szCs w:val="21"/>
                      <w:lang w:val="en-US" w:eastAsia="zh-CN"/>
                    </w:rPr>
                    <w:t>，不进行</w:t>
                  </w:r>
                  <w:r>
                    <w:rPr>
                      <w:rFonts w:hint="default" w:ascii="Times New Roman" w:hAnsi="Times New Roman" w:eastAsia="宋体" w:cs="Times New Roman"/>
                      <w:color w:val="auto"/>
                      <w:sz w:val="21"/>
                      <w:szCs w:val="21"/>
                    </w:rPr>
                    <w:t>围湖造田</w:t>
                  </w:r>
                  <w:r>
                    <w:rPr>
                      <w:rFonts w:hint="eastAsia" w:cs="Times New Roman"/>
                      <w:color w:val="auto"/>
                      <w:sz w:val="21"/>
                      <w:szCs w:val="21"/>
                      <w:lang w:eastAsia="zh-CN"/>
                    </w:rPr>
                    <w:t>，</w:t>
                  </w:r>
                  <w:r>
                    <w:rPr>
                      <w:rFonts w:hint="eastAsia" w:cs="Times New Roman"/>
                      <w:color w:val="auto"/>
                      <w:sz w:val="21"/>
                      <w:szCs w:val="21"/>
                      <w:lang w:val="en-US" w:eastAsia="zh-CN"/>
                    </w:rPr>
                    <w:t>取得了寻甸回族彝族自治县国土资源局</w:t>
                  </w:r>
                  <w:r>
                    <w:rPr>
                      <w:rFonts w:hint="default" w:ascii="Times New Roman" w:hAnsi="Times New Roman" w:eastAsia="宋体" w:cs="Times New Roman"/>
                      <w:color w:val="auto"/>
                      <w:sz w:val="21"/>
                      <w:szCs w:val="21"/>
                      <w:lang w:val="en-US" w:eastAsia="zh-CN"/>
                    </w:rPr>
                    <w:t>于</w:t>
                  </w:r>
                  <w:r>
                    <w:rPr>
                      <w:rFonts w:hint="eastAsia" w:cs="Times New Roman"/>
                      <w:color w:val="auto"/>
                      <w:sz w:val="21"/>
                      <w:szCs w:val="21"/>
                      <w:lang w:val="en-US" w:eastAsia="zh-CN"/>
                    </w:rPr>
                    <w:t>2006</w:t>
                  </w:r>
                  <w:r>
                    <w:rPr>
                      <w:rFonts w:hint="default" w:ascii="Times New Roman" w:hAnsi="Times New Roman" w:eastAsia="宋体" w:cs="Times New Roman"/>
                      <w:color w:val="auto"/>
                      <w:sz w:val="21"/>
                      <w:szCs w:val="21"/>
                      <w:lang w:val="en-US" w:eastAsia="zh-CN"/>
                    </w:rPr>
                    <w:t>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日出具的《中国石化集团资产经营管理有限公司云南石油分公司</w:t>
                  </w:r>
                  <w:r>
                    <w:rPr>
                      <w:rFonts w:hint="eastAsia" w:cs="Times New Roman"/>
                      <w:color w:val="auto"/>
                      <w:sz w:val="21"/>
                      <w:szCs w:val="21"/>
                      <w:lang w:val="en-US" w:eastAsia="zh-CN"/>
                    </w:rPr>
                    <w:t>土地</w:t>
                  </w:r>
                  <w:r>
                    <w:rPr>
                      <w:rFonts w:hint="default" w:ascii="Times New Roman" w:hAnsi="Times New Roman" w:eastAsia="宋体" w:cs="Times New Roman"/>
                      <w:color w:val="auto"/>
                      <w:sz w:val="21"/>
                      <w:szCs w:val="21"/>
                      <w:lang w:val="en-US" w:eastAsia="zh-CN"/>
                    </w:rPr>
                    <w:t>证书-</w:t>
                  </w:r>
                  <w:r>
                    <w:rPr>
                      <w:rFonts w:hint="eastAsia" w:cs="Times New Roman"/>
                      <w:color w:val="auto"/>
                      <w:sz w:val="21"/>
                      <w:szCs w:val="21"/>
                      <w:lang w:val="en-US" w:eastAsia="zh-CN"/>
                    </w:rPr>
                    <w:t>寻国用（2006）第415号—NO004255367</w:t>
                  </w:r>
                  <w:r>
                    <w:rPr>
                      <w:rFonts w:hint="default" w:ascii="Times New Roman" w:hAnsi="Times New Roman" w:eastAsia="宋体" w:cs="Times New Roman"/>
                      <w:color w:val="auto"/>
                      <w:sz w:val="21"/>
                      <w:szCs w:val="21"/>
                      <w:lang w:val="en-US" w:eastAsia="zh-CN"/>
                    </w:rPr>
                    <w:t>》（附件2）</w:t>
                  </w:r>
                  <w:r>
                    <w:rPr>
                      <w:rFonts w:hint="eastAsia" w:cs="Times New Roman"/>
                      <w:color w:val="auto"/>
                      <w:sz w:val="21"/>
                      <w:szCs w:val="21"/>
                      <w:lang w:eastAsia="zh-CN"/>
                    </w:rPr>
                    <w:t>。</w:t>
                  </w:r>
                </w:p>
              </w:tc>
              <w:tc>
                <w:tcPr>
                  <w:tcW w:w="689" w:type="dxa"/>
                  <w:noWrap w:val="0"/>
                  <w:vAlign w:val="center"/>
                </w:tcPr>
                <w:p w14:paraId="0481E25B">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AFD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757" w:type="dxa"/>
                  <w:vMerge w:val="continue"/>
                  <w:noWrap w:val="0"/>
                  <w:vAlign w:val="center"/>
                </w:tcPr>
                <w:p w14:paraId="7534004F">
                  <w:pPr>
                    <w:autoSpaceDE w:val="0"/>
                    <w:autoSpaceDN w:val="0"/>
                    <w:adjustRightInd w:val="0"/>
                    <w:snapToGrid w:val="0"/>
                    <w:jc w:val="left"/>
                    <w:rPr>
                      <w:rFonts w:hint="default" w:ascii="Times New Roman" w:hAnsi="Times New Roman" w:eastAsia="宋体" w:cs="Times New Roman"/>
                      <w:color w:val="auto"/>
                      <w:sz w:val="21"/>
                      <w:szCs w:val="21"/>
                    </w:rPr>
                  </w:pPr>
                </w:p>
              </w:tc>
              <w:tc>
                <w:tcPr>
                  <w:tcW w:w="2646" w:type="dxa"/>
                  <w:noWrap w:val="0"/>
                  <w:vAlign w:val="center"/>
                </w:tcPr>
                <w:p w14:paraId="104977AA">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3.禁止企业向滩涂、沼泽、荒地等未利用地非法排污、倾倒有毒有害物质。</w:t>
                  </w:r>
                </w:p>
              </w:tc>
              <w:tc>
                <w:tcPr>
                  <w:tcW w:w="4426" w:type="dxa"/>
                  <w:noWrap w:val="0"/>
                  <w:vAlign w:val="center"/>
                </w:tcPr>
                <w:p w14:paraId="784D8567">
                  <w:pPr>
                    <w:autoSpaceDE w:val="0"/>
                    <w:autoSpaceDN w:val="0"/>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本项目为加油站建设项目，运营期产生的生活</w:t>
                  </w:r>
                  <w:r>
                    <w:rPr>
                      <w:rFonts w:hint="default" w:ascii="Times New Roman" w:hAnsi="Times New Roman" w:eastAsia="宋体" w:cs="Times New Roman"/>
                      <w:color w:val="auto"/>
                      <w:sz w:val="21"/>
                      <w:szCs w:val="21"/>
                    </w:rPr>
                    <w:t>废水</w:t>
                  </w:r>
                  <w:r>
                    <w:rPr>
                      <w:rFonts w:hint="default" w:ascii="Times New Roman" w:hAnsi="Times New Roman" w:eastAsia="宋体" w:cs="Times New Roman"/>
                      <w:color w:val="auto"/>
                      <w:sz w:val="21"/>
                      <w:szCs w:val="21"/>
                      <w:lang w:val="en-US" w:eastAsia="zh-CN"/>
                    </w:rPr>
                    <w:t>经隔油池、化粪池</w:t>
                  </w:r>
                  <w:r>
                    <w:rPr>
                      <w:rFonts w:hint="default" w:ascii="Times New Roman" w:hAnsi="Times New Roman" w:eastAsia="宋体" w:cs="Times New Roman"/>
                      <w:color w:val="auto"/>
                      <w:sz w:val="21"/>
                      <w:szCs w:val="21"/>
                    </w:rPr>
                    <w:t>处理后，</w:t>
                  </w:r>
                  <w:r>
                    <w:rPr>
                      <w:rFonts w:hint="eastAsia" w:cs="Times New Roman"/>
                      <w:color w:val="auto"/>
                      <w:sz w:val="21"/>
                      <w:szCs w:val="21"/>
                      <w:lang w:val="en-US" w:eastAsia="zh-CN"/>
                    </w:rPr>
                    <w:t>委托寻甸绿运垃圾清运有限公司清运处置，</w:t>
                  </w:r>
                  <w:r>
                    <w:rPr>
                      <w:rFonts w:hint="default" w:ascii="Times New Roman" w:hAnsi="Times New Roman" w:eastAsia="宋体" w:cs="Times New Roman"/>
                      <w:color w:val="auto"/>
                      <w:sz w:val="21"/>
                      <w:szCs w:val="21"/>
                      <w:lang w:val="en-US" w:eastAsia="zh-CN"/>
                    </w:rPr>
                    <w:t>不外排，固体废物处置率100%。不向滩涂、沼泽、荒地等未利用地非法排污、倾倒有毒有害物质</w:t>
                  </w:r>
                  <w:r>
                    <w:rPr>
                      <w:rFonts w:hint="default" w:ascii="Times New Roman" w:hAnsi="Times New Roman" w:cs="Times New Roman"/>
                      <w:color w:val="auto"/>
                      <w:sz w:val="21"/>
                      <w:szCs w:val="21"/>
                      <w:lang w:val="en-US" w:eastAsia="zh-CN"/>
                    </w:rPr>
                    <w:t>。</w:t>
                  </w:r>
                </w:p>
              </w:tc>
              <w:tc>
                <w:tcPr>
                  <w:tcW w:w="689" w:type="dxa"/>
                  <w:noWrap w:val="0"/>
                  <w:vAlign w:val="center"/>
                </w:tcPr>
                <w:p w14:paraId="21C6AD45">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FA4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757" w:type="dxa"/>
                  <w:vMerge w:val="restart"/>
                  <w:noWrap w:val="0"/>
                  <w:vAlign w:val="center"/>
                </w:tcPr>
                <w:p w14:paraId="5D13EAE7">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646" w:type="dxa"/>
                  <w:noWrap w:val="0"/>
                  <w:vAlign w:val="center"/>
                </w:tcPr>
                <w:p w14:paraId="50656953">
                  <w:pPr>
                    <w:autoSpaceDE w:val="0"/>
                    <w:autoSpaceDN w:val="0"/>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1.严格控制“两高”行业新增产能，新、改、扩建项目要实行产能等量或减量置换。</w:t>
                  </w:r>
                </w:p>
                <w:p w14:paraId="7FEC3201">
                  <w:pPr>
                    <w:autoSpaceDE w:val="0"/>
                    <w:autoSpaceDN w:val="0"/>
                    <w:adjustRightInd w:val="0"/>
                    <w:snapToGrid w:val="0"/>
                    <w:jc w:val="left"/>
                    <w:rPr>
                      <w:rFonts w:hint="default" w:ascii="Times New Roman" w:hAnsi="Times New Roman" w:eastAsia="宋体" w:cs="Times New Roman"/>
                      <w:color w:val="auto"/>
                      <w:sz w:val="21"/>
                      <w:szCs w:val="21"/>
                    </w:rPr>
                  </w:pPr>
                </w:p>
              </w:tc>
              <w:tc>
                <w:tcPr>
                  <w:tcW w:w="4426" w:type="dxa"/>
                  <w:noWrap w:val="0"/>
                  <w:vAlign w:val="center"/>
                </w:tcPr>
                <w:p w14:paraId="05BCDDFB">
                  <w:pPr>
                    <w:autoSpaceDE w:val="0"/>
                    <w:autoSpaceDN w:val="0"/>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本项目为加油站建设项目，</w:t>
                  </w:r>
                  <w:r>
                    <w:rPr>
                      <w:rFonts w:hint="eastAsia" w:cs="Times New Roman"/>
                      <w:color w:val="auto"/>
                      <w:sz w:val="21"/>
                      <w:szCs w:val="21"/>
                      <w:lang w:val="en-US" w:eastAsia="zh-CN"/>
                    </w:rPr>
                    <w:t>根据</w:t>
                  </w:r>
                  <w:r>
                    <w:rPr>
                      <w:rFonts w:hint="default" w:ascii="Times New Roman" w:hAnsi="Times New Roman" w:eastAsia="宋体" w:cs="Times New Roman"/>
                      <w:color w:val="auto"/>
                      <w:sz w:val="21"/>
                      <w:szCs w:val="21"/>
                      <w:lang w:val="en-US" w:eastAsia="zh-CN"/>
                    </w:rPr>
                    <w:t>生态环境部关于加强高耗能、高排放建设项目生态环境源头防控的指导意见</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环环评〔2021〕45号</w:t>
                  </w:r>
                  <w:r>
                    <w:rPr>
                      <w:rFonts w:hint="eastAsia" w:cs="Times New Roman"/>
                      <w:color w:val="auto"/>
                      <w:sz w:val="21"/>
                      <w:szCs w:val="21"/>
                      <w:lang w:val="en-US" w:eastAsia="zh-CN"/>
                    </w:rPr>
                    <w:t>），本项目不属于两高产业</w:t>
                  </w:r>
                  <w:r>
                    <w:rPr>
                      <w:rFonts w:hint="default" w:ascii="Times New Roman" w:hAnsi="Times New Roman" w:eastAsia="宋体" w:cs="Times New Roman"/>
                      <w:color w:val="auto"/>
                      <w:sz w:val="21"/>
                      <w:szCs w:val="21"/>
                      <w:lang w:val="en-US" w:eastAsia="zh-CN"/>
                    </w:rPr>
                    <w:t>。</w:t>
                  </w:r>
                </w:p>
              </w:tc>
              <w:tc>
                <w:tcPr>
                  <w:tcW w:w="689" w:type="dxa"/>
                  <w:noWrap w:val="0"/>
                  <w:vAlign w:val="center"/>
                </w:tcPr>
                <w:p w14:paraId="6D987438">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DEE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noWrap w:val="0"/>
                  <w:vAlign w:val="center"/>
                </w:tcPr>
                <w:p w14:paraId="2E0F7531">
                  <w:pPr>
                    <w:autoSpaceDE w:val="0"/>
                    <w:autoSpaceDN w:val="0"/>
                    <w:adjustRightInd w:val="0"/>
                    <w:snapToGrid w:val="0"/>
                    <w:jc w:val="left"/>
                    <w:rPr>
                      <w:rFonts w:hint="default" w:ascii="Times New Roman" w:hAnsi="Times New Roman" w:eastAsia="宋体" w:cs="Times New Roman"/>
                      <w:color w:val="auto"/>
                      <w:sz w:val="21"/>
                      <w:szCs w:val="21"/>
                    </w:rPr>
                  </w:pPr>
                </w:p>
              </w:tc>
              <w:tc>
                <w:tcPr>
                  <w:tcW w:w="2646" w:type="dxa"/>
                  <w:noWrap w:val="0"/>
                  <w:vAlign w:val="center"/>
                </w:tcPr>
                <w:p w14:paraId="4A9C5BA5">
                  <w:pPr>
                    <w:autoSpaceDE w:val="0"/>
                    <w:autoSpaceDN w:val="0"/>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严格用地准入，工业用地及商业用地供地前，自然资源部门需对拟供地块进行土壤环境状况调查，评估环境污染风险后方可供地</w:t>
                  </w:r>
                  <w:r>
                    <w:rPr>
                      <w:rFonts w:hint="default" w:ascii="Times New Roman" w:hAnsi="Times New Roman" w:eastAsia="宋体" w:cs="Times New Roman"/>
                      <w:color w:val="auto"/>
                      <w:sz w:val="21"/>
                      <w:szCs w:val="21"/>
                    </w:rPr>
                    <w:t>。</w:t>
                  </w:r>
                </w:p>
              </w:tc>
              <w:tc>
                <w:tcPr>
                  <w:tcW w:w="4426" w:type="dxa"/>
                  <w:noWrap w:val="0"/>
                  <w:vAlign w:val="center"/>
                </w:tcPr>
                <w:p w14:paraId="57E2BE22">
                  <w:pPr>
                    <w:autoSpaceDE w:val="0"/>
                    <w:autoSpaceDN w:val="0"/>
                    <w:adjustRightInd w:val="0"/>
                    <w:snapToGrid w:val="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本项目已取得《</w:t>
                  </w:r>
                  <w:r>
                    <w:rPr>
                      <w:rFonts w:hint="eastAsia" w:cs="Times New Roman"/>
                      <w:color w:val="auto"/>
                      <w:sz w:val="21"/>
                      <w:szCs w:val="21"/>
                      <w:lang w:val="en-US" w:eastAsia="zh-CN"/>
                    </w:rPr>
                    <w:t>昆明市商务局关于对中国石化销售股份有限公司云南昆明寻甸梧桐加油站进行原址改造的批复</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昆商贸〔2024〕6号</w:t>
                  </w:r>
                  <w:r>
                    <w:rPr>
                      <w:rFonts w:hint="default" w:ascii="Times New Roman" w:hAnsi="Times New Roman" w:eastAsia="宋体" w:cs="Times New Roman"/>
                      <w:color w:val="auto"/>
                      <w:sz w:val="21"/>
                      <w:szCs w:val="21"/>
                      <w:lang w:val="en-US" w:eastAsia="zh-CN"/>
                    </w:rPr>
                    <w:t>）。已取得</w:t>
                  </w:r>
                  <w:r>
                    <w:rPr>
                      <w:rFonts w:hint="eastAsia" w:cs="Times New Roman"/>
                      <w:color w:val="auto"/>
                      <w:sz w:val="21"/>
                      <w:szCs w:val="21"/>
                      <w:lang w:val="en-US" w:eastAsia="zh-CN"/>
                    </w:rPr>
                    <w:t>寻甸回族彝族自治县国土资源局于2006年11月20日出具的《中国石化集团资产经营管理有限公司云南石油分公司土地证书-寻国用（2006）第415号—NO004255367》（附件2）</w:t>
                  </w:r>
                  <w:r>
                    <w:rPr>
                      <w:rFonts w:hint="default" w:ascii="Times New Roman" w:hAnsi="Times New Roman" w:eastAsia="宋体" w:cs="Times New Roman"/>
                      <w:color w:val="auto"/>
                      <w:sz w:val="21"/>
                      <w:szCs w:val="21"/>
                      <w:lang w:val="en-US" w:eastAsia="zh-CN"/>
                    </w:rPr>
                    <w:t>。</w:t>
                  </w:r>
                </w:p>
              </w:tc>
              <w:tc>
                <w:tcPr>
                  <w:tcW w:w="689" w:type="dxa"/>
                  <w:noWrap w:val="0"/>
                  <w:vAlign w:val="center"/>
                </w:tcPr>
                <w:p w14:paraId="7EB255A5">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F1D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noWrap w:val="0"/>
                  <w:vAlign w:val="center"/>
                </w:tcPr>
                <w:p w14:paraId="4A4E8F98">
                  <w:pPr>
                    <w:autoSpaceDE w:val="0"/>
                    <w:autoSpaceDN w:val="0"/>
                    <w:adjustRightInd w:val="0"/>
                    <w:snapToGrid w:val="0"/>
                    <w:jc w:val="left"/>
                    <w:rPr>
                      <w:rFonts w:hint="default" w:ascii="Times New Roman" w:hAnsi="Times New Roman" w:eastAsia="宋体" w:cs="Times New Roman"/>
                      <w:color w:val="auto"/>
                      <w:sz w:val="21"/>
                      <w:szCs w:val="21"/>
                    </w:rPr>
                  </w:pPr>
                </w:p>
              </w:tc>
              <w:tc>
                <w:tcPr>
                  <w:tcW w:w="2646" w:type="dxa"/>
                  <w:noWrap w:val="0"/>
                  <w:vAlign w:val="center"/>
                </w:tcPr>
                <w:p w14:paraId="25E9602A">
                  <w:pPr>
                    <w:autoSpaceDE w:val="0"/>
                    <w:autoSpaceDN w:val="0"/>
                    <w:adjustRightInd w:val="0"/>
                    <w:snapToGrid w:val="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禁止使用炸鱼、毒鱼、电鱼等破坏渔业资源方法进行捕捞</w:t>
                  </w:r>
                  <w:r>
                    <w:rPr>
                      <w:rFonts w:hint="eastAsia" w:ascii="Times New Roman" w:hAnsi="Times New Roman" w:eastAsia="宋体" w:cs="Times New Roman"/>
                      <w:color w:val="auto"/>
                      <w:sz w:val="21"/>
                      <w:szCs w:val="21"/>
                      <w:lang w:eastAsia="zh-CN"/>
                    </w:rPr>
                    <w:t>。</w:t>
                  </w:r>
                </w:p>
              </w:tc>
              <w:tc>
                <w:tcPr>
                  <w:tcW w:w="4426" w:type="dxa"/>
                  <w:noWrap w:val="0"/>
                  <w:vAlign w:val="center"/>
                </w:tcPr>
                <w:p w14:paraId="381BBBD6">
                  <w:pPr>
                    <w:autoSpaceDE w:val="0"/>
                    <w:autoSpaceDN w:val="0"/>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本项目为加油站建设项目</w:t>
                  </w:r>
                  <w:r>
                    <w:rPr>
                      <w:rFonts w:hint="eastAsia" w:ascii="Times New Roman" w:hAnsi="Times New Roman" w:eastAsia="宋体" w:cs="Times New Roman"/>
                      <w:color w:val="auto"/>
                      <w:sz w:val="21"/>
                      <w:szCs w:val="21"/>
                      <w:lang w:val="en-US" w:eastAsia="zh-CN"/>
                    </w:rPr>
                    <w:t>，不进行捕捞。</w:t>
                  </w:r>
                </w:p>
              </w:tc>
              <w:tc>
                <w:tcPr>
                  <w:tcW w:w="689" w:type="dxa"/>
                  <w:noWrap w:val="0"/>
                  <w:vAlign w:val="center"/>
                </w:tcPr>
                <w:p w14:paraId="5E209734">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E02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noWrap w:val="0"/>
                  <w:vAlign w:val="center"/>
                </w:tcPr>
                <w:p w14:paraId="2F376BAC">
                  <w:pPr>
                    <w:autoSpaceDE w:val="0"/>
                    <w:autoSpaceDN w:val="0"/>
                    <w:adjustRightInd w:val="0"/>
                    <w:snapToGrid w:val="0"/>
                    <w:jc w:val="left"/>
                    <w:rPr>
                      <w:rFonts w:hint="default" w:ascii="Times New Roman" w:hAnsi="Times New Roman" w:eastAsia="宋体" w:cs="Times New Roman"/>
                      <w:color w:val="auto"/>
                      <w:sz w:val="21"/>
                      <w:szCs w:val="21"/>
                    </w:rPr>
                  </w:pPr>
                </w:p>
              </w:tc>
              <w:tc>
                <w:tcPr>
                  <w:tcW w:w="2646" w:type="dxa"/>
                  <w:noWrap w:val="0"/>
                  <w:vAlign w:val="center"/>
                </w:tcPr>
                <w:p w14:paraId="38E8F309">
                  <w:pPr>
                    <w:autoSpaceDE w:val="0"/>
                    <w:autoSpaceDN w:val="0"/>
                    <w:adjustRightInd w:val="0"/>
                    <w:snapToGrid w:val="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禁止在禁渔区、禁渔期进行捕捞。禁止使用小于最小网目尺寸的网具进行捕捞，未依法取得捕捞许可证擅自捕捞</w:t>
                  </w:r>
                  <w:r>
                    <w:rPr>
                      <w:rFonts w:hint="eastAsia" w:ascii="Times New Roman" w:hAnsi="Times New Roman" w:eastAsia="宋体" w:cs="Times New Roman"/>
                      <w:color w:val="auto"/>
                      <w:sz w:val="21"/>
                      <w:szCs w:val="21"/>
                      <w:lang w:eastAsia="zh-CN"/>
                    </w:rPr>
                    <w:t>。</w:t>
                  </w:r>
                </w:p>
              </w:tc>
              <w:tc>
                <w:tcPr>
                  <w:tcW w:w="4426" w:type="dxa"/>
                  <w:shd w:val="clear" w:color="auto" w:fill="auto"/>
                  <w:noWrap w:val="0"/>
                  <w:vAlign w:val="center"/>
                </w:tcPr>
                <w:p w14:paraId="226209D3">
                  <w:pPr>
                    <w:autoSpaceDE w:val="0"/>
                    <w:autoSpaceDN w:val="0"/>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本项目为加油站建设项目</w:t>
                  </w:r>
                  <w:r>
                    <w:rPr>
                      <w:rFonts w:hint="eastAsia" w:ascii="Times New Roman" w:hAnsi="Times New Roman" w:eastAsia="宋体" w:cs="Times New Roman"/>
                      <w:color w:val="auto"/>
                      <w:sz w:val="21"/>
                      <w:szCs w:val="21"/>
                      <w:lang w:val="en-US" w:eastAsia="zh-CN"/>
                    </w:rPr>
                    <w:t>，不进行捕捞。</w:t>
                  </w:r>
                </w:p>
              </w:tc>
              <w:tc>
                <w:tcPr>
                  <w:tcW w:w="689" w:type="dxa"/>
                  <w:noWrap w:val="0"/>
                  <w:vAlign w:val="center"/>
                </w:tcPr>
                <w:p w14:paraId="1915D6C0">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32C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restart"/>
                  <w:noWrap w:val="0"/>
                  <w:vAlign w:val="center"/>
                </w:tcPr>
                <w:p w14:paraId="166D90D8">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646" w:type="dxa"/>
                  <w:noWrap w:val="0"/>
                  <w:vAlign w:val="center"/>
                </w:tcPr>
                <w:p w14:paraId="030F022B">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1.严格限制《环境保护综合名录》（2021年版）中“高污染、高环境风险”产品与工艺装备。</w:t>
                  </w:r>
                </w:p>
              </w:tc>
              <w:tc>
                <w:tcPr>
                  <w:tcW w:w="4426" w:type="dxa"/>
                  <w:noWrap w:val="0"/>
                  <w:vAlign w:val="center"/>
                </w:tcPr>
                <w:p w14:paraId="47A79D5E">
                  <w:pPr>
                    <w:autoSpaceDE w:val="0"/>
                    <w:autoSpaceDN w:val="0"/>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本项目为加油站建设项目，不涉及</w:t>
                  </w:r>
                  <w:r>
                    <w:rPr>
                      <w:rFonts w:hint="default" w:ascii="Times New Roman" w:hAnsi="Times New Roman" w:eastAsia="宋体" w:cs="Times New Roman"/>
                      <w:color w:val="auto"/>
                      <w:sz w:val="21"/>
                      <w:szCs w:val="21"/>
                    </w:rPr>
                    <w:t>《环境保护综合名录》（20</w:t>
                  </w:r>
                  <w:r>
                    <w:rPr>
                      <w:rFonts w:hint="default"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rPr>
                    <w:t>年版）中“高污染、高环境风险”产品与工艺装备</w:t>
                  </w:r>
                  <w:r>
                    <w:rPr>
                      <w:rFonts w:hint="default" w:ascii="Times New Roman" w:hAnsi="Times New Roman" w:eastAsia="宋体" w:cs="Times New Roman"/>
                      <w:color w:val="auto"/>
                      <w:sz w:val="21"/>
                      <w:szCs w:val="21"/>
                      <w:lang w:eastAsia="zh-CN"/>
                    </w:rPr>
                    <w:t>。</w:t>
                  </w:r>
                </w:p>
              </w:tc>
              <w:tc>
                <w:tcPr>
                  <w:tcW w:w="689" w:type="dxa"/>
                  <w:noWrap w:val="0"/>
                  <w:vAlign w:val="center"/>
                </w:tcPr>
                <w:p w14:paraId="5E65D6C3">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2AD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noWrap w:val="0"/>
                  <w:vAlign w:val="center"/>
                </w:tcPr>
                <w:p w14:paraId="680A7D30">
                  <w:pPr>
                    <w:autoSpaceDE w:val="0"/>
                    <w:autoSpaceDN w:val="0"/>
                    <w:adjustRightInd w:val="0"/>
                    <w:snapToGrid w:val="0"/>
                    <w:jc w:val="left"/>
                    <w:rPr>
                      <w:rFonts w:hint="default" w:ascii="Times New Roman" w:hAnsi="Times New Roman" w:eastAsia="宋体" w:cs="Times New Roman"/>
                      <w:color w:val="auto"/>
                      <w:sz w:val="21"/>
                      <w:szCs w:val="21"/>
                    </w:rPr>
                  </w:pPr>
                </w:p>
              </w:tc>
              <w:tc>
                <w:tcPr>
                  <w:tcW w:w="2646" w:type="dxa"/>
                  <w:noWrap w:val="0"/>
                  <w:vAlign w:val="center"/>
                </w:tcPr>
                <w:p w14:paraId="51F2662E">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2.禁止使用剧毒、高残留以及可能二次中毒的农药。</w:t>
                  </w:r>
                </w:p>
              </w:tc>
              <w:tc>
                <w:tcPr>
                  <w:tcW w:w="4426" w:type="dxa"/>
                  <w:noWrap w:val="0"/>
                  <w:vAlign w:val="center"/>
                </w:tcPr>
                <w:p w14:paraId="0CC96A62">
                  <w:pPr>
                    <w:autoSpaceDE w:val="0"/>
                    <w:autoSpaceDN w:val="0"/>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本项目为加油站建设项目，原辅料中不使用农药。</w:t>
                  </w:r>
                </w:p>
              </w:tc>
              <w:tc>
                <w:tcPr>
                  <w:tcW w:w="689" w:type="dxa"/>
                  <w:noWrap w:val="0"/>
                  <w:vAlign w:val="center"/>
                </w:tcPr>
                <w:p w14:paraId="74109B39">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C21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vMerge w:val="continue"/>
                  <w:noWrap w:val="0"/>
                  <w:vAlign w:val="center"/>
                </w:tcPr>
                <w:p w14:paraId="554A663A">
                  <w:pPr>
                    <w:autoSpaceDE w:val="0"/>
                    <w:autoSpaceDN w:val="0"/>
                    <w:adjustRightInd w:val="0"/>
                    <w:snapToGrid w:val="0"/>
                    <w:jc w:val="left"/>
                    <w:rPr>
                      <w:rFonts w:hint="default" w:ascii="Times New Roman" w:hAnsi="Times New Roman" w:eastAsia="宋体" w:cs="Times New Roman"/>
                      <w:color w:val="auto"/>
                      <w:sz w:val="21"/>
                      <w:szCs w:val="21"/>
                    </w:rPr>
                  </w:pPr>
                </w:p>
              </w:tc>
              <w:tc>
                <w:tcPr>
                  <w:tcW w:w="2646" w:type="dxa"/>
                  <w:noWrap w:val="0"/>
                  <w:vAlign w:val="center"/>
                </w:tcPr>
                <w:p w14:paraId="1DE7E785">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3.严格污染场地开发利用和流转审批，在影响健康地块修复达标之前，禁止建设居民区、学校、医疗和养老机构。</w:t>
                  </w:r>
                </w:p>
              </w:tc>
              <w:tc>
                <w:tcPr>
                  <w:tcW w:w="4426" w:type="dxa"/>
                  <w:noWrap w:val="0"/>
                  <w:vAlign w:val="center"/>
                </w:tcPr>
                <w:p w14:paraId="1FCF2B5B">
                  <w:pPr>
                    <w:autoSpaceDE w:val="0"/>
                    <w:autoSpaceDN w:val="0"/>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本项目已取得《</w:t>
                  </w:r>
                  <w:r>
                    <w:rPr>
                      <w:rFonts w:hint="eastAsia" w:cs="Times New Roman"/>
                      <w:color w:val="auto"/>
                      <w:sz w:val="21"/>
                      <w:szCs w:val="21"/>
                      <w:lang w:val="en-US" w:eastAsia="zh-CN"/>
                    </w:rPr>
                    <w:t>昆明市商务局关于对中国石化销售股份有限公司云南昆明寻甸梧桐加油站进行原址改造的批复</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昆商贸〔2024〕6号</w:t>
                  </w:r>
                  <w:r>
                    <w:rPr>
                      <w:rFonts w:hint="default" w:ascii="Times New Roman" w:hAnsi="Times New Roman" w:eastAsia="宋体" w:cs="Times New Roman"/>
                      <w:color w:val="auto"/>
                      <w:sz w:val="21"/>
                      <w:szCs w:val="21"/>
                      <w:lang w:val="en-US" w:eastAsia="zh-CN"/>
                    </w:rPr>
                    <w:t>）。已取得</w:t>
                  </w:r>
                  <w:r>
                    <w:rPr>
                      <w:rFonts w:hint="eastAsia" w:cs="Times New Roman"/>
                      <w:color w:val="auto"/>
                      <w:sz w:val="21"/>
                      <w:szCs w:val="21"/>
                      <w:lang w:val="en-US" w:eastAsia="zh-CN"/>
                    </w:rPr>
                    <w:t>寻甸回族彝族自治县国土资源局于2006年11月20日出具的《中国石化集团资产经营管理有限公司云南石油分公司土地证书-寻国用（2006）第415号—NO004255367》（附件2）</w:t>
                  </w:r>
                  <w:r>
                    <w:rPr>
                      <w:rFonts w:hint="default" w:ascii="Times New Roman" w:hAnsi="Times New Roman" w:eastAsia="宋体" w:cs="Times New Roman"/>
                      <w:color w:val="auto"/>
                      <w:sz w:val="21"/>
                      <w:szCs w:val="21"/>
                      <w:lang w:val="en-US" w:eastAsia="zh-CN"/>
                    </w:rPr>
                    <w:t>。</w:t>
                  </w:r>
                </w:p>
              </w:tc>
              <w:tc>
                <w:tcPr>
                  <w:tcW w:w="689" w:type="dxa"/>
                  <w:noWrap w:val="0"/>
                  <w:vAlign w:val="center"/>
                </w:tcPr>
                <w:p w14:paraId="60B1A487">
                  <w:pPr>
                    <w:autoSpaceDE w:val="0"/>
                    <w:autoSpaceDN w:val="0"/>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A21489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color w:val="auto"/>
                <w:sz w:val="24"/>
                <w:szCs w:val="24"/>
                <w:lang w:val="en-US" w:eastAsia="zh-CN"/>
              </w:rPr>
              <w:t>2、</w:t>
            </w:r>
            <w:r>
              <w:rPr>
                <w:rFonts w:hint="default" w:ascii="Times New Roman" w:hAnsi="Times New Roman" w:cs="Times New Roman"/>
                <w:b/>
                <w:bCs/>
                <w:color w:val="auto"/>
                <w:sz w:val="24"/>
                <w:szCs w:val="24"/>
              </w:rPr>
              <w:t>产业政策符合性分析</w:t>
            </w:r>
          </w:p>
          <w:p w14:paraId="2AA7D43E">
            <w:pPr>
              <w:pStyle w:val="11"/>
              <w:spacing w:after="0" w:line="360" w:lineRule="auto"/>
              <w:ind w:firstLine="561"/>
              <w:rPr>
                <w:rFonts w:hint="default" w:ascii="Times New Roman" w:hAnsi="Times New Roman" w:cs="Times New Roman"/>
                <w:color w:val="auto"/>
                <w:sz w:val="24"/>
              </w:rPr>
            </w:pPr>
            <w:r>
              <w:rPr>
                <w:rFonts w:hint="default" w:ascii="Times New Roman" w:hAnsi="Times New Roman" w:cs="Times New Roman"/>
                <w:color w:val="auto"/>
                <w:sz w:val="24"/>
              </w:rPr>
              <w:t>本项目为机动车燃料零售项目，根据国家发改委《产业结构调整指导目录（</w:t>
            </w:r>
            <w:r>
              <w:rPr>
                <w:rFonts w:hint="default" w:ascii="Times New Roman" w:hAnsi="Times New Roman" w:cs="Times New Roman"/>
                <w:color w:val="auto"/>
                <w:sz w:val="24"/>
                <w:lang w:val="en-US" w:eastAsia="zh-CN"/>
              </w:rPr>
              <w:t>2024年本</w:t>
            </w:r>
            <w:r>
              <w:rPr>
                <w:rFonts w:hint="default" w:ascii="Times New Roman" w:hAnsi="Times New Roman" w:cs="Times New Roman"/>
                <w:color w:val="auto"/>
                <w:sz w:val="24"/>
              </w:rPr>
              <w:t>）》中的相关内容，项目不属于产业政策中的限制和淘汰类行业，</w:t>
            </w:r>
            <w:r>
              <w:rPr>
                <w:rFonts w:hint="default" w:ascii="Times New Roman" w:hAnsi="Times New Roman" w:cs="Times New Roman"/>
                <w:color w:val="auto"/>
                <w:spacing w:val="-2"/>
                <w:sz w:val="24"/>
                <w:lang w:val="en-US" w:eastAsia="zh-CN"/>
              </w:rPr>
              <w:t>属于允许类，</w:t>
            </w:r>
            <w:r>
              <w:rPr>
                <w:rFonts w:hint="default" w:ascii="Times New Roman" w:hAnsi="Times New Roman" w:cs="Times New Roman"/>
                <w:color w:val="auto"/>
                <w:sz w:val="24"/>
                <w:szCs w:val="22"/>
              </w:rPr>
              <w:t>且</w:t>
            </w:r>
            <w:r>
              <w:rPr>
                <w:rFonts w:hint="default" w:ascii="Times New Roman" w:hAnsi="Times New Roman" w:cs="Times New Roman"/>
                <w:color w:val="auto"/>
                <w:kern w:val="1"/>
                <w:sz w:val="24"/>
                <w:szCs w:val="22"/>
              </w:rPr>
              <w:t>本项目已于</w:t>
            </w:r>
            <w:r>
              <w:rPr>
                <w:rFonts w:hint="default" w:ascii="Times New Roman" w:hAnsi="Times New Roman" w:cs="Times New Roman"/>
                <w:color w:val="auto"/>
                <w:kern w:val="1"/>
                <w:sz w:val="24"/>
                <w:szCs w:val="22"/>
                <w:lang w:val="en-US" w:eastAsia="zh-CN"/>
              </w:rPr>
              <w:t>2024</w:t>
            </w:r>
            <w:r>
              <w:rPr>
                <w:rFonts w:hint="default" w:ascii="Times New Roman" w:hAnsi="Times New Roman" w:cs="Times New Roman"/>
                <w:color w:val="auto"/>
                <w:kern w:val="1"/>
                <w:sz w:val="24"/>
                <w:szCs w:val="22"/>
              </w:rPr>
              <w:t>年</w:t>
            </w:r>
            <w:r>
              <w:rPr>
                <w:rFonts w:hint="default" w:ascii="Times New Roman" w:hAnsi="Times New Roman" w:cs="Times New Roman"/>
                <w:color w:val="auto"/>
                <w:kern w:val="1"/>
                <w:sz w:val="24"/>
                <w:szCs w:val="22"/>
                <w:lang w:val="en-US" w:eastAsia="zh-CN"/>
              </w:rPr>
              <w:t>0</w:t>
            </w:r>
            <w:r>
              <w:rPr>
                <w:rFonts w:hint="eastAsia" w:cs="Times New Roman"/>
                <w:color w:val="auto"/>
                <w:kern w:val="1"/>
                <w:sz w:val="24"/>
                <w:szCs w:val="22"/>
                <w:lang w:val="en-US" w:eastAsia="zh-CN"/>
              </w:rPr>
              <w:t>9</w:t>
            </w:r>
            <w:r>
              <w:rPr>
                <w:rFonts w:hint="default" w:ascii="Times New Roman" w:hAnsi="Times New Roman" w:cs="Times New Roman"/>
                <w:color w:val="auto"/>
                <w:kern w:val="1"/>
                <w:sz w:val="24"/>
                <w:szCs w:val="22"/>
                <w:lang w:val="en-US" w:eastAsia="zh-CN"/>
              </w:rPr>
              <w:t>月</w:t>
            </w:r>
            <w:r>
              <w:rPr>
                <w:rFonts w:hint="eastAsia" w:cs="Times New Roman"/>
                <w:color w:val="auto"/>
                <w:kern w:val="1"/>
                <w:sz w:val="24"/>
                <w:szCs w:val="22"/>
                <w:lang w:val="en-US" w:eastAsia="zh-CN"/>
              </w:rPr>
              <w:t>23</w:t>
            </w:r>
            <w:r>
              <w:rPr>
                <w:rFonts w:hint="default" w:ascii="Times New Roman" w:hAnsi="Times New Roman" w:cs="Times New Roman"/>
                <w:color w:val="auto"/>
                <w:kern w:val="1"/>
                <w:sz w:val="24"/>
                <w:szCs w:val="22"/>
                <w:lang w:val="en-US" w:eastAsia="zh-CN"/>
              </w:rPr>
              <w:t>日</w:t>
            </w:r>
            <w:r>
              <w:rPr>
                <w:rFonts w:hint="default" w:ascii="Times New Roman" w:hAnsi="Times New Roman" w:cs="Times New Roman"/>
                <w:color w:val="auto"/>
                <w:kern w:val="1"/>
                <w:sz w:val="24"/>
                <w:szCs w:val="22"/>
              </w:rPr>
              <w:t>取得</w:t>
            </w:r>
            <w:r>
              <w:rPr>
                <w:rFonts w:hint="default" w:ascii="Times New Roman" w:hAnsi="Times New Roman" w:cs="Times New Roman"/>
                <w:color w:val="auto"/>
                <w:kern w:val="1"/>
                <w:sz w:val="24"/>
                <w:szCs w:val="22"/>
                <w:lang w:eastAsia="zh-CN"/>
              </w:rPr>
              <w:t>《云南省固定资产投资项目备案证》，</w:t>
            </w:r>
            <w:r>
              <w:rPr>
                <w:rFonts w:hint="default" w:ascii="Times New Roman" w:hAnsi="Times New Roman" w:cs="Times New Roman"/>
                <w:color w:val="auto"/>
                <w:kern w:val="1"/>
                <w:sz w:val="24"/>
                <w:szCs w:val="22"/>
                <w:lang w:val="en-US" w:eastAsia="zh-CN"/>
              </w:rPr>
              <w:t>项目代码：2403-530112-04-01-478308</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kern w:val="1"/>
                <w:sz w:val="24"/>
              </w:rPr>
              <w:t>因此</w:t>
            </w:r>
            <w:r>
              <w:rPr>
                <w:rFonts w:hint="default" w:ascii="Times New Roman" w:hAnsi="Times New Roman" w:cs="Times New Roman"/>
                <w:color w:val="auto"/>
                <w:kern w:val="1"/>
                <w:sz w:val="24"/>
                <w:lang w:val="en-US" w:eastAsia="zh-CN"/>
              </w:rPr>
              <w:t>本</w:t>
            </w:r>
            <w:r>
              <w:rPr>
                <w:rFonts w:hint="default" w:ascii="Times New Roman" w:hAnsi="Times New Roman" w:cs="Times New Roman"/>
                <w:color w:val="auto"/>
                <w:sz w:val="24"/>
              </w:rPr>
              <w:t>项目符合我国及当地产业政策。</w:t>
            </w:r>
          </w:p>
          <w:p w14:paraId="24194207">
            <w:pPr>
              <w:widowControl/>
              <w:spacing w:line="360" w:lineRule="auto"/>
              <w:ind w:firstLine="482" w:firstLineChars="200"/>
              <w:jc w:val="left"/>
              <w:rPr>
                <w:rFonts w:hint="default" w:ascii="Times New Roman" w:hAnsi="Times New Roman" w:cs="Times New Roman"/>
                <w:color w:val="auto"/>
                <w:kern w:val="0"/>
                <w:sz w:val="24"/>
                <w:lang w:bidi="ar"/>
              </w:rPr>
            </w:pPr>
            <w:r>
              <w:rPr>
                <w:rFonts w:hint="eastAsia" w:cs="Times New Roman"/>
                <w:b/>
                <w:bCs/>
                <w:color w:val="auto"/>
                <w:kern w:val="0"/>
                <w:sz w:val="24"/>
                <w:lang w:val="en-US" w:eastAsia="zh-CN" w:bidi="ar"/>
              </w:rPr>
              <w:t>3</w:t>
            </w:r>
            <w:r>
              <w:rPr>
                <w:rFonts w:hint="default" w:ascii="Times New Roman" w:hAnsi="Times New Roman" w:cs="Times New Roman"/>
                <w:b/>
                <w:bCs/>
                <w:color w:val="auto"/>
                <w:kern w:val="0"/>
                <w:sz w:val="24"/>
                <w:lang w:bidi="ar"/>
              </w:rPr>
              <w:t>、本项目与《昆明市大气污染防治条例》符合性分析</w:t>
            </w:r>
          </w:p>
          <w:p w14:paraId="080C187E">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根据《昆明市大气污染防治条例》，本项目主要涉及《昆明市大气污染防治条例》中“第三十五条”、“第三十七条”及“第四十五条”中的规定，分析如下：</w:t>
            </w:r>
          </w:p>
          <w:p w14:paraId="7C4F5D88">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w:t>
            </w:r>
            <w:r>
              <w:rPr>
                <w:rFonts w:hint="eastAsia" w:cs="Times New Roman"/>
                <w:b/>
                <w:color w:val="auto"/>
                <w:szCs w:val="21"/>
                <w:lang w:val="en-US" w:eastAsia="zh-CN"/>
              </w:rPr>
              <w:t>3</w:t>
            </w:r>
            <w:r>
              <w:rPr>
                <w:rFonts w:hint="default" w:ascii="Times New Roman" w:hAnsi="Times New Roman" w:cs="Times New Roman"/>
                <w:b/>
                <w:color w:val="auto"/>
                <w:szCs w:val="21"/>
              </w:rPr>
              <w:t xml:space="preserve"> 本项目与《昆明市大气污染防治条例》符合性分析一览表</w:t>
            </w:r>
          </w:p>
          <w:tbl>
            <w:tblPr>
              <w:tblStyle w:val="27"/>
              <w:tblW w:w="8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7"/>
              <w:gridCol w:w="3351"/>
              <w:gridCol w:w="872"/>
            </w:tblGrid>
            <w:tr w14:paraId="3866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7" w:type="dxa"/>
                  <w:noWrap w:val="0"/>
                  <w:vAlign w:val="center"/>
                </w:tcPr>
                <w:p w14:paraId="545003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条例内容</w:t>
                  </w:r>
                </w:p>
              </w:tc>
              <w:tc>
                <w:tcPr>
                  <w:tcW w:w="3351" w:type="dxa"/>
                  <w:noWrap w:val="0"/>
                  <w:vAlign w:val="center"/>
                </w:tcPr>
                <w:p w14:paraId="40CAFC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w:t>
                  </w:r>
                </w:p>
              </w:tc>
              <w:tc>
                <w:tcPr>
                  <w:tcW w:w="872" w:type="dxa"/>
                  <w:noWrap w:val="0"/>
                  <w:vAlign w:val="center"/>
                </w:tcPr>
                <w:p w14:paraId="4397E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0CE6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4347" w:type="dxa"/>
                  <w:noWrap w:val="0"/>
                  <w:vAlign w:val="center"/>
                </w:tcPr>
                <w:p w14:paraId="0B599F0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第三十五条本市城市规划区内的施工单位应当遵守下列施工工地污染防治要求：</w:t>
                  </w:r>
                </w:p>
                <w:p w14:paraId="13CCB1E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（一）施工工地出入口明显位置公示施工现场负责人、扬尘防治监管责任人、扬尘污染控制措施、举报电话等信息，接受社会监督；</w:t>
                  </w:r>
                </w:p>
                <w:p w14:paraId="5D8309F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（二）在施工现场周边、施工作业区域，按照相关行业标准设置连续硬质围挡、采用喷淋、洒水等措施，工地内主要道路进行硬化处理；</w:t>
                  </w:r>
                </w:p>
                <w:p w14:paraId="7741EA5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三）对施工现场可能产生扬尘的物料堆放场所采用密闭式防尘网遮盖等措施，对其他非作业面的裸露场地应当进行覆盖，对土石方、建筑垃圾及时清运并进行资源化处理；建筑垃圾采取封闭方式清运，严禁高处抛洒；</w:t>
                  </w:r>
                </w:p>
                <w:p w14:paraId="7B98CB8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（四）道路挖掘施工应当采取洒水等有效措施防治扬尘污染；道路挖掘施工完成后应当及时恢复路面；</w:t>
                  </w:r>
                </w:p>
                <w:p w14:paraId="17F3EF6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（五）建筑物拆除、土石方作业等易产生扬尘的施工作业应当采取湿法作业。</w:t>
                  </w:r>
                </w:p>
              </w:tc>
              <w:tc>
                <w:tcPr>
                  <w:tcW w:w="3351" w:type="dxa"/>
                  <w:noWrap w:val="0"/>
                  <w:vAlign w:val="center"/>
                </w:tcPr>
                <w:p w14:paraId="65576CB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（一）施工工地出入口明显位置按相关要求粘贴公示施工现场负责人、扬尘防治监管责任人、扬尘污染控制措施、举报电话等信息，接受社会监督；</w:t>
                  </w:r>
                </w:p>
                <w:p w14:paraId="04E76A3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（二）本项目</w:t>
                  </w:r>
                  <w:r>
                    <w:rPr>
                      <w:rFonts w:hint="default" w:ascii="Times New Roman" w:hAnsi="Times New Roman" w:cs="Times New Roman"/>
                      <w:color w:val="auto"/>
                      <w:sz w:val="21"/>
                      <w:szCs w:val="21"/>
                      <w:lang w:val="en-US" w:eastAsia="zh-CN"/>
                    </w:rPr>
                    <w:t>在施工过程中会严格遵守条例，</w:t>
                  </w:r>
                  <w:r>
                    <w:rPr>
                      <w:rFonts w:hint="default" w:ascii="Times New Roman" w:hAnsi="Times New Roman" w:cs="Times New Roman"/>
                      <w:color w:val="auto"/>
                      <w:szCs w:val="21"/>
                    </w:rPr>
                    <w:t>在施工现场周边、施工作业区域，按照相关行业标准设置连续硬质围挡、采用喷淋、洒水等措施，工地内主要道路进行硬化处理；</w:t>
                  </w:r>
                </w:p>
                <w:p w14:paraId="45BBD5E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（三）</w:t>
                  </w:r>
                  <w:r>
                    <w:rPr>
                      <w:rFonts w:hint="default" w:ascii="Times New Roman" w:hAnsi="Times New Roman" w:cs="Times New Roman"/>
                      <w:color w:val="auto"/>
                      <w:szCs w:val="21"/>
                      <w:lang w:val="en-US" w:eastAsia="zh-CN"/>
                    </w:rPr>
                    <w:t>施工过程中使用的水泥和其他细粒散装材料，统</w:t>
                  </w:r>
                  <w:r>
                    <w:rPr>
                      <w:rFonts w:hint="eastAsia" w:ascii="Times New Roman" w:hAnsi="Times New Roman" w:cs="Times New Roman"/>
                      <w:color w:val="auto"/>
                      <w:szCs w:val="21"/>
                      <w:lang w:val="en-US" w:eastAsia="zh-CN"/>
                    </w:rPr>
                    <w:t>一</w:t>
                  </w:r>
                  <w:r>
                    <w:rPr>
                      <w:rFonts w:hint="default" w:ascii="Times New Roman" w:hAnsi="Times New Roman" w:cs="Times New Roman"/>
                      <w:color w:val="auto"/>
                      <w:szCs w:val="21"/>
                      <w:lang w:val="en-US" w:eastAsia="zh-CN"/>
                    </w:rPr>
                    <w:t>堆放，且采用篷布遮盖，避免露天堆放</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对洒落的水泥等粉尘及时清扫；项目使用商品混凝土。施工过程中产生的建筑垃圾定点堆放，且采用篷布遮盖</w:t>
                  </w:r>
                  <w:r>
                    <w:rPr>
                      <w:rFonts w:hint="eastAsia" w:cs="Times New Roman"/>
                      <w:color w:val="auto"/>
                      <w:szCs w:val="21"/>
                      <w:lang w:val="en-US" w:eastAsia="zh-CN"/>
                    </w:rPr>
                    <w:t>，</w:t>
                  </w:r>
                  <w:r>
                    <w:rPr>
                      <w:rFonts w:hint="default" w:ascii="Times New Roman" w:hAnsi="Times New Roman" w:cs="Times New Roman"/>
                      <w:color w:val="auto"/>
                      <w:szCs w:val="21"/>
                    </w:rPr>
                    <w:t>本项目施工垃圾由施工方100%合理处置；</w:t>
                  </w:r>
                </w:p>
                <w:p w14:paraId="4701E80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（四）本项目不涉及道路挖掘施工；</w:t>
                  </w:r>
                </w:p>
                <w:p w14:paraId="2007F3D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（五）本项目建筑物拆除</w:t>
                  </w:r>
                  <w:r>
                    <w:rPr>
                      <w:rFonts w:hint="eastAsia" w:cs="Times New Roman"/>
                      <w:color w:val="auto"/>
                      <w:szCs w:val="21"/>
                      <w:lang w:eastAsia="zh-CN"/>
                    </w:rPr>
                    <w:t>、</w:t>
                  </w:r>
                  <w:r>
                    <w:rPr>
                      <w:rFonts w:hint="default" w:ascii="Times New Roman" w:hAnsi="Times New Roman" w:cs="Times New Roman"/>
                      <w:color w:val="auto"/>
                      <w:szCs w:val="21"/>
                    </w:rPr>
                    <w:t>土石方作业</w:t>
                  </w:r>
                  <w:r>
                    <w:rPr>
                      <w:rFonts w:hint="default" w:ascii="Times New Roman" w:hAnsi="Times New Roman" w:cs="Times New Roman"/>
                      <w:color w:val="auto"/>
                      <w:szCs w:val="21"/>
                      <w:lang w:val="en-US" w:eastAsia="zh-CN"/>
                    </w:rPr>
                    <w:t>过程中采</w:t>
                  </w:r>
                  <w:r>
                    <w:rPr>
                      <w:rFonts w:hint="default" w:ascii="Times New Roman" w:hAnsi="Times New Roman" w:cs="Times New Roman"/>
                      <w:color w:val="auto"/>
                      <w:szCs w:val="21"/>
                    </w:rPr>
                    <w:t>取湿法作业；</w:t>
                  </w:r>
                </w:p>
              </w:tc>
              <w:tc>
                <w:tcPr>
                  <w:tcW w:w="872" w:type="dxa"/>
                  <w:noWrap w:val="0"/>
                  <w:vAlign w:val="center"/>
                </w:tcPr>
                <w:p w14:paraId="583F7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5DB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4347" w:type="dxa"/>
                  <w:noWrap w:val="0"/>
                  <w:vAlign w:val="center"/>
                </w:tcPr>
                <w:p w14:paraId="7B3F530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第三十七条运输煤炭、垃圾、渣土、砂石、土方、灰浆等散装、流体物料的车辆应当采取密闭或者其他措施防止物料遗撒造成扬尘污染，并按照规定的路线和时间行驶。</w:t>
                  </w:r>
                </w:p>
              </w:tc>
              <w:tc>
                <w:tcPr>
                  <w:tcW w:w="3351" w:type="dxa"/>
                  <w:noWrap w:val="0"/>
                  <w:vAlign w:val="center"/>
                </w:tcPr>
                <w:p w14:paraId="5344683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Cs w:val="21"/>
                    </w:rPr>
                  </w:pPr>
                  <w:r>
                    <w:rPr>
                      <w:rFonts w:hint="default" w:ascii="Times New Roman" w:hAnsi="Times New Roman" w:eastAsia="宋体" w:cs="Times New Roman"/>
                      <w:color w:val="auto"/>
                      <w:kern w:val="0"/>
                      <w:sz w:val="21"/>
                      <w:szCs w:val="21"/>
                      <w:lang w:val="en-US" w:eastAsia="zh-CN" w:bidi="ar"/>
                    </w:rPr>
                    <w:t>本项目对运输粉料建筑材料等易产生扬尘的车辆覆盖蓬布，建筑材料轻装轻卸，尽量降低装卸高度，</w:t>
                  </w:r>
                  <w:r>
                    <w:rPr>
                      <w:rFonts w:hint="default" w:ascii="Times New Roman" w:hAnsi="Times New Roman" w:eastAsia="宋体" w:cs="Times New Roman"/>
                      <w:color w:val="auto"/>
                      <w:szCs w:val="21"/>
                      <w:lang w:val="en-US" w:eastAsia="zh-CN"/>
                    </w:rPr>
                    <w:t>运输车辆</w:t>
                  </w:r>
                  <w:r>
                    <w:rPr>
                      <w:rFonts w:hint="default" w:ascii="Times New Roman" w:hAnsi="Times New Roman" w:cs="Times New Roman"/>
                      <w:color w:val="auto"/>
                      <w:szCs w:val="21"/>
                    </w:rPr>
                    <w:t>按照规定的路线和时间行驶。</w:t>
                  </w:r>
                </w:p>
              </w:tc>
              <w:tc>
                <w:tcPr>
                  <w:tcW w:w="872" w:type="dxa"/>
                  <w:noWrap w:val="0"/>
                  <w:vAlign w:val="center"/>
                </w:tcPr>
                <w:p w14:paraId="5BD1C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CF1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4347" w:type="dxa"/>
                  <w:noWrap w:val="0"/>
                  <w:vAlign w:val="center"/>
                </w:tcPr>
                <w:p w14:paraId="5C0CE9A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第四十五条排放油烟的餐饮服务业经营者应当安装油烟净化设施并保持正常使用，或者采取其他油烟净化措施，使油烟达标排放，并防止对附近居民的正常生活环境造成影响。</w:t>
                  </w:r>
                </w:p>
              </w:tc>
              <w:tc>
                <w:tcPr>
                  <w:tcW w:w="3351" w:type="dxa"/>
                  <w:noWrap w:val="0"/>
                  <w:vAlign w:val="center"/>
                </w:tcPr>
                <w:p w14:paraId="223F3A3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本项目食堂</w:t>
                  </w:r>
                  <w:r>
                    <w:rPr>
                      <w:rFonts w:hint="default" w:ascii="Times New Roman" w:hAnsi="Times New Roman" w:cs="Times New Roman"/>
                      <w:color w:val="auto"/>
                      <w:szCs w:val="21"/>
                      <w:lang w:val="en-US" w:eastAsia="zh-CN"/>
                    </w:rPr>
                    <w:t>仅有少量工作人员使用，并在厨房安装油烟净化装置，不会对周边</w:t>
                  </w:r>
                  <w:r>
                    <w:rPr>
                      <w:rFonts w:hint="default" w:ascii="Times New Roman" w:hAnsi="Times New Roman" w:cs="Times New Roman"/>
                      <w:color w:val="auto"/>
                      <w:szCs w:val="21"/>
                    </w:rPr>
                    <w:t>居民的正常生活环境造成影响。</w:t>
                  </w:r>
                </w:p>
              </w:tc>
              <w:tc>
                <w:tcPr>
                  <w:tcW w:w="872" w:type="dxa"/>
                  <w:noWrap w:val="0"/>
                  <w:vAlign w:val="center"/>
                </w:tcPr>
                <w:p w14:paraId="3BFA82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81C6F7A">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因此，本项目施工过程中严格采取环评提出的环保措施后，项目符合《昆明市大气污染防治条例》。</w:t>
            </w:r>
          </w:p>
          <w:p w14:paraId="6C3BC6BE">
            <w:pPr>
              <w:autoSpaceDE w:val="0"/>
              <w:autoSpaceDN w:val="0"/>
              <w:adjustRightInd w:val="0"/>
              <w:snapToGrid w:val="0"/>
              <w:spacing w:line="360" w:lineRule="auto"/>
              <w:ind w:firstLine="482" w:firstLineChars="200"/>
              <w:rPr>
                <w:rFonts w:hint="default" w:ascii="Times New Roman" w:hAnsi="Times New Roman" w:eastAsia="宋体" w:cs="Times New Roman"/>
                <w:b/>
                <w:color w:val="auto"/>
                <w:sz w:val="24"/>
              </w:rPr>
            </w:pPr>
            <w:r>
              <w:rPr>
                <w:rFonts w:hint="eastAsia" w:cs="Times New Roman"/>
                <w:b/>
                <w:color w:val="auto"/>
                <w:sz w:val="24"/>
                <w:lang w:val="en-US" w:eastAsia="zh-CN"/>
              </w:rPr>
              <w:t>4</w:t>
            </w:r>
            <w:r>
              <w:rPr>
                <w:rFonts w:hint="default" w:ascii="Times New Roman" w:hAnsi="Times New Roman" w:eastAsia="宋体" w:cs="Times New Roman"/>
                <w:b/>
                <w:color w:val="auto"/>
                <w:sz w:val="24"/>
                <w:lang w:val="en-US" w:eastAsia="zh-CN"/>
              </w:rPr>
              <w:t>、</w:t>
            </w:r>
            <w:r>
              <w:rPr>
                <w:rFonts w:hint="default" w:ascii="Times New Roman" w:hAnsi="Times New Roman" w:eastAsia="宋体" w:cs="Times New Roman"/>
                <w:b/>
                <w:color w:val="auto"/>
                <w:sz w:val="24"/>
              </w:rPr>
              <w:t>与《2020年挥发性有机物治理攻坚方案》的相符性分析</w:t>
            </w:r>
          </w:p>
          <w:p w14:paraId="69D8AC64">
            <w:pPr>
              <w:pStyle w:val="35"/>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根据生态环境部发布的《关于印发&lt;2020年挥发性有机物治理攻坚方案&gt;的通知》（环大气〔2020〕33号），项目与该文件相关条款相符性分析如下表。</w:t>
            </w:r>
          </w:p>
          <w:p w14:paraId="1EDAA451">
            <w:pPr>
              <w:autoSpaceDE w:val="0"/>
              <w:autoSpaceDN w:val="0"/>
              <w:adjustRightInd w:val="0"/>
              <w:snapToGrid w:val="0"/>
              <w:spacing w:line="240" w:lineRule="auto"/>
              <w:ind w:firstLine="422" w:firstLineChars="200"/>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表1-</w:t>
            </w:r>
            <w:r>
              <w:rPr>
                <w:rFonts w:hint="eastAsia" w:cs="Times New Roman"/>
                <w:b/>
                <w:bCs/>
                <w:color w:val="auto"/>
                <w:szCs w:val="21"/>
                <w:lang w:val="en-US" w:eastAsia="zh-CN"/>
              </w:rPr>
              <w:t>4</w:t>
            </w:r>
            <w:r>
              <w:rPr>
                <w:rFonts w:hint="default" w:ascii="Times New Roman" w:hAnsi="Times New Roman" w:eastAsia="宋体" w:cs="Times New Roman"/>
                <w:b/>
                <w:bCs/>
                <w:color w:val="auto"/>
                <w:szCs w:val="21"/>
                <w:lang w:val="zh-CN"/>
              </w:rPr>
              <w:t xml:space="preserve"> 本项目与“2020年挥发性有机物治理攻坚方案”相符性对照表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5"/>
              <w:gridCol w:w="4679"/>
              <w:gridCol w:w="1064"/>
            </w:tblGrid>
            <w:tr w14:paraId="3BD1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3" w:type="pct"/>
                  <w:noWrap w:val="0"/>
                  <w:vAlign w:val="center"/>
                </w:tcPr>
                <w:p w14:paraId="25CF1194">
                  <w:pPr>
                    <w:widowControl/>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相关规定</w:t>
                  </w:r>
                </w:p>
              </w:tc>
              <w:tc>
                <w:tcPr>
                  <w:tcW w:w="2742" w:type="pct"/>
                  <w:noWrap w:val="0"/>
                  <w:vAlign w:val="center"/>
                </w:tcPr>
                <w:p w14:paraId="36E160C2">
                  <w:pPr>
                    <w:widowControl/>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623" w:type="pct"/>
                  <w:noWrap w:val="0"/>
                  <w:vAlign w:val="center"/>
                </w:tcPr>
                <w:p w14:paraId="7F40ABAE">
                  <w:pPr>
                    <w:widowControl/>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相符性</w:t>
                  </w:r>
                </w:p>
              </w:tc>
            </w:tr>
            <w:tr w14:paraId="268D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3" w:type="pct"/>
                  <w:noWrap w:val="0"/>
                  <w:vAlign w:val="center"/>
                </w:tcPr>
                <w:p w14:paraId="339E9D2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一、大力推进源头替代，有效减少非甲烷总烃产生。</w:t>
                  </w:r>
                </w:p>
              </w:tc>
              <w:tc>
                <w:tcPr>
                  <w:tcW w:w="2742" w:type="pct"/>
                  <w:noWrap w:val="0"/>
                  <w:vAlign w:val="center"/>
                </w:tcPr>
                <w:p w14:paraId="2E79D710">
                  <w:pPr>
                    <w:widowControl/>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原辅料为汽油和柴油，</w:t>
                  </w:r>
                  <w:r>
                    <w:rPr>
                      <w:rFonts w:hint="default" w:ascii="Times New Roman" w:hAnsi="Times New Roman" w:cs="Times New Roman"/>
                      <w:bCs/>
                      <w:color w:val="auto"/>
                      <w:sz w:val="21"/>
                      <w:szCs w:val="21"/>
                      <w:lang w:val="en-US" w:eastAsia="zh-CN"/>
                    </w:rPr>
                    <w:t>不使用</w:t>
                  </w:r>
                  <w:r>
                    <w:rPr>
                      <w:rFonts w:hint="default" w:ascii="Times New Roman" w:hAnsi="Times New Roman" w:eastAsia="宋体" w:cs="Times New Roman"/>
                      <w:color w:val="auto"/>
                      <w:sz w:val="21"/>
                      <w:szCs w:val="21"/>
                    </w:rPr>
                    <w:t>溶剂型涂料、油墨、清洗剂等，从源头减少VOCs产生</w:t>
                  </w:r>
                  <w:r>
                    <w:rPr>
                      <w:rFonts w:hint="default" w:ascii="Times New Roman" w:hAnsi="Times New Roman" w:eastAsia="宋体" w:cs="Times New Roman"/>
                      <w:color w:val="auto"/>
                      <w:sz w:val="21"/>
                      <w:szCs w:val="21"/>
                      <w:lang w:eastAsia="zh-CN"/>
                    </w:rPr>
                    <w:t>。</w:t>
                  </w:r>
                </w:p>
              </w:tc>
              <w:tc>
                <w:tcPr>
                  <w:tcW w:w="623" w:type="pct"/>
                  <w:noWrap w:val="0"/>
                  <w:vAlign w:val="center"/>
                </w:tcPr>
                <w:p w14:paraId="7A06BF5A">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126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3" w:type="pct"/>
                  <w:noWrap w:val="0"/>
                  <w:vAlign w:val="center"/>
                </w:tcPr>
                <w:p w14:paraId="7EA1D82D">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二、全面落实标准要求，强化无组织排放控制</w:t>
                  </w:r>
                </w:p>
              </w:tc>
              <w:tc>
                <w:tcPr>
                  <w:tcW w:w="2742" w:type="pct"/>
                  <w:noWrap w:val="0"/>
                  <w:vAlign w:val="center"/>
                </w:tcPr>
                <w:p w14:paraId="33470212">
                  <w:pPr>
                    <w:widowControl/>
                    <w:rPr>
                      <w:rFonts w:hint="default" w:ascii="Times New Roman" w:hAnsi="Times New Roman" w:cs="Times New Roman"/>
                      <w:color w:val="auto"/>
                      <w:szCs w:val="21"/>
                    </w:rPr>
                  </w:pPr>
                  <w:r>
                    <w:rPr>
                      <w:rFonts w:hint="default" w:ascii="Times New Roman" w:hAnsi="Times New Roman" w:cs="Times New Roman"/>
                      <w:color w:val="auto"/>
                      <w:kern w:val="0"/>
                      <w:szCs w:val="21"/>
                    </w:rPr>
                    <w:t>项目运营期</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w:t>
                  </w:r>
                  <w:r>
                    <w:rPr>
                      <w:rFonts w:hint="default" w:ascii="Times New Roman" w:hAnsi="Times New Roman" w:cs="Times New Roman"/>
                      <w:color w:val="auto"/>
                      <w:szCs w:val="21"/>
                    </w:rPr>
                    <w:t>大大减少了无组织废气的排放</w:t>
                  </w:r>
                  <w:r>
                    <w:rPr>
                      <w:rFonts w:hint="default" w:ascii="Times New Roman" w:hAnsi="Times New Roman" w:cs="Times New Roman"/>
                      <w:color w:val="auto"/>
                      <w:kern w:val="0"/>
                      <w:szCs w:val="21"/>
                    </w:rPr>
                    <w:t>。</w:t>
                  </w:r>
                </w:p>
              </w:tc>
              <w:tc>
                <w:tcPr>
                  <w:tcW w:w="623" w:type="pct"/>
                  <w:noWrap w:val="0"/>
                  <w:vAlign w:val="center"/>
                </w:tcPr>
                <w:p w14:paraId="3E0950B2">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54E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3" w:type="pct"/>
                  <w:noWrap w:val="0"/>
                  <w:vAlign w:val="center"/>
                </w:tcPr>
                <w:p w14:paraId="40767530">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三、聚焦治污设施“三率”，提升综合治理效率</w:t>
                  </w:r>
                </w:p>
              </w:tc>
              <w:tc>
                <w:tcPr>
                  <w:tcW w:w="2742" w:type="pct"/>
                  <w:noWrap w:val="0"/>
                  <w:vAlign w:val="center"/>
                </w:tcPr>
                <w:p w14:paraId="7704664E">
                  <w:pPr>
                    <w:pStyle w:val="36"/>
                    <w:tabs>
                      <w:tab w:val="left" w:pos="-2400"/>
                      <w:tab w:val="left" w:pos="1320"/>
                      <w:tab w:val="left" w:pos="3878"/>
                      <w:tab w:val="left" w:pos="6080"/>
                      <w:tab w:val="left" w:pos="6580"/>
                      <w:tab w:val="left" w:pos="8137"/>
                    </w:tabs>
                    <w:jc w:val="both"/>
                    <w:rPr>
                      <w:rFonts w:hint="default" w:ascii="Times New Roman" w:hAnsi="Times New Roman" w:eastAsia="宋体" w:cs="Times New Roman"/>
                      <w:color w:val="auto"/>
                      <w:lang w:eastAsia="zh-CN"/>
                    </w:rPr>
                  </w:pPr>
                  <w:r>
                    <w:rPr>
                      <w:rFonts w:hint="default" w:ascii="Times New Roman" w:hAnsi="Times New Roman" w:cs="Times New Roman"/>
                      <w:color w:val="auto"/>
                      <w:kern w:val="0"/>
                      <w:szCs w:val="21"/>
                    </w:rPr>
                    <w:t>项目运营期</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p>
              </w:tc>
              <w:tc>
                <w:tcPr>
                  <w:tcW w:w="623" w:type="pct"/>
                  <w:noWrap w:val="0"/>
                  <w:vAlign w:val="center"/>
                </w:tcPr>
                <w:p w14:paraId="2BF3B129">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56A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33" w:type="pct"/>
                  <w:noWrap w:val="0"/>
                  <w:vAlign w:val="center"/>
                </w:tcPr>
                <w:p w14:paraId="2A6D6FAA">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四、深化园区和集群整治，促进产业绿色发展</w:t>
                  </w:r>
                </w:p>
              </w:tc>
              <w:tc>
                <w:tcPr>
                  <w:tcW w:w="2742" w:type="pct"/>
                  <w:noWrap w:val="0"/>
                  <w:vAlign w:val="center"/>
                </w:tcPr>
                <w:p w14:paraId="737039B3">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项目运营期</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p>
              </w:tc>
              <w:tc>
                <w:tcPr>
                  <w:tcW w:w="623" w:type="pct"/>
                  <w:noWrap w:val="0"/>
                  <w:vAlign w:val="center"/>
                </w:tcPr>
                <w:p w14:paraId="5B89A0FA">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C3D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3" w:type="pct"/>
                  <w:noWrap w:val="0"/>
                  <w:vAlign w:val="center"/>
                </w:tcPr>
                <w:p w14:paraId="6181B11B">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五、强化油品储运销监管，实现减污降耗增效</w:t>
                  </w:r>
                </w:p>
              </w:tc>
              <w:tc>
                <w:tcPr>
                  <w:tcW w:w="2742" w:type="pct"/>
                  <w:noWrap w:val="0"/>
                  <w:vAlign w:val="center"/>
                </w:tcPr>
                <w:p w14:paraId="753FB5CD">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本项目油品储运均</w:t>
                  </w:r>
                  <w:r>
                    <w:rPr>
                      <w:rFonts w:hint="eastAsia" w:cs="Times New Roman"/>
                      <w:color w:val="auto"/>
                      <w:szCs w:val="21"/>
                      <w:lang w:val="en-US" w:eastAsia="zh-CN"/>
                    </w:rPr>
                    <w:t>由</w:t>
                  </w:r>
                  <w:r>
                    <w:rPr>
                      <w:rFonts w:hint="default" w:ascii="Times New Roman" w:hAnsi="Times New Roman" w:cs="Times New Roman"/>
                      <w:color w:val="auto"/>
                      <w:szCs w:val="21"/>
                      <w:lang w:val="en-US" w:eastAsia="zh-CN"/>
                    </w:rPr>
                    <w:t>中石化昆明分公司统一管理，油品由中石化油库购入，储运过程实时监管。</w:t>
                  </w:r>
                </w:p>
              </w:tc>
              <w:tc>
                <w:tcPr>
                  <w:tcW w:w="623" w:type="pct"/>
                  <w:noWrap w:val="0"/>
                  <w:vAlign w:val="center"/>
                </w:tcPr>
                <w:p w14:paraId="3722BDD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224AD4D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由上表可知，项目建设符合《关于印发&lt;2020年挥发性有机物治理攻坚方案&gt;的通知》（环大气〔2020〕33号）中相关要求。</w:t>
            </w:r>
          </w:p>
          <w:p w14:paraId="47FC2E2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rPr>
            </w:pPr>
            <w:r>
              <w:rPr>
                <w:rFonts w:hint="eastAsia" w:cs="Times New Roman"/>
                <w:b/>
                <w:bCs/>
                <w:color w:val="auto"/>
                <w:sz w:val="24"/>
                <w:lang w:val="en-US" w:eastAsia="zh-CN"/>
              </w:rPr>
              <w:t>5</w:t>
            </w:r>
            <w:r>
              <w:rPr>
                <w:rFonts w:hint="default" w:ascii="Times New Roman" w:hAnsi="Times New Roman" w:cs="Times New Roman"/>
                <w:b/>
                <w:bCs/>
                <w:color w:val="auto"/>
                <w:sz w:val="24"/>
                <w:lang w:val="en-US" w:eastAsia="zh-CN"/>
              </w:rPr>
              <w:t>、</w:t>
            </w:r>
            <w:r>
              <w:rPr>
                <w:rFonts w:hint="default" w:ascii="Times New Roman" w:hAnsi="Times New Roman" w:eastAsia="宋体" w:cs="Times New Roman"/>
                <w:b/>
                <w:bCs/>
                <w:color w:val="auto"/>
                <w:sz w:val="24"/>
                <w:szCs w:val="24"/>
                <w:lang w:val="en-US" w:eastAsia="zh-CN"/>
              </w:rPr>
              <w:t>与《云南省生态环境厅关于印发云南省重点行业挥发性有机物综合治理实施方案的通知》（云环通〔2019〕125号）的相符性分析</w:t>
            </w:r>
          </w:p>
          <w:p w14:paraId="6CFF645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与《云南省生态环境厅关于印发云南省重点行业挥发性有机物综合治理实施方案的通知》（云环通〔2019〕125号）</w:t>
            </w:r>
            <w:r>
              <w:rPr>
                <w:rFonts w:hint="default" w:ascii="Times New Roman" w:hAnsi="Times New Roman" w:eastAsia="宋体" w:cs="Times New Roman"/>
                <w:color w:val="auto"/>
                <w:sz w:val="24"/>
                <w:szCs w:val="24"/>
              </w:rPr>
              <w:t>符合性分析详见下表。</w:t>
            </w:r>
          </w:p>
          <w:p w14:paraId="000300C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项目与</w:t>
            </w:r>
            <w:r>
              <w:rPr>
                <w:rFonts w:hint="default" w:ascii="Times New Roman" w:hAnsi="Times New Roman" w:eastAsia="宋体" w:cs="Times New Roman"/>
                <w:b/>
                <w:bCs/>
                <w:color w:val="auto"/>
                <w:sz w:val="21"/>
                <w:szCs w:val="21"/>
                <w:lang w:val="en-US" w:eastAsia="zh-CN"/>
              </w:rPr>
              <w:t>治理方案的</w:t>
            </w:r>
            <w:r>
              <w:rPr>
                <w:rFonts w:hint="default" w:ascii="Times New Roman" w:hAnsi="Times New Roman" w:eastAsia="宋体" w:cs="Times New Roman"/>
                <w:b/>
                <w:bCs/>
                <w:color w:val="auto"/>
                <w:sz w:val="21"/>
                <w:szCs w:val="21"/>
              </w:rPr>
              <w:t>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496"/>
              <w:gridCol w:w="2445"/>
              <w:gridCol w:w="911"/>
            </w:tblGrid>
            <w:tr w14:paraId="6708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96" w:type="pct"/>
                  <w:noWrap w:val="0"/>
                  <w:vAlign w:val="center"/>
                </w:tcPr>
                <w:p w14:paraId="4CB6CB2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序号</w:t>
                  </w:r>
                </w:p>
              </w:tc>
              <w:tc>
                <w:tcPr>
                  <w:tcW w:w="2635" w:type="pct"/>
                  <w:noWrap w:val="0"/>
                  <w:vAlign w:val="center"/>
                </w:tcPr>
                <w:p w14:paraId="00231F1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sz w:val="21"/>
                      <w:szCs w:val="21"/>
                    </w:rPr>
                    <w:t>云环通（2019）125号要求</w:t>
                  </w:r>
                </w:p>
              </w:tc>
              <w:tc>
                <w:tcPr>
                  <w:tcW w:w="1433" w:type="pct"/>
                  <w:noWrap w:val="0"/>
                  <w:vAlign w:val="center"/>
                </w:tcPr>
                <w:p w14:paraId="129CD67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本项目情况</w:t>
                  </w:r>
                </w:p>
              </w:tc>
              <w:tc>
                <w:tcPr>
                  <w:tcW w:w="534" w:type="pct"/>
                  <w:noWrap w:val="0"/>
                  <w:vAlign w:val="center"/>
                </w:tcPr>
                <w:p w14:paraId="46CB5DC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符合性</w:t>
                  </w:r>
                </w:p>
              </w:tc>
            </w:tr>
            <w:tr w14:paraId="199C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noWrap w:val="0"/>
                  <w:vAlign w:val="center"/>
                </w:tcPr>
                <w:p w14:paraId="56E17CE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w:t>
                  </w:r>
                </w:p>
              </w:tc>
              <w:tc>
                <w:tcPr>
                  <w:tcW w:w="2635" w:type="pct"/>
                  <w:noWrap w:val="0"/>
                  <w:vAlign w:val="center"/>
                </w:tcPr>
                <w:p w14:paraId="31F18C5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大力推进源头替代。通过使用水性、粉末、高固体分、无溶剂、辐射固化等低VOCs含量的涂料，水性、辐射固化、植物基等低 VOCs含量的油墨，水基、热熔、无溶剂、辐射固化、改性、生物降解等低VOCs含量的胶粘剂，以及低VOCs含量、低反应活性的清洗剂等，替代溶剂型涂料、油墨、胶粘剂、清洗剂等，从源头减少VOCs产生。</w:t>
                  </w:r>
                </w:p>
              </w:tc>
              <w:tc>
                <w:tcPr>
                  <w:tcW w:w="1433" w:type="pct"/>
                  <w:noWrap w:val="0"/>
                  <w:vAlign w:val="center"/>
                </w:tcPr>
                <w:p w14:paraId="0F3880A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原辅料为汽油和柴油，</w:t>
                  </w:r>
                  <w:r>
                    <w:rPr>
                      <w:rFonts w:hint="default" w:ascii="Times New Roman" w:hAnsi="Times New Roman" w:cs="Times New Roman"/>
                      <w:bCs/>
                      <w:color w:val="auto"/>
                      <w:sz w:val="21"/>
                      <w:szCs w:val="21"/>
                      <w:lang w:val="en-US" w:eastAsia="zh-CN"/>
                    </w:rPr>
                    <w:t>不使用</w:t>
                  </w:r>
                  <w:r>
                    <w:rPr>
                      <w:rFonts w:hint="default" w:ascii="Times New Roman" w:hAnsi="Times New Roman" w:eastAsia="宋体" w:cs="Times New Roman"/>
                      <w:color w:val="auto"/>
                      <w:sz w:val="21"/>
                      <w:szCs w:val="21"/>
                    </w:rPr>
                    <w:t>溶剂型涂料、油墨、清洗剂等，从源头减少VOCs产生</w:t>
                  </w:r>
                  <w:r>
                    <w:rPr>
                      <w:rFonts w:hint="default" w:ascii="Times New Roman" w:hAnsi="Times New Roman" w:eastAsia="宋体" w:cs="Times New Roman"/>
                      <w:color w:val="auto"/>
                      <w:sz w:val="21"/>
                      <w:szCs w:val="21"/>
                      <w:lang w:eastAsia="zh-CN"/>
                    </w:rPr>
                    <w:t>。</w:t>
                  </w:r>
                </w:p>
              </w:tc>
              <w:tc>
                <w:tcPr>
                  <w:tcW w:w="534" w:type="pct"/>
                  <w:noWrap w:val="0"/>
                  <w:vAlign w:val="center"/>
                </w:tcPr>
                <w:p w14:paraId="1D5CF25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6157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noWrap w:val="0"/>
                  <w:vAlign w:val="center"/>
                </w:tcPr>
                <w:p w14:paraId="7E7B388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w:t>
                  </w:r>
                </w:p>
              </w:tc>
              <w:tc>
                <w:tcPr>
                  <w:tcW w:w="2635" w:type="pct"/>
                  <w:noWrap w:val="0"/>
                  <w:vAlign w:val="center"/>
                </w:tcPr>
                <w:p w14:paraId="2BF7196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全面加强无组织排放控制。重点对含VOCs 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433" w:type="pct"/>
                  <w:noWrap w:val="0"/>
                  <w:vAlign w:val="center"/>
                </w:tcPr>
                <w:p w14:paraId="0A2F048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原辅料汽油和柴油均</w:t>
                  </w: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lang w:val="en-US" w:eastAsia="zh-CN"/>
                    </w:rPr>
                    <w:t>埋地式双层油罐</w:t>
                  </w:r>
                  <w:r>
                    <w:rPr>
                      <w:rFonts w:hint="default" w:ascii="Times New Roman" w:hAnsi="Times New Roman" w:eastAsia="宋体" w:cs="Times New Roman"/>
                      <w:color w:val="auto"/>
                      <w:sz w:val="21"/>
                      <w:szCs w:val="21"/>
                    </w:rPr>
                    <w:t>内储存，</w:t>
                  </w:r>
                  <w:r>
                    <w:rPr>
                      <w:rFonts w:hint="default" w:ascii="Times New Roman" w:hAnsi="Times New Roman" w:eastAsia="宋体" w:cs="Times New Roman"/>
                      <w:color w:val="auto"/>
                      <w:sz w:val="21"/>
                      <w:szCs w:val="21"/>
                      <w:lang w:val="en-US" w:eastAsia="zh-CN"/>
                    </w:rPr>
                    <w:t>通过密闭管道及加油装置输送至加油机内</w:t>
                  </w:r>
                  <w:r>
                    <w:rPr>
                      <w:rFonts w:hint="default" w:ascii="Times New Roman" w:hAnsi="Times New Roman" w:eastAsia="宋体" w:cs="Times New Roman"/>
                      <w:color w:val="auto"/>
                      <w:sz w:val="21"/>
                      <w:szCs w:val="21"/>
                    </w:rPr>
                    <w:t>。</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p>
              </w:tc>
              <w:tc>
                <w:tcPr>
                  <w:tcW w:w="534" w:type="pct"/>
                  <w:noWrap w:val="0"/>
                  <w:vAlign w:val="center"/>
                </w:tcPr>
                <w:p w14:paraId="5644855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534E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396" w:type="pct"/>
                  <w:noWrap w:val="0"/>
                  <w:vAlign w:val="center"/>
                </w:tcPr>
                <w:p w14:paraId="6E9BB34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3</w:t>
                  </w:r>
                </w:p>
              </w:tc>
              <w:tc>
                <w:tcPr>
                  <w:tcW w:w="2635" w:type="pct"/>
                  <w:noWrap w:val="0"/>
                  <w:vAlign w:val="center"/>
                </w:tcPr>
                <w:p w14:paraId="232C07F1">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加强设备与场所密闭管理。含VOCs物料应储存于密闭容器、包装袋，高效密封储罐，封闭式储库、料仓等。含VOCs物料转移和输送，应采用密闭管道或密闭容器、罐车等。</w:t>
                  </w:r>
                </w:p>
              </w:tc>
              <w:tc>
                <w:tcPr>
                  <w:tcW w:w="1433" w:type="pct"/>
                  <w:noWrap w:val="0"/>
                  <w:vAlign w:val="center"/>
                </w:tcPr>
                <w:p w14:paraId="0CC3568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原辅料汽油和柴油均</w:t>
                  </w: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lang w:val="en-US" w:eastAsia="zh-CN"/>
                    </w:rPr>
                    <w:t>埋地式双层油罐</w:t>
                  </w:r>
                  <w:r>
                    <w:rPr>
                      <w:rFonts w:hint="default" w:ascii="Times New Roman" w:hAnsi="Times New Roman" w:eastAsia="宋体" w:cs="Times New Roman"/>
                      <w:color w:val="auto"/>
                      <w:sz w:val="21"/>
                      <w:szCs w:val="21"/>
                    </w:rPr>
                    <w:t>内储存，</w:t>
                  </w:r>
                  <w:r>
                    <w:rPr>
                      <w:rFonts w:hint="default" w:ascii="Times New Roman" w:hAnsi="Times New Roman" w:eastAsia="宋体" w:cs="Times New Roman"/>
                      <w:color w:val="auto"/>
                      <w:sz w:val="21"/>
                      <w:szCs w:val="21"/>
                      <w:lang w:val="en-US" w:eastAsia="zh-CN"/>
                    </w:rPr>
                    <w:t>通过密闭管道及加油装置输送至加油机内</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原辅料由供应方使用罐车以管道定期抽送至本项目油罐内。</w:t>
                  </w:r>
                </w:p>
              </w:tc>
              <w:tc>
                <w:tcPr>
                  <w:tcW w:w="534" w:type="pct"/>
                  <w:noWrap w:val="0"/>
                  <w:vAlign w:val="center"/>
                </w:tcPr>
                <w:p w14:paraId="73669D9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0938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6" w:type="pct"/>
                  <w:noWrap w:val="0"/>
                  <w:vAlign w:val="center"/>
                </w:tcPr>
                <w:p w14:paraId="6C05312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w:t>
                  </w:r>
                </w:p>
              </w:tc>
              <w:tc>
                <w:tcPr>
                  <w:tcW w:w="2635" w:type="pct"/>
                  <w:noWrap w:val="0"/>
                  <w:vAlign w:val="center"/>
                </w:tcPr>
                <w:p w14:paraId="1FD893F0">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使用先进生产工艺。通过采用全密闭、连续化、自动化等生产技术，以及高效工艺与设备等，减少工艺过程无组织排放。工业涂装行业重点推进使用紧凑式涂装工艺，推广采用辊涂、静电喷涂、高压无气喷涂、空气辅助无气喷涂、热喷涂等涂装技术，鼓励企业采用自动化、智能化喷涂设备替代人工喷涂，减少使用空气喷涂技术。</w:t>
                  </w:r>
                </w:p>
              </w:tc>
              <w:tc>
                <w:tcPr>
                  <w:tcW w:w="1433" w:type="pct"/>
                  <w:noWrap w:val="0"/>
                  <w:vAlign w:val="center"/>
                </w:tcPr>
                <w:p w14:paraId="0EB71A8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本项目环评提出企业生产过程中无组织排放管控、废气收集、治污设施建设等全过程减排要求。</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p>
              </w:tc>
              <w:tc>
                <w:tcPr>
                  <w:tcW w:w="534" w:type="pct"/>
                  <w:noWrap w:val="0"/>
                  <w:vAlign w:val="center"/>
                </w:tcPr>
                <w:p w14:paraId="73AF146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6E77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96" w:type="pct"/>
                  <w:noWrap w:val="0"/>
                  <w:vAlign w:val="center"/>
                </w:tcPr>
                <w:p w14:paraId="3D3B5A2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5</w:t>
                  </w:r>
                </w:p>
              </w:tc>
              <w:tc>
                <w:tcPr>
                  <w:tcW w:w="2635" w:type="pct"/>
                  <w:noWrap w:val="0"/>
                  <w:vAlign w:val="center"/>
                </w:tcPr>
                <w:p w14:paraId="7775121B">
                  <w:pPr>
                    <w:widowControl/>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 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433" w:type="pct"/>
                  <w:noWrap w:val="0"/>
                  <w:vAlign w:val="center"/>
                </w:tcPr>
                <w:p w14:paraId="6E36FC8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本项目加油过程产生的非甲烷总烃经采取“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p>
              </w:tc>
              <w:tc>
                <w:tcPr>
                  <w:tcW w:w="534" w:type="pct"/>
                  <w:noWrap w:val="0"/>
                  <w:vAlign w:val="center"/>
                </w:tcPr>
                <w:p w14:paraId="17AC8DC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4EA3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noWrap w:val="0"/>
                  <w:vAlign w:val="center"/>
                </w:tcPr>
                <w:p w14:paraId="268B479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6</w:t>
                  </w:r>
                </w:p>
              </w:tc>
              <w:tc>
                <w:tcPr>
                  <w:tcW w:w="2635" w:type="pct"/>
                  <w:noWrap w:val="0"/>
                  <w:vAlign w:val="center"/>
                </w:tcPr>
                <w:p w14:paraId="1EF9A66C">
                  <w:pPr>
                    <w:widowControl/>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1433" w:type="pct"/>
                  <w:noWrap w:val="0"/>
                  <w:vAlign w:val="center"/>
                </w:tcPr>
                <w:p w14:paraId="60D02CC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原辅料汽油和柴油均</w:t>
                  </w: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lang w:val="en-US" w:eastAsia="zh-CN"/>
                    </w:rPr>
                    <w:t>埋地式双层油罐</w:t>
                  </w:r>
                  <w:r>
                    <w:rPr>
                      <w:rFonts w:hint="default" w:ascii="Times New Roman" w:hAnsi="Times New Roman" w:eastAsia="宋体" w:cs="Times New Roman"/>
                      <w:color w:val="auto"/>
                      <w:sz w:val="21"/>
                      <w:szCs w:val="21"/>
                    </w:rPr>
                    <w:t>内储存，</w:t>
                  </w:r>
                  <w:r>
                    <w:rPr>
                      <w:rFonts w:hint="default" w:ascii="Times New Roman" w:hAnsi="Times New Roman" w:eastAsia="宋体" w:cs="Times New Roman"/>
                      <w:color w:val="auto"/>
                      <w:sz w:val="21"/>
                      <w:szCs w:val="21"/>
                      <w:lang w:val="en-US" w:eastAsia="zh-CN"/>
                    </w:rPr>
                    <w:t>通过密闭管道及加油装置输送至加油机内</w:t>
                  </w:r>
                  <w:r>
                    <w:rPr>
                      <w:rFonts w:hint="default" w:ascii="Times New Roman" w:hAnsi="Times New Roman" w:eastAsia="宋体" w:cs="Times New Roman"/>
                      <w:color w:val="auto"/>
                      <w:sz w:val="21"/>
                      <w:szCs w:val="21"/>
                    </w:rPr>
                    <w:t>。</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p>
              </w:tc>
              <w:tc>
                <w:tcPr>
                  <w:tcW w:w="534" w:type="pct"/>
                  <w:noWrap w:val="0"/>
                  <w:vAlign w:val="center"/>
                </w:tcPr>
                <w:p w14:paraId="2087BAC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037A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noWrap w:val="0"/>
                  <w:vAlign w:val="center"/>
                </w:tcPr>
                <w:p w14:paraId="226B69C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7</w:t>
                  </w:r>
                </w:p>
              </w:tc>
              <w:tc>
                <w:tcPr>
                  <w:tcW w:w="2635" w:type="pct"/>
                  <w:noWrap w:val="0"/>
                  <w:vAlign w:val="center"/>
                </w:tcPr>
                <w:p w14:paraId="410C5BBD">
                  <w:pPr>
                    <w:widowControl/>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推进建设适宜高效的治污设施。喷涂废气应设置高效漆雾处理装置。喷涂、晾（风）干废气宜采用吸附浓缩+燃烧处理方式，小风量的可采用一次性活性炭吸 附等工艺。调配、流平等废气可与喷涂、晾（风）干废气一并处理。使用溶剂型涂料的生产线，烘干废气宜采用燃烧方式单独处理，具备条件的可采用回收式热力燃烧装置。</w:t>
                  </w:r>
                </w:p>
              </w:tc>
              <w:tc>
                <w:tcPr>
                  <w:tcW w:w="1433" w:type="pct"/>
                  <w:noWrap w:val="0"/>
                  <w:vAlign w:val="center"/>
                </w:tcPr>
                <w:p w14:paraId="1F77EF7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加油、卸油过程产生的非甲烷总烃经采取“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r>
                    <w:rPr>
                      <w:rFonts w:hint="default" w:ascii="Times New Roman" w:hAnsi="Times New Roman" w:eastAsia="宋体" w:cs="Times New Roman"/>
                      <w:color w:val="auto"/>
                      <w:szCs w:val="21"/>
                    </w:rPr>
                    <w:t>。</w:t>
                  </w:r>
                </w:p>
              </w:tc>
              <w:tc>
                <w:tcPr>
                  <w:tcW w:w="534" w:type="pct"/>
                  <w:noWrap w:val="0"/>
                  <w:vAlign w:val="center"/>
                </w:tcPr>
                <w:p w14:paraId="19BED89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46A7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noWrap w:val="0"/>
                  <w:vAlign w:val="center"/>
                </w:tcPr>
                <w:p w14:paraId="7A2C881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8</w:t>
                  </w:r>
                </w:p>
              </w:tc>
              <w:tc>
                <w:tcPr>
                  <w:tcW w:w="2635" w:type="pct"/>
                  <w:noWrap w:val="0"/>
                  <w:vAlign w:val="center"/>
                </w:tcPr>
                <w:p w14:paraId="2D25887D">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油品储运销VOCs综合治理。加大汽油（含乙醇汽油）、石脑油、煤油（含航空煤油）以及原油等VOCs排放控制，重点推进加油站、油罐车、储油库油气回收治理。</w:t>
                  </w:r>
                </w:p>
              </w:tc>
              <w:tc>
                <w:tcPr>
                  <w:tcW w:w="1433" w:type="pct"/>
                  <w:noWrap w:val="0"/>
                  <w:vAlign w:val="center"/>
                </w:tcPr>
                <w:p w14:paraId="248CDB3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加油、卸油设置“自封式加油枪及密闭卸油、油罐地埋、安装</w:t>
                  </w:r>
                  <w:r>
                    <w:rPr>
                      <w:rFonts w:hint="eastAsia" w:cs="Times New Roman"/>
                      <w:color w:val="auto"/>
                      <w:kern w:val="0"/>
                      <w:szCs w:val="21"/>
                      <w:lang w:val="en-US" w:eastAsia="zh-CN"/>
                    </w:rPr>
                    <w:t>油气回收系统</w:t>
                  </w:r>
                  <w:r>
                    <w:rPr>
                      <w:rFonts w:hint="default" w:ascii="Times New Roman" w:hAnsi="Times New Roman" w:cs="Times New Roman"/>
                      <w:color w:val="auto"/>
                      <w:kern w:val="0"/>
                      <w:szCs w:val="21"/>
                      <w:lang w:val="en-US" w:eastAsia="zh-CN"/>
                    </w:rPr>
                    <w:t>”用于油气回收治理。</w:t>
                  </w:r>
                </w:p>
              </w:tc>
              <w:tc>
                <w:tcPr>
                  <w:tcW w:w="534" w:type="pct"/>
                  <w:noWrap w:val="0"/>
                  <w:vAlign w:val="center"/>
                </w:tcPr>
                <w:p w14:paraId="7C233F7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7B15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noWrap w:val="0"/>
                  <w:vAlign w:val="center"/>
                </w:tcPr>
                <w:p w14:paraId="5BAD163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9</w:t>
                  </w:r>
                </w:p>
              </w:tc>
              <w:tc>
                <w:tcPr>
                  <w:tcW w:w="2635" w:type="pct"/>
                  <w:noWrap w:val="0"/>
                  <w:vAlign w:val="center"/>
                </w:tcPr>
                <w:p w14:paraId="24D9BBA0">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化加油站油气回收工作。O3污染较重的地区，行政区域内大力推进加油站储油、加油油气回收治理工作，2020年年底前基本完成。埋地油罐全面采用电子液位仪进行汽油密闭测量。规范油气回收设施运行，自行或聘请第三方加强加油枪气液比、系统密闭性及管线液阻等检查，提高检测频次。</w:t>
                  </w:r>
                </w:p>
              </w:tc>
              <w:tc>
                <w:tcPr>
                  <w:tcW w:w="1433" w:type="pct"/>
                  <w:noWrap w:val="0"/>
                  <w:vAlign w:val="center"/>
                </w:tcPr>
                <w:p w14:paraId="55AC31D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rPr>
                    <w:t>埋地油罐</w:t>
                  </w:r>
                  <w:r>
                    <w:rPr>
                      <w:rFonts w:hint="default" w:ascii="Times New Roman" w:hAnsi="Times New Roman" w:eastAsia="宋体" w:cs="Times New Roman"/>
                      <w:color w:val="auto"/>
                      <w:sz w:val="21"/>
                      <w:szCs w:val="21"/>
                      <w:lang w:val="en-US" w:eastAsia="zh-CN"/>
                    </w:rPr>
                    <w:t>设置</w:t>
                  </w:r>
                  <w:r>
                    <w:rPr>
                      <w:rFonts w:hint="default" w:ascii="Times New Roman" w:hAnsi="Times New Roman" w:eastAsia="宋体" w:cs="Times New Roman"/>
                      <w:color w:val="auto"/>
                      <w:sz w:val="21"/>
                      <w:szCs w:val="21"/>
                    </w:rPr>
                    <w:t>电子液位仪</w:t>
                  </w:r>
                  <w:r>
                    <w:rPr>
                      <w:rFonts w:hint="default" w:ascii="Times New Roman" w:hAnsi="Times New Roman" w:eastAsia="宋体" w:cs="Times New Roman"/>
                      <w:color w:val="auto"/>
                      <w:sz w:val="21"/>
                      <w:szCs w:val="21"/>
                      <w:lang w:val="en-US" w:eastAsia="zh-CN"/>
                    </w:rPr>
                    <w:t>用于</w:t>
                  </w:r>
                  <w:r>
                    <w:rPr>
                      <w:rFonts w:hint="default" w:ascii="Times New Roman" w:hAnsi="Times New Roman" w:eastAsia="宋体" w:cs="Times New Roman"/>
                      <w:color w:val="auto"/>
                      <w:sz w:val="21"/>
                      <w:szCs w:val="21"/>
                    </w:rPr>
                    <w:t>汽油密闭测量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项目运营后拟委托</w:t>
                  </w:r>
                  <w:r>
                    <w:rPr>
                      <w:rFonts w:hint="default" w:ascii="Times New Roman" w:hAnsi="Times New Roman" w:eastAsia="宋体" w:cs="Times New Roman"/>
                      <w:color w:val="auto"/>
                      <w:sz w:val="21"/>
                      <w:szCs w:val="21"/>
                    </w:rPr>
                    <w:t>第三方</w:t>
                  </w:r>
                  <w:r>
                    <w:rPr>
                      <w:rFonts w:hint="default" w:ascii="Times New Roman" w:hAnsi="Times New Roman" w:eastAsia="宋体" w:cs="Times New Roman"/>
                      <w:color w:val="auto"/>
                      <w:sz w:val="21"/>
                      <w:szCs w:val="21"/>
                      <w:lang w:val="en-US" w:eastAsia="zh-CN"/>
                    </w:rPr>
                    <w:t>进行</w:t>
                  </w:r>
                  <w:r>
                    <w:rPr>
                      <w:rFonts w:hint="default" w:ascii="Times New Roman" w:hAnsi="Times New Roman" w:eastAsia="宋体" w:cs="Times New Roman"/>
                      <w:color w:val="auto"/>
                      <w:sz w:val="21"/>
                      <w:szCs w:val="21"/>
                    </w:rPr>
                    <w:t>加油枪气液比、系统密闭性及管线液阻等</w:t>
                  </w:r>
                  <w:r>
                    <w:rPr>
                      <w:rFonts w:hint="default" w:ascii="Times New Roman" w:hAnsi="Times New Roman" w:eastAsia="宋体" w:cs="Times New Roman"/>
                      <w:color w:val="auto"/>
                      <w:sz w:val="21"/>
                      <w:szCs w:val="21"/>
                      <w:lang w:val="en-US" w:eastAsia="zh-CN"/>
                    </w:rPr>
                    <w:t>检测。</w:t>
                  </w:r>
                </w:p>
              </w:tc>
              <w:tc>
                <w:tcPr>
                  <w:tcW w:w="534" w:type="pct"/>
                  <w:noWrap w:val="0"/>
                  <w:vAlign w:val="center"/>
                </w:tcPr>
                <w:p w14:paraId="51FA6A2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4A93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6" w:type="pct"/>
                  <w:noWrap w:val="0"/>
                  <w:vAlign w:val="center"/>
                </w:tcPr>
                <w:p w14:paraId="0721DAB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10</w:t>
                  </w:r>
                </w:p>
              </w:tc>
              <w:tc>
                <w:tcPr>
                  <w:tcW w:w="2635" w:type="pct"/>
                  <w:noWrap w:val="0"/>
                  <w:vAlign w:val="center"/>
                </w:tcPr>
                <w:p w14:paraId="1C5A86E4">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储油库油气回收治理。汽油、航空煤油、原油以及真实蒸气压小于76.6kPa的石脑油应采用浮顶罐储存，其中，油品容积小于等于100立方米的，可采用卧式储罐。真实蒸气压大于等于76.6kPa的石脑油应采用低压罐、压力罐或其他等效措施储存。加快推进油品收发过程排放的油气收集处理。加强储油库发油油气回收系统接口泄漏检测，提高检测频次，减少油气泄漏，确保油品装卸过程油气回收处理装置正常运行。加强油罐车油气回收系统密闭性和油气回收气动阀门密闭性检测，每年至少开展一次。推动储油库安装油气回收自动监控设施。</w:t>
                  </w:r>
                </w:p>
              </w:tc>
              <w:tc>
                <w:tcPr>
                  <w:tcW w:w="1433" w:type="pct"/>
                  <w:noWrap w:val="0"/>
                  <w:vAlign w:val="center"/>
                </w:tcPr>
                <w:p w14:paraId="56E9A9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本项目设3个卧式双层埋地储油罐。加油、卸油设置“自封式加油枪及密闭卸油、油罐地埋、安装</w:t>
                  </w:r>
                  <w:r>
                    <w:rPr>
                      <w:rFonts w:hint="eastAsia" w:cs="Times New Roman"/>
                      <w:color w:val="auto"/>
                      <w:kern w:val="0"/>
                      <w:szCs w:val="21"/>
                      <w:lang w:val="en-US" w:eastAsia="zh-CN"/>
                    </w:rPr>
                    <w:t>油气回收系统</w:t>
                  </w:r>
                  <w:r>
                    <w:rPr>
                      <w:rFonts w:hint="default" w:ascii="Times New Roman" w:hAnsi="Times New Roman" w:cs="Times New Roman"/>
                      <w:color w:val="auto"/>
                      <w:kern w:val="0"/>
                      <w:szCs w:val="21"/>
                      <w:lang w:val="en-US" w:eastAsia="zh-CN"/>
                    </w:rPr>
                    <w:t>”用于油气回收治理。</w:t>
                  </w:r>
                  <w:r>
                    <w:rPr>
                      <w:rFonts w:hint="default" w:ascii="Times New Roman" w:hAnsi="Times New Roman" w:eastAsia="宋体" w:cs="Times New Roman"/>
                      <w:color w:val="auto"/>
                      <w:sz w:val="21"/>
                      <w:szCs w:val="21"/>
                      <w:lang w:val="en-US" w:eastAsia="zh-CN"/>
                    </w:rPr>
                    <w:t>项目运营后拟委托</w:t>
                  </w:r>
                  <w:r>
                    <w:rPr>
                      <w:rFonts w:hint="default" w:ascii="Times New Roman" w:hAnsi="Times New Roman" w:eastAsia="宋体" w:cs="Times New Roman"/>
                      <w:color w:val="auto"/>
                      <w:sz w:val="21"/>
                      <w:szCs w:val="21"/>
                    </w:rPr>
                    <w:t>第三方</w:t>
                  </w:r>
                  <w:r>
                    <w:rPr>
                      <w:rFonts w:hint="default" w:ascii="Times New Roman" w:hAnsi="Times New Roman" w:eastAsia="宋体" w:cs="Times New Roman"/>
                      <w:color w:val="auto"/>
                      <w:sz w:val="21"/>
                      <w:szCs w:val="21"/>
                      <w:lang w:val="en-US" w:eastAsia="zh-CN"/>
                    </w:rPr>
                    <w:t>按相关要求进行</w:t>
                  </w:r>
                  <w:r>
                    <w:rPr>
                      <w:rFonts w:hint="default" w:ascii="Times New Roman" w:hAnsi="Times New Roman" w:eastAsia="宋体" w:cs="Times New Roman"/>
                      <w:color w:val="auto"/>
                      <w:sz w:val="21"/>
                      <w:szCs w:val="21"/>
                    </w:rPr>
                    <w:t>加油枪气液比、系统密闭性及管线液阻等</w:t>
                  </w:r>
                  <w:r>
                    <w:rPr>
                      <w:rFonts w:hint="default" w:ascii="Times New Roman" w:hAnsi="Times New Roman" w:eastAsia="宋体" w:cs="Times New Roman"/>
                      <w:color w:val="auto"/>
                      <w:sz w:val="21"/>
                      <w:szCs w:val="21"/>
                      <w:lang w:val="en-US" w:eastAsia="zh-CN"/>
                    </w:rPr>
                    <w:t>检测，</w:t>
                  </w:r>
                  <w:r>
                    <w:rPr>
                      <w:rFonts w:hint="default" w:ascii="Times New Roman" w:hAnsi="Times New Roman" w:eastAsia="宋体" w:cs="Times New Roman"/>
                      <w:color w:val="auto"/>
                      <w:sz w:val="21"/>
                      <w:szCs w:val="21"/>
                    </w:rPr>
                    <w:t>确保油品装卸过程油气回收处理装置正常运行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每年开展一次油罐车油气回收系统密闭性和油气回收气动阀门密闭性检测</w:t>
                  </w:r>
                  <w:r>
                    <w:rPr>
                      <w:rFonts w:hint="default" w:ascii="Times New Roman" w:hAnsi="Times New Roman" w:eastAsia="宋体" w:cs="Times New Roman"/>
                      <w:color w:val="auto"/>
                      <w:sz w:val="21"/>
                      <w:szCs w:val="21"/>
                      <w:lang w:eastAsia="zh-CN"/>
                    </w:rPr>
                    <w:t>。</w:t>
                  </w:r>
                </w:p>
              </w:tc>
              <w:tc>
                <w:tcPr>
                  <w:tcW w:w="534" w:type="pct"/>
                  <w:noWrap w:val="0"/>
                  <w:vAlign w:val="center"/>
                </w:tcPr>
                <w:p w14:paraId="2D100A7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bl>
          <w:p w14:paraId="5409CFC3">
            <w:pPr>
              <w:autoSpaceDE w:val="0"/>
              <w:autoSpaceDN w:val="0"/>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eastAsia="宋体" w:cs="Times New Roman"/>
                <w:color w:val="auto"/>
                <w:sz w:val="24"/>
                <w:szCs w:val="24"/>
              </w:rPr>
              <w:t>综上，本项目建设符合</w:t>
            </w:r>
            <w:r>
              <w:rPr>
                <w:rFonts w:hint="default" w:ascii="Times New Roman" w:hAnsi="Times New Roman" w:eastAsia="宋体" w:cs="Times New Roman"/>
                <w:color w:val="auto"/>
                <w:sz w:val="24"/>
                <w:szCs w:val="24"/>
                <w:lang w:val="en-US" w:eastAsia="zh-CN"/>
              </w:rPr>
              <w:t>《云南省生态环境厅关于印发云南省重点行业挥发性有机物综合治理实施方案的通知》（云环通〔2019〕125号）的相符性分析</w:t>
            </w:r>
            <w:r>
              <w:rPr>
                <w:rFonts w:hint="default" w:ascii="Times New Roman" w:hAnsi="Times New Roman" w:eastAsia="宋体" w:cs="Times New Roman"/>
                <w:color w:val="auto"/>
                <w:sz w:val="24"/>
                <w:szCs w:val="24"/>
              </w:rPr>
              <w:t>中的要求。</w:t>
            </w:r>
          </w:p>
          <w:p w14:paraId="0878A24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6</w:t>
            </w:r>
            <w:r>
              <w:rPr>
                <w:rFonts w:hint="default" w:ascii="Times New Roman" w:hAnsi="Times New Roman" w:cs="Times New Roman"/>
                <w:b/>
                <w:bCs/>
                <w:color w:val="auto"/>
                <w:sz w:val="24"/>
                <w:lang w:val="en-US" w:eastAsia="zh-CN"/>
              </w:rPr>
              <w:t>、</w:t>
            </w:r>
            <w:r>
              <w:rPr>
                <w:rFonts w:hint="default" w:ascii="Times New Roman" w:hAnsi="Times New Roman" w:eastAsia="宋体" w:cs="Times New Roman"/>
                <w:b/>
                <w:bCs/>
                <w:color w:val="auto"/>
                <w:sz w:val="24"/>
              </w:rPr>
              <w:t>项目与《地下水管理条例》（2021年10月21日公布，2021年12月1日起施行）</w:t>
            </w:r>
            <w:r>
              <w:rPr>
                <w:rFonts w:hint="default" w:ascii="Times New Roman" w:hAnsi="Times New Roman" w:eastAsia="宋体" w:cs="Times New Roman"/>
                <w:b/>
                <w:bCs/>
                <w:color w:val="auto"/>
                <w:sz w:val="24"/>
                <w:lang w:val="en-US" w:eastAsia="zh-CN"/>
              </w:rPr>
              <w:t>的</w:t>
            </w:r>
            <w:r>
              <w:rPr>
                <w:rFonts w:hint="default" w:ascii="Times New Roman" w:hAnsi="Times New Roman" w:eastAsia="宋体" w:cs="Times New Roman"/>
                <w:b/>
                <w:bCs/>
                <w:color w:val="auto"/>
                <w:sz w:val="24"/>
              </w:rPr>
              <w:t>符合性分析</w:t>
            </w:r>
          </w:p>
          <w:p w14:paraId="639C76B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本项目与《地下水管理条例》（2021年10月21日公布，2021年12月1日起施行）的符合性分析见下表。</w:t>
            </w:r>
          </w:p>
          <w:p w14:paraId="1219EF10">
            <w:pPr>
              <w:autoSpaceDE w:val="0"/>
              <w:autoSpaceDN w:val="0"/>
              <w:adjustRightInd w:val="0"/>
              <w:snapToGrid w:val="0"/>
              <w:spacing w:line="240" w:lineRule="auto"/>
              <w:ind w:firstLine="422" w:firstLineChars="200"/>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表1-</w:t>
            </w:r>
            <w:r>
              <w:rPr>
                <w:rFonts w:hint="eastAsia" w:cs="Times New Roman"/>
                <w:b/>
                <w:bCs/>
                <w:color w:val="auto"/>
                <w:szCs w:val="21"/>
                <w:lang w:val="en-US" w:eastAsia="zh-CN"/>
              </w:rPr>
              <w:t>6</w:t>
            </w:r>
            <w:r>
              <w:rPr>
                <w:rFonts w:hint="default" w:ascii="Times New Roman" w:hAnsi="Times New Roman" w:eastAsia="宋体" w:cs="Times New Roman"/>
                <w:b/>
                <w:bCs/>
                <w:color w:val="auto"/>
                <w:szCs w:val="21"/>
                <w:lang w:val="zh-CN"/>
              </w:rPr>
              <w:t xml:space="preserve"> 本项目与</w:t>
            </w:r>
            <w:r>
              <w:rPr>
                <w:rFonts w:hint="default" w:ascii="Times New Roman" w:hAnsi="Times New Roman" w:eastAsia="宋体" w:cs="Times New Roman"/>
                <w:b/>
                <w:bCs/>
                <w:color w:val="auto"/>
                <w:szCs w:val="21"/>
                <w:lang w:val="zh-CN" w:eastAsia="zh-CN"/>
              </w:rPr>
              <w:t>《地下水管理条例》</w:t>
            </w:r>
            <w:r>
              <w:rPr>
                <w:rFonts w:hint="default" w:ascii="Times New Roman" w:hAnsi="Times New Roman" w:eastAsia="宋体" w:cs="Times New Roman"/>
                <w:b/>
                <w:bCs/>
                <w:color w:val="auto"/>
                <w:szCs w:val="21"/>
                <w:lang w:val="zh-CN"/>
              </w:rPr>
              <w:t>相符性对照表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9"/>
              <w:gridCol w:w="2121"/>
              <w:gridCol w:w="897"/>
            </w:tblGrid>
            <w:tr w14:paraId="6C4E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0" w:type="pct"/>
                  <w:noWrap w:val="0"/>
                  <w:vAlign w:val="center"/>
                </w:tcPr>
                <w:p w14:paraId="7F5E0092">
                  <w:pPr>
                    <w:widowControl/>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相关规定</w:t>
                  </w:r>
                </w:p>
              </w:tc>
              <w:tc>
                <w:tcPr>
                  <w:tcW w:w="1243" w:type="pct"/>
                  <w:noWrap w:val="0"/>
                  <w:vAlign w:val="center"/>
                </w:tcPr>
                <w:p w14:paraId="76739C7F">
                  <w:pPr>
                    <w:widowControl/>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525" w:type="pct"/>
                  <w:noWrap w:val="0"/>
                  <w:vAlign w:val="center"/>
                </w:tcPr>
                <w:p w14:paraId="0ECB1E38">
                  <w:pPr>
                    <w:widowControl/>
                    <w:spacing w:line="24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相符性</w:t>
                  </w:r>
                </w:p>
              </w:tc>
            </w:tr>
            <w:tr w14:paraId="5675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0" w:type="pct"/>
                  <w:noWrap w:val="0"/>
                  <w:vAlign w:val="center"/>
                </w:tcPr>
                <w:p w14:paraId="15CE592B">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第四十条</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禁止下列污染或者可能污染地下水的行为：</w:t>
                  </w:r>
                </w:p>
                <w:p w14:paraId="6BCBE564">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（一）利用渗井、渗坑、裂隙、溶洞以及私设暗管等逃避监管的方式排放水污染物；</w:t>
                  </w:r>
                </w:p>
                <w:p w14:paraId="7BDB88DE">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（二）利用岩层孔隙、裂隙、溶洞、废弃矿坑等贮存石化原料及产品、农药、危险废物、城镇污水处理设施产生的污泥和处理后的污泥或者其他有毒有害物质；</w:t>
                  </w:r>
                </w:p>
                <w:p w14:paraId="510AD3AB">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（三）利用无防渗漏措施的沟渠、坑塘等输送或者贮存含有毒污染物的废水、含病原体的污水和其他废弃物；</w:t>
                  </w:r>
                </w:p>
                <w:p w14:paraId="304BF731">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（四）法律、法规禁止的其他污染或者可能污染地下水的行为。</w:t>
                  </w:r>
                </w:p>
              </w:tc>
              <w:tc>
                <w:tcPr>
                  <w:tcW w:w="1243" w:type="pct"/>
                  <w:noWrap w:val="0"/>
                  <w:vAlign w:val="center"/>
                </w:tcPr>
                <w:p w14:paraId="03A5B315">
                  <w:pPr>
                    <w:widowControl/>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本项目按照分区防控的要求，实施分区防渗，且项目产生的生活污水和其他各类型废水均经处理后</w:t>
                  </w:r>
                  <w:r>
                    <w:rPr>
                      <w:rFonts w:hint="eastAsia" w:cs="Times New Roman"/>
                      <w:color w:val="auto"/>
                      <w:szCs w:val="21"/>
                      <w:lang w:val="en-US" w:eastAsia="zh-CN"/>
                    </w:rPr>
                    <w:t>委托处置</w:t>
                  </w:r>
                  <w:r>
                    <w:rPr>
                      <w:rFonts w:hint="default" w:ascii="Times New Roman" w:hAnsi="Times New Roman" w:eastAsia="宋体" w:cs="Times New Roman"/>
                      <w:color w:val="auto"/>
                      <w:szCs w:val="21"/>
                      <w:lang w:val="en-US" w:eastAsia="zh-CN"/>
                    </w:rPr>
                    <w:t>，不存在法律、法规禁止的其他污染或者可能污染地下水的行为。</w:t>
                  </w:r>
                </w:p>
              </w:tc>
              <w:tc>
                <w:tcPr>
                  <w:tcW w:w="525" w:type="pct"/>
                  <w:noWrap w:val="0"/>
                  <w:vAlign w:val="center"/>
                </w:tcPr>
                <w:p w14:paraId="1BC5A0BC">
                  <w:pPr>
                    <w:widowControl/>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840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0" w:type="pct"/>
                  <w:noWrap w:val="0"/>
                  <w:vAlign w:val="center"/>
                </w:tcPr>
                <w:p w14:paraId="5BF64C43">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第四十一条</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企业事业单位和其他生产经营者应当采取下列措施，防止地下水污染：</w:t>
                  </w:r>
                </w:p>
                <w:p w14:paraId="4C536353">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（一）兴建地下工程设施或者进行地下勘探、采矿等活动，依法编制的环境影响评价文件中，应当包括地下水污染防治的内容，并采取防护性措施；</w:t>
                  </w:r>
                </w:p>
                <w:p w14:paraId="1DD8F3C5">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（二）化学品生产企业以及工业集聚区、矿山开采区、尾矿库、危险废物处置场、垃圾填埋场等的运营、管理单位，应当采取防渗漏等措施，并建设地下水水质监测井进行监测；</w:t>
                  </w:r>
                </w:p>
                <w:p w14:paraId="374870DD">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（三）加油站等的地下油罐应当使用双层罐或者采取建造防渗池等其他有效措施，并进行防渗漏监测；</w:t>
                  </w:r>
                </w:p>
                <w:p w14:paraId="52BC47A1">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（四）存放可溶性剧毒废渣的场所，应当采取防水、防渗漏、防流失的措施；</w:t>
                  </w:r>
                </w:p>
                <w:p w14:paraId="4CE503BC">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（五）法律、法规规定应当采取的其他防止地下水污染的措施。</w:t>
                  </w:r>
                </w:p>
              </w:tc>
              <w:tc>
                <w:tcPr>
                  <w:tcW w:w="1243" w:type="pct"/>
                  <w:noWrap w:val="0"/>
                  <w:vAlign w:val="center"/>
                </w:tcPr>
                <w:p w14:paraId="65A8B7D2">
                  <w:pPr>
                    <w:widowControl/>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本加油站</w:t>
                  </w:r>
                  <w:r>
                    <w:rPr>
                      <w:rFonts w:hint="default" w:ascii="Times New Roman" w:hAnsi="Times New Roman" w:eastAsia="宋体" w:cs="Times New Roman"/>
                      <w:color w:val="auto"/>
                      <w:szCs w:val="21"/>
                      <w:lang w:val="en-US" w:eastAsia="zh-CN"/>
                    </w:rPr>
                    <w:t>计划</w:t>
                  </w:r>
                  <w:r>
                    <w:rPr>
                      <w:rFonts w:hint="default" w:ascii="Times New Roman" w:hAnsi="Times New Roman" w:eastAsia="宋体" w:cs="Times New Roman"/>
                      <w:color w:val="auto"/>
                      <w:szCs w:val="21"/>
                    </w:rPr>
                    <w:t>采用双层埋地油罐，</w:t>
                  </w:r>
                  <w:r>
                    <w:rPr>
                      <w:rFonts w:hint="default" w:ascii="Times New Roman" w:hAnsi="Times New Roman" w:eastAsia="宋体" w:cs="Times New Roman"/>
                      <w:color w:val="auto"/>
                      <w:szCs w:val="21"/>
                      <w:lang w:val="en-US" w:eastAsia="zh-CN"/>
                    </w:rPr>
                    <w:t>设置跟踪监测井、</w:t>
                  </w:r>
                  <w:r>
                    <w:rPr>
                      <w:rFonts w:hint="default" w:ascii="Times New Roman" w:hAnsi="Times New Roman" w:cs="Times New Roman"/>
                      <w:color w:val="auto"/>
                      <w:sz w:val="21"/>
                      <w:szCs w:val="21"/>
                    </w:rPr>
                    <w:t>液位计监测系统</w:t>
                  </w:r>
                  <w:r>
                    <w:rPr>
                      <w:rFonts w:hint="default" w:ascii="Times New Roman" w:hAnsi="Times New Roman" w:eastAsia="宋体" w:cs="Times New Roman"/>
                      <w:color w:val="auto"/>
                      <w:szCs w:val="21"/>
                      <w:lang w:val="en-US" w:eastAsia="zh-CN"/>
                    </w:rPr>
                    <w:t>。</w:t>
                  </w:r>
                </w:p>
              </w:tc>
              <w:tc>
                <w:tcPr>
                  <w:tcW w:w="525" w:type="pct"/>
                  <w:noWrap w:val="0"/>
                  <w:vAlign w:val="center"/>
                </w:tcPr>
                <w:p w14:paraId="70B9EDD7">
                  <w:pPr>
                    <w:widowControl/>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8C7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0" w:type="pct"/>
                  <w:noWrap w:val="0"/>
                  <w:vAlign w:val="center"/>
                </w:tcPr>
                <w:p w14:paraId="399950DD">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第四十二条</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在泉域保护范围以及岩溶强发育、存在较多落水洞和岩溶漏斗的区域内，不得新建、改建、扩建可能造成地下水污染的建设项目。</w:t>
                  </w:r>
                </w:p>
              </w:tc>
              <w:tc>
                <w:tcPr>
                  <w:tcW w:w="1243" w:type="pct"/>
                  <w:noWrap w:val="0"/>
                  <w:vAlign w:val="center"/>
                </w:tcPr>
                <w:p w14:paraId="2ADC9A00">
                  <w:pPr>
                    <w:widowControl w:val="0"/>
                    <w:tabs>
                      <w:tab w:val="left" w:pos="-2400"/>
                      <w:tab w:val="left" w:pos="1320"/>
                      <w:tab w:val="left" w:pos="3878"/>
                      <w:tab w:val="left" w:pos="6080"/>
                      <w:tab w:val="left" w:pos="6580"/>
                      <w:tab w:val="left" w:pos="8137"/>
                    </w:tabs>
                    <w:spacing w:line="240" w:lineRule="auto"/>
                    <w:jc w:val="both"/>
                    <w:rPr>
                      <w:rFonts w:hint="default" w:ascii="Times New Roman" w:hAnsi="Times New Roman" w:eastAsia="宋体" w:cs="Times New Roman"/>
                      <w:color w:val="auto"/>
                      <w:kern w:val="2"/>
                      <w:sz w:val="21"/>
                      <w:szCs w:val="20"/>
                      <w:lang w:val="en-US" w:eastAsia="zh-CN" w:bidi="ar-SA"/>
                    </w:rPr>
                  </w:pPr>
                  <w:r>
                    <w:rPr>
                      <w:rFonts w:hint="eastAsia" w:eastAsia="Times New Roman" w:cs="Times New Roman"/>
                      <w:color w:val="auto"/>
                      <w:kern w:val="2"/>
                      <w:sz w:val="21"/>
                      <w:szCs w:val="21"/>
                      <w:highlight w:val="none"/>
                      <w:lang w:val="en-US" w:eastAsia="zh-CN" w:bidi="ar-SA"/>
                    </w:rPr>
                    <w:t>根据《梧桐加油站隐患治理项目岩土工程勘察报告》，本项目地下水类型为上层滞水和孔隙潜水。</w:t>
                  </w:r>
                  <w:r>
                    <w:rPr>
                      <w:rFonts w:hint="default" w:ascii="Times New Roman" w:hAnsi="Times New Roman" w:eastAsia="宋体" w:cs="Times New Roman"/>
                      <w:color w:val="auto"/>
                      <w:kern w:val="2"/>
                      <w:sz w:val="21"/>
                      <w:szCs w:val="21"/>
                      <w:lang w:val="en-US" w:eastAsia="zh-CN" w:bidi="ar-SA"/>
                    </w:rPr>
                    <w:t>不属于泉域保护范围以及岩溶强发育、存在较多落水洞和岩溶漏斗的区域。</w:t>
                  </w:r>
                </w:p>
              </w:tc>
              <w:tc>
                <w:tcPr>
                  <w:tcW w:w="525" w:type="pct"/>
                  <w:noWrap w:val="0"/>
                  <w:vAlign w:val="center"/>
                </w:tcPr>
                <w:p w14:paraId="4F2EC9A4">
                  <w:pPr>
                    <w:widowControl/>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4CB4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0" w:type="pct"/>
                  <w:noWrap w:val="0"/>
                  <w:vAlign w:val="center"/>
                </w:tcPr>
                <w:p w14:paraId="6172D7FA">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第四十五条</w:t>
                  </w:r>
                  <w:r>
                    <w:rPr>
                      <w:rFonts w:hint="default"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依照《中华人民共和国土壤污染防治法》的有关规定，安全利用类和严格管控类农用地地块的土壤污染影响或者可能影响地下水安全的，制定防治污染的方案时，应当包括地下水污染防治的内容。</w:t>
                  </w:r>
                </w:p>
                <w:p w14:paraId="7373FD77">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含量超过土壤污染风险管控标准的建设用地地块，编制土壤污染风险评估报告时，应当包括地下水是否受到污染的内容；列入风险管控和修复名录的建设用地地块，采取的风险管控措施中应当包括地下水污染防治的内容。</w:t>
                  </w:r>
                </w:p>
                <w:p w14:paraId="47B04B83">
                  <w:pPr>
                    <w:widowControl/>
                    <w:spacing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对需要实施修复的农用地地块，以及列入风险管控和修复名录的建设用地地块，修复方案中应当包括地下水污染防治的内容。</w:t>
                  </w:r>
                </w:p>
              </w:tc>
              <w:tc>
                <w:tcPr>
                  <w:tcW w:w="1243" w:type="pct"/>
                  <w:noWrap w:val="0"/>
                  <w:vAlign w:val="center"/>
                </w:tcPr>
                <w:p w14:paraId="617227A8">
                  <w:pPr>
                    <w:widowControl/>
                    <w:spacing w:line="240" w:lineRule="auto"/>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本项目按照分区防控的要求，实施分区防渗，采取土壤污染防治措施后，对土壤环境影响很小。</w:t>
                  </w:r>
                </w:p>
              </w:tc>
              <w:tc>
                <w:tcPr>
                  <w:tcW w:w="525" w:type="pct"/>
                  <w:noWrap w:val="0"/>
                  <w:vAlign w:val="center"/>
                </w:tcPr>
                <w:p w14:paraId="25632848">
                  <w:pPr>
                    <w:widowControl/>
                    <w:spacing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0036E30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bCs/>
                <w:color w:val="auto"/>
                <w:sz w:val="24"/>
                <w:lang w:val="en-US" w:eastAsia="zh-CN"/>
              </w:rPr>
            </w:pPr>
            <w:r>
              <w:rPr>
                <w:rFonts w:hint="default" w:ascii="Times New Roman" w:hAnsi="Times New Roman" w:eastAsia="宋体" w:cs="Times New Roman"/>
                <w:color w:val="auto"/>
                <w:sz w:val="24"/>
                <w:szCs w:val="24"/>
              </w:rPr>
              <w:t>综上，本项目建设符合</w:t>
            </w:r>
            <w:r>
              <w:rPr>
                <w:rFonts w:hint="default" w:ascii="Times New Roman" w:hAnsi="Times New Roman" w:eastAsia="宋体" w:cs="Times New Roman"/>
                <w:b w:val="0"/>
                <w:bCs w:val="0"/>
                <w:color w:val="auto"/>
                <w:sz w:val="24"/>
                <w:lang w:val="en-US" w:eastAsia="zh-CN"/>
              </w:rPr>
              <w:t>《地下水管理条例》（2021年10月21日公布，2021年12月1日起施行）</w:t>
            </w:r>
            <w:r>
              <w:rPr>
                <w:rFonts w:hint="default" w:ascii="Times New Roman" w:hAnsi="Times New Roman" w:eastAsia="宋体" w:cs="Times New Roman"/>
                <w:color w:val="auto"/>
                <w:sz w:val="24"/>
                <w:szCs w:val="24"/>
                <w:lang w:val="en-US" w:eastAsia="zh-CN"/>
              </w:rPr>
              <w:t>的相符性分析</w:t>
            </w:r>
            <w:r>
              <w:rPr>
                <w:rFonts w:hint="default" w:ascii="Times New Roman" w:hAnsi="Times New Roman" w:eastAsia="宋体" w:cs="Times New Roman"/>
                <w:color w:val="auto"/>
                <w:sz w:val="24"/>
                <w:szCs w:val="24"/>
              </w:rPr>
              <w:t>中的要求</w:t>
            </w:r>
          </w:p>
          <w:p w14:paraId="5E9953B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7</w:t>
            </w:r>
            <w:r>
              <w:rPr>
                <w:rFonts w:hint="default" w:ascii="Times New Roman" w:hAnsi="Times New Roman" w:cs="Times New Roman"/>
                <w:b/>
                <w:bCs/>
                <w:color w:val="auto"/>
                <w:sz w:val="24"/>
              </w:rPr>
              <w:t>、项目与</w:t>
            </w:r>
            <w:r>
              <w:rPr>
                <w:rFonts w:hint="default" w:ascii="Times New Roman" w:hAnsi="Times New Roman" w:cs="Times New Roman"/>
                <w:b/>
                <w:bCs/>
                <w:color w:val="auto"/>
                <w:sz w:val="24"/>
                <w:lang w:eastAsia="zh-CN"/>
              </w:rPr>
              <w:t>《加油站地下水污染防治技术指南（试行）》（环办水体函〔2017〕323号）</w:t>
            </w:r>
            <w:r>
              <w:rPr>
                <w:rFonts w:hint="default" w:ascii="Times New Roman" w:hAnsi="Times New Roman" w:cs="Times New Roman"/>
                <w:b/>
                <w:bCs/>
                <w:color w:val="auto"/>
                <w:sz w:val="24"/>
              </w:rPr>
              <w:t>的相符性分析</w:t>
            </w:r>
          </w:p>
          <w:p w14:paraId="5CB53B64">
            <w:pPr>
              <w:autoSpaceDE w:val="0"/>
              <w:autoSpaceDN w:val="0"/>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根据</w:t>
            </w:r>
            <w:r>
              <w:rPr>
                <w:rFonts w:hint="default" w:ascii="Times New Roman" w:hAnsi="Times New Roman" w:cs="Times New Roman"/>
                <w:color w:val="auto"/>
                <w:sz w:val="24"/>
                <w:lang w:eastAsia="zh-CN"/>
              </w:rPr>
              <w:t>《加油站地下水污染防治技术指南（试行）》，为防止加油站油品泄漏，污染土壤和地下水，加油站需要采取防渗漏和防渗漏检测措施。所有加油站的油罐需要更新为双层罐或者设置防渗池，双层罐和防渗池应符合《汽车加油加气加氢站技术标准》（GB50156-2021）的要求，设置时可进行自行检查。加油站需要开展渗漏检测，设置常规地下水监测井</w:t>
            </w:r>
            <w:r>
              <w:rPr>
                <w:rFonts w:hint="eastAsia" w:cs="Times New Roman"/>
                <w:color w:val="auto"/>
                <w:sz w:val="24"/>
                <w:lang w:eastAsia="zh-CN"/>
              </w:rPr>
              <w:t>（103°15′34.779″,25°43′26.131″）</w:t>
            </w:r>
            <w:r>
              <w:rPr>
                <w:rFonts w:hint="default" w:ascii="Times New Roman" w:hAnsi="Times New Roman" w:cs="Times New Roman"/>
                <w:color w:val="auto"/>
                <w:sz w:val="24"/>
                <w:lang w:eastAsia="zh-CN"/>
              </w:rPr>
              <w:t>，开展地下水常规监测。</w:t>
            </w:r>
          </w:p>
          <w:p w14:paraId="7CC46595">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本加油站</w:t>
            </w:r>
            <w:r>
              <w:rPr>
                <w:rFonts w:hint="eastAsia" w:cs="Times New Roman"/>
                <w:color w:val="auto"/>
                <w:sz w:val="24"/>
                <w:lang w:val="en-US" w:eastAsia="zh-CN"/>
              </w:rPr>
              <w:t>扩建后</w:t>
            </w:r>
            <w:r>
              <w:rPr>
                <w:rFonts w:hint="default" w:ascii="Times New Roman" w:hAnsi="Times New Roman" w:cs="Times New Roman"/>
                <w:color w:val="auto"/>
                <w:sz w:val="24"/>
                <w:lang w:val="en-US" w:eastAsia="zh-CN"/>
              </w:rPr>
              <w:t>采用卧式</w:t>
            </w:r>
            <w:r>
              <w:rPr>
                <w:rFonts w:hint="default" w:ascii="Times New Roman" w:hAnsi="Times New Roman" w:cs="Times New Roman"/>
                <w:color w:val="auto"/>
                <w:sz w:val="24"/>
                <w:lang w:eastAsia="zh-CN"/>
              </w:rPr>
              <w:t>双层罐，双层罐</w:t>
            </w:r>
            <w:r>
              <w:rPr>
                <w:rFonts w:hint="default" w:ascii="Times New Roman" w:hAnsi="Times New Roman" w:cs="Times New Roman"/>
                <w:color w:val="auto"/>
                <w:sz w:val="24"/>
                <w:lang w:val="en-US" w:eastAsia="zh-CN"/>
              </w:rPr>
              <w:t>按照</w:t>
            </w:r>
            <w:r>
              <w:rPr>
                <w:rFonts w:hint="default" w:ascii="Times New Roman" w:hAnsi="Times New Roman" w:cs="Times New Roman"/>
                <w:color w:val="auto"/>
                <w:sz w:val="24"/>
                <w:lang w:eastAsia="zh-CN"/>
              </w:rPr>
              <w:t>《汽车加油加气加氢站技术标准》（GB50156-2021）的要求</w:t>
            </w:r>
            <w:r>
              <w:rPr>
                <w:rFonts w:hint="default" w:ascii="Times New Roman" w:hAnsi="Times New Roman" w:cs="Times New Roman"/>
                <w:color w:val="auto"/>
                <w:sz w:val="24"/>
                <w:lang w:val="en-US" w:eastAsia="zh-CN"/>
              </w:rPr>
              <w:t>进行建设，加油站设置双层油罐渗漏监测系统，并设置油罐监测井，用于常规的地下水监测。</w:t>
            </w:r>
            <w:r>
              <w:rPr>
                <w:rFonts w:hint="default" w:ascii="Times New Roman" w:hAnsi="Times New Roman" w:cs="Times New Roman"/>
                <w:color w:val="auto"/>
                <w:sz w:val="24"/>
              </w:rPr>
              <w:t>项目与</w:t>
            </w:r>
            <w:r>
              <w:rPr>
                <w:rFonts w:hint="default" w:ascii="Times New Roman" w:hAnsi="Times New Roman" w:cs="Times New Roman"/>
                <w:color w:val="auto"/>
                <w:sz w:val="24"/>
                <w:lang w:eastAsia="zh-CN"/>
              </w:rPr>
              <w:t>《加油站地下水污染防治技术指南（试行）》（环办水体函〔2017〕323号）</w:t>
            </w:r>
            <w:r>
              <w:rPr>
                <w:rFonts w:hint="default" w:ascii="Times New Roman" w:hAnsi="Times New Roman" w:cs="Times New Roman"/>
                <w:color w:val="auto"/>
                <w:sz w:val="24"/>
              </w:rPr>
              <w:t>的要求相符。</w:t>
            </w:r>
          </w:p>
          <w:p w14:paraId="2766E07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rPr>
            </w:pP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与《关于印发重点行业挥发性有机物综合治理方案的通知》（环大气[2019]53 号）相符性分析</w:t>
            </w:r>
          </w:p>
          <w:p w14:paraId="2086BEC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本项目与</w:t>
            </w:r>
            <w:r>
              <w:rPr>
                <w:rFonts w:hint="default" w:ascii="Times New Roman" w:hAnsi="Times New Roman" w:eastAsia="宋体" w:cs="Times New Roman"/>
                <w:b w:val="0"/>
                <w:bCs w:val="0"/>
                <w:color w:val="auto"/>
                <w:sz w:val="24"/>
                <w:szCs w:val="24"/>
              </w:rPr>
              <w:t>《关于印发重点行业挥发性有机物综合治理方案的通知》（环大气[2019]53号）</w:t>
            </w:r>
            <w:r>
              <w:rPr>
                <w:rFonts w:hint="default" w:ascii="Times New Roman" w:hAnsi="Times New Roman" w:eastAsia="宋体" w:cs="Times New Roman"/>
                <w:color w:val="auto"/>
                <w:sz w:val="24"/>
                <w:szCs w:val="24"/>
              </w:rPr>
              <w:t>符合性分析详见下表。</w:t>
            </w:r>
          </w:p>
          <w:p w14:paraId="25E804F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项目与</w:t>
            </w:r>
            <w:r>
              <w:rPr>
                <w:rFonts w:hint="default" w:ascii="Times New Roman" w:hAnsi="Times New Roman" w:eastAsia="宋体" w:cs="Times New Roman"/>
                <w:b/>
                <w:bCs/>
                <w:color w:val="auto"/>
                <w:sz w:val="21"/>
                <w:szCs w:val="21"/>
                <w:lang w:val="en-US" w:eastAsia="zh-CN"/>
              </w:rPr>
              <w:t>治理方案的</w:t>
            </w:r>
            <w:r>
              <w:rPr>
                <w:rFonts w:hint="default" w:ascii="Times New Roman" w:hAnsi="Times New Roman" w:eastAsia="宋体" w:cs="Times New Roman"/>
                <w:b/>
                <w:bCs/>
                <w:color w:val="auto"/>
                <w:sz w:val="21"/>
                <w:szCs w:val="21"/>
              </w:rPr>
              <w:t>符合性分析</w:t>
            </w:r>
          </w:p>
          <w:tbl>
            <w:tblPr>
              <w:tblStyle w:val="28"/>
              <w:tblW w:w="8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4577"/>
              <w:gridCol w:w="2434"/>
              <w:gridCol w:w="923"/>
            </w:tblGrid>
            <w:tr w14:paraId="19D6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47" w:type="dxa"/>
                  <w:noWrap w:val="0"/>
                  <w:vAlign w:val="center"/>
                </w:tcPr>
                <w:p w14:paraId="4B47AA2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序号</w:t>
                  </w:r>
                </w:p>
              </w:tc>
              <w:tc>
                <w:tcPr>
                  <w:tcW w:w="4577" w:type="dxa"/>
                  <w:noWrap w:val="0"/>
                  <w:vAlign w:val="center"/>
                </w:tcPr>
                <w:p w14:paraId="46BF277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sz w:val="21"/>
                      <w:szCs w:val="21"/>
                    </w:rPr>
                    <w:t>云环通（2019）</w:t>
                  </w:r>
                  <w:r>
                    <w:rPr>
                      <w:rFonts w:hint="eastAsia" w:cs="Times New Roman"/>
                      <w:b/>
                      <w:bCs/>
                      <w:color w:val="auto"/>
                      <w:sz w:val="21"/>
                      <w:szCs w:val="21"/>
                      <w:lang w:val="en-US" w:eastAsia="zh-CN"/>
                    </w:rPr>
                    <w:t>53</w:t>
                  </w:r>
                  <w:r>
                    <w:rPr>
                      <w:rFonts w:hint="default" w:ascii="Times New Roman" w:hAnsi="Times New Roman" w:eastAsia="宋体" w:cs="Times New Roman"/>
                      <w:b/>
                      <w:bCs/>
                      <w:color w:val="auto"/>
                      <w:sz w:val="21"/>
                      <w:szCs w:val="21"/>
                    </w:rPr>
                    <w:t>号要求</w:t>
                  </w:r>
                </w:p>
              </w:tc>
              <w:tc>
                <w:tcPr>
                  <w:tcW w:w="2434" w:type="dxa"/>
                  <w:noWrap w:val="0"/>
                  <w:vAlign w:val="center"/>
                </w:tcPr>
                <w:p w14:paraId="1AD4A4E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本项目情况</w:t>
                  </w:r>
                </w:p>
              </w:tc>
              <w:tc>
                <w:tcPr>
                  <w:tcW w:w="923" w:type="dxa"/>
                  <w:noWrap w:val="0"/>
                  <w:vAlign w:val="center"/>
                </w:tcPr>
                <w:p w14:paraId="33FD19A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符合性</w:t>
                  </w:r>
                </w:p>
              </w:tc>
            </w:tr>
            <w:tr w14:paraId="275B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7" w:type="dxa"/>
                  <w:noWrap w:val="0"/>
                  <w:vAlign w:val="center"/>
                </w:tcPr>
                <w:p w14:paraId="1F0C869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w:t>
                  </w:r>
                </w:p>
              </w:tc>
              <w:tc>
                <w:tcPr>
                  <w:tcW w:w="4577" w:type="dxa"/>
                  <w:noWrap w:val="0"/>
                  <w:vAlign w:val="center"/>
                </w:tcPr>
                <w:p w14:paraId="6CA8816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大力推进源头替代。通过使用水性、粉末、高固体分、无溶剂、辐射固化等低VOCs含量的涂料，水性、辐射固化、植物基等低 VOCs含量的油墨，水基、热熔、无溶剂、辐射固化、改性、生物降解等低VOCs含量的胶粘剂，以及低VOCs含量、低反应活性的清洗剂等，替代溶剂型涂料、油墨、胶粘剂、清洗剂等，从源头减少VOCs产生。</w:t>
                  </w:r>
                </w:p>
              </w:tc>
              <w:tc>
                <w:tcPr>
                  <w:tcW w:w="2434" w:type="dxa"/>
                  <w:noWrap w:val="0"/>
                  <w:vAlign w:val="center"/>
                </w:tcPr>
                <w:p w14:paraId="2482A36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原辅料为汽油和柴油，</w:t>
                  </w:r>
                  <w:r>
                    <w:rPr>
                      <w:rFonts w:hint="default" w:ascii="Times New Roman" w:hAnsi="Times New Roman" w:cs="Times New Roman"/>
                      <w:bCs/>
                      <w:color w:val="auto"/>
                      <w:sz w:val="21"/>
                      <w:szCs w:val="21"/>
                      <w:lang w:val="en-US" w:eastAsia="zh-CN"/>
                    </w:rPr>
                    <w:t>不使用</w:t>
                  </w:r>
                  <w:r>
                    <w:rPr>
                      <w:rFonts w:hint="default" w:ascii="Times New Roman" w:hAnsi="Times New Roman" w:eastAsia="宋体" w:cs="Times New Roman"/>
                      <w:color w:val="auto"/>
                      <w:sz w:val="21"/>
                      <w:szCs w:val="21"/>
                    </w:rPr>
                    <w:t>溶剂型涂料、油墨、清洗剂等，从源头减少VOCs产生</w:t>
                  </w:r>
                  <w:r>
                    <w:rPr>
                      <w:rFonts w:hint="default" w:ascii="Times New Roman" w:hAnsi="Times New Roman" w:eastAsia="宋体" w:cs="Times New Roman"/>
                      <w:color w:val="auto"/>
                      <w:sz w:val="21"/>
                      <w:szCs w:val="21"/>
                      <w:lang w:eastAsia="zh-CN"/>
                    </w:rPr>
                    <w:t>。</w:t>
                  </w:r>
                </w:p>
              </w:tc>
              <w:tc>
                <w:tcPr>
                  <w:tcW w:w="923" w:type="dxa"/>
                  <w:noWrap w:val="0"/>
                  <w:vAlign w:val="center"/>
                </w:tcPr>
                <w:p w14:paraId="2B1A692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4804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647" w:type="dxa"/>
                  <w:noWrap w:val="0"/>
                  <w:vAlign w:val="center"/>
                </w:tcPr>
                <w:p w14:paraId="694743D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w:t>
                  </w:r>
                </w:p>
              </w:tc>
              <w:tc>
                <w:tcPr>
                  <w:tcW w:w="4577" w:type="dxa"/>
                  <w:noWrap w:val="0"/>
                  <w:vAlign w:val="center"/>
                </w:tcPr>
                <w:p w14:paraId="27626F9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全面加强无组织排放控制。重点对含VOCs 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434" w:type="dxa"/>
                  <w:noWrap w:val="0"/>
                  <w:vAlign w:val="center"/>
                </w:tcPr>
                <w:p w14:paraId="2960B9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原辅料汽油和柴油均</w:t>
                  </w: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lang w:val="en-US" w:eastAsia="zh-CN"/>
                    </w:rPr>
                    <w:t>埋地式双层油罐</w:t>
                  </w:r>
                  <w:r>
                    <w:rPr>
                      <w:rFonts w:hint="default" w:ascii="Times New Roman" w:hAnsi="Times New Roman" w:eastAsia="宋体" w:cs="Times New Roman"/>
                      <w:color w:val="auto"/>
                      <w:sz w:val="21"/>
                      <w:szCs w:val="21"/>
                    </w:rPr>
                    <w:t>内储存，</w:t>
                  </w:r>
                  <w:r>
                    <w:rPr>
                      <w:rFonts w:hint="default" w:ascii="Times New Roman" w:hAnsi="Times New Roman" w:eastAsia="宋体" w:cs="Times New Roman"/>
                      <w:color w:val="auto"/>
                      <w:sz w:val="21"/>
                      <w:szCs w:val="21"/>
                      <w:lang w:val="en-US" w:eastAsia="zh-CN"/>
                    </w:rPr>
                    <w:t>通过密闭管道及加油装置输送至加油机内</w:t>
                  </w:r>
                  <w:r>
                    <w:rPr>
                      <w:rFonts w:hint="default" w:ascii="Times New Roman" w:hAnsi="Times New Roman" w:eastAsia="宋体" w:cs="Times New Roman"/>
                      <w:color w:val="auto"/>
                      <w:sz w:val="21"/>
                      <w:szCs w:val="21"/>
                    </w:rPr>
                    <w:t>。</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p>
              </w:tc>
              <w:tc>
                <w:tcPr>
                  <w:tcW w:w="923" w:type="dxa"/>
                  <w:noWrap w:val="0"/>
                  <w:vAlign w:val="center"/>
                </w:tcPr>
                <w:p w14:paraId="252529C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504F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647" w:type="dxa"/>
                  <w:noWrap w:val="0"/>
                  <w:vAlign w:val="center"/>
                </w:tcPr>
                <w:p w14:paraId="489AEF0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3</w:t>
                  </w:r>
                </w:p>
              </w:tc>
              <w:tc>
                <w:tcPr>
                  <w:tcW w:w="4577" w:type="dxa"/>
                  <w:noWrap w:val="0"/>
                  <w:vAlign w:val="center"/>
                </w:tcPr>
                <w:p w14:paraId="4704CE74">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加强设备与场所密闭管理。含VOCs物料应储存于密闭容器、包装袋，高效密封储罐，封闭式储库、料仓等。含VOCs物料转移和输送，应采用密闭管道或密闭容器、罐车等。</w:t>
                  </w:r>
                </w:p>
              </w:tc>
              <w:tc>
                <w:tcPr>
                  <w:tcW w:w="2434" w:type="dxa"/>
                  <w:noWrap w:val="0"/>
                  <w:vAlign w:val="center"/>
                </w:tcPr>
                <w:p w14:paraId="6240303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原辅料汽油和柴油均</w:t>
                  </w: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lang w:val="en-US" w:eastAsia="zh-CN"/>
                    </w:rPr>
                    <w:t>埋地式双层油罐</w:t>
                  </w:r>
                  <w:r>
                    <w:rPr>
                      <w:rFonts w:hint="default" w:ascii="Times New Roman" w:hAnsi="Times New Roman" w:eastAsia="宋体" w:cs="Times New Roman"/>
                      <w:color w:val="auto"/>
                      <w:sz w:val="21"/>
                      <w:szCs w:val="21"/>
                    </w:rPr>
                    <w:t>内储存，</w:t>
                  </w:r>
                  <w:r>
                    <w:rPr>
                      <w:rFonts w:hint="default" w:ascii="Times New Roman" w:hAnsi="Times New Roman" w:eastAsia="宋体" w:cs="Times New Roman"/>
                      <w:color w:val="auto"/>
                      <w:sz w:val="21"/>
                      <w:szCs w:val="21"/>
                      <w:lang w:val="en-US" w:eastAsia="zh-CN"/>
                    </w:rPr>
                    <w:t>通过密闭管道及加油装置输送至加油机内</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原辅料由供应方使用罐车以管道定期抽送至本项目油罐内。</w:t>
                  </w:r>
                </w:p>
              </w:tc>
              <w:tc>
                <w:tcPr>
                  <w:tcW w:w="923" w:type="dxa"/>
                  <w:noWrap w:val="0"/>
                  <w:vAlign w:val="center"/>
                </w:tcPr>
                <w:p w14:paraId="791535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6930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47" w:type="dxa"/>
                  <w:noWrap w:val="0"/>
                  <w:vAlign w:val="center"/>
                </w:tcPr>
                <w:p w14:paraId="4E03490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w:t>
                  </w:r>
                </w:p>
              </w:tc>
              <w:tc>
                <w:tcPr>
                  <w:tcW w:w="4577" w:type="dxa"/>
                  <w:noWrap w:val="0"/>
                  <w:vAlign w:val="center"/>
                </w:tcPr>
                <w:p w14:paraId="35D18B7A">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使用先进生产工艺。通过采用全密闭、连续化、自动化等生产技术，以及高效工艺与设备等，减少工艺过程无组织排放。工业涂装行业重点推进使用紧凑式涂装工艺，推广采用辊涂、静电喷涂、高压无气喷涂、空气辅助无气喷涂、热喷涂等涂装技术，鼓励企业采用自动化、智能化喷涂设备替代人工喷涂，减少使用空气喷涂技术。</w:t>
                  </w:r>
                </w:p>
              </w:tc>
              <w:tc>
                <w:tcPr>
                  <w:tcW w:w="2434" w:type="dxa"/>
                  <w:noWrap w:val="0"/>
                  <w:vAlign w:val="center"/>
                </w:tcPr>
                <w:p w14:paraId="3F9C8B7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本项目环评提出生产过程中无组织排放管控、废气收集、治污设施建设等全过程减排要求。</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措施</w:t>
                  </w:r>
                  <w:r>
                    <w:rPr>
                      <w:rFonts w:hint="default" w:ascii="Times New Roman" w:hAnsi="Times New Roman" w:cs="Times New Roman"/>
                      <w:color w:val="auto"/>
                      <w:szCs w:val="21"/>
                      <w:lang w:eastAsia="zh-CN"/>
                    </w:rPr>
                    <w:t>。</w:t>
                  </w:r>
                </w:p>
              </w:tc>
              <w:tc>
                <w:tcPr>
                  <w:tcW w:w="923" w:type="dxa"/>
                  <w:noWrap w:val="0"/>
                  <w:vAlign w:val="center"/>
                </w:tcPr>
                <w:p w14:paraId="4B814F9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158B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647" w:type="dxa"/>
                  <w:noWrap w:val="0"/>
                  <w:vAlign w:val="center"/>
                </w:tcPr>
                <w:p w14:paraId="28EB2DA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5</w:t>
                  </w:r>
                </w:p>
              </w:tc>
              <w:tc>
                <w:tcPr>
                  <w:tcW w:w="4577" w:type="dxa"/>
                  <w:noWrap w:val="0"/>
                  <w:vAlign w:val="center"/>
                </w:tcPr>
                <w:p w14:paraId="250660A2">
                  <w:pPr>
                    <w:widowControl/>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 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2434" w:type="dxa"/>
                  <w:noWrap w:val="0"/>
                  <w:vAlign w:val="center"/>
                </w:tcPr>
                <w:p w14:paraId="103657E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本项目加油过程产生的非甲烷总烃经采取“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措施</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p>
              </w:tc>
              <w:tc>
                <w:tcPr>
                  <w:tcW w:w="923" w:type="dxa"/>
                  <w:noWrap w:val="0"/>
                  <w:vAlign w:val="center"/>
                </w:tcPr>
                <w:p w14:paraId="2769451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6E30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7" w:type="dxa"/>
                  <w:noWrap w:val="0"/>
                  <w:vAlign w:val="center"/>
                </w:tcPr>
                <w:p w14:paraId="65BC212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6</w:t>
                  </w:r>
                </w:p>
              </w:tc>
              <w:tc>
                <w:tcPr>
                  <w:tcW w:w="4577" w:type="dxa"/>
                  <w:noWrap w:val="0"/>
                  <w:vAlign w:val="center"/>
                </w:tcPr>
                <w:p w14:paraId="6A7EBF9F">
                  <w:pPr>
                    <w:widowControl/>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2434" w:type="dxa"/>
                  <w:noWrap w:val="0"/>
                  <w:vAlign w:val="center"/>
                </w:tcPr>
                <w:p w14:paraId="077A25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原辅料汽油和柴油均</w:t>
                  </w:r>
                  <w:r>
                    <w:rPr>
                      <w:rFonts w:hint="default" w:ascii="Times New Roman" w:hAnsi="Times New Roman" w:eastAsia="宋体" w:cs="Times New Roman"/>
                      <w:color w:val="auto"/>
                      <w:sz w:val="21"/>
                      <w:szCs w:val="21"/>
                    </w:rPr>
                    <w:t>在</w:t>
                  </w:r>
                  <w:r>
                    <w:rPr>
                      <w:rFonts w:hint="default" w:ascii="Times New Roman" w:hAnsi="Times New Roman" w:eastAsia="宋体" w:cs="Times New Roman"/>
                      <w:color w:val="auto"/>
                      <w:sz w:val="21"/>
                      <w:szCs w:val="21"/>
                      <w:lang w:val="en-US" w:eastAsia="zh-CN"/>
                    </w:rPr>
                    <w:t>埋地式双层油罐</w:t>
                  </w:r>
                  <w:r>
                    <w:rPr>
                      <w:rFonts w:hint="default" w:ascii="Times New Roman" w:hAnsi="Times New Roman" w:eastAsia="宋体" w:cs="Times New Roman"/>
                      <w:color w:val="auto"/>
                      <w:sz w:val="21"/>
                      <w:szCs w:val="21"/>
                    </w:rPr>
                    <w:t>内储存，</w:t>
                  </w:r>
                  <w:r>
                    <w:rPr>
                      <w:rFonts w:hint="default" w:ascii="Times New Roman" w:hAnsi="Times New Roman" w:eastAsia="宋体" w:cs="Times New Roman"/>
                      <w:color w:val="auto"/>
                      <w:sz w:val="21"/>
                      <w:szCs w:val="21"/>
                      <w:lang w:val="en-US" w:eastAsia="zh-CN"/>
                    </w:rPr>
                    <w:t>通过密闭管道及加油装置输送至加油机内</w:t>
                  </w:r>
                  <w:r>
                    <w:rPr>
                      <w:rFonts w:hint="default" w:ascii="Times New Roman" w:hAnsi="Times New Roman" w:eastAsia="宋体" w:cs="Times New Roman"/>
                      <w:color w:val="auto"/>
                      <w:sz w:val="21"/>
                      <w:szCs w:val="21"/>
                    </w:rPr>
                    <w:t>。</w:t>
                  </w: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措施</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p>
              </w:tc>
              <w:tc>
                <w:tcPr>
                  <w:tcW w:w="923" w:type="dxa"/>
                  <w:noWrap w:val="0"/>
                  <w:vAlign w:val="center"/>
                </w:tcPr>
                <w:p w14:paraId="02C4147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032F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7" w:type="dxa"/>
                  <w:noWrap w:val="0"/>
                  <w:vAlign w:val="center"/>
                </w:tcPr>
                <w:p w14:paraId="46A3F8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7</w:t>
                  </w:r>
                </w:p>
              </w:tc>
              <w:tc>
                <w:tcPr>
                  <w:tcW w:w="4577" w:type="dxa"/>
                  <w:noWrap w:val="0"/>
                  <w:vAlign w:val="center"/>
                </w:tcPr>
                <w:p w14:paraId="1FA2D471">
                  <w:pPr>
                    <w:widowControl/>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1"/>
                      <w:szCs w:val="21"/>
                    </w:rPr>
                    <w:t>推进建设适宜高效的治污设施。喷涂废气应设置高效漆雾处理装置。喷涂、晾（风）干废气宜采用吸附浓缩+燃烧处理方式，小风量的可采用一次性活性炭吸 附等工艺。调配、流平等废气可与喷涂、晾（风）干废气一并处理。使用溶剂型涂料的生产线，烘干废气宜采用燃烧方式单独处理，具备条件的可采用回收式热力燃烧装置。</w:t>
                  </w:r>
                </w:p>
              </w:tc>
              <w:tc>
                <w:tcPr>
                  <w:tcW w:w="2434" w:type="dxa"/>
                  <w:noWrap w:val="0"/>
                  <w:vAlign w:val="center"/>
                </w:tcPr>
                <w:p w14:paraId="1EC3805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加油过程产生的非甲烷总烃经采取“</w:t>
                  </w:r>
                  <w:r>
                    <w:rPr>
                      <w:rFonts w:hint="default" w:ascii="Times New Roman" w:hAnsi="Times New Roman" w:cs="Times New Roman"/>
                      <w:color w:val="auto"/>
                      <w:szCs w:val="21"/>
                    </w:rPr>
                    <w:t>自封式加油枪及密闭卸油、油罐地埋、安装</w:t>
                  </w:r>
                  <w:r>
                    <w:rPr>
                      <w:rFonts w:hint="eastAsia" w:cs="Times New Roman"/>
                      <w:color w:val="auto"/>
                      <w:szCs w:val="21"/>
                      <w:lang w:eastAsia="zh-CN"/>
                    </w:rPr>
                    <w:t>油气回收系统</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措施</w:t>
                  </w:r>
                  <w:r>
                    <w:rPr>
                      <w:rFonts w:hint="default" w:ascii="Times New Roman" w:hAnsi="Times New Roman" w:cs="Times New Roman"/>
                      <w:color w:val="auto"/>
                      <w:kern w:val="0"/>
                      <w:szCs w:val="21"/>
                      <w:lang w:val="en-US" w:eastAsia="zh-CN"/>
                    </w:rPr>
                    <w:t>处理后，</w:t>
                  </w:r>
                  <w:r>
                    <w:rPr>
                      <w:rFonts w:hint="default" w:ascii="Times New Roman" w:hAnsi="Times New Roman" w:cs="Times New Roman"/>
                      <w:color w:val="auto"/>
                      <w:sz w:val="21"/>
                      <w:szCs w:val="21"/>
                      <w:highlight w:val="none"/>
                      <w:lang w:val="en-US" w:eastAsia="zh-CN"/>
                    </w:rPr>
                    <w:t>排放废气能够达标排放</w:t>
                  </w:r>
                  <w:r>
                    <w:rPr>
                      <w:rFonts w:hint="default" w:ascii="Times New Roman" w:hAnsi="Times New Roman" w:eastAsia="宋体" w:cs="Times New Roman"/>
                      <w:color w:val="auto"/>
                      <w:szCs w:val="21"/>
                    </w:rPr>
                    <w:t>。</w:t>
                  </w:r>
                </w:p>
              </w:tc>
              <w:tc>
                <w:tcPr>
                  <w:tcW w:w="923" w:type="dxa"/>
                  <w:noWrap w:val="0"/>
                  <w:vAlign w:val="center"/>
                </w:tcPr>
                <w:p w14:paraId="3F47914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bl>
          <w:p w14:paraId="429A6CF8">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综上，本项目建设符合《关于印发重点行业挥发性有机物综合治理方案的通知》（环大气[2019]53号）（以下简称“治理方案”）中的要求。</w:t>
            </w:r>
          </w:p>
          <w:p w14:paraId="714DE786">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lang w:val="en-US" w:eastAsia="zh-CN"/>
              </w:rPr>
            </w:pPr>
            <w:r>
              <w:rPr>
                <w:rFonts w:hint="eastAsia" w:cs="Times New Roman"/>
                <w:b/>
                <w:color w:val="auto"/>
                <w:sz w:val="24"/>
                <w:lang w:val="en-US" w:eastAsia="zh-CN"/>
              </w:rPr>
              <w:t>9</w:t>
            </w:r>
            <w:r>
              <w:rPr>
                <w:rFonts w:hint="default" w:ascii="Times New Roman" w:hAnsi="Times New Roman" w:eastAsia="宋体" w:cs="Times New Roman"/>
                <w:b/>
                <w:color w:val="auto"/>
                <w:sz w:val="24"/>
                <w:lang w:val="en-US" w:eastAsia="zh-CN"/>
              </w:rPr>
              <w:t>、与《云南省长江经济带发展负面清单指南实施细则》（试行</w:t>
            </w:r>
            <w:r>
              <w:rPr>
                <w:rFonts w:hint="default" w:ascii="Times New Roman" w:hAnsi="Times New Roman" w:eastAsia="宋体" w:cs="Times New Roman"/>
                <w:b/>
                <w:bCs/>
                <w:color w:val="auto"/>
                <w:kern w:val="0"/>
                <w:highlight w:val="none"/>
              </w:rPr>
              <w:t>，</w:t>
            </w:r>
            <w:r>
              <w:rPr>
                <w:rFonts w:hint="default" w:ascii="Times New Roman" w:hAnsi="Times New Roman" w:eastAsia="宋体" w:cs="Times New Roman"/>
                <w:b/>
                <w:bCs/>
                <w:color w:val="auto"/>
                <w:kern w:val="0"/>
                <w:sz w:val="24"/>
                <w:szCs w:val="32"/>
                <w:highlight w:val="none"/>
              </w:rPr>
              <w:t>2022年版</w:t>
            </w:r>
            <w:r>
              <w:rPr>
                <w:rFonts w:hint="default" w:ascii="Times New Roman" w:hAnsi="Times New Roman" w:eastAsia="宋体" w:cs="Times New Roman"/>
                <w:b/>
                <w:color w:val="auto"/>
                <w:sz w:val="24"/>
                <w:lang w:val="en-US" w:eastAsia="zh-CN"/>
              </w:rPr>
              <w:t>）符合性分析</w:t>
            </w:r>
          </w:p>
          <w:p w14:paraId="13523DF3">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本项目附近最近地表水为西侧90m处的功山河，流向响水河，进入大白河，经小江汇入金沙江。根据</w:t>
            </w:r>
            <w:r>
              <w:rPr>
                <w:rFonts w:hint="eastAsia" w:cs="Times New Roman"/>
                <w:color w:val="auto"/>
                <w:sz w:val="24"/>
                <w:szCs w:val="24"/>
                <w:lang w:val="en-US" w:eastAsia="zh-CN"/>
              </w:rPr>
              <w:t>《昆明市和滇中产业新区水功能区划（2010-2030年）》</w:t>
            </w: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属于</w:t>
            </w:r>
            <w:r>
              <w:rPr>
                <w:rFonts w:hint="eastAsia" w:cs="Times New Roman"/>
                <w:color w:val="auto"/>
                <w:sz w:val="24"/>
                <w:szCs w:val="24"/>
                <w:lang w:val="en-US" w:eastAsia="zh-CN"/>
              </w:rPr>
              <w:t>金沙江水系长江流域</w:t>
            </w:r>
            <w:r>
              <w:rPr>
                <w:rFonts w:hint="default" w:ascii="Times New Roman" w:hAnsi="Times New Roman" w:cs="Times New Roman"/>
                <w:color w:val="auto"/>
                <w:sz w:val="24"/>
                <w:szCs w:val="24"/>
                <w:lang w:val="en-US" w:eastAsia="zh-CN"/>
              </w:rPr>
              <w:t>。</w:t>
            </w:r>
          </w:p>
          <w:p w14:paraId="1A82780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为深入贯彻落实习近平总书记关于推动长江经济带发展的重要讲话和指示批示精神，认真落实长江保护法，根据《</w:t>
            </w:r>
            <w:r>
              <w:rPr>
                <w:rFonts w:hint="default" w:ascii="Times New Roman" w:hAnsi="Times New Roman" w:eastAsia="宋体" w:cs="Times New Roman"/>
                <w:color w:val="auto"/>
                <w:sz w:val="24"/>
                <w:szCs w:val="24"/>
                <w:lang w:val="en-US" w:eastAsia="zh-CN"/>
              </w:rPr>
              <w:t>云南</w:t>
            </w:r>
            <w:r>
              <w:rPr>
                <w:rFonts w:hint="default" w:ascii="Times New Roman" w:hAnsi="Times New Roman" w:eastAsia="宋体" w:cs="Times New Roman"/>
                <w:color w:val="auto"/>
                <w:sz w:val="24"/>
                <w:szCs w:val="24"/>
                <w:lang w:val="zh-CN" w:eastAsia="zh-CN"/>
              </w:rPr>
              <w:t>长江经济带发展负面清单指南（试行，2022年版）》，结合云南实际﹐制定本</w:t>
            </w:r>
            <w:r>
              <w:rPr>
                <w:rFonts w:hint="eastAsia" w:cs="Times New Roman"/>
                <w:color w:val="auto"/>
                <w:sz w:val="24"/>
                <w:szCs w:val="24"/>
                <w:lang w:val="zh-CN" w:eastAsia="zh-CN"/>
              </w:rPr>
              <w:t>实施细则</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分析如下：</w:t>
            </w:r>
          </w:p>
          <w:p w14:paraId="6E0990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1-</w:t>
            </w:r>
            <w:r>
              <w:rPr>
                <w:rFonts w:hint="eastAsia" w:cs="Times New Roman"/>
                <w:b/>
                <w:bCs/>
                <w:color w:val="auto"/>
                <w:kern w:val="0"/>
                <w:highlight w:val="none"/>
                <w:lang w:val="en-US" w:eastAsia="zh-CN"/>
              </w:rPr>
              <w:t>8</w:t>
            </w:r>
            <w:r>
              <w:rPr>
                <w:rFonts w:hint="default" w:ascii="Times New Roman" w:hAnsi="Times New Roman" w:eastAsia="宋体" w:cs="Times New Roman"/>
                <w:b/>
                <w:bCs/>
                <w:color w:val="auto"/>
                <w:kern w:val="0"/>
                <w:highlight w:val="none"/>
              </w:rPr>
              <w:t xml:space="preserve"> 与《</w:t>
            </w:r>
            <w:r>
              <w:rPr>
                <w:rFonts w:hint="default" w:ascii="Times New Roman" w:hAnsi="Times New Roman" w:eastAsia="宋体" w:cs="Times New Roman"/>
                <w:b/>
                <w:bCs/>
                <w:color w:val="auto"/>
                <w:kern w:val="0"/>
                <w:highlight w:val="none"/>
                <w:lang w:val="en-US" w:eastAsia="zh-CN"/>
              </w:rPr>
              <w:t>云南省</w:t>
            </w:r>
            <w:r>
              <w:rPr>
                <w:rFonts w:hint="default" w:ascii="Times New Roman" w:hAnsi="Times New Roman" w:eastAsia="宋体" w:cs="Times New Roman"/>
                <w:b/>
                <w:bCs/>
                <w:color w:val="auto"/>
                <w:kern w:val="0"/>
                <w:highlight w:val="none"/>
              </w:rPr>
              <w:t>长江经济带发展负面清单指南</w:t>
            </w:r>
            <w:r>
              <w:rPr>
                <w:rFonts w:hint="default" w:ascii="Times New Roman" w:hAnsi="Times New Roman" w:eastAsia="宋体" w:cs="Times New Roman"/>
                <w:b/>
                <w:bCs/>
                <w:color w:val="auto"/>
                <w:kern w:val="0"/>
                <w:highlight w:val="none"/>
                <w:lang w:val="en-US" w:eastAsia="zh-CN"/>
              </w:rPr>
              <w:t>实施细则</w:t>
            </w:r>
            <w:r>
              <w:rPr>
                <w:rFonts w:hint="default" w:ascii="Times New Roman" w:hAnsi="Times New Roman" w:eastAsia="宋体" w:cs="Times New Roman"/>
                <w:b/>
                <w:bCs/>
                <w:color w:val="auto"/>
                <w:kern w:val="0"/>
                <w:highlight w:val="none"/>
              </w:rPr>
              <w:t>（试行</w:t>
            </w:r>
            <w:r>
              <w:rPr>
                <w:rFonts w:hint="default" w:ascii="Times New Roman" w:hAnsi="Times New Roman" w:eastAsia="宋体" w:cs="Times New Roman"/>
                <w:b/>
                <w:bCs/>
                <w:color w:val="auto"/>
                <w:kern w:val="0"/>
                <w:highlight w:val="none"/>
                <w:lang w:eastAsia="zh-CN"/>
              </w:rPr>
              <w:t>，</w:t>
            </w:r>
            <w:r>
              <w:rPr>
                <w:rFonts w:hint="default" w:ascii="Times New Roman" w:hAnsi="Times New Roman" w:eastAsia="宋体" w:cs="Times New Roman"/>
                <w:b/>
                <w:bCs/>
                <w:color w:val="auto"/>
                <w:kern w:val="0"/>
                <w:highlight w:val="none"/>
                <w:lang w:val="en-US" w:eastAsia="zh-CN"/>
              </w:rPr>
              <w:t>2022年版</w:t>
            </w:r>
            <w:r>
              <w:rPr>
                <w:rFonts w:hint="default" w:ascii="Times New Roman" w:hAnsi="Times New Roman" w:eastAsia="宋体" w:cs="Times New Roman"/>
                <w:b/>
                <w:bCs/>
                <w:color w:val="auto"/>
                <w:kern w:val="0"/>
                <w:highlight w:val="none"/>
              </w:rPr>
              <w:t>）》相符性分析</w:t>
            </w:r>
          </w:p>
          <w:tbl>
            <w:tblPr>
              <w:tblStyle w:val="27"/>
              <w:tblW w:w="84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43"/>
              <w:gridCol w:w="2584"/>
              <w:gridCol w:w="961"/>
            </w:tblGrid>
            <w:tr w14:paraId="65977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4943" w:type="dxa"/>
                  <w:noWrap w:val="0"/>
                  <w:vAlign w:val="center"/>
                </w:tcPr>
                <w:p w14:paraId="5B1BF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sz w:val="21"/>
                      <w:szCs w:val="21"/>
                      <w:lang w:val="en-US" w:eastAsia="zh-CN"/>
                    </w:rPr>
                    <w:t>云南省长江经济带发展负面清单指南实施细则</w:t>
                  </w:r>
                </w:p>
              </w:tc>
              <w:tc>
                <w:tcPr>
                  <w:tcW w:w="2584" w:type="dxa"/>
                  <w:noWrap w:val="0"/>
                  <w:vAlign w:val="center"/>
                </w:tcPr>
                <w:p w14:paraId="22CB7A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本项目</w:t>
                  </w:r>
                </w:p>
              </w:tc>
              <w:tc>
                <w:tcPr>
                  <w:tcW w:w="961" w:type="dxa"/>
                  <w:noWrap w:val="0"/>
                  <w:vAlign w:val="center"/>
                </w:tcPr>
                <w:p w14:paraId="764C6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val="0"/>
                      <w:color w:val="auto"/>
                      <w:kern w:val="0"/>
                      <w:sz w:val="21"/>
                      <w:szCs w:val="21"/>
                      <w:highlight w:val="none"/>
                      <w:lang w:eastAsia="zh-CN"/>
                    </w:rPr>
                  </w:pPr>
                  <w:r>
                    <w:rPr>
                      <w:rFonts w:hint="default" w:ascii="Times New Roman" w:hAnsi="Times New Roman" w:cs="Times New Roman"/>
                      <w:b/>
                      <w:bCs w:val="0"/>
                      <w:color w:val="auto"/>
                      <w:kern w:val="0"/>
                      <w:sz w:val="21"/>
                      <w:szCs w:val="21"/>
                      <w:highlight w:val="none"/>
                      <w:lang w:eastAsia="zh-CN"/>
                    </w:rPr>
                    <w:t>符合性</w:t>
                  </w:r>
                </w:p>
              </w:tc>
            </w:tr>
            <w:tr w14:paraId="53399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4" w:hRule="atLeast"/>
                <w:jc w:val="center"/>
              </w:trPr>
              <w:tc>
                <w:tcPr>
                  <w:tcW w:w="4943" w:type="dxa"/>
                  <w:noWrap w:val="0"/>
                  <w:vAlign w:val="center"/>
                </w:tcPr>
                <w:p w14:paraId="4204F3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第一条  禁止新建、改建和扩建不符合《全国内河航道与港口布局规划》等全国港口规划和《昭通</w:t>
                  </w:r>
                  <w:r>
                    <w:rPr>
                      <w:rFonts w:hint="eastAsia" w:cs="Times New Roman"/>
                      <w:color w:val="auto"/>
                      <w:sz w:val="21"/>
                      <w:szCs w:val="21"/>
                      <w:highlight w:val="none"/>
                      <w:lang w:val="en-US" w:eastAsia="zh-CN"/>
                    </w:rPr>
                    <w:t>市</w:t>
                  </w:r>
                  <w:r>
                    <w:rPr>
                      <w:rFonts w:hint="default" w:ascii="Times New Roman" w:hAnsi="Times New Roman" w:eastAsia="宋体" w:cs="Times New Roman"/>
                      <w:color w:val="auto"/>
                      <w:sz w:val="21"/>
                      <w:szCs w:val="21"/>
                      <w:highlight w:val="none"/>
                      <w:lang w:val="en-US" w:eastAsia="zh-CN"/>
                    </w:rPr>
                    <w:t>港口码头岸线规划(金沙江段2019年——2035年)》、《景洪港总体规划(2019——2035年)》等州(市)级以上港口布局规划以及港口总体规划的码头项目。</w:t>
                  </w:r>
                </w:p>
              </w:tc>
              <w:tc>
                <w:tcPr>
                  <w:tcW w:w="2584" w:type="dxa"/>
                  <w:noWrap w:val="0"/>
                  <w:vAlign w:val="center"/>
                </w:tcPr>
                <w:p w14:paraId="53ECF4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本项目</w:t>
                  </w: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lang w:val="en-US" w:eastAsia="zh-CN"/>
                    </w:rPr>
                    <w:t>昆明市寻甸县功山镇梧桐村</w:t>
                  </w:r>
                  <w:r>
                    <w:rPr>
                      <w:rFonts w:hint="default" w:ascii="Times New Roman" w:hAnsi="Times New Roman" w:eastAsia="Times New Roman" w:cs="Times New Roman"/>
                      <w:color w:val="auto"/>
                      <w:sz w:val="21"/>
                      <w:szCs w:val="21"/>
                      <w:highlight w:val="none"/>
                      <w:lang w:val="zh-CN"/>
                    </w:rPr>
                    <w:t>，不涉及</w:t>
                  </w:r>
                  <w:r>
                    <w:rPr>
                      <w:rFonts w:hint="default" w:ascii="Times New Roman" w:hAnsi="Times New Roman" w:eastAsia="宋体" w:cs="Times New Roman"/>
                      <w:color w:val="auto"/>
                      <w:sz w:val="21"/>
                      <w:szCs w:val="21"/>
                      <w:highlight w:val="none"/>
                      <w:lang w:val="en-US" w:eastAsia="zh-CN"/>
                    </w:rPr>
                    <w:t>港口</w:t>
                  </w:r>
                  <w:r>
                    <w:rPr>
                      <w:rFonts w:hint="default" w:ascii="Times New Roman" w:hAnsi="Times New Roman" w:eastAsia="Times New Roman" w:cs="Times New Roman"/>
                      <w:color w:val="auto"/>
                      <w:sz w:val="21"/>
                      <w:szCs w:val="21"/>
                      <w:highlight w:val="none"/>
                      <w:lang w:val="zh-CN"/>
                    </w:rPr>
                    <w:t>及</w:t>
                  </w:r>
                  <w:r>
                    <w:rPr>
                      <w:rFonts w:hint="default" w:ascii="Times New Roman" w:hAnsi="Times New Roman" w:eastAsia="宋体" w:cs="Times New Roman"/>
                      <w:color w:val="auto"/>
                      <w:sz w:val="21"/>
                      <w:szCs w:val="21"/>
                      <w:highlight w:val="none"/>
                      <w:lang w:val="en-US" w:eastAsia="zh-CN"/>
                    </w:rPr>
                    <w:t>内河航道</w:t>
                  </w:r>
                  <w:r>
                    <w:rPr>
                      <w:rFonts w:hint="default" w:ascii="Times New Roman" w:hAnsi="Times New Roman" w:eastAsia="Times New Roman" w:cs="Times New Roman"/>
                      <w:color w:val="auto"/>
                      <w:sz w:val="21"/>
                      <w:szCs w:val="21"/>
                      <w:highlight w:val="none"/>
                      <w:lang w:val="zh-CN"/>
                    </w:rPr>
                    <w:t>。</w:t>
                  </w:r>
                </w:p>
              </w:tc>
              <w:tc>
                <w:tcPr>
                  <w:tcW w:w="961" w:type="dxa"/>
                  <w:noWrap w:val="0"/>
                  <w:vAlign w:val="center"/>
                </w:tcPr>
                <w:p w14:paraId="53407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5E465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jc w:val="center"/>
              </w:trPr>
              <w:tc>
                <w:tcPr>
                  <w:tcW w:w="4943" w:type="dxa"/>
                  <w:noWrap w:val="0"/>
                  <w:vAlign w:val="center"/>
                </w:tcPr>
                <w:p w14:paraId="1EB737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第二条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Times New Roman" w:cs="Times New Roman"/>
                      <w:color w:val="auto"/>
                      <w:sz w:val="21"/>
                      <w:szCs w:val="21"/>
                      <w:highlight w:val="none"/>
                      <w:lang w:val="zh-CN"/>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584" w:type="dxa"/>
                  <w:noWrap w:val="0"/>
                  <w:vAlign w:val="center"/>
                </w:tcPr>
                <w:p w14:paraId="7B8551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本项目</w:t>
                  </w: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lang w:val="en-US" w:eastAsia="zh-CN"/>
                    </w:rPr>
                    <w:t>昆明市寻甸县功山镇梧桐村</w:t>
                  </w:r>
                  <w:r>
                    <w:rPr>
                      <w:rFonts w:hint="default" w:ascii="Times New Roman" w:hAnsi="Times New Roman" w:eastAsia="Times New Roman" w:cs="Times New Roman"/>
                      <w:color w:val="auto"/>
                      <w:sz w:val="21"/>
                      <w:szCs w:val="21"/>
                      <w:highlight w:val="none"/>
                      <w:lang w:val="zh-CN"/>
                    </w:rPr>
                    <w:t>，不涉及自然保护区核心区和缓冲区、风景名胜区等特殊敏感区。</w:t>
                  </w:r>
                </w:p>
              </w:tc>
              <w:tc>
                <w:tcPr>
                  <w:tcW w:w="961" w:type="dxa"/>
                  <w:noWrap w:val="0"/>
                  <w:vAlign w:val="center"/>
                </w:tcPr>
                <w:p w14:paraId="74F69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24B2E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4943" w:type="dxa"/>
                  <w:noWrap w:val="0"/>
                  <w:vAlign w:val="center"/>
                </w:tcPr>
                <w:p w14:paraId="1F69AD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第三条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Times New Roman" w:cs="Times New Roman"/>
                      <w:color w:val="auto"/>
                      <w:sz w:val="21"/>
                      <w:szCs w:val="21"/>
                      <w:highlight w:val="none"/>
                      <w:lang w:val="zh-CN"/>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584" w:type="dxa"/>
                  <w:noWrap w:val="0"/>
                  <w:vAlign w:val="center"/>
                </w:tcPr>
                <w:p w14:paraId="6E6797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本项目</w:t>
                  </w: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lang w:val="en-US" w:eastAsia="zh-CN"/>
                    </w:rPr>
                    <w:t>昆明市寻甸县功山镇梧桐村</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Times New Roman" w:cs="Times New Roman"/>
                      <w:color w:val="auto"/>
                      <w:sz w:val="21"/>
                      <w:szCs w:val="21"/>
                      <w:highlight w:val="none"/>
                      <w:lang w:val="zh-CN"/>
                    </w:rPr>
                    <w:t>不涉及风景名胜区等特殊敏感区。</w:t>
                  </w:r>
                </w:p>
              </w:tc>
              <w:tc>
                <w:tcPr>
                  <w:tcW w:w="961" w:type="dxa"/>
                  <w:noWrap w:val="0"/>
                  <w:vAlign w:val="center"/>
                </w:tcPr>
                <w:p w14:paraId="5ECC0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55A5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1" w:hRule="atLeast"/>
                <w:jc w:val="center"/>
              </w:trPr>
              <w:tc>
                <w:tcPr>
                  <w:tcW w:w="4943" w:type="dxa"/>
                  <w:noWrap w:val="0"/>
                  <w:vAlign w:val="center"/>
                </w:tcPr>
                <w:p w14:paraId="4B8227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第四条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Times New Roman" w:cs="Times New Roman"/>
                      <w:color w:val="auto"/>
                      <w:sz w:val="21"/>
                      <w:szCs w:val="21"/>
                      <w:highlight w:val="none"/>
                      <w:lang w:val="zh-CN"/>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584" w:type="dxa"/>
                  <w:noWrap w:val="0"/>
                  <w:vAlign w:val="center"/>
                </w:tcPr>
                <w:p w14:paraId="444B0FA7">
                  <w:pPr>
                    <w:keepNext w:val="0"/>
                    <w:keepLines w:val="0"/>
                    <w:widowControl/>
                    <w:suppressLineNumbers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本项目所在地的地表水体为</w:t>
                  </w:r>
                  <w:r>
                    <w:rPr>
                      <w:rFonts w:hint="eastAsia" w:cs="Times New Roman"/>
                      <w:bCs w:val="0"/>
                      <w:color w:val="auto"/>
                      <w:kern w:val="2"/>
                      <w:sz w:val="21"/>
                      <w:szCs w:val="16"/>
                      <w:lang w:val="en-US" w:eastAsia="zh-CN" w:bidi="ar-SA"/>
                    </w:rPr>
                    <w:t>西</w:t>
                  </w:r>
                  <w:r>
                    <w:rPr>
                      <w:rFonts w:hint="default" w:ascii="Times New Roman" w:hAnsi="Times New Roman" w:cs="Times New Roman"/>
                      <w:bCs w:val="0"/>
                      <w:color w:val="auto"/>
                      <w:kern w:val="2"/>
                      <w:sz w:val="21"/>
                      <w:szCs w:val="16"/>
                      <w:lang w:val="en-US" w:eastAsia="zh-CN" w:bidi="ar-SA"/>
                    </w:rPr>
                    <w:t>侧</w:t>
                  </w:r>
                  <w:r>
                    <w:rPr>
                      <w:rFonts w:hint="eastAsia" w:cs="Times New Roman"/>
                      <w:bCs w:val="0"/>
                      <w:color w:val="auto"/>
                      <w:kern w:val="2"/>
                      <w:sz w:val="21"/>
                      <w:szCs w:val="16"/>
                      <w:lang w:val="en-US" w:eastAsia="zh-CN" w:bidi="ar-SA"/>
                    </w:rPr>
                    <w:t>90</w:t>
                  </w:r>
                  <w:r>
                    <w:rPr>
                      <w:rFonts w:hint="default" w:ascii="Times New Roman" w:hAnsi="Times New Roman" w:eastAsia="宋体" w:cs="Times New Roman"/>
                      <w:bCs w:val="0"/>
                      <w:color w:val="auto"/>
                      <w:kern w:val="2"/>
                      <w:sz w:val="21"/>
                      <w:szCs w:val="16"/>
                      <w:lang w:val="en-US" w:eastAsia="zh-CN" w:bidi="ar-SA"/>
                    </w:rPr>
                    <w:t>m处</w:t>
                  </w:r>
                  <w:r>
                    <w:rPr>
                      <w:rFonts w:hint="default" w:ascii="Times New Roman" w:hAnsi="Times New Roman" w:eastAsia="宋体" w:cs="Times New Roman"/>
                      <w:color w:val="auto"/>
                      <w:sz w:val="21"/>
                      <w:szCs w:val="21"/>
                      <w:lang w:val="en-US" w:eastAsia="zh-CN"/>
                    </w:rPr>
                    <w:t>的</w:t>
                  </w:r>
                  <w:r>
                    <w:rPr>
                      <w:rFonts w:hint="eastAsia" w:cs="Times New Roman"/>
                      <w:color w:val="auto"/>
                      <w:sz w:val="21"/>
                      <w:szCs w:val="21"/>
                      <w:lang w:val="en-US" w:eastAsia="zh-CN"/>
                    </w:rPr>
                    <w:t>功山河</w:t>
                  </w:r>
                  <w:r>
                    <w:rPr>
                      <w:rFonts w:hint="default" w:ascii="Times New Roman" w:hAnsi="Times New Roman" w:eastAsia="Times New Roman" w:cs="Times New Roman"/>
                      <w:color w:val="auto"/>
                      <w:sz w:val="21"/>
                      <w:szCs w:val="21"/>
                      <w:highlight w:val="none"/>
                      <w:lang w:val="zh-CN"/>
                    </w:rPr>
                    <w:t>，</w:t>
                  </w:r>
                  <w:r>
                    <w:rPr>
                      <w:rFonts w:hint="eastAsia" w:cs="Times New Roman"/>
                      <w:color w:val="auto"/>
                      <w:sz w:val="21"/>
                      <w:szCs w:val="21"/>
                      <w:lang w:val="en-US" w:eastAsia="zh-CN"/>
                    </w:rPr>
                    <w:t>经小江</w:t>
                  </w:r>
                  <w:r>
                    <w:rPr>
                      <w:rFonts w:hint="default" w:ascii="Times New Roman" w:hAnsi="Times New Roman" w:cs="Times New Roman"/>
                      <w:color w:val="auto"/>
                      <w:sz w:val="21"/>
                      <w:szCs w:val="21"/>
                      <w:lang w:val="en-US" w:eastAsia="zh-CN"/>
                    </w:rPr>
                    <w:t>汇入</w:t>
                  </w:r>
                  <w:r>
                    <w:rPr>
                      <w:rFonts w:hint="eastAsia" w:cs="Times New Roman"/>
                      <w:snapToGrid w:val="0"/>
                      <w:color w:val="auto"/>
                      <w:lang w:val="en-US" w:eastAsia="zh-CN"/>
                    </w:rPr>
                    <w:t>金沙江</w:t>
                  </w:r>
                  <w:r>
                    <w:rPr>
                      <w:rFonts w:hint="default" w:ascii="Times New Roman" w:hAnsi="Times New Roman" w:eastAsia="宋体" w:cs="Times New Roman"/>
                      <w:color w:val="auto"/>
                      <w:kern w:val="0"/>
                      <w:sz w:val="21"/>
                      <w:szCs w:val="21"/>
                      <w:lang w:val="en-US" w:eastAsia="zh-CN" w:bidi="ar"/>
                    </w:rPr>
                    <w:t>，本项目不在</w:t>
                  </w:r>
                  <w:r>
                    <w:rPr>
                      <w:rFonts w:hint="eastAsia" w:cs="Times New Roman"/>
                      <w:color w:val="auto"/>
                      <w:kern w:val="0"/>
                      <w:sz w:val="21"/>
                      <w:szCs w:val="21"/>
                      <w:lang w:val="en-US" w:eastAsia="zh-CN" w:bidi="ar"/>
                    </w:rPr>
                    <w:t>饮用水源</w:t>
                  </w:r>
                  <w:r>
                    <w:rPr>
                      <w:rFonts w:hint="default" w:ascii="Times New Roman" w:hAnsi="Times New Roman" w:eastAsia="宋体" w:cs="Times New Roman"/>
                      <w:color w:val="auto"/>
                      <w:kern w:val="0"/>
                      <w:sz w:val="21"/>
                      <w:szCs w:val="21"/>
                      <w:lang w:val="en-US" w:eastAsia="zh-CN" w:bidi="ar"/>
                    </w:rPr>
                    <w:t>保护区</w:t>
                  </w:r>
                  <w:r>
                    <w:rPr>
                      <w:rFonts w:hint="default" w:ascii="Times New Roman" w:hAnsi="Times New Roman" w:eastAsia="Times New Roman" w:cs="Times New Roman"/>
                      <w:color w:val="auto"/>
                      <w:sz w:val="21"/>
                      <w:szCs w:val="21"/>
                      <w:highlight w:val="none"/>
                      <w:lang w:val="zh-CN"/>
                    </w:rPr>
                    <w:t>。</w:t>
                  </w:r>
                </w:p>
              </w:tc>
              <w:tc>
                <w:tcPr>
                  <w:tcW w:w="961" w:type="dxa"/>
                  <w:noWrap w:val="0"/>
                  <w:vAlign w:val="center"/>
                </w:tcPr>
                <w:p w14:paraId="07786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66B27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43" w:type="dxa"/>
                  <w:noWrap w:val="0"/>
                  <w:vAlign w:val="center"/>
                </w:tcPr>
                <w:p w14:paraId="4F1E9C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第五条  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584" w:type="dxa"/>
                  <w:noWrap w:val="0"/>
                  <w:vAlign w:val="center"/>
                </w:tcPr>
                <w:p w14:paraId="1C7ACF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本项目</w:t>
                  </w:r>
                  <w:r>
                    <w:rPr>
                      <w:rFonts w:hint="default" w:ascii="Times New Roman" w:hAnsi="Times New Roman" w:eastAsia="宋体" w:cs="Times New Roman"/>
                      <w:color w:val="auto"/>
                      <w:sz w:val="21"/>
                      <w:szCs w:val="21"/>
                      <w:highlight w:val="none"/>
                      <w:lang w:val="en-US" w:eastAsia="zh-CN"/>
                    </w:rPr>
                    <w:t>位于</w:t>
                  </w:r>
                  <w:r>
                    <w:rPr>
                      <w:rFonts w:hint="eastAsia" w:cs="Times New Roman"/>
                      <w:color w:val="auto"/>
                      <w:sz w:val="21"/>
                      <w:szCs w:val="21"/>
                      <w:lang w:val="en-US" w:eastAsia="zh-CN"/>
                    </w:rPr>
                    <w:t>昆明市寻甸县功山镇梧桐村</w:t>
                  </w:r>
                  <w:r>
                    <w:rPr>
                      <w:rFonts w:hint="default" w:ascii="Times New Roman" w:hAnsi="Times New Roman" w:eastAsia="宋体" w:cs="Times New Roman"/>
                      <w:color w:val="auto"/>
                      <w:sz w:val="21"/>
                      <w:szCs w:val="21"/>
                      <w:highlight w:val="none"/>
                      <w:lang w:val="en-US" w:eastAsia="zh-CN"/>
                    </w:rPr>
                    <w:t>，不涉及水产种质资源保护区的岸线和河段范围；不涉及国家湿地公园的土地。</w:t>
                  </w:r>
                </w:p>
              </w:tc>
              <w:tc>
                <w:tcPr>
                  <w:tcW w:w="961" w:type="dxa"/>
                  <w:noWrap w:val="0"/>
                  <w:vAlign w:val="center"/>
                </w:tcPr>
                <w:p w14:paraId="2D073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222C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43" w:type="dxa"/>
                  <w:noWrap w:val="0"/>
                  <w:vAlign w:val="center"/>
                </w:tcPr>
                <w:p w14:paraId="7D2BA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第六条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Times New Roman" w:cs="Times New Roman"/>
                      <w:color w:val="auto"/>
                      <w:sz w:val="21"/>
                      <w:szCs w:val="21"/>
                      <w:highlight w:val="none"/>
                      <w:lang w:val="zh-CN"/>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584" w:type="dxa"/>
                  <w:noWrap w:val="0"/>
                  <w:vAlign w:val="center"/>
                </w:tcPr>
                <w:p w14:paraId="02F5FC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本项目为原址改扩建项目，进行安全隐患改造，拆除古老油罐及油气回收系统，拟建新的双层罐及油气回收系统，能更好的控制污染途径。且本项目已取得</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昆明市商务局关于对中国石化销售股份有限公司云南昆明寻甸梧桐加油站进行原址改造的批复</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昆商贸〔2024〕6号</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，及寻甸回族彝族自治县国土资源局于2006年11月20日出具的《中国石化集团资产经营管理有限公司云南石油分公司土地证书-寻国用（2006）第415号—NO004255367》（附件2）。</w:t>
                  </w:r>
                </w:p>
              </w:tc>
              <w:tc>
                <w:tcPr>
                  <w:tcW w:w="961" w:type="dxa"/>
                  <w:noWrap w:val="0"/>
                  <w:vAlign w:val="center"/>
                </w:tcPr>
                <w:p w14:paraId="411A5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不冲突</w:t>
                  </w:r>
                </w:p>
              </w:tc>
            </w:tr>
            <w:tr w14:paraId="15DD6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2" w:hRule="atLeast"/>
                <w:jc w:val="center"/>
              </w:trPr>
              <w:tc>
                <w:tcPr>
                  <w:tcW w:w="4943" w:type="dxa"/>
                  <w:noWrap w:val="0"/>
                  <w:vAlign w:val="center"/>
                </w:tcPr>
                <w:p w14:paraId="01F0C3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第七条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Times New Roman" w:cs="Times New Roman"/>
                      <w:color w:val="auto"/>
                      <w:sz w:val="21"/>
                      <w:szCs w:val="21"/>
                      <w:highlight w:val="none"/>
                      <w:lang w:val="zh-CN"/>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584" w:type="dxa"/>
                  <w:noWrap w:val="0"/>
                  <w:vAlign w:val="center"/>
                </w:tcPr>
                <w:p w14:paraId="5FCF0D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本项目为加油站建设项目，不涉及</w:t>
                  </w:r>
                  <w:r>
                    <w:rPr>
                      <w:rFonts w:hint="default" w:ascii="Times New Roman" w:hAnsi="Times New Roman" w:eastAsia="Times New Roman" w:cs="Times New Roman"/>
                      <w:color w:val="auto"/>
                      <w:sz w:val="21"/>
                      <w:szCs w:val="21"/>
                      <w:highlight w:val="none"/>
                      <w:lang w:val="zh-CN"/>
                    </w:rPr>
                    <w:t>过江基础设施项目；</w:t>
                  </w:r>
                  <w:r>
                    <w:rPr>
                      <w:rFonts w:hint="default" w:ascii="Times New Roman" w:hAnsi="Times New Roman" w:eastAsia="宋体" w:cs="Times New Roman"/>
                      <w:color w:val="auto"/>
                      <w:sz w:val="21"/>
                      <w:szCs w:val="21"/>
                      <w:highlight w:val="none"/>
                      <w:lang w:val="en-US" w:eastAsia="zh-CN"/>
                    </w:rPr>
                    <w:t>本项目污水全部</w:t>
                  </w:r>
                  <w:r>
                    <w:rPr>
                      <w:rFonts w:hint="eastAsia" w:cs="Times New Roman"/>
                      <w:color w:val="auto"/>
                      <w:sz w:val="21"/>
                      <w:szCs w:val="21"/>
                      <w:highlight w:val="none"/>
                      <w:lang w:val="en-US" w:eastAsia="zh-CN"/>
                    </w:rPr>
                    <w:t>委托寻甸绿运垃圾清运有限公司清运，</w:t>
                  </w:r>
                  <w:r>
                    <w:rPr>
                      <w:rFonts w:hint="default" w:ascii="Times New Roman" w:hAnsi="Times New Roman" w:eastAsia="宋体" w:cs="Times New Roman"/>
                      <w:color w:val="auto"/>
                      <w:sz w:val="21"/>
                      <w:szCs w:val="21"/>
                      <w:highlight w:val="none"/>
                      <w:lang w:val="en-US" w:eastAsia="zh-CN"/>
                    </w:rPr>
                    <w:t>不外排。</w:t>
                  </w:r>
                </w:p>
              </w:tc>
              <w:tc>
                <w:tcPr>
                  <w:tcW w:w="961" w:type="dxa"/>
                  <w:noWrap w:val="0"/>
                  <w:vAlign w:val="center"/>
                </w:tcPr>
                <w:p w14:paraId="00EE6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63BC6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2" w:hRule="atLeast"/>
                <w:jc w:val="center"/>
              </w:trPr>
              <w:tc>
                <w:tcPr>
                  <w:tcW w:w="4943" w:type="dxa"/>
                  <w:noWrap w:val="0"/>
                  <w:vAlign w:val="center"/>
                </w:tcPr>
                <w:p w14:paraId="03D64C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第八条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Times New Roman" w:cs="Times New Roman"/>
                      <w:color w:val="auto"/>
                      <w:sz w:val="21"/>
                      <w:szCs w:val="21"/>
                      <w:highlight w:val="none"/>
                      <w:lang w:val="zh-CN"/>
                    </w:rPr>
                    <w:t>禁止在金沙江干流、长江一级支流、水生生物保护区和长江流域禁捕水域开展天然渔业资源生产性捕捞。</w:t>
                  </w:r>
                </w:p>
              </w:tc>
              <w:tc>
                <w:tcPr>
                  <w:tcW w:w="2584" w:type="dxa"/>
                  <w:noWrap w:val="0"/>
                  <w:vAlign w:val="center"/>
                </w:tcPr>
                <w:p w14:paraId="6A85AB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本项目为加油站建设项目，不涉及</w:t>
                  </w:r>
                  <w:r>
                    <w:rPr>
                      <w:rFonts w:hint="default" w:ascii="Times New Roman" w:hAnsi="Times New Roman" w:eastAsia="Times New Roman" w:cs="Times New Roman"/>
                      <w:color w:val="auto"/>
                      <w:sz w:val="21"/>
                      <w:szCs w:val="21"/>
                      <w:highlight w:val="none"/>
                      <w:lang w:val="zh-CN"/>
                    </w:rPr>
                    <w:t>天然渔业资源生产性捕捞。</w:t>
                  </w:r>
                </w:p>
              </w:tc>
              <w:tc>
                <w:tcPr>
                  <w:tcW w:w="961" w:type="dxa"/>
                  <w:noWrap w:val="0"/>
                  <w:vAlign w:val="center"/>
                </w:tcPr>
                <w:p w14:paraId="318C4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63D18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43" w:type="dxa"/>
                  <w:noWrap w:val="0"/>
                  <w:vAlign w:val="center"/>
                </w:tcPr>
                <w:p w14:paraId="260FD4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lang w:val="zh-CN"/>
                    </w:rPr>
                    <w:t>第九条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Times New Roman" w:cs="Times New Roman"/>
                      <w:color w:val="auto"/>
                      <w:sz w:val="21"/>
                      <w:szCs w:val="21"/>
                      <w:highlight w:val="none"/>
                      <w:lang w:val="zh-CN"/>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584" w:type="dxa"/>
                  <w:noWrap w:val="0"/>
                  <w:vAlign w:val="center"/>
                </w:tcPr>
                <w:p w14:paraId="6DB6B4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本项目为加油站建设项目，不属于</w:t>
                  </w:r>
                  <w:r>
                    <w:rPr>
                      <w:rFonts w:hint="default" w:ascii="Times New Roman" w:hAnsi="Times New Roman" w:eastAsia="Times New Roman" w:cs="Times New Roman"/>
                      <w:color w:val="auto"/>
                      <w:sz w:val="21"/>
                      <w:szCs w:val="21"/>
                      <w:highlight w:val="none"/>
                      <w:lang w:val="zh-CN"/>
                    </w:rPr>
                    <w:t>化工项目、尾矿库、冶炼渣库和磷石膏库</w:t>
                  </w:r>
                  <w:r>
                    <w:rPr>
                      <w:rFonts w:hint="default" w:ascii="Times New Roman" w:hAnsi="Times New Roman" w:eastAsia="宋体" w:cs="Times New Roman"/>
                      <w:color w:val="auto"/>
                      <w:sz w:val="21"/>
                      <w:szCs w:val="21"/>
                      <w:highlight w:val="none"/>
                      <w:lang w:val="en-US" w:eastAsia="zh-CN"/>
                    </w:rPr>
                    <w:t>项目。</w:t>
                  </w:r>
                </w:p>
              </w:tc>
              <w:tc>
                <w:tcPr>
                  <w:tcW w:w="961" w:type="dxa"/>
                  <w:noWrap w:val="0"/>
                  <w:vAlign w:val="center"/>
                </w:tcPr>
                <w:p w14:paraId="2419D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56114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jc w:val="center"/>
              </w:trPr>
              <w:tc>
                <w:tcPr>
                  <w:tcW w:w="4943" w:type="dxa"/>
                  <w:noWrap w:val="0"/>
                  <w:vAlign w:val="center"/>
                </w:tcPr>
                <w:p w14:paraId="120B61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Times New Roman" w:cs="Times New Roman"/>
                      <w:color w:val="auto"/>
                      <w:sz w:val="21"/>
                      <w:szCs w:val="21"/>
                      <w:highlight w:val="none"/>
                      <w:lang w:val="zh-CN"/>
                    </w:rPr>
                  </w:pPr>
                  <w:r>
                    <w:rPr>
                      <w:rFonts w:hint="default" w:ascii="Times New Roman" w:hAnsi="Times New Roman" w:eastAsia="Times New Roman" w:cs="Times New Roman"/>
                      <w:color w:val="auto"/>
                      <w:sz w:val="21"/>
                      <w:szCs w:val="21"/>
                      <w:highlight w:val="none"/>
                      <w:lang w:val="zh-CN"/>
                    </w:rPr>
                    <w:t>第十条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Times New Roman" w:cs="Times New Roman"/>
                      <w:color w:val="auto"/>
                      <w:sz w:val="21"/>
                      <w:szCs w:val="21"/>
                      <w:highlight w:val="none"/>
                      <w:lang w:val="zh-CN"/>
                    </w:rPr>
                    <w:t>禁止在合规园区外新建、扩建钢铁、石化、化工、焦化、建材、有色、制浆造纸行业中的高污染项目。</w:t>
                  </w:r>
                </w:p>
                <w:p w14:paraId="7CD3ED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2584" w:type="dxa"/>
                  <w:noWrap w:val="0"/>
                  <w:vAlign w:val="center"/>
                </w:tcPr>
                <w:p w14:paraId="008D4A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本项目为加油站建设项目，不属于</w:t>
                  </w:r>
                  <w:r>
                    <w:rPr>
                      <w:rFonts w:hint="default" w:ascii="Times New Roman" w:hAnsi="Times New Roman" w:eastAsia="Times New Roman" w:cs="Times New Roman"/>
                      <w:color w:val="auto"/>
                      <w:sz w:val="21"/>
                      <w:szCs w:val="21"/>
                      <w:highlight w:val="none"/>
                      <w:lang w:val="zh-CN"/>
                    </w:rPr>
                    <w:t>钢铁、石化、化工、焦化、建材、有色、制浆造纸行业中的高污染项目。</w:t>
                  </w:r>
                </w:p>
              </w:tc>
              <w:tc>
                <w:tcPr>
                  <w:tcW w:w="961" w:type="dxa"/>
                  <w:noWrap w:val="0"/>
                  <w:vAlign w:val="center"/>
                </w:tcPr>
                <w:p w14:paraId="04884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47C5C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9" w:hRule="atLeast"/>
                <w:jc w:val="center"/>
              </w:trPr>
              <w:tc>
                <w:tcPr>
                  <w:tcW w:w="4943" w:type="dxa"/>
                  <w:noWrap w:val="0"/>
                  <w:vAlign w:val="center"/>
                </w:tcPr>
                <w:p w14:paraId="6A67C0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第十一条  禁止新建、扩建不符合国家石化、现代煤化工等产业布局规划的项目。禁止列入《云南省城镇人口密集区危险化学品生产企业搬迁改造名单》的搬迁改造企业在原址新建、扩建危险化学品生产项目。</w:t>
                  </w:r>
                </w:p>
              </w:tc>
              <w:tc>
                <w:tcPr>
                  <w:tcW w:w="2584" w:type="dxa"/>
                  <w:noWrap w:val="0"/>
                  <w:vAlign w:val="center"/>
                </w:tcPr>
                <w:p w14:paraId="13DFC8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本项目不涉及石化、煤化工业，项目不属于</w:t>
                  </w:r>
                  <w:r>
                    <w:rPr>
                      <w:rFonts w:hint="default" w:ascii="Times New Roman" w:hAnsi="Times New Roman" w:eastAsia="宋体" w:cs="Times New Roman"/>
                      <w:color w:val="auto"/>
                      <w:sz w:val="21"/>
                      <w:szCs w:val="21"/>
                      <w:highlight w:val="none"/>
                      <w:lang w:val="en-US" w:eastAsia="zh-CN"/>
                    </w:rPr>
                    <w:t>《云南省城镇人口密集区危险化学品生产企业搬迁改造名单》的搬迁改造企业。</w:t>
                  </w:r>
                </w:p>
              </w:tc>
              <w:tc>
                <w:tcPr>
                  <w:tcW w:w="961" w:type="dxa"/>
                  <w:noWrap w:val="0"/>
                  <w:vAlign w:val="center"/>
                </w:tcPr>
                <w:p w14:paraId="32E89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3367C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0" w:hRule="atLeast"/>
                <w:jc w:val="center"/>
              </w:trPr>
              <w:tc>
                <w:tcPr>
                  <w:tcW w:w="4943" w:type="dxa"/>
                  <w:noWrap w:val="0"/>
                  <w:vAlign w:val="center"/>
                </w:tcPr>
                <w:p w14:paraId="391EED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第十二条  禁止新建、扩建法律法规和相关政策明合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584" w:type="dxa"/>
                  <w:noWrap w:val="0"/>
                  <w:vAlign w:val="center"/>
                </w:tcPr>
                <w:p w14:paraId="0FB303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本项目为加油站建设项目</w:t>
                  </w:r>
                  <w:r>
                    <w:rPr>
                      <w:rFonts w:hint="default" w:ascii="Times New Roman" w:hAnsi="Times New Roman" w:eastAsia="Times New Roman" w:cs="Times New Roman"/>
                      <w:color w:val="auto"/>
                      <w:sz w:val="21"/>
                      <w:szCs w:val="21"/>
                      <w:highlight w:val="none"/>
                      <w:lang w:val="zh-CN"/>
                    </w:rPr>
                    <w:t>，不属于《产业结构调整指导目录（</w:t>
                  </w:r>
                  <w:r>
                    <w:rPr>
                      <w:rFonts w:hint="default" w:ascii="Times New Roman" w:hAnsi="Times New Roman" w:eastAsia="宋体" w:cs="Times New Roman"/>
                      <w:color w:val="auto"/>
                      <w:sz w:val="21"/>
                      <w:szCs w:val="21"/>
                      <w:highlight w:val="none"/>
                      <w:lang w:val="en-US" w:eastAsia="zh-CN"/>
                    </w:rPr>
                    <w:t>2024</w:t>
                  </w:r>
                  <w:r>
                    <w:rPr>
                      <w:rFonts w:hint="default" w:ascii="Times New Roman" w:hAnsi="Times New Roman" w:eastAsia="Times New Roman" w:cs="Times New Roman"/>
                      <w:color w:val="auto"/>
                      <w:sz w:val="21"/>
                      <w:szCs w:val="21"/>
                      <w:highlight w:val="none"/>
                      <w:lang w:val="zh-CN"/>
                    </w:rPr>
                    <w:t>年本）</w:t>
                  </w:r>
                  <w:r>
                    <w:rPr>
                      <w:rFonts w:hint="eastAsia" w:eastAsia="Times New Roman" w:cs="Times New Roman"/>
                      <w:color w:val="auto"/>
                      <w:sz w:val="21"/>
                      <w:szCs w:val="21"/>
                      <w:highlight w:val="none"/>
                      <w:lang w:val="zh-CN"/>
                    </w:rPr>
                    <w:t>中</w:t>
                  </w:r>
                  <w:r>
                    <w:rPr>
                      <w:rFonts w:hint="default" w:ascii="Times New Roman" w:hAnsi="Times New Roman" w:eastAsia="Times New Roman" w:cs="Times New Roman"/>
                      <w:color w:val="auto"/>
                      <w:sz w:val="21"/>
                      <w:szCs w:val="21"/>
                      <w:highlight w:val="none"/>
                      <w:lang w:val="zh-CN"/>
                    </w:rPr>
                    <w:t>淘汰类或限制类项目，不属于法律法规和相关政策明令禁止的落后产能项目。不属于国家产能置换要求的严重过剩产能行业的项目，</w:t>
                  </w:r>
                  <w:r>
                    <w:rPr>
                      <w:rFonts w:hint="default" w:ascii="Times New Roman" w:hAnsi="Times New Roman" w:eastAsia="宋体" w:cs="Times New Roman"/>
                      <w:color w:val="auto"/>
                      <w:sz w:val="21"/>
                      <w:szCs w:val="21"/>
                      <w:highlight w:val="none"/>
                      <w:lang w:val="en-US" w:eastAsia="zh-CN"/>
                    </w:rPr>
                    <w:t>不属于高耗能、高排放项目。</w:t>
                  </w:r>
                </w:p>
              </w:tc>
              <w:tc>
                <w:tcPr>
                  <w:tcW w:w="961" w:type="dxa"/>
                  <w:noWrap w:val="0"/>
                  <w:vAlign w:val="center"/>
                </w:tcPr>
                <w:p w14:paraId="30B1E6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bl>
          <w:p w14:paraId="6D931B6C">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cs="Times New Roman"/>
                <w:color w:val="auto"/>
                <w:sz w:val="24"/>
                <w:highlight w:val="none"/>
                <w:lang w:eastAsia="zh-CN"/>
              </w:rPr>
              <w:t>综上，本项目建设符合</w:t>
            </w:r>
            <w:r>
              <w:rPr>
                <w:rFonts w:hint="default" w:ascii="Times New Roman" w:hAnsi="Times New Roman" w:eastAsia="宋体" w:cs="Times New Roman"/>
                <w:b w:val="0"/>
                <w:bCs/>
                <w:color w:val="auto"/>
                <w:sz w:val="24"/>
                <w:lang w:val="en-US" w:eastAsia="zh-CN"/>
              </w:rPr>
              <w:t>《云南省长江经济带发展负面清单指南实施细则》（试行</w:t>
            </w:r>
            <w:r>
              <w:rPr>
                <w:rFonts w:hint="default" w:ascii="Times New Roman" w:hAnsi="Times New Roman" w:eastAsia="宋体" w:cs="Times New Roman"/>
                <w:b w:val="0"/>
                <w:bCs/>
                <w:color w:val="auto"/>
                <w:kern w:val="0"/>
                <w:highlight w:val="none"/>
              </w:rPr>
              <w:t>，</w:t>
            </w:r>
            <w:r>
              <w:rPr>
                <w:rFonts w:hint="default" w:ascii="Times New Roman" w:hAnsi="Times New Roman" w:eastAsia="宋体" w:cs="Times New Roman"/>
                <w:b w:val="0"/>
                <w:bCs/>
                <w:color w:val="auto"/>
                <w:kern w:val="0"/>
                <w:sz w:val="24"/>
                <w:szCs w:val="32"/>
                <w:highlight w:val="none"/>
              </w:rPr>
              <w:t>2022年版</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highlight w:val="none"/>
                <w:lang w:eastAsia="zh-CN"/>
              </w:rPr>
              <w:t>相关要求。</w:t>
            </w:r>
          </w:p>
          <w:p w14:paraId="7CA963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kern w:val="1"/>
                <w:sz w:val="24"/>
                <w:szCs w:val="24"/>
                <w:lang w:val="en-US" w:eastAsia="zh-CN"/>
              </w:rPr>
            </w:pPr>
            <w:r>
              <w:rPr>
                <w:rFonts w:hint="default" w:ascii="Times New Roman" w:hAnsi="Times New Roman" w:cs="Times New Roman"/>
                <w:b/>
                <w:color w:val="auto"/>
                <w:kern w:val="1"/>
                <w:sz w:val="24"/>
                <w:szCs w:val="24"/>
                <w:lang w:val="en-US" w:eastAsia="zh-CN"/>
              </w:rPr>
              <w:t>1</w:t>
            </w:r>
            <w:r>
              <w:rPr>
                <w:rFonts w:hint="eastAsia" w:cs="Times New Roman"/>
                <w:b/>
                <w:color w:val="auto"/>
                <w:kern w:val="1"/>
                <w:sz w:val="24"/>
                <w:szCs w:val="24"/>
                <w:lang w:val="en-US" w:eastAsia="zh-CN"/>
              </w:rPr>
              <w:t>0</w:t>
            </w:r>
            <w:r>
              <w:rPr>
                <w:rFonts w:hint="default" w:ascii="Times New Roman" w:hAnsi="Times New Roman" w:cs="Times New Roman"/>
                <w:b/>
                <w:color w:val="auto"/>
                <w:kern w:val="1"/>
                <w:sz w:val="24"/>
                <w:szCs w:val="24"/>
                <w:lang w:val="en-US" w:eastAsia="zh-CN"/>
              </w:rPr>
              <w:t>、与《云南省滇池保护条例》符合性分析</w:t>
            </w:r>
          </w:p>
          <w:p w14:paraId="2D903D25">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《云南省滇池保护条例》已由云南省第十四届人民代表大会常务委员会第六次会议于2023年11月30日审议通过，现予公布，自2024年1月1日起施行。分为生态保护核心区、生态保护缓冲区和绿色发展区。</w:t>
            </w:r>
          </w:p>
          <w:p w14:paraId="760A5BA5">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（1）生态保护核心区是指湖滨生态红线以内的水域和陆域。</w:t>
            </w:r>
          </w:p>
          <w:p w14:paraId="6B7D9140">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（2）生态保护缓冲区是指湖滨生态红线与湖泊生态黄线之间的区域。</w:t>
            </w:r>
          </w:p>
          <w:p w14:paraId="6792DE57">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（3）绿色发展区是指湖泊生态黄线与湖泊流域分水线之间的区域。</w:t>
            </w:r>
          </w:p>
          <w:p w14:paraId="15D87F25">
            <w:pPr>
              <w:spacing w:line="360" w:lineRule="auto"/>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eastAsia="宋体" w:cs="Times New Roman"/>
                <w:color w:val="auto"/>
                <w:sz w:val="24"/>
                <w:szCs w:val="24"/>
                <w:lang w:val="en-US" w:eastAsia="zh-CN"/>
              </w:rPr>
              <w:t>本项目附近最近地表水为西侧90m处的功山河，流向响水河，进入大白河，经小江汇入金沙江</w:t>
            </w:r>
            <w:r>
              <w:rPr>
                <w:rFonts w:hint="eastAsia" w:cs="Times New Roman"/>
                <w:color w:val="auto"/>
                <w:sz w:val="24"/>
                <w:szCs w:val="24"/>
                <w:lang w:val="en-US" w:eastAsia="zh-CN"/>
              </w:rPr>
              <w:t>，不汇入滇</w:t>
            </w:r>
            <w:r>
              <w:rPr>
                <w:rFonts w:hint="eastAsia" w:ascii="Times New Roman" w:hAnsi="Times New Roman" w:cs="Times New Roman"/>
                <w:color w:val="auto"/>
                <w:sz w:val="24"/>
                <w:szCs w:val="22"/>
                <w:lang w:val="en-US" w:eastAsia="zh-CN"/>
              </w:rPr>
              <w:t>池</w:t>
            </w:r>
            <w:r>
              <w:rPr>
                <w:rFonts w:hint="default" w:ascii="Times New Roman" w:hAnsi="Times New Roman" w:cs="Times New Roman"/>
                <w:color w:val="auto"/>
                <w:sz w:val="24"/>
                <w:szCs w:val="22"/>
                <w:lang w:val="en-US" w:eastAsia="zh-CN"/>
              </w:rPr>
              <w:t>。</w:t>
            </w:r>
            <w:r>
              <w:rPr>
                <w:rFonts w:hint="eastAsia" w:ascii="Times New Roman" w:hAnsi="Times New Roman" w:cs="Times New Roman"/>
                <w:color w:val="auto"/>
                <w:sz w:val="24"/>
                <w:szCs w:val="22"/>
                <w:lang w:val="en-US" w:eastAsia="zh-CN"/>
              </w:rPr>
              <w:t>为</w:t>
            </w:r>
            <w:r>
              <w:rPr>
                <w:rFonts w:hint="default" w:ascii="Times New Roman" w:hAnsi="Times New Roman" w:cs="Times New Roman"/>
                <w:color w:val="auto"/>
                <w:sz w:val="24"/>
                <w:szCs w:val="22"/>
                <w:lang w:val="en-US" w:eastAsia="zh-CN"/>
              </w:rPr>
              <w:t>《云南省滇池保护条例》</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lang w:val="en-US" w:eastAsia="zh-CN"/>
              </w:rPr>
              <w:t>流域分水线之</w:t>
            </w:r>
            <w:r>
              <w:rPr>
                <w:rFonts w:hint="eastAsia" w:ascii="Times New Roman" w:hAnsi="Times New Roman" w:cs="Times New Roman"/>
                <w:color w:val="auto"/>
                <w:sz w:val="24"/>
                <w:szCs w:val="22"/>
                <w:lang w:val="en-US" w:eastAsia="zh-CN"/>
              </w:rPr>
              <w:t>外，不在</w:t>
            </w:r>
            <w:r>
              <w:rPr>
                <w:rFonts w:hint="default" w:ascii="Times New Roman" w:hAnsi="Times New Roman" w:cs="Times New Roman"/>
                <w:color w:val="auto"/>
                <w:sz w:val="24"/>
                <w:szCs w:val="22"/>
                <w:lang w:val="en-US" w:eastAsia="zh-CN"/>
              </w:rPr>
              <w:t>《云南省滇池保护条例》</w:t>
            </w:r>
            <w:r>
              <w:rPr>
                <w:rFonts w:hint="eastAsia" w:ascii="Times New Roman" w:hAnsi="Times New Roman" w:cs="Times New Roman"/>
                <w:color w:val="auto"/>
                <w:sz w:val="24"/>
                <w:szCs w:val="22"/>
                <w:lang w:val="en-US" w:eastAsia="zh-CN"/>
              </w:rPr>
              <w:t>中。</w:t>
            </w:r>
          </w:p>
          <w:p w14:paraId="66D0BAE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2"/>
                <w:lang w:val="en-US" w:eastAsia="zh-CN"/>
              </w:rPr>
              <w:t>项目的建设</w:t>
            </w:r>
            <w:r>
              <w:rPr>
                <w:rFonts w:hint="eastAsia" w:ascii="Times New Roman" w:hAnsi="Times New Roman" w:cs="Times New Roman"/>
                <w:color w:val="auto"/>
                <w:sz w:val="24"/>
                <w:szCs w:val="22"/>
                <w:lang w:val="en-US" w:eastAsia="zh-CN"/>
              </w:rPr>
              <w:t>与</w:t>
            </w:r>
            <w:r>
              <w:rPr>
                <w:rFonts w:hint="default" w:ascii="Times New Roman" w:hAnsi="Times New Roman" w:cs="Times New Roman"/>
                <w:color w:val="auto"/>
                <w:sz w:val="24"/>
                <w:szCs w:val="22"/>
                <w:lang w:val="en-US" w:eastAsia="zh-CN"/>
              </w:rPr>
              <w:t>《云南省滇池保护条例》的有关规定及要求</w:t>
            </w:r>
            <w:r>
              <w:rPr>
                <w:rFonts w:hint="eastAsia" w:cs="Times New Roman"/>
                <w:color w:val="auto"/>
                <w:sz w:val="24"/>
                <w:szCs w:val="24"/>
                <w:lang w:val="en-US" w:eastAsia="zh-CN"/>
              </w:rPr>
              <w:t>不冲突</w:t>
            </w:r>
            <w:r>
              <w:rPr>
                <w:rFonts w:hint="default" w:ascii="Times New Roman" w:hAnsi="Times New Roman" w:cs="Times New Roman"/>
                <w:color w:val="auto"/>
                <w:sz w:val="24"/>
                <w:szCs w:val="24"/>
              </w:rPr>
              <w:t>。</w:t>
            </w:r>
          </w:p>
          <w:p w14:paraId="005017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kern w:val="1"/>
                <w:sz w:val="24"/>
                <w:szCs w:val="24"/>
              </w:rPr>
            </w:pPr>
            <w:r>
              <w:rPr>
                <w:rFonts w:hint="default" w:ascii="Times New Roman" w:hAnsi="Times New Roman" w:cs="Times New Roman"/>
                <w:b/>
                <w:color w:val="auto"/>
                <w:kern w:val="1"/>
                <w:sz w:val="24"/>
                <w:szCs w:val="24"/>
                <w:lang w:val="en-US" w:eastAsia="zh-CN"/>
              </w:rPr>
              <w:t>1</w:t>
            </w:r>
            <w:r>
              <w:rPr>
                <w:rFonts w:hint="eastAsia" w:cs="Times New Roman"/>
                <w:b/>
                <w:color w:val="auto"/>
                <w:kern w:val="1"/>
                <w:sz w:val="24"/>
                <w:szCs w:val="24"/>
                <w:lang w:val="en-US" w:eastAsia="zh-CN"/>
              </w:rPr>
              <w:t>1</w:t>
            </w:r>
            <w:r>
              <w:rPr>
                <w:rFonts w:hint="default" w:ascii="Times New Roman" w:hAnsi="Times New Roman" w:cs="Times New Roman"/>
                <w:b/>
                <w:color w:val="auto"/>
                <w:kern w:val="1"/>
                <w:sz w:val="24"/>
                <w:szCs w:val="24"/>
                <w:lang w:val="en-US" w:eastAsia="zh-CN"/>
              </w:rPr>
              <w:t>、</w:t>
            </w:r>
            <w:r>
              <w:rPr>
                <w:rFonts w:hint="default" w:ascii="Times New Roman" w:hAnsi="Times New Roman" w:cs="Times New Roman"/>
                <w:b/>
                <w:color w:val="auto"/>
                <w:kern w:val="1"/>
                <w:sz w:val="24"/>
                <w:szCs w:val="24"/>
              </w:rPr>
              <w:t>安全距离符合性分析</w:t>
            </w:r>
          </w:p>
          <w:p w14:paraId="7F9D4088">
            <w:pPr>
              <w:spacing w:line="360" w:lineRule="auto"/>
              <w:ind w:firstLine="480" w:firstLineChars="200"/>
              <w:rPr>
                <w:rFonts w:hint="default" w:ascii="Times New Roman" w:hAnsi="Times New Roman" w:cs="Times New Roman"/>
                <w:b/>
                <w:color w:val="auto"/>
                <w:sz w:val="20"/>
                <w:szCs w:val="20"/>
              </w:rPr>
            </w:pPr>
            <w:r>
              <w:rPr>
                <w:rFonts w:hint="default" w:ascii="Times New Roman" w:hAnsi="Times New Roman" w:cs="Times New Roman"/>
                <w:color w:val="auto"/>
                <w:sz w:val="24"/>
                <w:szCs w:val="22"/>
              </w:rPr>
              <w:t>站点的选址首先应满足该区域的建设总体规划、环境保护和防火安全的要求，同时，由于加油站是储藏易燃品的场所，所以加油站有关设施与站外建、构筑物之间还应该满足安全距离。本项目属</w:t>
            </w:r>
            <w:r>
              <w:rPr>
                <w:rFonts w:hint="default" w:ascii="Times New Roman" w:hAnsi="Times New Roman" w:cs="Times New Roman"/>
                <w:color w:val="auto"/>
                <w:sz w:val="24"/>
                <w:szCs w:val="22"/>
                <w:lang w:val="en-US" w:eastAsia="zh-CN"/>
              </w:rPr>
              <w:t>三</w:t>
            </w:r>
            <w:r>
              <w:rPr>
                <w:rFonts w:hint="default" w:ascii="Times New Roman" w:hAnsi="Times New Roman" w:cs="Times New Roman"/>
                <w:color w:val="auto"/>
                <w:sz w:val="24"/>
                <w:szCs w:val="22"/>
              </w:rPr>
              <w:t>级加油站，选址与设计规范对比情况见表</w:t>
            </w:r>
            <w:r>
              <w:rPr>
                <w:rFonts w:hint="default" w:ascii="Times New Roman" w:hAnsi="Times New Roman" w:cs="Times New Roman"/>
                <w:color w:val="auto"/>
                <w:sz w:val="24"/>
                <w:szCs w:val="22"/>
                <w:lang w:val="en-US" w:eastAsia="zh-CN"/>
              </w:rPr>
              <w:t>1-</w:t>
            </w:r>
            <w:r>
              <w:rPr>
                <w:rFonts w:hint="eastAsia" w:cs="Times New Roman"/>
                <w:color w:val="auto"/>
                <w:sz w:val="24"/>
                <w:szCs w:val="22"/>
                <w:lang w:val="en-US" w:eastAsia="zh-CN"/>
              </w:rPr>
              <w:t>9</w:t>
            </w:r>
            <w:r>
              <w:rPr>
                <w:rFonts w:hint="default" w:ascii="Times New Roman" w:hAnsi="Times New Roman" w:cs="Times New Roman"/>
                <w:color w:val="auto"/>
                <w:sz w:val="24"/>
                <w:szCs w:val="22"/>
              </w:rPr>
              <w:t>。站内油罐、加油机和通气管管口与站外建、构筑物</w:t>
            </w:r>
            <w:r>
              <w:rPr>
                <w:rFonts w:hint="default" w:ascii="Times New Roman" w:hAnsi="Times New Roman" w:cs="Times New Roman"/>
                <w:bCs/>
                <w:color w:val="auto"/>
                <w:sz w:val="24"/>
                <w:szCs w:val="22"/>
              </w:rPr>
              <w:t>的防火距离</w:t>
            </w:r>
            <w:r>
              <w:rPr>
                <w:rFonts w:hint="default" w:ascii="Times New Roman" w:hAnsi="Times New Roman" w:cs="Times New Roman"/>
                <w:color w:val="auto"/>
                <w:sz w:val="24"/>
                <w:szCs w:val="22"/>
              </w:rPr>
              <w:t>，</w:t>
            </w:r>
            <w:r>
              <w:rPr>
                <w:rFonts w:hint="default" w:ascii="Times New Roman" w:hAnsi="Times New Roman" w:cs="Times New Roman"/>
                <w:color w:val="auto"/>
                <w:kern w:val="1"/>
                <w:sz w:val="24"/>
                <w:szCs w:val="22"/>
              </w:rPr>
              <w:t>应符合</w:t>
            </w:r>
            <w:r>
              <w:rPr>
                <w:rFonts w:hint="default" w:ascii="Times New Roman" w:hAnsi="Times New Roman" w:cs="Times New Roman"/>
                <w:color w:val="auto"/>
                <w:sz w:val="24"/>
                <w:szCs w:val="32"/>
              </w:rPr>
              <w:t>《汽车加油加气加氢站技术标准》（GB50156-2021）</w:t>
            </w:r>
            <w:r>
              <w:rPr>
                <w:rFonts w:hint="default" w:ascii="Times New Roman" w:hAnsi="Times New Roman" w:cs="Times New Roman"/>
                <w:color w:val="auto"/>
                <w:kern w:val="1"/>
                <w:sz w:val="24"/>
                <w:szCs w:val="22"/>
              </w:rPr>
              <w:t>的安全距离要求</w:t>
            </w:r>
            <w:r>
              <w:rPr>
                <w:rFonts w:hint="default" w:ascii="Times New Roman" w:hAnsi="Times New Roman" w:cs="Times New Roman"/>
                <w:color w:val="auto"/>
                <w:sz w:val="24"/>
                <w:szCs w:val="22"/>
              </w:rPr>
              <w:t>，本项目油罐、加油机和通气管管口与站外建、构筑物的防火距离与设计规范对比情况见表</w:t>
            </w:r>
            <w:r>
              <w:rPr>
                <w:rFonts w:hint="default"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1</w:t>
            </w:r>
            <w:r>
              <w:rPr>
                <w:rFonts w:hint="eastAsia" w:cs="Times New Roman"/>
                <w:color w:val="auto"/>
                <w:sz w:val="24"/>
                <w:szCs w:val="22"/>
                <w:lang w:val="en-US" w:eastAsia="zh-CN"/>
              </w:rPr>
              <w:t>0</w:t>
            </w:r>
            <w:r>
              <w:rPr>
                <w:rFonts w:hint="default" w:ascii="Times New Roman" w:hAnsi="Times New Roman" w:cs="Times New Roman"/>
                <w:color w:val="auto"/>
                <w:sz w:val="24"/>
                <w:szCs w:val="22"/>
                <w:lang w:val="en-US" w:eastAsia="zh-CN"/>
              </w:rPr>
              <w:t>，1-1</w:t>
            </w:r>
            <w:r>
              <w:rPr>
                <w:rFonts w:hint="eastAsia" w:cs="Times New Roman"/>
                <w:color w:val="auto"/>
                <w:sz w:val="24"/>
                <w:szCs w:val="22"/>
                <w:lang w:val="en-US" w:eastAsia="zh-CN"/>
              </w:rPr>
              <w:t>1</w:t>
            </w:r>
            <w:r>
              <w:rPr>
                <w:rFonts w:hint="default" w:ascii="Times New Roman" w:hAnsi="Times New Roman" w:cs="Times New Roman"/>
                <w:color w:val="auto"/>
                <w:sz w:val="24"/>
                <w:szCs w:val="22"/>
              </w:rPr>
              <w:t>所示</w:t>
            </w:r>
            <w:r>
              <w:rPr>
                <w:rFonts w:hint="default" w:ascii="Times New Roman" w:hAnsi="Times New Roman" w:cs="Times New Roman"/>
                <w:color w:val="auto"/>
                <w:szCs w:val="20"/>
              </w:rPr>
              <w:t>。</w:t>
            </w:r>
          </w:p>
          <w:p w14:paraId="08C8E719">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9</w:t>
            </w:r>
            <w:r>
              <w:rPr>
                <w:rFonts w:hint="default" w:ascii="Times New Roman" w:hAnsi="Times New Roman" w:cs="Times New Roman"/>
                <w:b/>
                <w:color w:val="auto"/>
                <w:sz w:val="21"/>
                <w:szCs w:val="21"/>
              </w:rPr>
              <w:t xml:space="preserve"> 本项目选址与标准对比情况</w:t>
            </w:r>
          </w:p>
          <w:tbl>
            <w:tblPr>
              <w:tblStyle w:val="27"/>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651"/>
              <w:gridCol w:w="3983"/>
              <w:gridCol w:w="1101"/>
            </w:tblGrid>
            <w:tr w14:paraId="31B7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688" w:type="dxa"/>
                  <w:noWrap w:val="0"/>
                  <w:vAlign w:val="center"/>
                </w:tcPr>
                <w:p w14:paraId="2A1615B8">
                  <w:pPr>
                    <w:spacing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2651" w:type="dxa"/>
                  <w:noWrap w:val="0"/>
                  <w:vAlign w:val="center"/>
                </w:tcPr>
                <w:p w14:paraId="42298875">
                  <w:pPr>
                    <w:spacing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标准要求</w:t>
                  </w:r>
                </w:p>
              </w:tc>
              <w:tc>
                <w:tcPr>
                  <w:tcW w:w="3983" w:type="dxa"/>
                  <w:noWrap w:val="0"/>
                  <w:vAlign w:val="center"/>
                </w:tcPr>
                <w:p w14:paraId="4B6D8312">
                  <w:pPr>
                    <w:spacing w:line="240" w:lineRule="auto"/>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本项目设计情况</w:t>
                  </w:r>
                </w:p>
              </w:tc>
              <w:tc>
                <w:tcPr>
                  <w:tcW w:w="1101" w:type="dxa"/>
                  <w:noWrap w:val="0"/>
                  <w:vAlign w:val="center"/>
                </w:tcPr>
                <w:p w14:paraId="2BF26E06">
                  <w:pPr>
                    <w:adjustRightInd w:val="0"/>
                    <w:spacing w:line="240" w:lineRule="auto"/>
                    <w:jc w:val="center"/>
                    <w:textAlignment w:val="baseline"/>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符合情况</w:t>
                  </w:r>
                </w:p>
              </w:tc>
            </w:tr>
            <w:tr w14:paraId="49F8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noWrap w:val="0"/>
                  <w:vAlign w:val="center"/>
                </w:tcPr>
                <w:p w14:paraId="6DEC56D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651" w:type="dxa"/>
                  <w:noWrap w:val="0"/>
                  <w:vAlign w:val="center"/>
                </w:tcPr>
                <w:p w14:paraId="0C2130B6">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站址应选在交通便利的地方。</w:t>
                  </w:r>
                </w:p>
              </w:tc>
              <w:tc>
                <w:tcPr>
                  <w:tcW w:w="3983" w:type="dxa"/>
                  <w:noWrap w:val="0"/>
                  <w:vAlign w:val="center"/>
                </w:tcPr>
                <w:p w14:paraId="22FADB1D">
                  <w:pPr>
                    <w:spacing w:line="240" w:lineRule="auto"/>
                    <w:jc w:val="both"/>
                    <w:rPr>
                      <w:rFonts w:hint="default" w:ascii="Times New Roman" w:hAnsi="Times New Roman" w:cs="Times New Roman"/>
                      <w:color w:val="auto"/>
                      <w:sz w:val="21"/>
                      <w:szCs w:val="21"/>
                    </w:rPr>
                  </w:pPr>
                  <w:r>
                    <w:rPr>
                      <w:rFonts w:hint="eastAsia" w:cs="Times New Roman"/>
                      <w:color w:val="auto"/>
                      <w:sz w:val="21"/>
                      <w:szCs w:val="21"/>
                      <w:lang w:val="en-US" w:eastAsia="zh-CN"/>
                    </w:rPr>
                    <w:t>位于</w:t>
                  </w:r>
                  <w:r>
                    <w:rPr>
                      <w:rFonts w:hint="default" w:ascii="Times New Roman" w:hAnsi="Times New Roman" w:cs="Times New Roman"/>
                      <w:color w:val="auto"/>
                      <w:sz w:val="21"/>
                      <w:szCs w:val="21"/>
                    </w:rPr>
                    <w:t>云南省昆明市寻甸县功山镇梧桐村</w:t>
                  </w:r>
                  <w:r>
                    <w:rPr>
                      <w:rFonts w:hint="default" w:ascii="Times New Roman" w:hAnsi="Times New Roman" w:cs="Times New Roman"/>
                      <w:color w:val="auto"/>
                      <w:sz w:val="21"/>
                      <w:szCs w:val="21"/>
                      <w:lang w:eastAsia="zh-CN"/>
                    </w:rPr>
                    <w:t>，场地</w:t>
                  </w:r>
                  <w:r>
                    <w:rPr>
                      <w:rFonts w:hint="eastAsia" w:cs="Times New Roman"/>
                      <w:color w:val="auto"/>
                      <w:sz w:val="21"/>
                      <w:szCs w:val="21"/>
                      <w:lang w:val="en-US" w:eastAsia="zh-CN"/>
                    </w:rPr>
                    <w:t>西</w:t>
                  </w:r>
                  <w:r>
                    <w:rPr>
                      <w:rFonts w:hint="default" w:ascii="Times New Roman" w:hAnsi="Times New Roman" w:cs="Times New Roman"/>
                      <w:color w:val="auto"/>
                      <w:sz w:val="21"/>
                      <w:szCs w:val="21"/>
                      <w:lang w:eastAsia="zh-CN"/>
                    </w:rPr>
                    <w:t>侧为</w:t>
                  </w:r>
                  <w:r>
                    <w:rPr>
                      <w:rFonts w:hint="eastAsia" w:cs="Times New Roman"/>
                      <w:color w:val="auto"/>
                      <w:sz w:val="21"/>
                      <w:szCs w:val="21"/>
                      <w:lang w:val="en-US" w:eastAsia="zh-CN"/>
                    </w:rPr>
                    <w:t>G213国道</w:t>
                  </w:r>
                  <w:r>
                    <w:rPr>
                      <w:rFonts w:hint="default" w:ascii="Times New Roman" w:hAnsi="Times New Roman" w:cs="Times New Roman"/>
                      <w:color w:val="auto"/>
                      <w:sz w:val="21"/>
                      <w:szCs w:val="21"/>
                    </w:rPr>
                    <w:t>。</w:t>
                  </w:r>
                </w:p>
              </w:tc>
              <w:tc>
                <w:tcPr>
                  <w:tcW w:w="1101" w:type="dxa"/>
                  <w:noWrap w:val="0"/>
                  <w:vAlign w:val="center"/>
                </w:tcPr>
                <w:p w14:paraId="15E3069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6FB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noWrap w:val="0"/>
                  <w:vAlign w:val="center"/>
                </w:tcPr>
                <w:p w14:paraId="3E2CE04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651" w:type="dxa"/>
                  <w:noWrap w:val="0"/>
                  <w:vAlign w:val="center"/>
                </w:tcPr>
                <w:p w14:paraId="60480E7C">
                  <w:pPr>
                    <w:spacing w:line="240" w:lineRule="auto"/>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加油站的站址选择，应符合防火安全的要求</w:t>
                  </w:r>
                  <w:r>
                    <w:rPr>
                      <w:rFonts w:hint="eastAsia" w:cs="Times New Roman"/>
                      <w:color w:val="auto"/>
                      <w:sz w:val="21"/>
                      <w:szCs w:val="21"/>
                      <w:lang w:eastAsia="zh-CN"/>
                    </w:rPr>
                    <w:t>。</w:t>
                  </w:r>
                </w:p>
              </w:tc>
              <w:tc>
                <w:tcPr>
                  <w:tcW w:w="3983" w:type="dxa"/>
                  <w:noWrap w:val="0"/>
                  <w:vAlign w:val="center"/>
                </w:tcPr>
                <w:p w14:paraId="2E36730E">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加油站的站址已严格按照防火安全要求进行选址。</w:t>
                  </w:r>
                </w:p>
              </w:tc>
              <w:tc>
                <w:tcPr>
                  <w:tcW w:w="1101" w:type="dxa"/>
                  <w:noWrap w:val="0"/>
                  <w:vAlign w:val="center"/>
                </w:tcPr>
                <w:p w14:paraId="478DA54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7283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noWrap w:val="0"/>
                  <w:vAlign w:val="center"/>
                </w:tcPr>
                <w:p w14:paraId="48D01C31">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651" w:type="dxa"/>
                  <w:noWrap w:val="0"/>
                  <w:vAlign w:val="center"/>
                </w:tcPr>
                <w:p w14:paraId="44F7C1B8">
                  <w:pPr>
                    <w:spacing w:line="240" w:lineRule="auto"/>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在城市区内不应建一级加油站</w:t>
                  </w:r>
                  <w:r>
                    <w:rPr>
                      <w:rFonts w:hint="eastAsia" w:cs="Times New Roman"/>
                      <w:color w:val="auto"/>
                      <w:sz w:val="21"/>
                      <w:szCs w:val="21"/>
                      <w:lang w:eastAsia="zh-CN"/>
                    </w:rPr>
                    <w:t>。</w:t>
                  </w:r>
                </w:p>
              </w:tc>
              <w:tc>
                <w:tcPr>
                  <w:tcW w:w="3983" w:type="dxa"/>
                  <w:noWrap w:val="0"/>
                  <w:vAlign w:val="center"/>
                </w:tcPr>
                <w:p w14:paraId="13DC394E">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属于三级加油站。</w:t>
                  </w:r>
                </w:p>
              </w:tc>
              <w:tc>
                <w:tcPr>
                  <w:tcW w:w="1101" w:type="dxa"/>
                  <w:noWrap w:val="0"/>
                  <w:vAlign w:val="center"/>
                </w:tcPr>
                <w:p w14:paraId="2C9EF613">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F24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noWrap w:val="0"/>
                  <w:vAlign w:val="center"/>
                </w:tcPr>
                <w:p w14:paraId="685A031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651" w:type="dxa"/>
                  <w:noWrap w:val="0"/>
                  <w:vAlign w:val="center"/>
                </w:tcPr>
                <w:p w14:paraId="2F479418">
                  <w:pPr>
                    <w:spacing w:line="240" w:lineRule="auto"/>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城市建成区内的加油站，宜靠近城市道路，不宜选在干道的交叉路口附近</w:t>
                  </w:r>
                  <w:r>
                    <w:rPr>
                      <w:rFonts w:hint="eastAsia" w:cs="Times New Roman"/>
                      <w:color w:val="auto"/>
                      <w:sz w:val="21"/>
                      <w:szCs w:val="21"/>
                      <w:lang w:eastAsia="zh-CN"/>
                    </w:rPr>
                    <w:t>。</w:t>
                  </w:r>
                </w:p>
              </w:tc>
              <w:tc>
                <w:tcPr>
                  <w:tcW w:w="3983" w:type="dxa"/>
                  <w:noWrap w:val="0"/>
                  <w:vAlign w:val="center"/>
                </w:tcPr>
                <w:p w14:paraId="4D2F6BF8">
                  <w:pPr>
                    <w:spacing w:line="240" w:lineRule="auto"/>
                    <w:jc w:val="both"/>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位于云南省昆明市寻甸县功山镇梧桐村，</w:t>
                  </w:r>
                  <w:r>
                    <w:rPr>
                      <w:rFonts w:hint="default" w:ascii="Times New Roman" w:hAnsi="Times New Roman" w:cs="Times New Roman"/>
                      <w:color w:val="auto"/>
                      <w:sz w:val="21"/>
                      <w:szCs w:val="21"/>
                      <w:lang w:eastAsia="zh-CN"/>
                    </w:rPr>
                    <w:t>场地</w:t>
                  </w:r>
                  <w:r>
                    <w:rPr>
                      <w:rFonts w:hint="eastAsia" w:cs="Times New Roman"/>
                      <w:color w:val="auto"/>
                      <w:sz w:val="21"/>
                      <w:szCs w:val="21"/>
                      <w:lang w:val="en-US" w:eastAsia="zh-CN"/>
                    </w:rPr>
                    <w:t>西</w:t>
                  </w:r>
                  <w:r>
                    <w:rPr>
                      <w:rFonts w:hint="default" w:ascii="Times New Roman" w:hAnsi="Times New Roman" w:cs="Times New Roman"/>
                      <w:color w:val="auto"/>
                      <w:sz w:val="21"/>
                      <w:szCs w:val="21"/>
                      <w:lang w:eastAsia="zh-CN"/>
                    </w:rPr>
                    <w:t>侧</w:t>
                  </w:r>
                  <w:r>
                    <w:rPr>
                      <w:rFonts w:hint="eastAsia" w:cs="Times New Roman"/>
                      <w:color w:val="auto"/>
                      <w:sz w:val="21"/>
                      <w:szCs w:val="21"/>
                      <w:lang w:val="en-US" w:eastAsia="zh-CN"/>
                    </w:rPr>
                    <w:t>为G213国道</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无其余干道，</w:t>
                  </w:r>
                  <w:r>
                    <w:rPr>
                      <w:rFonts w:hint="default" w:ascii="Times New Roman" w:hAnsi="Times New Roman" w:cs="Times New Roman"/>
                      <w:color w:val="auto"/>
                      <w:sz w:val="21"/>
                      <w:szCs w:val="21"/>
                    </w:rPr>
                    <w:t>不在干道的交叉路口</w:t>
                  </w:r>
                  <w:r>
                    <w:rPr>
                      <w:rFonts w:hint="eastAsia" w:cs="Times New Roman"/>
                      <w:color w:val="auto"/>
                      <w:sz w:val="21"/>
                      <w:szCs w:val="21"/>
                      <w:lang w:val="en-US" w:eastAsia="zh-CN"/>
                    </w:rPr>
                    <w:t>。</w:t>
                  </w:r>
                </w:p>
              </w:tc>
              <w:tc>
                <w:tcPr>
                  <w:tcW w:w="1101" w:type="dxa"/>
                  <w:noWrap w:val="0"/>
                  <w:vAlign w:val="center"/>
                </w:tcPr>
                <w:p w14:paraId="646C7B71">
                  <w:pPr>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符合</w:t>
                  </w:r>
                </w:p>
              </w:tc>
            </w:tr>
            <w:tr w14:paraId="2973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noWrap w:val="0"/>
                  <w:vAlign w:val="center"/>
                </w:tcPr>
                <w:p w14:paraId="252B5AE3">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651" w:type="dxa"/>
                  <w:noWrap w:val="0"/>
                  <w:vAlign w:val="center"/>
                </w:tcPr>
                <w:p w14:paraId="702CC612">
                  <w:pPr>
                    <w:spacing w:line="240" w:lineRule="auto"/>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Cs w:val="21"/>
                    </w:rPr>
                    <w:t>加油站的油罐、加油机和通气管管口与站外建、构筑物的防火距离，不应小于</w:t>
                  </w:r>
                  <w:r>
                    <w:rPr>
                      <w:rFonts w:hint="default" w:ascii="Times New Roman" w:hAnsi="Times New Roman" w:cs="Times New Roman"/>
                      <w:color w:val="auto"/>
                      <w:szCs w:val="21"/>
                      <w:lang w:eastAsia="zh-CN"/>
                    </w:rPr>
                    <w:t>《汽车加油加气加氢站技术标准》（GB50156-2021）</w:t>
                  </w:r>
                  <w:r>
                    <w:rPr>
                      <w:rFonts w:hint="default" w:ascii="Times New Roman" w:hAnsi="Times New Roman" w:cs="Times New Roman"/>
                      <w:color w:val="auto"/>
                      <w:szCs w:val="21"/>
                    </w:rPr>
                    <w:t>中的规定</w:t>
                  </w:r>
                  <w:r>
                    <w:rPr>
                      <w:rFonts w:hint="eastAsia" w:cs="Times New Roman"/>
                      <w:color w:val="auto"/>
                      <w:szCs w:val="21"/>
                      <w:lang w:eastAsia="zh-CN"/>
                    </w:rPr>
                    <w:t>。</w:t>
                  </w:r>
                </w:p>
              </w:tc>
              <w:tc>
                <w:tcPr>
                  <w:tcW w:w="3983" w:type="dxa"/>
                  <w:noWrap w:val="0"/>
                  <w:vAlign w:val="center"/>
                </w:tcPr>
                <w:p w14:paraId="13F18C73">
                  <w:p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本项目油罐、加油机和通气管管口与站外建、构筑物的防火距离能满足相关规定。</w:t>
                  </w:r>
                </w:p>
              </w:tc>
              <w:tc>
                <w:tcPr>
                  <w:tcW w:w="1101" w:type="dxa"/>
                  <w:noWrap w:val="0"/>
                  <w:vAlign w:val="center"/>
                </w:tcPr>
                <w:p w14:paraId="4E69CFD5">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79704A56">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1</w:t>
            </w:r>
            <w:r>
              <w:rPr>
                <w:rFonts w:hint="eastAsia" w:cs="Times New Roman"/>
                <w:b/>
                <w:color w:val="auto"/>
                <w:sz w:val="21"/>
                <w:szCs w:val="21"/>
                <w:lang w:val="en-US" w:eastAsia="zh-CN"/>
              </w:rPr>
              <w:t>0</w:t>
            </w:r>
            <w:r>
              <w:rPr>
                <w:rFonts w:hint="default" w:ascii="Times New Roman" w:hAnsi="Times New Roman" w:cs="Times New Roman"/>
                <w:b/>
                <w:color w:val="auto"/>
                <w:sz w:val="21"/>
                <w:szCs w:val="21"/>
              </w:rPr>
              <w:t xml:space="preserve"> 汽油油罐、加油机和通气管管口与站外建、构筑物的防火距离单位：m</w:t>
            </w:r>
          </w:p>
          <w:tbl>
            <w:tblPr>
              <w:tblStyle w:val="27"/>
              <w:tblW w:w="840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46"/>
              <w:gridCol w:w="1430"/>
              <w:gridCol w:w="854"/>
              <w:gridCol w:w="1016"/>
              <w:gridCol w:w="1119"/>
              <w:gridCol w:w="976"/>
              <w:gridCol w:w="1864"/>
            </w:tblGrid>
            <w:tr w14:paraId="07E92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3430" w:type="dxa"/>
                  <w:gridSpan w:val="3"/>
                  <w:tcBorders>
                    <w:top w:val="single" w:color="auto" w:sz="6" w:space="0"/>
                    <w:left w:val="single" w:color="auto" w:sz="6" w:space="0"/>
                    <w:bottom w:val="single" w:color="auto" w:sz="6" w:space="0"/>
                    <w:right w:val="single" w:color="auto" w:sz="6" w:space="0"/>
                  </w:tcBorders>
                  <w:noWrap w:val="0"/>
                  <w:vAlign w:val="center"/>
                </w:tcPr>
                <w:p w14:paraId="1B8CE636">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项目</w:t>
                  </w:r>
                </w:p>
              </w:tc>
              <w:tc>
                <w:tcPr>
                  <w:tcW w:w="4975" w:type="dxa"/>
                  <w:gridSpan w:val="4"/>
                  <w:tcBorders>
                    <w:top w:val="single" w:color="auto" w:sz="6" w:space="0"/>
                    <w:left w:val="nil"/>
                    <w:bottom w:val="single" w:color="auto" w:sz="6" w:space="0"/>
                    <w:right w:val="single" w:color="auto" w:sz="6" w:space="0"/>
                  </w:tcBorders>
                  <w:noWrap w:val="0"/>
                  <w:vAlign w:val="center"/>
                </w:tcPr>
                <w:p w14:paraId="06872E5C">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级别（</w:t>
                  </w:r>
                  <w:r>
                    <w:rPr>
                      <w:rFonts w:hint="default" w:ascii="Times New Roman" w:hAnsi="Times New Roman" w:cs="Times New Roman"/>
                      <w:b/>
                      <w:bCs/>
                      <w:color w:val="auto"/>
                      <w:lang w:val="en-US" w:eastAsia="zh-CN"/>
                    </w:rPr>
                    <w:t>三</w:t>
                  </w:r>
                  <w:r>
                    <w:rPr>
                      <w:rFonts w:hint="default" w:ascii="Times New Roman" w:hAnsi="Times New Roman" w:cs="Times New Roman"/>
                      <w:b/>
                      <w:bCs/>
                      <w:color w:val="auto"/>
                    </w:rPr>
                    <w:t>级站</w:t>
                  </w:r>
                  <w:r>
                    <w:rPr>
                      <w:rFonts w:hint="default" w:ascii="Times New Roman" w:hAnsi="Times New Roman" w:cs="Times New Roman"/>
                      <w:b/>
                      <w:bCs/>
                      <w:color w:val="auto"/>
                      <w:lang w:eastAsia="zh-CN"/>
                    </w:rPr>
                    <w:t>，</w:t>
                  </w:r>
                  <w:r>
                    <w:rPr>
                      <w:rFonts w:hint="default" w:ascii="Times New Roman" w:hAnsi="Times New Roman" w:cs="Times New Roman"/>
                      <w:b/>
                      <w:bCs/>
                      <w:color w:val="auto"/>
                    </w:rPr>
                    <w:t>有卸油和加油油气回收系统）</w:t>
                  </w:r>
                </w:p>
              </w:tc>
            </w:tr>
            <w:tr w14:paraId="02EC9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3430" w:type="dxa"/>
                  <w:gridSpan w:val="3"/>
                  <w:tcBorders>
                    <w:top w:val="single" w:color="auto" w:sz="6" w:space="0"/>
                    <w:left w:val="single" w:color="auto" w:sz="6" w:space="0"/>
                    <w:bottom w:val="single" w:color="auto" w:sz="6" w:space="0"/>
                    <w:right w:val="single" w:color="auto" w:sz="6" w:space="0"/>
                  </w:tcBorders>
                  <w:noWrap w:val="0"/>
                  <w:vAlign w:val="center"/>
                </w:tcPr>
                <w:p w14:paraId="1AD4BC64">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站外建（构）筑物</w:t>
                  </w:r>
                </w:p>
              </w:tc>
              <w:tc>
                <w:tcPr>
                  <w:tcW w:w="1016" w:type="dxa"/>
                  <w:tcBorders>
                    <w:top w:val="single" w:color="auto" w:sz="6" w:space="0"/>
                    <w:left w:val="nil"/>
                    <w:bottom w:val="single" w:color="auto" w:sz="6" w:space="0"/>
                    <w:right w:val="single" w:color="auto" w:sz="6" w:space="0"/>
                  </w:tcBorders>
                  <w:noWrap w:val="0"/>
                  <w:vAlign w:val="center"/>
                </w:tcPr>
                <w:p w14:paraId="084CE303">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埋地汽油罐</w:t>
                  </w:r>
                </w:p>
              </w:tc>
              <w:tc>
                <w:tcPr>
                  <w:tcW w:w="1119" w:type="dxa"/>
                  <w:tcBorders>
                    <w:top w:val="single" w:color="auto" w:sz="6" w:space="0"/>
                    <w:left w:val="nil"/>
                    <w:bottom w:val="single" w:color="auto" w:sz="6" w:space="0"/>
                    <w:right w:val="single" w:color="auto" w:sz="6" w:space="0"/>
                  </w:tcBorders>
                  <w:noWrap w:val="0"/>
                  <w:vAlign w:val="center"/>
                </w:tcPr>
                <w:p w14:paraId="13BC84B8">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通气管管口</w:t>
                  </w:r>
                </w:p>
              </w:tc>
              <w:tc>
                <w:tcPr>
                  <w:tcW w:w="976" w:type="dxa"/>
                  <w:tcBorders>
                    <w:top w:val="single" w:color="auto" w:sz="6" w:space="0"/>
                    <w:left w:val="nil"/>
                    <w:bottom w:val="single" w:color="auto" w:sz="6" w:space="0"/>
                    <w:right w:val="single" w:color="auto" w:sz="6" w:space="0"/>
                  </w:tcBorders>
                  <w:noWrap w:val="0"/>
                  <w:vAlign w:val="center"/>
                </w:tcPr>
                <w:p w14:paraId="669BFD0F">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加油机</w:t>
                  </w:r>
                </w:p>
              </w:tc>
              <w:tc>
                <w:tcPr>
                  <w:tcW w:w="1864" w:type="dxa"/>
                  <w:tcBorders>
                    <w:top w:val="single" w:color="auto" w:sz="6" w:space="0"/>
                    <w:left w:val="nil"/>
                    <w:bottom w:val="single" w:color="auto" w:sz="6" w:space="0"/>
                    <w:right w:val="single" w:color="auto" w:sz="6" w:space="0"/>
                  </w:tcBorders>
                  <w:noWrap w:val="0"/>
                  <w:vAlign w:val="center"/>
                </w:tcPr>
                <w:p w14:paraId="72E40D83">
                  <w:pPr>
                    <w:autoSpaceDE w:val="0"/>
                    <w:autoSpaceDN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建（构）筑物名称</w:t>
                  </w:r>
                </w:p>
              </w:tc>
            </w:tr>
            <w:tr w14:paraId="1B7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restart"/>
                  <w:tcBorders>
                    <w:top w:val="nil"/>
                    <w:left w:val="single" w:color="auto" w:sz="6" w:space="0"/>
                    <w:bottom w:val="single" w:color="auto" w:sz="6" w:space="0"/>
                    <w:right w:val="single" w:color="auto" w:sz="6" w:space="0"/>
                  </w:tcBorders>
                  <w:noWrap w:val="0"/>
                  <w:vAlign w:val="center"/>
                </w:tcPr>
                <w:p w14:paraId="0108472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重要公共建筑物</w:t>
                  </w:r>
                </w:p>
              </w:tc>
              <w:tc>
                <w:tcPr>
                  <w:tcW w:w="854" w:type="dxa"/>
                  <w:tcBorders>
                    <w:top w:val="single" w:color="auto" w:sz="6" w:space="0"/>
                    <w:left w:val="nil"/>
                    <w:bottom w:val="single" w:color="auto" w:sz="6" w:space="0"/>
                    <w:right w:val="single" w:color="auto" w:sz="6" w:space="0"/>
                  </w:tcBorders>
                  <w:noWrap w:val="0"/>
                  <w:vAlign w:val="center"/>
                </w:tcPr>
                <w:p w14:paraId="2BD2EF6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34FC802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35</w:t>
                  </w:r>
                </w:p>
              </w:tc>
              <w:tc>
                <w:tcPr>
                  <w:tcW w:w="1119" w:type="dxa"/>
                  <w:tcBorders>
                    <w:top w:val="single" w:color="auto" w:sz="6" w:space="0"/>
                    <w:left w:val="nil"/>
                    <w:bottom w:val="single" w:color="auto" w:sz="6" w:space="0"/>
                    <w:right w:val="single" w:color="auto" w:sz="6" w:space="0"/>
                  </w:tcBorders>
                  <w:noWrap w:val="0"/>
                  <w:vAlign w:val="center"/>
                </w:tcPr>
                <w:p w14:paraId="4D73E71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35</w:t>
                  </w:r>
                </w:p>
              </w:tc>
              <w:tc>
                <w:tcPr>
                  <w:tcW w:w="976" w:type="dxa"/>
                  <w:tcBorders>
                    <w:top w:val="single" w:color="auto" w:sz="6" w:space="0"/>
                    <w:left w:val="nil"/>
                    <w:bottom w:val="single" w:color="auto" w:sz="6" w:space="0"/>
                    <w:right w:val="single" w:color="auto" w:sz="6" w:space="0"/>
                  </w:tcBorders>
                  <w:noWrap w:val="0"/>
                  <w:vAlign w:val="center"/>
                </w:tcPr>
                <w:p w14:paraId="7233AB8F">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35</w:t>
                  </w:r>
                </w:p>
              </w:tc>
              <w:tc>
                <w:tcPr>
                  <w:tcW w:w="1864" w:type="dxa"/>
                  <w:tcBorders>
                    <w:top w:val="single" w:color="auto" w:sz="6" w:space="0"/>
                    <w:left w:val="nil"/>
                    <w:bottom w:val="single" w:color="auto" w:sz="6" w:space="0"/>
                    <w:right w:val="single" w:color="auto" w:sz="6" w:space="0"/>
                  </w:tcBorders>
                  <w:noWrap w:val="0"/>
                  <w:vAlign w:val="center"/>
                </w:tcPr>
                <w:p w14:paraId="7F4E56FE">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750CB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continue"/>
                  <w:tcBorders>
                    <w:top w:val="nil"/>
                    <w:left w:val="single" w:color="auto" w:sz="6" w:space="0"/>
                    <w:bottom w:val="single" w:color="auto" w:sz="6" w:space="0"/>
                    <w:right w:val="single" w:color="auto" w:sz="6" w:space="0"/>
                  </w:tcBorders>
                  <w:noWrap w:val="0"/>
                  <w:vAlign w:val="center"/>
                </w:tcPr>
                <w:p w14:paraId="30249DC4">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06B103D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27E0362F">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w:t>
                  </w:r>
                </w:p>
              </w:tc>
              <w:tc>
                <w:tcPr>
                  <w:tcW w:w="1119" w:type="dxa"/>
                  <w:tcBorders>
                    <w:top w:val="single" w:color="auto" w:sz="6" w:space="0"/>
                    <w:left w:val="nil"/>
                    <w:bottom w:val="single" w:color="auto" w:sz="6" w:space="0"/>
                    <w:right w:val="single" w:color="auto" w:sz="6" w:space="0"/>
                  </w:tcBorders>
                  <w:noWrap w:val="0"/>
                  <w:vAlign w:val="center"/>
                </w:tcPr>
                <w:p w14:paraId="6B32C24B">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w:t>
                  </w:r>
                </w:p>
              </w:tc>
              <w:tc>
                <w:tcPr>
                  <w:tcW w:w="976" w:type="dxa"/>
                  <w:tcBorders>
                    <w:top w:val="single" w:color="auto" w:sz="6" w:space="0"/>
                    <w:left w:val="nil"/>
                    <w:bottom w:val="single" w:color="auto" w:sz="6" w:space="0"/>
                    <w:right w:val="single" w:color="auto" w:sz="6" w:space="0"/>
                  </w:tcBorders>
                  <w:noWrap w:val="0"/>
                  <w:vAlign w:val="center"/>
                </w:tcPr>
                <w:p w14:paraId="4A58C467">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无</w:t>
                  </w:r>
                </w:p>
              </w:tc>
              <w:tc>
                <w:tcPr>
                  <w:tcW w:w="1864" w:type="dxa"/>
                  <w:tcBorders>
                    <w:top w:val="single" w:color="auto" w:sz="6" w:space="0"/>
                    <w:left w:val="nil"/>
                    <w:bottom w:val="single" w:color="auto" w:sz="6" w:space="0"/>
                    <w:right w:val="single" w:color="auto" w:sz="6" w:space="0"/>
                  </w:tcBorders>
                  <w:noWrap w:val="0"/>
                  <w:vAlign w:val="center"/>
                </w:tcPr>
                <w:p w14:paraId="615A794B">
                  <w:pPr>
                    <w:autoSpaceDE w:val="0"/>
                    <w:autoSpaceDN w:val="0"/>
                    <w:spacing w:line="240" w:lineRule="auto"/>
                    <w:jc w:val="center"/>
                    <w:rPr>
                      <w:rFonts w:hint="default" w:ascii="Times New Roman" w:hAnsi="Times New Roman" w:cs="Times New Roman"/>
                      <w:color w:val="auto"/>
                      <w:szCs w:val="21"/>
                      <w:lang w:val="en-US"/>
                    </w:rPr>
                  </w:pPr>
                  <w:r>
                    <w:rPr>
                      <w:rFonts w:hint="eastAsia" w:cs="Times New Roman"/>
                      <w:color w:val="auto"/>
                      <w:szCs w:val="21"/>
                      <w:lang w:val="en-US" w:eastAsia="zh-CN"/>
                    </w:rPr>
                    <w:t>/</w:t>
                  </w:r>
                </w:p>
              </w:tc>
            </w:tr>
            <w:tr w14:paraId="57C43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restart"/>
                  <w:tcBorders>
                    <w:top w:val="nil"/>
                    <w:left w:val="single" w:color="auto" w:sz="6" w:space="0"/>
                    <w:bottom w:val="single" w:color="auto" w:sz="6" w:space="0"/>
                    <w:right w:val="single" w:color="auto" w:sz="6" w:space="0"/>
                  </w:tcBorders>
                  <w:noWrap w:val="0"/>
                  <w:vAlign w:val="center"/>
                </w:tcPr>
                <w:p w14:paraId="0029EB8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明火或散发火花地点</w:t>
                  </w:r>
                </w:p>
              </w:tc>
              <w:tc>
                <w:tcPr>
                  <w:tcW w:w="854" w:type="dxa"/>
                  <w:tcBorders>
                    <w:top w:val="single" w:color="auto" w:sz="6" w:space="0"/>
                    <w:left w:val="nil"/>
                    <w:bottom w:val="single" w:color="auto" w:sz="6" w:space="0"/>
                    <w:right w:val="single" w:color="auto" w:sz="6" w:space="0"/>
                  </w:tcBorders>
                  <w:noWrap w:val="0"/>
                  <w:vAlign w:val="center"/>
                </w:tcPr>
                <w:p w14:paraId="7A0AC09F">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20EB1907">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12.5</w:t>
                  </w:r>
                </w:p>
              </w:tc>
              <w:tc>
                <w:tcPr>
                  <w:tcW w:w="1119" w:type="dxa"/>
                  <w:tcBorders>
                    <w:top w:val="single" w:color="auto" w:sz="6" w:space="0"/>
                    <w:left w:val="nil"/>
                    <w:bottom w:val="single" w:color="auto" w:sz="6" w:space="0"/>
                    <w:right w:val="single" w:color="auto" w:sz="6" w:space="0"/>
                  </w:tcBorders>
                  <w:noWrap w:val="0"/>
                  <w:vAlign w:val="center"/>
                </w:tcPr>
                <w:p w14:paraId="7101074F">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976" w:type="dxa"/>
                  <w:tcBorders>
                    <w:top w:val="single" w:color="auto" w:sz="6" w:space="0"/>
                    <w:left w:val="nil"/>
                    <w:bottom w:val="single" w:color="auto" w:sz="6" w:space="0"/>
                    <w:right w:val="single" w:color="auto" w:sz="6" w:space="0"/>
                  </w:tcBorders>
                  <w:noWrap w:val="0"/>
                  <w:vAlign w:val="center"/>
                </w:tcPr>
                <w:p w14:paraId="4461DA8A">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1864" w:type="dxa"/>
                  <w:tcBorders>
                    <w:top w:val="single" w:color="auto" w:sz="6" w:space="0"/>
                    <w:left w:val="nil"/>
                    <w:bottom w:val="single" w:color="auto" w:sz="6" w:space="0"/>
                    <w:right w:val="single" w:color="auto" w:sz="6" w:space="0"/>
                  </w:tcBorders>
                  <w:noWrap w:val="0"/>
                  <w:vAlign w:val="center"/>
                </w:tcPr>
                <w:p w14:paraId="1F78AB2D">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6997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continue"/>
                  <w:tcBorders>
                    <w:top w:val="nil"/>
                    <w:left w:val="single" w:color="auto" w:sz="6" w:space="0"/>
                    <w:bottom w:val="single" w:color="auto" w:sz="6" w:space="0"/>
                    <w:right w:val="single" w:color="auto" w:sz="6" w:space="0"/>
                  </w:tcBorders>
                  <w:noWrap w:val="0"/>
                  <w:vAlign w:val="center"/>
                </w:tcPr>
                <w:p w14:paraId="1EB2C917">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218C55D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633C5574">
                  <w:pPr>
                    <w:jc w:val="center"/>
                    <w:rPr>
                      <w:rFonts w:hint="default" w:ascii="Times New Roman" w:hAnsi="Times New Roman" w:cs="Times New Roman"/>
                      <w:color w:val="auto"/>
                      <w:szCs w:val="21"/>
                    </w:rPr>
                  </w:pPr>
                  <w:r>
                    <w:rPr>
                      <w:rFonts w:hint="eastAsia"/>
                      <w:color w:val="auto"/>
                      <w:szCs w:val="21"/>
                    </w:rPr>
                    <w:t>29.8</w:t>
                  </w:r>
                </w:p>
              </w:tc>
              <w:tc>
                <w:tcPr>
                  <w:tcW w:w="1119" w:type="dxa"/>
                  <w:tcBorders>
                    <w:top w:val="single" w:color="auto" w:sz="6" w:space="0"/>
                    <w:left w:val="nil"/>
                    <w:bottom w:val="single" w:color="auto" w:sz="6" w:space="0"/>
                    <w:right w:val="single" w:color="auto" w:sz="6" w:space="0"/>
                  </w:tcBorders>
                  <w:noWrap w:val="0"/>
                  <w:vAlign w:val="center"/>
                </w:tcPr>
                <w:p w14:paraId="33CD27AD">
                  <w:pPr>
                    <w:jc w:val="center"/>
                    <w:rPr>
                      <w:rFonts w:hint="default" w:ascii="Times New Roman" w:hAnsi="Times New Roman" w:eastAsia="宋体" w:cs="Times New Roman"/>
                      <w:color w:val="auto"/>
                      <w:szCs w:val="21"/>
                      <w:lang w:val="en-US" w:eastAsia="zh-CN"/>
                    </w:rPr>
                  </w:pPr>
                  <w:r>
                    <w:rPr>
                      <w:rFonts w:hint="eastAsia"/>
                      <w:color w:val="auto"/>
                      <w:szCs w:val="21"/>
                      <w:lang w:val="en-US" w:eastAsia="zh-CN"/>
                    </w:rPr>
                    <w:t>39.0</w:t>
                  </w:r>
                </w:p>
              </w:tc>
              <w:tc>
                <w:tcPr>
                  <w:tcW w:w="976" w:type="dxa"/>
                  <w:tcBorders>
                    <w:top w:val="single" w:color="auto" w:sz="6" w:space="0"/>
                    <w:left w:val="nil"/>
                    <w:bottom w:val="single" w:color="auto" w:sz="6" w:space="0"/>
                    <w:right w:val="single" w:color="auto" w:sz="6" w:space="0"/>
                  </w:tcBorders>
                  <w:noWrap w:val="0"/>
                  <w:vAlign w:val="center"/>
                </w:tcPr>
                <w:p w14:paraId="786AC6A4">
                  <w:pPr>
                    <w:jc w:val="center"/>
                    <w:rPr>
                      <w:rFonts w:hint="default" w:ascii="Times New Roman" w:hAnsi="Times New Roman" w:eastAsia="宋体" w:cs="Times New Roman"/>
                      <w:color w:val="auto"/>
                      <w:szCs w:val="21"/>
                      <w:lang w:val="en-US" w:eastAsia="zh-CN"/>
                    </w:rPr>
                  </w:pPr>
                  <w:r>
                    <w:rPr>
                      <w:rFonts w:hint="eastAsia"/>
                      <w:color w:val="auto"/>
                      <w:szCs w:val="21"/>
                      <w:lang w:val="en-US" w:eastAsia="zh-CN"/>
                    </w:rPr>
                    <w:t>27.1</w:t>
                  </w:r>
                </w:p>
              </w:tc>
              <w:tc>
                <w:tcPr>
                  <w:tcW w:w="1864" w:type="dxa"/>
                  <w:tcBorders>
                    <w:top w:val="single" w:color="auto" w:sz="6" w:space="0"/>
                    <w:left w:val="nil"/>
                    <w:bottom w:val="single" w:color="auto" w:sz="6" w:space="0"/>
                    <w:right w:val="single" w:color="auto" w:sz="6" w:space="0"/>
                  </w:tcBorders>
                  <w:noWrap w:val="0"/>
                  <w:vAlign w:val="center"/>
                </w:tcPr>
                <w:p w14:paraId="3D00032B">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西面汽修厂</w:t>
                  </w:r>
                </w:p>
              </w:tc>
            </w:tr>
            <w:tr w14:paraId="1F581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restart"/>
                  <w:tcBorders>
                    <w:top w:val="nil"/>
                    <w:left w:val="single" w:color="auto" w:sz="6" w:space="0"/>
                    <w:right w:val="single" w:color="auto" w:sz="6" w:space="0"/>
                  </w:tcBorders>
                  <w:noWrap w:val="0"/>
                  <w:vAlign w:val="center"/>
                </w:tcPr>
                <w:p w14:paraId="2C3CBEED">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民用建筑物保护类别</w:t>
                  </w:r>
                </w:p>
              </w:tc>
              <w:tc>
                <w:tcPr>
                  <w:tcW w:w="1430" w:type="dxa"/>
                  <w:vMerge w:val="restart"/>
                  <w:tcBorders>
                    <w:top w:val="nil"/>
                    <w:left w:val="nil"/>
                    <w:right w:val="single" w:color="auto" w:sz="6" w:space="0"/>
                  </w:tcBorders>
                  <w:noWrap w:val="0"/>
                  <w:vAlign w:val="center"/>
                </w:tcPr>
                <w:p w14:paraId="6D53221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一类保护物</w:t>
                  </w:r>
                </w:p>
              </w:tc>
              <w:tc>
                <w:tcPr>
                  <w:tcW w:w="854" w:type="dxa"/>
                  <w:tcBorders>
                    <w:top w:val="single" w:color="auto" w:sz="6" w:space="0"/>
                    <w:left w:val="nil"/>
                    <w:bottom w:val="single" w:color="auto" w:sz="6" w:space="0"/>
                    <w:right w:val="single" w:color="auto" w:sz="6" w:space="0"/>
                  </w:tcBorders>
                  <w:noWrap w:val="0"/>
                  <w:vAlign w:val="center"/>
                </w:tcPr>
                <w:p w14:paraId="4FAFA597">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506D73A8">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11</w:t>
                  </w:r>
                </w:p>
              </w:tc>
              <w:tc>
                <w:tcPr>
                  <w:tcW w:w="1119" w:type="dxa"/>
                  <w:tcBorders>
                    <w:top w:val="single" w:color="auto" w:sz="6" w:space="0"/>
                    <w:left w:val="nil"/>
                    <w:bottom w:val="single" w:color="auto" w:sz="6" w:space="0"/>
                    <w:right w:val="single" w:color="auto" w:sz="6" w:space="0"/>
                  </w:tcBorders>
                  <w:noWrap w:val="0"/>
                  <w:vAlign w:val="center"/>
                </w:tcPr>
                <w:p w14:paraId="7DCA13D8">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11</w:t>
                  </w:r>
                </w:p>
              </w:tc>
              <w:tc>
                <w:tcPr>
                  <w:tcW w:w="976" w:type="dxa"/>
                  <w:tcBorders>
                    <w:top w:val="single" w:color="auto" w:sz="6" w:space="0"/>
                    <w:left w:val="nil"/>
                    <w:bottom w:val="single" w:color="auto" w:sz="6" w:space="0"/>
                    <w:right w:val="single" w:color="auto" w:sz="6" w:space="0"/>
                  </w:tcBorders>
                  <w:noWrap w:val="0"/>
                  <w:vAlign w:val="center"/>
                </w:tcPr>
                <w:p w14:paraId="7697282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11</w:t>
                  </w:r>
                </w:p>
              </w:tc>
              <w:tc>
                <w:tcPr>
                  <w:tcW w:w="1864" w:type="dxa"/>
                  <w:tcBorders>
                    <w:top w:val="single" w:color="auto" w:sz="6" w:space="0"/>
                    <w:left w:val="nil"/>
                    <w:bottom w:val="single" w:color="auto" w:sz="6" w:space="0"/>
                    <w:right w:val="single" w:color="auto" w:sz="6" w:space="0"/>
                  </w:tcBorders>
                  <w:noWrap w:val="0"/>
                  <w:vAlign w:val="center"/>
                </w:tcPr>
                <w:p w14:paraId="623ADAA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3FF12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4E4E074B">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21CB053C">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7003712E">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6A2D4CE5">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66658A5B">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3BB615A4">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864" w:type="dxa"/>
                  <w:tcBorders>
                    <w:top w:val="single" w:color="auto" w:sz="6" w:space="0"/>
                    <w:left w:val="nil"/>
                    <w:bottom w:val="single" w:color="auto" w:sz="6" w:space="0"/>
                    <w:right w:val="single" w:color="auto" w:sz="6" w:space="0"/>
                  </w:tcBorders>
                  <w:noWrap w:val="0"/>
                  <w:vAlign w:val="center"/>
                </w:tcPr>
                <w:p w14:paraId="3AFDF7AC">
                  <w:pPr>
                    <w:keepNext w:val="0"/>
                    <w:keepLines w:val="0"/>
                    <w:widowControl/>
                    <w:suppressLineNumbers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w:t>
                  </w:r>
                </w:p>
              </w:tc>
            </w:tr>
            <w:tr w14:paraId="1CF85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6259156B">
                  <w:pPr>
                    <w:widowControl/>
                    <w:spacing w:line="240" w:lineRule="auto"/>
                    <w:jc w:val="left"/>
                    <w:rPr>
                      <w:rFonts w:hint="default" w:ascii="Times New Roman" w:hAnsi="Times New Roman" w:cs="Times New Roman"/>
                      <w:color w:val="auto"/>
                      <w:szCs w:val="21"/>
                    </w:rPr>
                  </w:pPr>
                </w:p>
              </w:tc>
              <w:tc>
                <w:tcPr>
                  <w:tcW w:w="1430" w:type="dxa"/>
                  <w:vMerge w:val="restart"/>
                  <w:tcBorders>
                    <w:top w:val="nil"/>
                    <w:left w:val="nil"/>
                    <w:right w:val="single" w:color="auto" w:sz="6" w:space="0"/>
                  </w:tcBorders>
                  <w:noWrap w:val="0"/>
                  <w:vAlign w:val="center"/>
                </w:tcPr>
                <w:p w14:paraId="5CAE0A0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二类保护物</w:t>
                  </w:r>
                </w:p>
              </w:tc>
              <w:tc>
                <w:tcPr>
                  <w:tcW w:w="854" w:type="dxa"/>
                  <w:tcBorders>
                    <w:top w:val="single" w:color="auto" w:sz="6" w:space="0"/>
                    <w:left w:val="nil"/>
                    <w:bottom w:val="single" w:color="auto" w:sz="6" w:space="0"/>
                    <w:right w:val="single" w:color="auto" w:sz="6" w:space="0"/>
                  </w:tcBorders>
                  <w:noWrap w:val="0"/>
                  <w:vAlign w:val="center"/>
                </w:tcPr>
                <w:p w14:paraId="0A7B85BF">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10AE5187">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8.5</w:t>
                  </w:r>
                </w:p>
              </w:tc>
              <w:tc>
                <w:tcPr>
                  <w:tcW w:w="1119" w:type="dxa"/>
                  <w:tcBorders>
                    <w:top w:val="single" w:color="auto" w:sz="6" w:space="0"/>
                    <w:left w:val="nil"/>
                    <w:bottom w:val="single" w:color="auto" w:sz="6" w:space="0"/>
                    <w:right w:val="single" w:color="auto" w:sz="6" w:space="0"/>
                  </w:tcBorders>
                  <w:noWrap w:val="0"/>
                  <w:vAlign w:val="center"/>
                </w:tcPr>
                <w:p w14:paraId="2AD196F6">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8.5</w:t>
                  </w:r>
                </w:p>
              </w:tc>
              <w:tc>
                <w:tcPr>
                  <w:tcW w:w="976" w:type="dxa"/>
                  <w:tcBorders>
                    <w:top w:val="single" w:color="auto" w:sz="6" w:space="0"/>
                    <w:left w:val="nil"/>
                    <w:bottom w:val="single" w:color="auto" w:sz="6" w:space="0"/>
                    <w:right w:val="single" w:color="auto" w:sz="6" w:space="0"/>
                  </w:tcBorders>
                  <w:noWrap w:val="0"/>
                  <w:vAlign w:val="center"/>
                </w:tcPr>
                <w:p w14:paraId="333ACBF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8.5</w:t>
                  </w:r>
                </w:p>
              </w:tc>
              <w:tc>
                <w:tcPr>
                  <w:tcW w:w="1864" w:type="dxa"/>
                  <w:tcBorders>
                    <w:top w:val="single" w:color="auto" w:sz="6" w:space="0"/>
                    <w:left w:val="nil"/>
                    <w:bottom w:val="single" w:color="auto" w:sz="6" w:space="0"/>
                    <w:right w:val="single" w:color="auto" w:sz="6" w:space="0"/>
                  </w:tcBorders>
                  <w:noWrap w:val="0"/>
                  <w:vAlign w:val="center"/>
                </w:tcPr>
                <w:p w14:paraId="45B5618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01FF3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293D97A9">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6979F3CC">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01BF814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56462407">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4EA5A523">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720FF5FB">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864" w:type="dxa"/>
                  <w:tcBorders>
                    <w:top w:val="single" w:color="auto" w:sz="6" w:space="0"/>
                    <w:left w:val="nil"/>
                    <w:bottom w:val="single" w:color="auto" w:sz="6" w:space="0"/>
                    <w:right w:val="single" w:color="auto" w:sz="6" w:space="0"/>
                  </w:tcBorders>
                  <w:noWrap w:val="0"/>
                  <w:vAlign w:val="center"/>
                </w:tcPr>
                <w:p w14:paraId="30A26180">
                  <w:pPr>
                    <w:keepNext w:val="0"/>
                    <w:keepLines w:val="0"/>
                    <w:widowControl/>
                    <w:suppressLineNumbers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3CD7C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6" w:type="dxa"/>
                  <w:vMerge w:val="continue"/>
                  <w:tcBorders>
                    <w:left w:val="single" w:color="auto" w:sz="6" w:space="0"/>
                    <w:right w:val="single" w:color="auto" w:sz="6" w:space="0"/>
                  </w:tcBorders>
                  <w:noWrap w:val="0"/>
                  <w:vAlign w:val="center"/>
                </w:tcPr>
                <w:p w14:paraId="08019B15">
                  <w:pPr>
                    <w:widowControl/>
                    <w:spacing w:line="240" w:lineRule="auto"/>
                    <w:jc w:val="left"/>
                    <w:rPr>
                      <w:rFonts w:hint="default" w:ascii="Times New Roman" w:hAnsi="Times New Roman" w:cs="Times New Roman"/>
                      <w:color w:val="auto"/>
                      <w:szCs w:val="21"/>
                    </w:rPr>
                  </w:pPr>
                </w:p>
              </w:tc>
              <w:tc>
                <w:tcPr>
                  <w:tcW w:w="1430" w:type="dxa"/>
                  <w:vMerge w:val="restart"/>
                  <w:tcBorders>
                    <w:top w:val="nil"/>
                    <w:left w:val="nil"/>
                    <w:right w:val="single" w:color="auto" w:sz="6" w:space="0"/>
                  </w:tcBorders>
                  <w:noWrap w:val="0"/>
                  <w:vAlign w:val="center"/>
                </w:tcPr>
                <w:p w14:paraId="323311C8">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三类保护物</w:t>
                  </w:r>
                </w:p>
              </w:tc>
              <w:tc>
                <w:tcPr>
                  <w:tcW w:w="854" w:type="dxa"/>
                  <w:tcBorders>
                    <w:top w:val="single" w:color="auto" w:sz="6" w:space="0"/>
                    <w:left w:val="nil"/>
                    <w:bottom w:val="single" w:color="auto" w:sz="6" w:space="0"/>
                    <w:right w:val="single" w:color="auto" w:sz="6" w:space="0"/>
                  </w:tcBorders>
                  <w:noWrap w:val="0"/>
                  <w:vAlign w:val="center"/>
                </w:tcPr>
                <w:p w14:paraId="21521F39">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48035F35">
                  <w:pPr>
                    <w:autoSpaceDE w:val="0"/>
                    <w:autoSpaceDN w:val="0"/>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7</w:t>
                  </w:r>
                </w:p>
              </w:tc>
              <w:tc>
                <w:tcPr>
                  <w:tcW w:w="1119" w:type="dxa"/>
                  <w:tcBorders>
                    <w:top w:val="single" w:color="auto" w:sz="6" w:space="0"/>
                    <w:left w:val="nil"/>
                    <w:bottom w:val="single" w:color="auto" w:sz="6" w:space="0"/>
                    <w:right w:val="single" w:color="auto" w:sz="6" w:space="0"/>
                  </w:tcBorders>
                  <w:noWrap w:val="0"/>
                  <w:vAlign w:val="center"/>
                </w:tcPr>
                <w:p w14:paraId="7D914FAA">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7</w:t>
                  </w:r>
                </w:p>
              </w:tc>
              <w:tc>
                <w:tcPr>
                  <w:tcW w:w="976" w:type="dxa"/>
                  <w:tcBorders>
                    <w:top w:val="single" w:color="auto" w:sz="6" w:space="0"/>
                    <w:left w:val="nil"/>
                    <w:bottom w:val="single" w:color="auto" w:sz="6" w:space="0"/>
                    <w:right w:val="single" w:color="auto" w:sz="6" w:space="0"/>
                  </w:tcBorders>
                  <w:noWrap w:val="0"/>
                  <w:vAlign w:val="center"/>
                </w:tcPr>
                <w:p w14:paraId="7ACD441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7</w:t>
                  </w:r>
                </w:p>
              </w:tc>
              <w:tc>
                <w:tcPr>
                  <w:tcW w:w="1864" w:type="dxa"/>
                  <w:tcBorders>
                    <w:top w:val="nil"/>
                    <w:left w:val="nil"/>
                    <w:right w:val="single" w:color="auto" w:sz="6" w:space="0"/>
                  </w:tcBorders>
                  <w:noWrap w:val="0"/>
                  <w:vAlign w:val="center"/>
                </w:tcPr>
                <w:p w14:paraId="1186DDBE">
                  <w:pPr>
                    <w:keepNext w:val="0"/>
                    <w:keepLines w:val="0"/>
                    <w:widowControl/>
                    <w:suppressLineNumbers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01C4B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52F0705F">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62D8F50F">
                  <w:pPr>
                    <w:autoSpaceDE w:val="0"/>
                    <w:autoSpaceDN w:val="0"/>
                    <w:spacing w:line="240" w:lineRule="auto"/>
                    <w:jc w:val="center"/>
                    <w:rPr>
                      <w:rFonts w:hint="default" w:ascii="Times New Roman" w:hAnsi="Times New Roman" w:cs="Times New Roman"/>
                      <w:color w:val="auto"/>
                    </w:rPr>
                  </w:pPr>
                </w:p>
              </w:tc>
              <w:tc>
                <w:tcPr>
                  <w:tcW w:w="854" w:type="dxa"/>
                  <w:tcBorders>
                    <w:top w:val="single" w:color="auto" w:sz="6" w:space="0"/>
                    <w:left w:val="nil"/>
                    <w:bottom w:val="single" w:color="auto" w:sz="6" w:space="0"/>
                    <w:right w:val="single" w:color="auto" w:sz="6" w:space="0"/>
                  </w:tcBorders>
                  <w:noWrap w:val="0"/>
                  <w:vAlign w:val="center"/>
                </w:tcPr>
                <w:p w14:paraId="7A2F06ED">
                  <w:pPr>
                    <w:autoSpaceDE w:val="0"/>
                    <w:autoSpaceDN w:val="0"/>
                    <w:spacing w:line="240" w:lineRule="auto"/>
                    <w:jc w:val="center"/>
                    <w:rPr>
                      <w:rFonts w:hint="eastAsia" w:ascii="Times New Roman" w:hAnsi="Times New Roman" w:eastAsia="宋体" w:cs="Times New Roman"/>
                      <w:color w:val="auto"/>
                      <w:lang w:val="en-US" w:eastAsia="zh-CN"/>
                    </w:rPr>
                  </w:pPr>
                  <w:r>
                    <w:rPr>
                      <w:rFonts w:hint="eastAsia" w:cs="Times New Roman"/>
                      <w:color w:val="auto"/>
                      <w:lang w:val="en-US" w:eastAsia="zh-CN"/>
                    </w:rPr>
                    <w:t>设计</w:t>
                  </w:r>
                </w:p>
              </w:tc>
              <w:tc>
                <w:tcPr>
                  <w:tcW w:w="1016" w:type="dxa"/>
                  <w:tcBorders>
                    <w:top w:val="single" w:color="auto" w:sz="6" w:space="0"/>
                    <w:left w:val="nil"/>
                    <w:bottom w:val="single" w:color="auto" w:sz="6" w:space="0"/>
                    <w:right w:val="single" w:color="auto" w:sz="6" w:space="0"/>
                  </w:tcBorders>
                  <w:noWrap w:val="0"/>
                  <w:vAlign w:val="center"/>
                </w:tcPr>
                <w:p w14:paraId="2267DE1F">
                  <w:pPr>
                    <w:autoSpaceDE w:val="0"/>
                    <w:autoSpaceDN w:val="0"/>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27.46</w:t>
                  </w:r>
                </w:p>
              </w:tc>
              <w:tc>
                <w:tcPr>
                  <w:tcW w:w="1119" w:type="dxa"/>
                  <w:tcBorders>
                    <w:top w:val="single" w:color="auto" w:sz="6" w:space="0"/>
                    <w:left w:val="nil"/>
                    <w:bottom w:val="single" w:color="auto" w:sz="6" w:space="0"/>
                    <w:right w:val="single" w:color="auto" w:sz="6" w:space="0"/>
                  </w:tcBorders>
                  <w:noWrap w:val="0"/>
                  <w:vAlign w:val="center"/>
                </w:tcPr>
                <w:p w14:paraId="5E1E5F42">
                  <w:pPr>
                    <w:autoSpaceDE w:val="0"/>
                    <w:autoSpaceDN w:val="0"/>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33.48</w:t>
                  </w:r>
                </w:p>
              </w:tc>
              <w:tc>
                <w:tcPr>
                  <w:tcW w:w="976" w:type="dxa"/>
                  <w:tcBorders>
                    <w:top w:val="single" w:color="auto" w:sz="6" w:space="0"/>
                    <w:left w:val="nil"/>
                    <w:bottom w:val="single" w:color="auto" w:sz="6" w:space="0"/>
                    <w:right w:val="single" w:color="auto" w:sz="6" w:space="0"/>
                  </w:tcBorders>
                  <w:noWrap w:val="0"/>
                  <w:vAlign w:val="center"/>
                </w:tcPr>
                <w:p w14:paraId="7ABE054D">
                  <w:pPr>
                    <w:autoSpaceDE w:val="0"/>
                    <w:autoSpaceDN w:val="0"/>
                    <w:spacing w:line="240"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30.21</w:t>
                  </w:r>
                </w:p>
              </w:tc>
              <w:tc>
                <w:tcPr>
                  <w:tcW w:w="1864" w:type="dxa"/>
                  <w:tcBorders>
                    <w:top w:val="nil"/>
                    <w:left w:val="nil"/>
                    <w:right w:val="single" w:color="auto" w:sz="6" w:space="0"/>
                  </w:tcBorders>
                  <w:noWrap w:val="0"/>
                  <w:vAlign w:val="center"/>
                </w:tcPr>
                <w:p w14:paraId="299BD6F2">
                  <w:pPr>
                    <w:keepNext w:val="0"/>
                    <w:keepLines w:val="0"/>
                    <w:widowControl/>
                    <w:suppressLineNumbers w:val="0"/>
                    <w:spacing w:line="240" w:lineRule="auto"/>
                    <w:jc w:val="center"/>
                    <w:rPr>
                      <w:rFonts w:hint="eastAsia" w:cs="Times New Roman"/>
                      <w:color w:val="auto"/>
                      <w:szCs w:val="21"/>
                      <w:lang w:val="en-US" w:eastAsia="zh-CN"/>
                    </w:rPr>
                  </w:pPr>
                  <w:r>
                    <w:rPr>
                      <w:rFonts w:hint="eastAsia" w:cs="Times New Roman"/>
                      <w:color w:val="auto"/>
                      <w:szCs w:val="21"/>
                      <w:lang w:val="en-US" w:eastAsia="zh-CN"/>
                    </w:rPr>
                    <w:t>北侧</w:t>
                  </w:r>
                  <w:r>
                    <w:rPr>
                      <w:color w:val="auto"/>
                      <w:szCs w:val="21"/>
                    </w:rPr>
                    <w:t>德沃尔农资专营店</w:t>
                  </w:r>
                </w:p>
              </w:tc>
            </w:tr>
            <w:tr w14:paraId="7AA37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63318CDD">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171FD91E">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5F777B3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09224DB2">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43.69</w:t>
                  </w:r>
                </w:p>
              </w:tc>
              <w:tc>
                <w:tcPr>
                  <w:tcW w:w="1119" w:type="dxa"/>
                  <w:tcBorders>
                    <w:top w:val="single" w:color="auto" w:sz="6" w:space="0"/>
                    <w:left w:val="nil"/>
                    <w:bottom w:val="single" w:color="auto" w:sz="6" w:space="0"/>
                    <w:right w:val="single" w:color="auto" w:sz="6" w:space="0"/>
                  </w:tcBorders>
                  <w:noWrap w:val="0"/>
                  <w:vAlign w:val="center"/>
                </w:tcPr>
                <w:p w14:paraId="64C952C9">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45.85</w:t>
                  </w:r>
                </w:p>
              </w:tc>
              <w:tc>
                <w:tcPr>
                  <w:tcW w:w="976" w:type="dxa"/>
                  <w:tcBorders>
                    <w:top w:val="single" w:color="auto" w:sz="6" w:space="0"/>
                    <w:left w:val="nil"/>
                    <w:bottom w:val="single" w:color="auto" w:sz="6" w:space="0"/>
                    <w:right w:val="single" w:color="auto" w:sz="6" w:space="0"/>
                  </w:tcBorders>
                  <w:noWrap w:val="0"/>
                  <w:vAlign w:val="center"/>
                </w:tcPr>
                <w:p w14:paraId="024FA19B">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44.24</w:t>
                  </w:r>
                </w:p>
              </w:tc>
              <w:tc>
                <w:tcPr>
                  <w:tcW w:w="1864" w:type="dxa"/>
                  <w:tcBorders>
                    <w:left w:val="nil"/>
                    <w:bottom w:val="single" w:color="auto" w:sz="6" w:space="0"/>
                    <w:right w:val="single" w:color="auto" w:sz="6" w:space="0"/>
                  </w:tcBorders>
                  <w:noWrap w:val="0"/>
                  <w:vAlign w:val="center"/>
                </w:tcPr>
                <w:p w14:paraId="2C1507F0">
                  <w:pPr>
                    <w:keepNext w:val="0"/>
                    <w:keepLines w:val="0"/>
                    <w:widowControl/>
                    <w:suppressLineNumbers w:val="0"/>
                    <w:spacing w:line="240" w:lineRule="auto"/>
                    <w:jc w:val="center"/>
                    <w:rPr>
                      <w:rFonts w:hint="default" w:ascii="Times New Roman" w:hAnsi="Times New Roman" w:cs="Times New Roman"/>
                      <w:b/>
                      <w:bCs/>
                      <w:color w:val="auto"/>
                      <w:szCs w:val="21"/>
                      <w:lang w:val="en-US"/>
                    </w:rPr>
                  </w:pPr>
                  <w:r>
                    <w:rPr>
                      <w:color w:val="auto"/>
                      <w:szCs w:val="21"/>
                    </w:rPr>
                    <w:t>南面民房</w:t>
                  </w:r>
                </w:p>
              </w:tc>
            </w:tr>
            <w:tr w14:paraId="1084D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0458093C">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67298435">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45A52FF0">
                  <w:pPr>
                    <w:autoSpaceDE w:val="0"/>
                    <w:autoSpaceDN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1B5BA0F3">
                  <w:pPr>
                    <w:autoSpaceDE w:val="0"/>
                    <w:autoSpaceDN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31.49</w:t>
                  </w:r>
                </w:p>
              </w:tc>
              <w:tc>
                <w:tcPr>
                  <w:tcW w:w="1119" w:type="dxa"/>
                  <w:tcBorders>
                    <w:top w:val="single" w:color="auto" w:sz="6" w:space="0"/>
                    <w:left w:val="nil"/>
                    <w:bottom w:val="single" w:color="auto" w:sz="6" w:space="0"/>
                    <w:right w:val="single" w:color="auto" w:sz="6" w:space="0"/>
                  </w:tcBorders>
                  <w:noWrap w:val="0"/>
                  <w:vAlign w:val="center"/>
                </w:tcPr>
                <w:p w14:paraId="0760F6AB">
                  <w:pPr>
                    <w:autoSpaceDE w:val="0"/>
                    <w:autoSpaceDN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39.3</w:t>
                  </w:r>
                </w:p>
              </w:tc>
              <w:tc>
                <w:tcPr>
                  <w:tcW w:w="976" w:type="dxa"/>
                  <w:tcBorders>
                    <w:top w:val="single" w:color="auto" w:sz="6" w:space="0"/>
                    <w:left w:val="nil"/>
                    <w:bottom w:val="single" w:color="auto" w:sz="6" w:space="0"/>
                    <w:right w:val="single" w:color="auto" w:sz="6" w:space="0"/>
                  </w:tcBorders>
                  <w:noWrap w:val="0"/>
                  <w:vAlign w:val="center"/>
                </w:tcPr>
                <w:p w14:paraId="7C7354E4">
                  <w:pPr>
                    <w:autoSpaceDE w:val="0"/>
                    <w:autoSpaceDN w:val="0"/>
                    <w:spacing w:line="240" w:lineRule="auto"/>
                    <w:jc w:val="center"/>
                    <w:rPr>
                      <w:rFonts w:hint="default" w:cs="Times New Roman"/>
                      <w:color w:val="auto"/>
                      <w:szCs w:val="21"/>
                      <w:lang w:val="en-US" w:eastAsia="zh-CN"/>
                    </w:rPr>
                  </w:pPr>
                  <w:r>
                    <w:rPr>
                      <w:rFonts w:hint="eastAsia" w:cs="Times New Roman"/>
                      <w:color w:val="auto"/>
                      <w:szCs w:val="21"/>
                      <w:lang w:val="en-US" w:eastAsia="zh-CN"/>
                    </w:rPr>
                    <w:t>32.7</w:t>
                  </w:r>
                </w:p>
              </w:tc>
              <w:tc>
                <w:tcPr>
                  <w:tcW w:w="1864" w:type="dxa"/>
                  <w:tcBorders>
                    <w:left w:val="nil"/>
                    <w:bottom w:val="single" w:color="auto" w:sz="6" w:space="0"/>
                    <w:right w:val="single" w:color="auto" w:sz="6" w:space="0"/>
                  </w:tcBorders>
                  <w:noWrap w:val="0"/>
                  <w:vAlign w:val="center"/>
                </w:tcPr>
                <w:p w14:paraId="47B4F015">
                  <w:pPr>
                    <w:keepNext w:val="0"/>
                    <w:keepLines w:val="0"/>
                    <w:widowControl/>
                    <w:suppressLineNumbers w:val="0"/>
                    <w:spacing w:line="240" w:lineRule="auto"/>
                    <w:jc w:val="center"/>
                    <w:rPr>
                      <w:rFonts w:hint="default" w:ascii="Times New Roman" w:hAnsi="Times New Roman" w:cs="Times New Roman"/>
                      <w:color w:val="auto"/>
                      <w:szCs w:val="21"/>
                      <w:lang w:val="en-US" w:eastAsia="zh-CN"/>
                    </w:rPr>
                  </w:pPr>
                  <w:r>
                    <w:rPr>
                      <w:color w:val="auto"/>
                      <w:szCs w:val="21"/>
                    </w:rPr>
                    <w:t>西北面大利嘉超市</w:t>
                  </w:r>
                </w:p>
              </w:tc>
            </w:tr>
            <w:tr w14:paraId="20FCD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32D93C8E">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0B51CFF4">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79CC1FF9">
                  <w:pPr>
                    <w:autoSpaceDE w:val="0"/>
                    <w:autoSpaceDN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60EC56CB">
                  <w:pPr>
                    <w:jc w:val="center"/>
                    <w:rPr>
                      <w:rFonts w:hint="eastAsia" w:cs="Times New Roman"/>
                      <w:color w:val="auto"/>
                      <w:szCs w:val="21"/>
                      <w:lang w:val="en-US" w:eastAsia="zh-CN"/>
                    </w:rPr>
                  </w:pPr>
                  <w:r>
                    <w:rPr>
                      <w:rFonts w:hint="eastAsia"/>
                      <w:color w:val="auto"/>
                      <w:szCs w:val="21"/>
                    </w:rPr>
                    <w:t>34.4</w:t>
                  </w:r>
                </w:p>
              </w:tc>
              <w:tc>
                <w:tcPr>
                  <w:tcW w:w="1119" w:type="dxa"/>
                  <w:tcBorders>
                    <w:top w:val="single" w:color="auto" w:sz="6" w:space="0"/>
                    <w:left w:val="nil"/>
                    <w:bottom w:val="single" w:color="auto" w:sz="6" w:space="0"/>
                    <w:right w:val="single" w:color="auto" w:sz="6" w:space="0"/>
                  </w:tcBorders>
                  <w:noWrap w:val="0"/>
                  <w:vAlign w:val="center"/>
                </w:tcPr>
                <w:p w14:paraId="7602ECAA">
                  <w:pPr>
                    <w:jc w:val="center"/>
                    <w:rPr>
                      <w:rFonts w:hint="eastAsia" w:cs="Times New Roman"/>
                      <w:color w:val="auto"/>
                      <w:szCs w:val="21"/>
                      <w:lang w:val="en-US" w:eastAsia="zh-CN"/>
                    </w:rPr>
                  </w:pPr>
                  <w:r>
                    <w:rPr>
                      <w:rFonts w:hint="eastAsia"/>
                      <w:color w:val="auto"/>
                      <w:szCs w:val="21"/>
                    </w:rPr>
                    <w:t>32.4</w:t>
                  </w:r>
                </w:p>
              </w:tc>
              <w:tc>
                <w:tcPr>
                  <w:tcW w:w="976" w:type="dxa"/>
                  <w:tcBorders>
                    <w:top w:val="single" w:color="auto" w:sz="6" w:space="0"/>
                    <w:left w:val="nil"/>
                    <w:bottom w:val="single" w:color="auto" w:sz="6" w:space="0"/>
                    <w:right w:val="single" w:color="auto" w:sz="6" w:space="0"/>
                  </w:tcBorders>
                  <w:noWrap w:val="0"/>
                  <w:vAlign w:val="center"/>
                </w:tcPr>
                <w:p w14:paraId="5C51089D">
                  <w:pPr>
                    <w:jc w:val="center"/>
                    <w:rPr>
                      <w:rFonts w:hint="eastAsia" w:cs="Times New Roman"/>
                      <w:color w:val="auto"/>
                      <w:szCs w:val="21"/>
                      <w:lang w:val="en-US" w:eastAsia="zh-CN"/>
                    </w:rPr>
                  </w:pPr>
                  <w:r>
                    <w:rPr>
                      <w:rFonts w:hint="eastAsia"/>
                      <w:color w:val="auto"/>
                      <w:szCs w:val="21"/>
                    </w:rPr>
                    <w:t>32.7</w:t>
                  </w:r>
                </w:p>
              </w:tc>
              <w:tc>
                <w:tcPr>
                  <w:tcW w:w="1864" w:type="dxa"/>
                  <w:tcBorders>
                    <w:left w:val="nil"/>
                    <w:bottom w:val="single" w:color="auto" w:sz="6" w:space="0"/>
                    <w:right w:val="single" w:color="auto" w:sz="6" w:space="0"/>
                  </w:tcBorders>
                  <w:noWrap w:val="0"/>
                  <w:vAlign w:val="center"/>
                </w:tcPr>
                <w:p w14:paraId="0E2A339E">
                  <w:pPr>
                    <w:jc w:val="center"/>
                    <w:rPr>
                      <w:color w:val="auto"/>
                      <w:szCs w:val="21"/>
                    </w:rPr>
                  </w:pPr>
                  <w:r>
                    <w:rPr>
                      <w:color w:val="auto"/>
                      <w:szCs w:val="21"/>
                    </w:rPr>
                    <w:t>东面民房</w:t>
                  </w:r>
                </w:p>
              </w:tc>
            </w:tr>
            <w:tr w14:paraId="4421A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bottom w:val="single" w:color="auto" w:sz="6" w:space="0"/>
                    <w:right w:val="single" w:color="auto" w:sz="6" w:space="0"/>
                  </w:tcBorders>
                  <w:noWrap w:val="0"/>
                  <w:vAlign w:val="center"/>
                </w:tcPr>
                <w:p w14:paraId="77644C7B">
                  <w:pPr>
                    <w:widowControl/>
                    <w:spacing w:line="240" w:lineRule="auto"/>
                    <w:jc w:val="left"/>
                    <w:rPr>
                      <w:rFonts w:hint="default" w:ascii="Times New Roman" w:hAnsi="Times New Roman" w:cs="Times New Roman"/>
                      <w:color w:val="auto"/>
                      <w:szCs w:val="21"/>
                    </w:rPr>
                  </w:pPr>
                </w:p>
              </w:tc>
              <w:tc>
                <w:tcPr>
                  <w:tcW w:w="1430" w:type="dxa"/>
                  <w:vMerge w:val="continue"/>
                  <w:tcBorders>
                    <w:left w:val="nil"/>
                    <w:bottom w:val="single" w:color="auto" w:sz="6" w:space="0"/>
                    <w:right w:val="single" w:color="auto" w:sz="6" w:space="0"/>
                  </w:tcBorders>
                  <w:noWrap w:val="0"/>
                  <w:vAlign w:val="center"/>
                </w:tcPr>
                <w:p w14:paraId="06A90B6B">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3276D725">
                  <w:pPr>
                    <w:autoSpaceDE w:val="0"/>
                    <w:autoSpaceDN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13002054">
                  <w:pPr>
                    <w:jc w:val="center"/>
                    <w:rPr>
                      <w:rFonts w:hint="eastAsia" w:cs="Times New Roman"/>
                      <w:color w:val="auto"/>
                      <w:szCs w:val="21"/>
                      <w:lang w:val="en-US" w:eastAsia="zh-CN"/>
                    </w:rPr>
                  </w:pPr>
                  <w:r>
                    <w:rPr>
                      <w:rFonts w:hint="eastAsia"/>
                      <w:color w:val="auto"/>
                      <w:szCs w:val="21"/>
                    </w:rPr>
                    <w:t>23.9</w:t>
                  </w:r>
                </w:p>
              </w:tc>
              <w:tc>
                <w:tcPr>
                  <w:tcW w:w="1119" w:type="dxa"/>
                  <w:tcBorders>
                    <w:top w:val="single" w:color="auto" w:sz="6" w:space="0"/>
                    <w:left w:val="nil"/>
                    <w:bottom w:val="single" w:color="auto" w:sz="6" w:space="0"/>
                    <w:right w:val="single" w:color="auto" w:sz="6" w:space="0"/>
                  </w:tcBorders>
                  <w:noWrap w:val="0"/>
                  <w:vAlign w:val="center"/>
                </w:tcPr>
                <w:p w14:paraId="59FC5A11">
                  <w:pPr>
                    <w:jc w:val="center"/>
                    <w:rPr>
                      <w:rFonts w:hint="eastAsia" w:cs="Times New Roman"/>
                      <w:color w:val="auto"/>
                      <w:szCs w:val="21"/>
                      <w:lang w:val="en-US" w:eastAsia="zh-CN"/>
                    </w:rPr>
                  </w:pPr>
                  <w:r>
                    <w:rPr>
                      <w:rFonts w:hint="eastAsia"/>
                      <w:color w:val="auto"/>
                      <w:szCs w:val="21"/>
                    </w:rPr>
                    <w:t>25.6</w:t>
                  </w:r>
                </w:p>
              </w:tc>
              <w:tc>
                <w:tcPr>
                  <w:tcW w:w="976" w:type="dxa"/>
                  <w:tcBorders>
                    <w:top w:val="single" w:color="auto" w:sz="6" w:space="0"/>
                    <w:left w:val="nil"/>
                    <w:bottom w:val="single" w:color="auto" w:sz="6" w:space="0"/>
                    <w:right w:val="single" w:color="auto" w:sz="6" w:space="0"/>
                  </w:tcBorders>
                  <w:noWrap w:val="0"/>
                  <w:vAlign w:val="center"/>
                </w:tcPr>
                <w:p w14:paraId="35C1215C">
                  <w:pPr>
                    <w:jc w:val="center"/>
                    <w:rPr>
                      <w:rFonts w:hint="eastAsia" w:cs="Times New Roman"/>
                      <w:color w:val="auto"/>
                      <w:szCs w:val="21"/>
                      <w:lang w:val="en-US" w:eastAsia="zh-CN"/>
                    </w:rPr>
                  </w:pPr>
                  <w:r>
                    <w:rPr>
                      <w:rFonts w:hint="eastAsia"/>
                      <w:color w:val="auto"/>
                      <w:szCs w:val="21"/>
                    </w:rPr>
                    <w:t>26.7</w:t>
                  </w:r>
                </w:p>
              </w:tc>
              <w:tc>
                <w:tcPr>
                  <w:tcW w:w="1864" w:type="dxa"/>
                  <w:tcBorders>
                    <w:left w:val="nil"/>
                    <w:bottom w:val="single" w:color="auto" w:sz="6" w:space="0"/>
                    <w:right w:val="single" w:color="auto" w:sz="6" w:space="0"/>
                  </w:tcBorders>
                  <w:noWrap w:val="0"/>
                  <w:vAlign w:val="center"/>
                </w:tcPr>
                <w:p w14:paraId="6E48FA23">
                  <w:pPr>
                    <w:jc w:val="center"/>
                    <w:rPr>
                      <w:color w:val="auto"/>
                      <w:szCs w:val="21"/>
                    </w:rPr>
                  </w:pPr>
                  <w:r>
                    <w:rPr>
                      <w:color w:val="auto"/>
                      <w:szCs w:val="21"/>
                    </w:rPr>
                    <w:t>东北面农村养猪猪舍</w:t>
                  </w:r>
                </w:p>
              </w:tc>
            </w:tr>
            <w:tr w14:paraId="2C8AE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restart"/>
                  <w:tcBorders>
                    <w:top w:val="nil"/>
                    <w:left w:val="single" w:color="auto" w:sz="6" w:space="0"/>
                    <w:bottom w:val="single" w:color="auto" w:sz="6" w:space="0"/>
                    <w:right w:val="single" w:color="auto" w:sz="6" w:space="0"/>
                  </w:tcBorders>
                  <w:noWrap w:val="0"/>
                  <w:vAlign w:val="center"/>
                </w:tcPr>
                <w:p w14:paraId="1FFDA6D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甲、乙类物品生产厂房、库房和甲、乙类液体储罐</w:t>
                  </w:r>
                </w:p>
              </w:tc>
              <w:tc>
                <w:tcPr>
                  <w:tcW w:w="854" w:type="dxa"/>
                  <w:tcBorders>
                    <w:top w:val="single" w:color="auto" w:sz="6" w:space="0"/>
                    <w:left w:val="nil"/>
                    <w:bottom w:val="single" w:color="auto" w:sz="6" w:space="0"/>
                    <w:right w:val="single" w:color="auto" w:sz="6" w:space="0"/>
                  </w:tcBorders>
                  <w:noWrap w:val="0"/>
                  <w:vAlign w:val="center"/>
                </w:tcPr>
                <w:p w14:paraId="621D8B2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227573CF">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12.5</w:t>
                  </w:r>
                </w:p>
              </w:tc>
              <w:tc>
                <w:tcPr>
                  <w:tcW w:w="1119" w:type="dxa"/>
                  <w:tcBorders>
                    <w:top w:val="single" w:color="auto" w:sz="6" w:space="0"/>
                    <w:left w:val="nil"/>
                    <w:bottom w:val="single" w:color="auto" w:sz="6" w:space="0"/>
                    <w:right w:val="single" w:color="auto" w:sz="6" w:space="0"/>
                  </w:tcBorders>
                  <w:noWrap w:val="0"/>
                  <w:vAlign w:val="center"/>
                </w:tcPr>
                <w:p w14:paraId="37087A05">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976" w:type="dxa"/>
                  <w:tcBorders>
                    <w:top w:val="single" w:color="auto" w:sz="6" w:space="0"/>
                    <w:left w:val="nil"/>
                    <w:bottom w:val="single" w:color="auto" w:sz="6" w:space="0"/>
                    <w:right w:val="single" w:color="auto" w:sz="6" w:space="0"/>
                  </w:tcBorders>
                  <w:noWrap w:val="0"/>
                  <w:vAlign w:val="center"/>
                </w:tcPr>
                <w:p w14:paraId="4569AC7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1864" w:type="dxa"/>
                  <w:tcBorders>
                    <w:top w:val="nil"/>
                    <w:left w:val="nil"/>
                    <w:bottom w:val="single" w:color="auto" w:sz="6" w:space="0"/>
                    <w:right w:val="single" w:color="auto" w:sz="6" w:space="0"/>
                  </w:tcBorders>
                  <w:noWrap w:val="0"/>
                  <w:vAlign w:val="center"/>
                </w:tcPr>
                <w:p w14:paraId="5286C30A">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05D17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continue"/>
                  <w:tcBorders>
                    <w:top w:val="nil"/>
                    <w:left w:val="single" w:color="auto" w:sz="6" w:space="0"/>
                    <w:bottom w:val="single" w:color="auto" w:sz="6" w:space="0"/>
                    <w:right w:val="single" w:color="auto" w:sz="6" w:space="0"/>
                  </w:tcBorders>
                  <w:noWrap w:val="0"/>
                  <w:vAlign w:val="center"/>
                </w:tcPr>
                <w:p w14:paraId="2EF16362">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70030BC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418F43CF">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609C771C">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15B8747D">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864" w:type="dxa"/>
                  <w:tcBorders>
                    <w:top w:val="nil"/>
                    <w:left w:val="nil"/>
                    <w:bottom w:val="single" w:color="auto" w:sz="6" w:space="0"/>
                    <w:right w:val="single" w:color="auto" w:sz="6" w:space="0"/>
                  </w:tcBorders>
                  <w:noWrap w:val="0"/>
                  <w:vAlign w:val="center"/>
                </w:tcPr>
                <w:p w14:paraId="12D3ED05">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69085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restart"/>
                  <w:tcBorders>
                    <w:top w:val="nil"/>
                    <w:left w:val="single" w:color="auto" w:sz="6" w:space="0"/>
                    <w:bottom w:val="single" w:color="auto" w:sz="6" w:space="0"/>
                    <w:right w:val="single" w:color="auto" w:sz="6" w:space="0"/>
                  </w:tcBorders>
                  <w:noWrap w:val="0"/>
                  <w:vAlign w:val="center"/>
                </w:tcPr>
                <w:p w14:paraId="3568BCA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丙、丁、戊类物品生产厂房、库房和丙类液体储罐，以及容积不大于50m³的埋地甲、乙类液体储罐</w:t>
                  </w:r>
                </w:p>
              </w:tc>
              <w:tc>
                <w:tcPr>
                  <w:tcW w:w="854" w:type="dxa"/>
                  <w:tcBorders>
                    <w:top w:val="single" w:color="auto" w:sz="6" w:space="0"/>
                    <w:left w:val="nil"/>
                    <w:bottom w:val="single" w:color="auto" w:sz="6" w:space="0"/>
                    <w:right w:val="single" w:color="auto" w:sz="6" w:space="0"/>
                  </w:tcBorders>
                  <w:noWrap w:val="0"/>
                  <w:vAlign w:val="center"/>
                </w:tcPr>
                <w:p w14:paraId="747A427E">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63BE6CB1">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10.5</w:t>
                  </w:r>
                </w:p>
              </w:tc>
              <w:tc>
                <w:tcPr>
                  <w:tcW w:w="1119" w:type="dxa"/>
                  <w:tcBorders>
                    <w:top w:val="single" w:color="auto" w:sz="6" w:space="0"/>
                    <w:left w:val="nil"/>
                    <w:bottom w:val="single" w:color="auto" w:sz="6" w:space="0"/>
                    <w:right w:val="single" w:color="auto" w:sz="6" w:space="0"/>
                  </w:tcBorders>
                  <w:noWrap w:val="0"/>
                  <w:vAlign w:val="center"/>
                </w:tcPr>
                <w:p w14:paraId="077DFF47">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10.5</w:t>
                  </w:r>
                </w:p>
              </w:tc>
              <w:tc>
                <w:tcPr>
                  <w:tcW w:w="976" w:type="dxa"/>
                  <w:tcBorders>
                    <w:top w:val="single" w:color="auto" w:sz="6" w:space="0"/>
                    <w:left w:val="nil"/>
                    <w:bottom w:val="single" w:color="auto" w:sz="6" w:space="0"/>
                    <w:right w:val="single" w:color="auto" w:sz="6" w:space="0"/>
                  </w:tcBorders>
                  <w:noWrap w:val="0"/>
                  <w:vAlign w:val="center"/>
                </w:tcPr>
                <w:p w14:paraId="1FC7AA3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10.5</w:t>
                  </w:r>
                </w:p>
              </w:tc>
              <w:tc>
                <w:tcPr>
                  <w:tcW w:w="1864" w:type="dxa"/>
                  <w:tcBorders>
                    <w:top w:val="nil"/>
                    <w:left w:val="nil"/>
                    <w:bottom w:val="single" w:color="auto" w:sz="6" w:space="0"/>
                    <w:right w:val="single" w:color="auto" w:sz="6" w:space="0"/>
                  </w:tcBorders>
                  <w:noWrap w:val="0"/>
                  <w:vAlign w:val="center"/>
                </w:tcPr>
                <w:p w14:paraId="3ACD0D2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3D863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continue"/>
                  <w:tcBorders>
                    <w:top w:val="nil"/>
                    <w:left w:val="single" w:color="auto" w:sz="6" w:space="0"/>
                    <w:bottom w:val="single" w:color="auto" w:sz="6" w:space="0"/>
                    <w:right w:val="single" w:color="auto" w:sz="6" w:space="0"/>
                  </w:tcBorders>
                  <w:noWrap w:val="0"/>
                  <w:vAlign w:val="center"/>
                </w:tcPr>
                <w:p w14:paraId="528F33BF">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43979B7A">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0BC8DA67">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6DA30616">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609D628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864" w:type="dxa"/>
                  <w:tcBorders>
                    <w:top w:val="nil"/>
                    <w:left w:val="nil"/>
                    <w:bottom w:val="single" w:color="auto" w:sz="6" w:space="0"/>
                    <w:right w:val="single" w:color="auto" w:sz="6" w:space="0"/>
                  </w:tcBorders>
                  <w:noWrap w:val="0"/>
                  <w:vAlign w:val="center"/>
                </w:tcPr>
                <w:p w14:paraId="6406F3D6">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6E3C8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restart"/>
                  <w:tcBorders>
                    <w:top w:val="nil"/>
                    <w:left w:val="single" w:color="auto" w:sz="6" w:space="0"/>
                    <w:bottom w:val="single" w:color="auto" w:sz="6" w:space="0"/>
                    <w:right w:val="single" w:color="auto" w:sz="6" w:space="0"/>
                  </w:tcBorders>
                  <w:noWrap w:val="0"/>
                  <w:vAlign w:val="center"/>
                </w:tcPr>
                <w:p w14:paraId="5D8DC069">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室外变配电站</w:t>
                  </w:r>
                </w:p>
              </w:tc>
              <w:tc>
                <w:tcPr>
                  <w:tcW w:w="854" w:type="dxa"/>
                  <w:tcBorders>
                    <w:top w:val="single" w:color="auto" w:sz="6" w:space="0"/>
                    <w:left w:val="nil"/>
                    <w:bottom w:val="single" w:color="auto" w:sz="6" w:space="0"/>
                    <w:right w:val="single" w:color="auto" w:sz="6" w:space="0"/>
                  </w:tcBorders>
                  <w:noWrap w:val="0"/>
                  <w:vAlign w:val="center"/>
                </w:tcPr>
                <w:p w14:paraId="0AE2DB8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78B39EAC">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12.5</w:t>
                  </w:r>
                </w:p>
              </w:tc>
              <w:tc>
                <w:tcPr>
                  <w:tcW w:w="1119" w:type="dxa"/>
                  <w:tcBorders>
                    <w:top w:val="single" w:color="auto" w:sz="6" w:space="0"/>
                    <w:left w:val="nil"/>
                    <w:bottom w:val="single" w:color="auto" w:sz="6" w:space="0"/>
                    <w:right w:val="single" w:color="auto" w:sz="6" w:space="0"/>
                  </w:tcBorders>
                  <w:noWrap w:val="0"/>
                  <w:vAlign w:val="center"/>
                </w:tcPr>
                <w:p w14:paraId="69B0C07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976" w:type="dxa"/>
                  <w:tcBorders>
                    <w:top w:val="single" w:color="auto" w:sz="6" w:space="0"/>
                    <w:left w:val="nil"/>
                    <w:bottom w:val="single" w:color="auto" w:sz="6" w:space="0"/>
                    <w:right w:val="single" w:color="auto" w:sz="6" w:space="0"/>
                  </w:tcBorders>
                  <w:noWrap w:val="0"/>
                  <w:vAlign w:val="center"/>
                </w:tcPr>
                <w:p w14:paraId="089678F8">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1864" w:type="dxa"/>
                  <w:tcBorders>
                    <w:top w:val="single" w:color="auto" w:sz="6" w:space="0"/>
                    <w:left w:val="nil"/>
                    <w:bottom w:val="single" w:color="auto" w:sz="6" w:space="0"/>
                    <w:right w:val="single" w:color="auto" w:sz="6" w:space="0"/>
                  </w:tcBorders>
                  <w:noWrap w:val="0"/>
                  <w:vAlign w:val="center"/>
                </w:tcPr>
                <w:p w14:paraId="4196075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5E8B8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continue"/>
                  <w:tcBorders>
                    <w:top w:val="nil"/>
                    <w:left w:val="single" w:color="auto" w:sz="6" w:space="0"/>
                    <w:bottom w:val="single" w:color="auto" w:sz="6" w:space="0"/>
                    <w:right w:val="single" w:color="auto" w:sz="6" w:space="0"/>
                  </w:tcBorders>
                  <w:noWrap w:val="0"/>
                  <w:vAlign w:val="center"/>
                </w:tcPr>
                <w:p w14:paraId="526978D5">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01B48723">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72D2AA1A">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12442963">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47294EEE">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864" w:type="dxa"/>
                  <w:tcBorders>
                    <w:top w:val="single" w:color="auto" w:sz="6" w:space="0"/>
                    <w:left w:val="nil"/>
                    <w:bottom w:val="single" w:color="auto" w:sz="6" w:space="0"/>
                    <w:right w:val="single" w:color="auto" w:sz="6" w:space="0"/>
                  </w:tcBorders>
                  <w:noWrap w:val="0"/>
                  <w:vAlign w:val="center"/>
                </w:tcPr>
                <w:p w14:paraId="608DE378">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4D86C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restart"/>
                  <w:tcBorders>
                    <w:top w:val="nil"/>
                    <w:left w:val="single" w:color="auto" w:sz="6" w:space="0"/>
                    <w:bottom w:val="single" w:color="auto" w:sz="6" w:space="0"/>
                    <w:right w:val="single" w:color="auto" w:sz="6" w:space="0"/>
                  </w:tcBorders>
                  <w:noWrap w:val="0"/>
                  <w:vAlign w:val="center"/>
                </w:tcPr>
                <w:p w14:paraId="3BB9B7AA">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铁 路</w:t>
                  </w:r>
                </w:p>
              </w:tc>
              <w:tc>
                <w:tcPr>
                  <w:tcW w:w="854" w:type="dxa"/>
                  <w:tcBorders>
                    <w:top w:val="single" w:color="auto" w:sz="6" w:space="0"/>
                    <w:left w:val="nil"/>
                    <w:bottom w:val="single" w:color="auto" w:sz="6" w:space="0"/>
                    <w:right w:val="single" w:color="auto" w:sz="6" w:space="0"/>
                  </w:tcBorders>
                  <w:noWrap w:val="0"/>
                  <w:vAlign w:val="center"/>
                </w:tcPr>
                <w:p w14:paraId="3D6FBC3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128E70CF">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15.5</w:t>
                  </w:r>
                </w:p>
              </w:tc>
              <w:tc>
                <w:tcPr>
                  <w:tcW w:w="1119" w:type="dxa"/>
                  <w:tcBorders>
                    <w:top w:val="single" w:color="auto" w:sz="6" w:space="0"/>
                    <w:left w:val="nil"/>
                    <w:bottom w:val="single" w:color="auto" w:sz="6" w:space="0"/>
                    <w:right w:val="single" w:color="auto" w:sz="6" w:space="0"/>
                  </w:tcBorders>
                  <w:noWrap w:val="0"/>
                  <w:vAlign w:val="center"/>
                </w:tcPr>
                <w:p w14:paraId="21C54536">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15.5</w:t>
                  </w:r>
                </w:p>
              </w:tc>
              <w:tc>
                <w:tcPr>
                  <w:tcW w:w="976" w:type="dxa"/>
                  <w:tcBorders>
                    <w:top w:val="single" w:color="auto" w:sz="6" w:space="0"/>
                    <w:left w:val="nil"/>
                    <w:bottom w:val="single" w:color="auto" w:sz="6" w:space="0"/>
                    <w:right w:val="single" w:color="auto" w:sz="6" w:space="0"/>
                  </w:tcBorders>
                  <w:noWrap w:val="0"/>
                  <w:vAlign w:val="center"/>
                </w:tcPr>
                <w:p w14:paraId="7CCCA34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15.5</w:t>
                  </w:r>
                </w:p>
              </w:tc>
              <w:tc>
                <w:tcPr>
                  <w:tcW w:w="1864" w:type="dxa"/>
                  <w:tcBorders>
                    <w:top w:val="single" w:color="auto" w:sz="6" w:space="0"/>
                    <w:left w:val="nil"/>
                    <w:bottom w:val="single" w:color="auto" w:sz="6" w:space="0"/>
                    <w:right w:val="single" w:color="auto" w:sz="6" w:space="0"/>
                  </w:tcBorders>
                  <w:noWrap w:val="0"/>
                  <w:vAlign w:val="center"/>
                </w:tcPr>
                <w:p w14:paraId="2C3A36E8">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025B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continue"/>
                  <w:tcBorders>
                    <w:top w:val="nil"/>
                    <w:left w:val="single" w:color="auto" w:sz="6" w:space="0"/>
                    <w:bottom w:val="single" w:color="auto" w:sz="6" w:space="0"/>
                    <w:right w:val="single" w:color="auto" w:sz="6" w:space="0"/>
                  </w:tcBorders>
                  <w:noWrap w:val="0"/>
                  <w:vAlign w:val="center"/>
                </w:tcPr>
                <w:p w14:paraId="43E18BFA">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75978A3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5E3D784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702BBB23">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0D9A2F2C">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864" w:type="dxa"/>
                  <w:tcBorders>
                    <w:top w:val="single" w:color="auto" w:sz="6" w:space="0"/>
                    <w:left w:val="nil"/>
                    <w:bottom w:val="single" w:color="auto" w:sz="6" w:space="0"/>
                    <w:right w:val="single" w:color="auto" w:sz="6" w:space="0"/>
                  </w:tcBorders>
                  <w:noWrap w:val="0"/>
                  <w:vAlign w:val="center"/>
                </w:tcPr>
                <w:p w14:paraId="5379A91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77C21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restart"/>
                  <w:tcBorders>
                    <w:top w:val="nil"/>
                    <w:left w:val="single" w:color="auto" w:sz="6" w:space="0"/>
                    <w:bottom w:val="single" w:color="auto" w:sz="6" w:space="0"/>
                    <w:right w:val="single" w:color="auto" w:sz="6" w:space="0"/>
                  </w:tcBorders>
                  <w:noWrap w:val="0"/>
                  <w:vAlign w:val="center"/>
                </w:tcPr>
                <w:p w14:paraId="744A41BD">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城市道路</w:t>
                  </w:r>
                </w:p>
              </w:tc>
              <w:tc>
                <w:tcPr>
                  <w:tcW w:w="1430" w:type="dxa"/>
                  <w:vMerge w:val="restart"/>
                  <w:tcBorders>
                    <w:top w:val="nil"/>
                    <w:left w:val="nil"/>
                    <w:right w:val="single" w:color="auto" w:sz="6" w:space="0"/>
                  </w:tcBorders>
                  <w:noWrap w:val="0"/>
                  <w:vAlign w:val="center"/>
                </w:tcPr>
                <w:p w14:paraId="2DF1B80C">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快速路、主干路</w:t>
                  </w:r>
                </w:p>
              </w:tc>
              <w:tc>
                <w:tcPr>
                  <w:tcW w:w="854" w:type="dxa"/>
                  <w:tcBorders>
                    <w:top w:val="single" w:color="auto" w:sz="6" w:space="0"/>
                    <w:left w:val="nil"/>
                    <w:bottom w:val="single" w:color="auto" w:sz="6" w:space="0"/>
                    <w:right w:val="single" w:color="auto" w:sz="6" w:space="0"/>
                  </w:tcBorders>
                  <w:noWrap w:val="0"/>
                  <w:vAlign w:val="center"/>
                </w:tcPr>
                <w:p w14:paraId="37D8498D">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2BAFAAA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5.5</w:t>
                  </w:r>
                </w:p>
              </w:tc>
              <w:tc>
                <w:tcPr>
                  <w:tcW w:w="1119" w:type="dxa"/>
                  <w:tcBorders>
                    <w:top w:val="single" w:color="auto" w:sz="6" w:space="0"/>
                    <w:left w:val="nil"/>
                    <w:bottom w:val="single" w:color="auto" w:sz="6" w:space="0"/>
                    <w:right w:val="single" w:color="auto" w:sz="6" w:space="0"/>
                  </w:tcBorders>
                  <w:noWrap w:val="0"/>
                  <w:vAlign w:val="center"/>
                </w:tcPr>
                <w:p w14:paraId="0ED4C15F">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976" w:type="dxa"/>
                  <w:tcBorders>
                    <w:top w:val="single" w:color="auto" w:sz="6" w:space="0"/>
                    <w:left w:val="nil"/>
                    <w:bottom w:val="single" w:color="auto" w:sz="6" w:space="0"/>
                    <w:right w:val="single" w:color="auto" w:sz="6" w:space="0"/>
                  </w:tcBorders>
                  <w:noWrap w:val="0"/>
                  <w:vAlign w:val="center"/>
                </w:tcPr>
                <w:p w14:paraId="6026AB58">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864" w:type="dxa"/>
                  <w:tcBorders>
                    <w:top w:val="single" w:color="auto" w:sz="6" w:space="0"/>
                    <w:left w:val="nil"/>
                    <w:bottom w:val="single" w:color="auto" w:sz="6" w:space="0"/>
                    <w:right w:val="single" w:color="auto" w:sz="6" w:space="0"/>
                  </w:tcBorders>
                  <w:noWrap w:val="0"/>
                  <w:vAlign w:val="center"/>
                </w:tcPr>
                <w:p w14:paraId="3FB049FC">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574CA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146" w:type="dxa"/>
                  <w:vMerge w:val="continue"/>
                  <w:tcBorders>
                    <w:top w:val="nil"/>
                    <w:left w:val="single" w:color="auto" w:sz="6" w:space="0"/>
                    <w:bottom w:val="single" w:color="auto" w:sz="6" w:space="0"/>
                    <w:right w:val="single" w:color="auto" w:sz="6" w:space="0"/>
                  </w:tcBorders>
                  <w:noWrap w:val="0"/>
                  <w:vAlign w:val="center"/>
                </w:tcPr>
                <w:p w14:paraId="5C35C201">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54BCB452">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right w:val="single" w:color="auto" w:sz="6" w:space="0"/>
                  </w:tcBorders>
                  <w:noWrap w:val="0"/>
                  <w:vAlign w:val="center"/>
                </w:tcPr>
                <w:p w14:paraId="5FDBCF76">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right w:val="single" w:color="auto" w:sz="6" w:space="0"/>
                  </w:tcBorders>
                  <w:noWrap w:val="0"/>
                  <w:vAlign w:val="center"/>
                </w:tcPr>
                <w:p w14:paraId="722072A0">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lang w:val="en-US" w:eastAsia="zh-CN"/>
                    </w:rPr>
                    <w:t>12.14</w:t>
                  </w:r>
                </w:p>
              </w:tc>
              <w:tc>
                <w:tcPr>
                  <w:tcW w:w="1119" w:type="dxa"/>
                  <w:tcBorders>
                    <w:top w:val="single" w:color="auto" w:sz="6" w:space="0"/>
                    <w:left w:val="nil"/>
                    <w:right w:val="single" w:color="auto" w:sz="6" w:space="0"/>
                  </w:tcBorders>
                  <w:noWrap w:val="0"/>
                  <w:vAlign w:val="center"/>
                </w:tcPr>
                <w:p w14:paraId="4C74B9DD">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lang w:val="en-US" w:eastAsia="zh-CN"/>
                    </w:rPr>
                    <w:t>20.87</w:t>
                  </w:r>
                </w:p>
              </w:tc>
              <w:tc>
                <w:tcPr>
                  <w:tcW w:w="976" w:type="dxa"/>
                  <w:tcBorders>
                    <w:top w:val="single" w:color="auto" w:sz="6" w:space="0"/>
                    <w:left w:val="nil"/>
                    <w:right w:val="single" w:color="auto" w:sz="6" w:space="0"/>
                  </w:tcBorders>
                  <w:noWrap w:val="0"/>
                  <w:vAlign w:val="center"/>
                </w:tcPr>
                <w:p w14:paraId="7BCFA0F5">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lang w:val="en-US" w:eastAsia="zh-CN"/>
                    </w:rPr>
                    <w:t>10.15</w:t>
                  </w:r>
                </w:p>
              </w:tc>
              <w:tc>
                <w:tcPr>
                  <w:tcW w:w="1864" w:type="dxa"/>
                  <w:tcBorders>
                    <w:top w:val="single" w:color="auto" w:sz="6" w:space="0"/>
                    <w:left w:val="nil"/>
                    <w:bottom w:val="single" w:color="auto" w:sz="6" w:space="0"/>
                    <w:right w:val="single" w:color="auto" w:sz="6" w:space="0"/>
                  </w:tcBorders>
                  <w:noWrap w:val="0"/>
                  <w:vAlign w:val="center"/>
                </w:tcPr>
                <w:p w14:paraId="1AF63F64">
                  <w:pPr>
                    <w:widowControl/>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西</w:t>
                  </w:r>
                  <w:r>
                    <w:rPr>
                      <w:rFonts w:hint="default" w:ascii="Times New Roman" w:hAnsi="Times New Roman" w:eastAsia="宋体" w:cs="Times New Roman"/>
                      <w:color w:val="auto"/>
                      <w:szCs w:val="21"/>
                      <w:lang w:val="en-US" w:eastAsia="zh-CN"/>
                    </w:rPr>
                    <w:t>侧</w:t>
                  </w:r>
                  <w:r>
                    <w:rPr>
                      <w:rFonts w:hint="eastAsia" w:cs="Times New Roman"/>
                      <w:color w:val="auto"/>
                      <w:szCs w:val="21"/>
                      <w:lang w:val="en-US" w:eastAsia="zh-CN"/>
                    </w:rPr>
                    <w:t>G213国道</w:t>
                  </w:r>
                </w:p>
              </w:tc>
            </w:tr>
            <w:tr w14:paraId="77CA5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top w:val="nil"/>
                    <w:left w:val="single" w:color="auto" w:sz="6" w:space="0"/>
                    <w:bottom w:val="single" w:color="auto" w:sz="6" w:space="0"/>
                    <w:right w:val="single" w:color="auto" w:sz="6" w:space="0"/>
                  </w:tcBorders>
                  <w:noWrap w:val="0"/>
                  <w:vAlign w:val="center"/>
                </w:tcPr>
                <w:p w14:paraId="610BC6CD">
                  <w:pPr>
                    <w:widowControl/>
                    <w:spacing w:line="240" w:lineRule="auto"/>
                    <w:jc w:val="left"/>
                    <w:rPr>
                      <w:rFonts w:hint="default" w:ascii="Times New Roman" w:hAnsi="Times New Roman" w:cs="Times New Roman"/>
                      <w:color w:val="auto"/>
                      <w:szCs w:val="21"/>
                    </w:rPr>
                  </w:pPr>
                </w:p>
              </w:tc>
              <w:tc>
                <w:tcPr>
                  <w:tcW w:w="1430" w:type="dxa"/>
                  <w:vMerge w:val="restart"/>
                  <w:tcBorders>
                    <w:top w:val="nil"/>
                    <w:left w:val="nil"/>
                    <w:bottom w:val="single" w:color="auto" w:sz="6" w:space="0"/>
                    <w:right w:val="single" w:color="auto" w:sz="6" w:space="0"/>
                  </w:tcBorders>
                  <w:noWrap w:val="0"/>
                  <w:vAlign w:val="center"/>
                </w:tcPr>
                <w:p w14:paraId="36C056C6">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次干路、支路</w:t>
                  </w:r>
                </w:p>
              </w:tc>
              <w:tc>
                <w:tcPr>
                  <w:tcW w:w="854" w:type="dxa"/>
                  <w:tcBorders>
                    <w:top w:val="single" w:color="auto" w:sz="6" w:space="0"/>
                    <w:left w:val="nil"/>
                    <w:bottom w:val="single" w:color="auto" w:sz="6" w:space="0"/>
                    <w:right w:val="single" w:color="auto" w:sz="6" w:space="0"/>
                  </w:tcBorders>
                  <w:noWrap w:val="0"/>
                  <w:vAlign w:val="center"/>
                </w:tcPr>
                <w:p w14:paraId="5976795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3ADB3026">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119" w:type="dxa"/>
                  <w:tcBorders>
                    <w:top w:val="single" w:color="auto" w:sz="6" w:space="0"/>
                    <w:left w:val="nil"/>
                    <w:bottom w:val="single" w:color="auto" w:sz="6" w:space="0"/>
                    <w:right w:val="single" w:color="auto" w:sz="6" w:space="0"/>
                  </w:tcBorders>
                  <w:noWrap w:val="0"/>
                  <w:vAlign w:val="center"/>
                </w:tcPr>
                <w:p w14:paraId="450E75E3">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976" w:type="dxa"/>
                  <w:tcBorders>
                    <w:top w:val="single" w:color="auto" w:sz="6" w:space="0"/>
                    <w:left w:val="nil"/>
                    <w:bottom w:val="single" w:color="auto" w:sz="6" w:space="0"/>
                    <w:right w:val="single" w:color="auto" w:sz="6" w:space="0"/>
                  </w:tcBorders>
                  <w:noWrap w:val="0"/>
                  <w:vAlign w:val="center"/>
                </w:tcPr>
                <w:p w14:paraId="66D76A56">
                  <w:pPr>
                    <w:autoSpaceDE w:val="0"/>
                    <w:autoSpaceDN w:val="0"/>
                    <w:spacing w:line="240" w:lineRule="auto"/>
                    <w:ind w:right="-172" w:rightChars="-82" w:firstLine="210" w:firstLineChars="100"/>
                    <w:jc w:val="both"/>
                    <w:rPr>
                      <w:rFonts w:hint="default" w:ascii="Times New Roman" w:hAnsi="Times New Roman" w:cs="Times New Roman"/>
                      <w:color w:val="auto"/>
                      <w:szCs w:val="21"/>
                    </w:rPr>
                  </w:pPr>
                  <w:r>
                    <w:rPr>
                      <w:rFonts w:hint="default" w:ascii="Times New Roman" w:hAnsi="Times New Roman" w:cs="Times New Roman"/>
                      <w:color w:val="auto"/>
                    </w:rPr>
                    <w:t>5</w:t>
                  </w:r>
                </w:p>
              </w:tc>
              <w:tc>
                <w:tcPr>
                  <w:tcW w:w="1864" w:type="dxa"/>
                  <w:tcBorders>
                    <w:top w:val="single" w:color="auto" w:sz="6" w:space="0"/>
                    <w:left w:val="nil"/>
                    <w:right w:val="single" w:color="auto" w:sz="6" w:space="0"/>
                  </w:tcBorders>
                  <w:noWrap w:val="0"/>
                  <w:vAlign w:val="center"/>
                </w:tcPr>
                <w:p w14:paraId="780E379C">
                  <w:pPr>
                    <w:autoSpaceDE w:val="0"/>
                    <w:autoSpaceDN w:val="0"/>
                    <w:spacing w:line="240" w:lineRule="auto"/>
                    <w:ind w:right="-172" w:rightChars="-82"/>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438C3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top w:val="nil"/>
                    <w:left w:val="single" w:color="auto" w:sz="6" w:space="0"/>
                    <w:bottom w:val="single" w:color="auto" w:sz="6" w:space="0"/>
                    <w:right w:val="single" w:color="auto" w:sz="6" w:space="0"/>
                  </w:tcBorders>
                  <w:noWrap w:val="0"/>
                  <w:vAlign w:val="center"/>
                </w:tcPr>
                <w:p w14:paraId="287B58DF">
                  <w:pPr>
                    <w:widowControl/>
                    <w:spacing w:line="240" w:lineRule="auto"/>
                    <w:jc w:val="left"/>
                    <w:rPr>
                      <w:rFonts w:hint="default" w:ascii="Times New Roman" w:hAnsi="Times New Roman" w:cs="Times New Roman"/>
                      <w:color w:val="auto"/>
                      <w:szCs w:val="21"/>
                    </w:rPr>
                  </w:pPr>
                </w:p>
              </w:tc>
              <w:tc>
                <w:tcPr>
                  <w:tcW w:w="1430" w:type="dxa"/>
                  <w:vMerge w:val="continue"/>
                  <w:tcBorders>
                    <w:top w:val="nil"/>
                    <w:left w:val="nil"/>
                    <w:bottom w:val="single" w:color="auto" w:sz="6" w:space="0"/>
                    <w:right w:val="single" w:color="auto" w:sz="6" w:space="0"/>
                  </w:tcBorders>
                  <w:noWrap w:val="0"/>
                  <w:vAlign w:val="center"/>
                </w:tcPr>
                <w:p w14:paraId="08BD605C">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7A6E2FBE">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4F8E6E14">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48EBCAFA">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2102AF5B">
                  <w:pPr>
                    <w:autoSpaceDE w:val="0"/>
                    <w:autoSpaceDN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864" w:type="dxa"/>
                  <w:tcBorders>
                    <w:left w:val="nil"/>
                    <w:bottom w:val="single" w:color="auto" w:sz="6" w:space="0"/>
                    <w:right w:val="single" w:color="auto" w:sz="6" w:space="0"/>
                  </w:tcBorders>
                  <w:noWrap w:val="0"/>
                  <w:vAlign w:val="center"/>
                </w:tcPr>
                <w:p w14:paraId="1884C57C">
                  <w:pPr>
                    <w:autoSpaceDE w:val="0"/>
                    <w:autoSpaceDN w:val="0"/>
                    <w:spacing w:line="240" w:lineRule="auto"/>
                    <w:ind w:right="-172" w:rightChars="-82"/>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743D1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restart"/>
                  <w:tcBorders>
                    <w:top w:val="nil"/>
                    <w:left w:val="single" w:color="auto" w:sz="6" w:space="0"/>
                    <w:bottom w:val="single" w:color="auto" w:sz="6" w:space="0"/>
                    <w:right w:val="single" w:color="auto" w:sz="6" w:space="0"/>
                  </w:tcBorders>
                  <w:noWrap w:val="0"/>
                  <w:vAlign w:val="center"/>
                </w:tcPr>
                <w:p w14:paraId="58B78E9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架空通信线</w:t>
                  </w:r>
                </w:p>
              </w:tc>
              <w:tc>
                <w:tcPr>
                  <w:tcW w:w="854" w:type="dxa"/>
                  <w:tcBorders>
                    <w:top w:val="single" w:color="auto" w:sz="6" w:space="0"/>
                    <w:left w:val="nil"/>
                    <w:bottom w:val="single" w:color="auto" w:sz="6" w:space="0"/>
                    <w:right w:val="single" w:color="auto" w:sz="6" w:space="0"/>
                  </w:tcBorders>
                  <w:noWrap w:val="0"/>
                  <w:vAlign w:val="center"/>
                </w:tcPr>
                <w:p w14:paraId="7BA5936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24578397">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119" w:type="dxa"/>
                  <w:tcBorders>
                    <w:top w:val="single" w:color="auto" w:sz="6" w:space="0"/>
                    <w:left w:val="nil"/>
                    <w:bottom w:val="single" w:color="auto" w:sz="6" w:space="0"/>
                    <w:right w:val="single" w:color="auto" w:sz="6" w:space="0"/>
                  </w:tcBorders>
                  <w:noWrap w:val="0"/>
                  <w:vAlign w:val="center"/>
                </w:tcPr>
                <w:p w14:paraId="051EB42C">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976" w:type="dxa"/>
                  <w:tcBorders>
                    <w:top w:val="single" w:color="auto" w:sz="6" w:space="0"/>
                    <w:left w:val="nil"/>
                    <w:bottom w:val="single" w:color="auto" w:sz="6" w:space="0"/>
                    <w:right w:val="single" w:color="auto" w:sz="6" w:space="0"/>
                  </w:tcBorders>
                  <w:noWrap w:val="0"/>
                  <w:vAlign w:val="center"/>
                </w:tcPr>
                <w:p w14:paraId="55199EC0">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864" w:type="dxa"/>
                  <w:tcBorders>
                    <w:top w:val="single" w:color="auto" w:sz="6" w:space="0"/>
                    <w:left w:val="nil"/>
                    <w:bottom w:val="single" w:color="auto" w:sz="4" w:space="0"/>
                    <w:right w:val="single" w:color="auto" w:sz="6" w:space="0"/>
                  </w:tcBorders>
                  <w:noWrap w:val="0"/>
                  <w:vAlign w:val="center"/>
                </w:tcPr>
                <w:p w14:paraId="70D06EEB">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1662F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576" w:type="dxa"/>
                  <w:gridSpan w:val="2"/>
                  <w:vMerge w:val="continue"/>
                  <w:tcBorders>
                    <w:top w:val="nil"/>
                    <w:left w:val="single" w:color="auto" w:sz="6" w:space="0"/>
                    <w:bottom w:val="single" w:color="auto" w:sz="6" w:space="0"/>
                    <w:right w:val="single" w:color="auto" w:sz="6" w:space="0"/>
                  </w:tcBorders>
                  <w:noWrap w:val="0"/>
                  <w:vAlign w:val="center"/>
                </w:tcPr>
                <w:p w14:paraId="60ED2B0A">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1107B879">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3ECCED2A">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7607B534">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376A33E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864" w:type="dxa"/>
                  <w:tcBorders>
                    <w:top w:val="single" w:color="auto" w:sz="4" w:space="0"/>
                    <w:left w:val="nil"/>
                    <w:bottom w:val="single" w:color="auto" w:sz="6" w:space="0"/>
                    <w:right w:val="single" w:color="auto" w:sz="6" w:space="0"/>
                  </w:tcBorders>
                  <w:noWrap w:val="0"/>
                  <w:vAlign w:val="center"/>
                </w:tcPr>
                <w:p w14:paraId="3554EF69">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42345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restart"/>
                  <w:tcBorders>
                    <w:top w:val="nil"/>
                    <w:left w:val="single" w:color="auto" w:sz="6" w:space="0"/>
                    <w:right w:val="single" w:color="auto" w:sz="6" w:space="0"/>
                  </w:tcBorders>
                  <w:noWrap w:val="0"/>
                  <w:vAlign w:val="center"/>
                </w:tcPr>
                <w:p w14:paraId="16A80F12">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架空电力线路</w:t>
                  </w:r>
                </w:p>
              </w:tc>
              <w:tc>
                <w:tcPr>
                  <w:tcW w:w="1430" w:type="dxa"/>
                  <w:vMerge w:val="restart"/>
                  <w:tcBorders>
                    <w:top w:val="nil"/>
                    <w:left w:val="nil"/>
                    <w:right w:val="single" w:color="auto" w:sz="6" w:space="0"/>
                  </w:tcBorders>
                  <w:noWrap w:val="0"/>
                  <w:vAlign w:val="center"/>
                </w:tcPr>
                <w:p w14:paraId="4BA5C0FC">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无绝缘层</w:t>
                  </w:r>
                </w:p>
              </w:tc>
              <w:tc>
                <w:tcPr>
                  <w:tcW w:w="854" w:type="dxa"/>
                  <w:tcBorders>
                    <w:top w:val="single" w:color="auto" w:sz="6" w:space="0"/>
                    <w:left w:val="nil"/>
                    <w:bottom w:val="single" w:color="auto" w:sz="6" w:space="0"/>
                    <w:right w:val="single" w:color="auto" w:sz="6" w:space="0"/>
                  </w:tcBorders>
                  <w:noWrap w:val="0"/>
                  <w:vAlign w:val="center"/>
                </w:tcPr>
                <w:p w14:paraId="0600AFB6">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00BF6320">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6.5</w:t>
                  </w:r>
                </w:p>
              </w:tc>
              <w:tc>
                <w:tcPr>
                  <w:tcW w:w="1119" w:type="dxa"/>
                  <w:tcBorders>
                    <w:top w:val="single" w:color="auto" w:sz="6" w:space="0"/>
                    <w:left w:val="nil"/>
                    <w:bottom w:val="single" w:color="auto" w:sz="6" w:space="0"/>
                    <w:right w:val="single" w:color="auto" w:sz="6" w:space="0"/>
                  </w:tcBorders>
                  <w:noWrap w:val="0"/>
                  <w:vAlign w:val="center"/>
                </w:tcPr>
                <w:p w14:paraId="64EBB95C">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6.5</w:t>
                  </w:r>
                </w:p>
              </w:tc>
              <w:tc>
                <w:tcPr>
                  <w:tcW w:w="976" w:type="dxa"/>
                  <w:tcBorders>
                    <w:top w:val="single" w:color="auto" w:sz="6" w:space="0"/>
                    <w:left w:val="nil"/>
                    <w:bottom w:val="single" w:color="auto" w:sz="6" w:space="0"/>
                    <w:right w:val="single" w:color="auto" w:sz="6" w:space="0"/>
                  </w:tcBorders>
                  <w:noWrap w:val="0"/>
                  <w:vAlign w:val="center"/>
                </w:tcPr>
                <w:p w14:paraId="2A010CEF">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6.5</w:t>
                  </w:r>
                </w:p>
              </w:tc>
              <w:tc>
                <w:tcPr>
                  <w:tcW w:w="1864" w:type="dxa"/>
                  <w:tcBorders>
                    <w:top w:val="single" w:color="auto" w:sz="6" w:space="0"/>
                    <w:left w:val="nil"/>
                    <w:bottom w:val="single" w:color="auto" w:sz="6" w:space="0"/>
                    <w:right w:val="single" w:color="auto" w:sz="6" w:space="0"/>
                  </w:tcBorders>
                  <w:noWrap w:val="0"/>
                  <w:vAlign w:val="center"/>
                </w:tcPr>
                <w:p w14:paraId="48EE7A39">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17ED9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4361135C">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299D7654">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23FE0C85">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3D25A010">
                  <w:pPr>
                    <w:jc w:val="center"/>
                    <w:rPr>
                      <w:rFonts w:hint="default" w:ascii="Times New Roman" w:hAnsi="Times New Roman" w:cs="Times New Roman"/>
                      <w:color w:val="auto"/>
                      <w:szCs w:val="21"/>
                    </w:rPr>
                  </w:pPr>
                  <w:r>
                    <w:rPr>
                      <w:rFonts w:hint="eastAsia"/>
                      <w:color w:val="auto"/>
                      <w:szCs w:val="21"/>
                    </w:rPr>
                    <w:t>19.4</w:t>
                  </w:r>
                </w:p>
              </w:tc>
              <w:tc>
                <w:tcPr>
                  <w:tcW w:w="1119" w:type="dxa"/>
                  <w:tcBorders>
                    <w:top w:val="single" w:color="auto" w:sz="6" w:space="0"/>
                    <w:left w:val="nil"/>
                    <w:bottom w:val="single" w:color="auto" w:sz="6" w:space="0"/>
                    <w:right w:val="single" w:color="auto" w:sz="6" w:space="0"/>
                  </w:tcBorders>
                  <w:noWrap w:val="0"/>
                  <w:vAlign w:val="center"/>
                </w:tcPr>
                <w:p w14:paraId="69DA4756">
                  <w:pPr>
                    <w:jc w:val="center"/>
                    <w:rPr>
                      <w:rFonts w:hint="default" w:ascii="Times New Roman" w:hAnsi="Times New Roman" w:cs="Times New Roman"/>
                      <w:color w:val="auto"/>
                      <w:szCs w:val="21"/>
                    </w:rPr>
                  </w:pPr>
                  <w:r>
                    <w:rPr>
                      <w:color w:val="auto"/>
                      <w:szCs w:val="21"/>
                    </w:rPr>
                    <w:t>2</w:t>
                  </w:r>
                  <w:r>
                    <w:rPr>
                      <w:rFonts w:hint="eastAsia"/>
                      <w:color w:val="auto"/>
                      <w:szCs w:val="21"/>
                    </w:rPr>
                    <w:t>8.6</w:t>
                  </w:r>
                </w:p>
              </w:tc>
              <w:tc>
                <w:tcPr>
                  <w:tcW w:w="976" w:type="dxa"/>
                  <w:tcBorders>
                    <w:top w:val="single" w:color="auto" w:sz="6" w:space="0"/>
                    <w:left w:val="nil"/>
                    <w:bottom w:val="single" w:color="auto" w:sz="6" w:space="0"/>
                    <w:right w:val="single" w:color="auto" w:sz="6" w:space="0"/>
                  </w:tcBorders>
                  <w:noWrap w:val="0"/>
                  <w:vAlign w:val="center"/>
                </w:tcPr>
                <w:p w14:paraId="51223939">
                  <w:pPr>
                    <w:jc w:val="center"/>
                    <w:rPr>
                      <w:rFonts w:hint="default" w:ascii="Times New Roman" w:hAnsi="Times New Roman" w:cs="Times New Roman"/>
                      <w:color w:val="auto"/>
                      <w:szCs w:val="21"/>
                    </w:rPr>
                  </w:pPr>
                  <w:r>
                    <w:rPr>
                      <w:rFonts w:hint="eastAsia"/>
                      <w:color w:val="auto"/>
                      <w:szCs w:val="21"/>
                    </w:rPr>
                    <w:t>16.8</w:t>
                  </w:r>
                </w:p>
              </w:tc>
              <w:tc>
                <w:tcPr>
                  <w:tcW w:w="1864" w:type="dxa"/>
                  <w:tcBorders>
                    <w:top w:val="single" w:color="auto" w:sz="6" w:space="0"/>
                    <w:left w:val="nil"/>
                    <w:bottom w:val="single" w:color="auto" w:sz="6" w:space="0"/>
                    <w:right w:val="single" w:color="auto" w:sz="6" w:space="0"/>
                  </w:tcBorders>
                  <w:noWrap w:val="0"/>
                  <w:vAlign w:val="center"/>
                </w:tcPr>
                <w:p w14:paraId="120615C7">
                  <w:pPr>
                    <w:jc w:val="center"/>
                    <w:rPr>
                      <w:rFonts w:hint="default" w:ascii="Times New Roman" w:hAnsi="Times New Roman" w:cs="Times New Roman"/>
                      <w:color w:val="auto"/>
                      <w:szCs w:val="21"/>
                    </w:rPr>
                  </w:pPr>
                  <w:r>
                    <w:rPr>
                      <w:rFonts w:hint="eastAsia"/>
                      <w:color w:val="auto"/>
                      <w:szCs w:val="21"/>
                    </w:rPr>
                    <w:t>西面</w:t>
                  </w:r>
                  <w:r>
                    <w:rPr>
                      <w:color w:val="auto"/>
                      <w:szCs w:val="21"/>
                    </w:rPr>
                    <w:t>10kV架空电力线(杆高约6m，南一北走向)</w:t>
                  </w:r>
                </w:p>
              </w:tc>
            </w:tr>
            <w:tr w14:paraId="1B047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68C7264A">
                  <w:pPr>
                    <w:widowControl/>
                    <w:spacing w:line="240" w:lineRule="auto"/>
                    <w:jc w:val="left"/>
                    <w:rPr>
                      <w:rFonts w:hint="default" w:ascii="Times New Roman" w:hAnsi="Times New Roman" w:cs="Times New Roman"/>
                      <w:color w:val="auto"/>
                      <w:szCs w:val="21"/>
                    </w:rPr>
                  </w:pPr>
                </w:p>
              </w:tc>
              <w:tc>
                <w:tcPr>
                  <w:tcW w:w="1430" w:type="dxa"/>
                  <w:vMerge w:val="continue"/>
                  <w:tcBorders>
                    <w:left w:val="nil"/>
                    <w:right w:val="single" w:color="auto" w:sz="6" w:space="0"/>
                  </w:tcBorders>
                  <w:noWrap w:val="0"/>
                  <w:vAlign w:val="center"/>
                </w:tcPr>
                <w:p w14:paraId="0A6C42E6">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6B00AFC5">
                  <w:pPr>
                    <w:autoSpaceDE w:val="0"/>
                    <w:autoSpaceDN w:val="0"/>
                    <w:spacing w:line="240" w:lineRule="auto"/>
                    <w:jc w:val="center"/>
                    <w:rPr>
                      <w:rFonts w:hint="eastAsia" w:ascii="Times New Roman" w:hAnsi="Times New Roman" w:eastAsia="宋体" w:cs="Times New Roman"/>
                      <w:color w:val="auto"/>
                      <w:lang w:val="en-US" w:eastAsia="zh-CN"/>
                    </w:rPr>
                  </w:pPr>
                  <w:r>
                    <w:rPr>
                      <w:rFonts w:hint="eastAsia" w:cs="Times New Roman"/>
                      <w:color w:val="auto"/>
                      <w:lang w:val="en-US" w:eastAsia="zh-CN"/>
                    </w:rPr>
                    <w:t>设计</w:t>
                  </w:r>
                </w:p>
              </w:tc>
              <w:tc>
                <w:tcPr>
                  <w:tcW w:w="1016" w:type="dxa"/>
                  <w:tcBorders>
                    <w:top w:val="single" w:color="auto" w:sz="6" w:space="0"/>
                    <w:left w:val="nil"/>
                    <w:bottom w:val="single" w:color="auto" w:sz="6" w:space="0"/>
                    <w:right w:val="single" w:color="auto" w:sz="6" w:space="0"/>
                  </w:tcBorders>
                  <w:noWrap w:val="0"/>
                  <w:vAlign w:val="center"/>
                </w:tcPr>
                <w:p w14:paraId="5DCA4ECC">
                  <w:pPr>
                    <w:jc w:val="center"/>
                    <w:rPr>
                      <w:rFonts w:hint="default" w:ascii="Times New Roman" w:hAnsi="Times New Roman" w:cs="Times New Roman"/>
                      <w:color w:val="auto"/>
                    </w:rPr>
                  </w:pPr>
                  <w:r>
                    <w:rPr>
                      <w:rFonts w:hint="eastAsia"/>
                      <w:color w:val="auto"/>
                      <w:szCs w:val="21"/>
                    </w:rPr>
                    <w:t>19.0</w:t>
                  </w:r>
                </w:p>
              </w:tc>
              <w:tc>
                <w:tcPr>
                  <w:tcW w:w="1119" w:type="dxa"/>
                  <w:tcBorders>
                    <w:top w:val="single" w:color="auto" w:sz="6" w:space="0"/>
                    <w:left w:val="nil"/>
                    <w:bottom w:val="single" w:color="auto" w:sz="6" w:space="0"/>
                    <w:right w:val="single" w:color="auto" w:sz="6" w:space="0"/>
                  </w:tcBorders>
                  <w:noWrap w:val="0"/>
                  <w:vAlign w:val="center"/>
                </w:tcPr>
                <w:p w14:paraId="2935C2B4">
                  <w:pPr>
                    <w:jc w:val="center"/>
                    <w:rPr>
                      <w:rFonts w:hint="default" w:ascii="Times New Roman" w:hAnsi="Times New Roman" w:cs="Times New Roman"/>
                      <w:color w:val="auto"/>
                    </w:rPr>
                  </w:pPr>
                  <w:r>
                    <w:rPr>
                      <w:rFonts w:hint="eastAsia"/>
                      <w:color w:val="auto"/>
                      <w:szCs w:val="21"/>
                    </w:rPr>
                    <w:t>21.2</w:t>
                  </w:r>
                </w:p>
              </w:tc>
              <w:tc>
                <w:tcPr>
                  <w:tcW w:w="976" w:type="dxa"/>
                  <w:tcBorders>
                    <w:top w:val="single" w:color="auto" w:sz="6" w:space="0"/>
                    <w:left w:val="nil"/>
                    <w:bottom w:val="single" w:color="auto" w:sz="6" w:space="0"/>
                    <w:right w:val="single" w:color="auto" w:sz="6" w:space="0"/>
                  </w:tcBorders>
                  <w:noWrap w:val="0"/>
                  <w:vAlign w:val="center"/>
                </w:tcPr>
                <w:p w14:paraId="194F87C7">
                  <w:pPr>
                    <w:jc w:val="center"/>
                    <w:rPr>
                      <w:rFonts w:hint="default" w:ascii="Times New Roman" w:hAnsi="Times New Roman" w:cs="Times New Roman"/>
                      <w:color w:val="auto"/>
                    </w:rPr>
                  </w:pPr>
                  <w:r>
                    <w:rPr>
                      <w:rFonts w:hint="eastAsia"/>
                      <w:color w:val="auto"/>
                      <w:szCs w:val="21"/>
                    </w:rPr>
                    <w:t>16.6</w:t>
                  </w:r>
                </w:p>
              </w:tc>
              <w:tc>
                <w:tcPr>
                  <w:tcW w:w="1864" w:type="dxa"/>
                  <w:tcBorders>
                    <w:top w:val="single" w:color="auto" w:sz="6" w:space="0"/>
                    <w:left w:val="nil"/>
                    <w:bottom w:val="single" w:color="auto" w:sz="6" w:space="0"/>
                    <w:right w:val="single" w:color="auto" w:sz="6" w:space="0"/>
                  </w:tcBorders>
                  <w:noWrap w:val="0"/>
                  <w:vAlign w:val="center"/>
                </w:tcPr>
                <w:p w14:paraId="38D49ED4">
                  <w:pPr>
                    <w:jc w:val="center"/>
                    <w:rPr>
                      <w:rFonts w:hint="default" w:ascii="Times New Roman" w:hAnsi="Times New Roman" w:cs="Times New Roman"/>
                      <w:color w:val="auto"/>
                      <w:szCs w:val="21"/>
                      <w:lang w:val="en-US" w:eastAsia="zh-CN"/>
                    </w:rPr>
                  </w:pPr>
                  <w:r>
                    <w:rPr>
                      <w:color w:val="auto"/>
                      <w:szCs w:val="21"/>
                    </w:rPr>
                    <w:t>西南面10kV架空电力线(杆高约6m，西南一东北走向)</w:t>
                  </w:r>
                </w:p>
              </w:tc>
            </w:tr>
            <w:tr w14:paraId="468F6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right w:val="single" w:color="auto" w:sz="6" w:space="0"/>
                  </w:tcBorders>
                  <w:noWrap w:val="0"/>
                  <w:vAlign w:val="center"/>
                </w:tcPr>
                <w:p w14:paraId="08634475">
                  <w:pPr>
                    <w:widowControl/>
                    <w:spacing w:line="240" w:lineRule="auto"/>
                    <w:jc w:val="left"/>
                    <w:rPr>
                      <w:rFonts w:hint="default" w:ascii="Times New Roman" w:hAnsi="Times New Roman" w:cs="Times New Roman"/>
                      <w:color w:val="auto"/>
                      <w:szCs w:val="21"/>
                    </w:rPr>
                  </w:pPr>
                </w:p>
              </w:tc>
              <w:tc>
                <w:tcPr>
                  <w:tcW w:w="1430" w:type="dxa"/>
                  <w:vMerge w:val="restart"/>
                  <w:tcBorders>
                    <w:top w:val="nil"/>
                    <w:left w:val="nil"/>
                    <w:bottom w:val="single" w:color="auto" w:sz="6" w:space="0"/>
                    <w:right w:val="single" w:color="auto" w:sz="6" w:space="0"/>
                  </w:tcBorders>
                  <w:noWrap w:val="0"/>
                  <w:vAlign w:val="center"/>
                </w:tcPr>
                <w:p w14:paraId="1B7A1EF5">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有绝缘层</w:t>
                  </w:r>
                </w:p>
              </w:tc>
              <w:tc>
                <w:tcPr>
                  <w:tcW w:w="854" w:type="dxa"/>
                  <w:tcBorders>
                    <w:top w:val="single" w:color="auto" w:sz="6" w:space="0"/>
                    <w:left w:val="nil"/>
                    <w:bottom w:val="single" w:color="auto" w:sz="6" w:space="0"/>
                    <w:right w:val="single" w:color="auto" w:sz="6" w:space="0"/>
                  </w:tcBorders>
                  <w:noWrap w:val="0"/>
                  <w:vAlign w:val="center"/>
                </w:tcPr>
                <w:p w14:paraId="32D03B5F">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16" w:type="dxa"/>
                  <w:tcBorders>
                    <w:top w:val="single" w:color="auto" w:sz="6" w:space="0"/>
                    <w:left w:val="nil"/>
                    <w:bottom w:val="single" w:color="auto" w:sz="6" w:space="0"/>
                    <w:right w:val="single" w:color="auto" w:sz="6" w:space="0"/>
                  </w:tcBorders>
                  <w:noWrap w:val="0"/>
                  <w:vAlign w:val="center"/>
                </w:tcPr>
                <w:p w14:paraId="7FEF8329">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119" w:type="dxa"/>
                  <w:tcBorders>
                    <w:top w:val="single" w:color="auto" w:sz="6" w:space="0"/>
                    <w:left w:val="nil"/>
                    <w:bottom w:val="single" w:color="auto" w:sz="6" w:space="0"/>
                    <w:right w:val="single" w:color="auto" w:sz="6" w:space="0"/>
                  </w:tcBorders>
                  <w:noWrap w:val="0"/>
                  <w:vAlign w:val="center"/>
                </w:tcPr>
                <w:p w14:paraId="40343F8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976" w:type="dxa"/>
                  <w:tcBorders>
                    <w:top w:val="single" w:color="auto" w:sz="6" w:space="0"/>
                    <w:left w:val="nil"/>
                    <w:bottom w:val="single" w:color="auto" w:sz="6" w:space="0"/>
                    <w:right w:val="single" w:color="auto" w:sz="6" w:space="0"/>
                  </w:tcBorders>
                  <w:noWrap w:val="0"/>
                  <w:vAlign w:val="center"/>
                </w:tcPr>
                <w:p w14:paraId="5E8F8257">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864" w:type="dxa"/>
                  <w:tcBorders>
                    <w:top w:val="nil"/>
                    <w:left w:val="nil"/>
                    <w:bottom w:val="single" w:color="auto" w:sz="6" w:space="0"/>
                    <w:right w:val="single" w:color="auto" w:sz="6" w:space="0"/>
                  </w:tcBorders>
                  <w:noWrap w:val="0"/>
                  <w:vAlign w:val="center"/>
                </w:tcPr>
                <w:p w14:paraId="18E1F98F">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3F44D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46" w:type="dxa"/>
                  <w:vMerge w:val="continue"/>
                  <w:tcBorders>
                    <w:left w:val="single" w:color="auto" w:sz="6" w:space="0"/>
                    <w:bottom w:val="single" w:color="auto" w:sz="6" w:space="0"/>
                    <w:right w:val="single" w:color="auto" w:sz="6" w:space="0"/>
                  </w:tcBorders>
                  <w:noWrap w:val="0"/>
                  <w:vAlign w:val="center"/>
                </w:tcPr>
                <w:p w14:paraId="7544AA55">
                  <w:pPr>
                    <w:widowControl/>
                    <w:spacing w:line="240" w:lineRule="auto"/>
                    <w:jc w:val="left"/>
                    <w:rPr>
                      <w:rFonts w:hint="default" w:ascii="Times New Roman" w:hAnsi="Times New Roman" w:cs="Times New Roman"/>
                      <w:color w:val="auto"/>
                      <w:szCs w:val="21"/>
                    </w:rPr>
                  </w:pPr>
                </w:p>
              </w:tc>
              <w:tc>
                <w:tcPr>
                  <w:tcW w:w="1430" w:type="dxa"/>
                  <w:vMerge w:val="continue"/>
                  <w:tcBorders>
                    <w:top w:val="nil"/>
                    <w:left w:val="nil"/>
                    <w:bottom w:val="single" w:color="auto" w:sz="6" w:space="0"/>
                    <w:right w:val="single" w:color="auto" w:sz="6" w:space="0"/>
                  </w:tcBorders>
                  <w:noWrap w:val="0"/>
                  <w:vAlign w:val="center"/>
                </w:tcPr>
                <w:p w14:paraId="1E6A59CB">
                  <w:pPr>
                    <w:widowControl/>
                    <w:spacing w:line="240" w:lineRule="auto"/>
                    <w:jc w:val="left"/>
                    <w:rPr>
                      <w:rFonts w:hint="default" w:ascii="Times New Roman" w:hAnsi="Times New Roman" w:cs="Times New Roman"/>
                      <w:color w:val="auto"/>
                      <w:szCs w:val="21"/>
                    </w:rPr>
                  </w:pPr>
                </w:p>
              </w:tc>
              <w:tc>
                <w:tcPr>
                  <w:tcW w:w="854" w:type="dxa"/>
                  <w:tcBorders>
                    <w:top w:val="single" w:color="auto" w:sz="6" w:space="0"/>
                    <w:left w:val="nil"/>
                    <w:bottom w:val="single" w:color="auto" w:sz="6" w:space="0"/>
                    <w:right w:val="single" w:color="auto" w:sz="6" w:space="0"/>
                  </w:tcBorders>
                  <w:noWrap w:val="0"/>
                  <w:vAlign w:val="center"/>
                </w:tcPr>
                <w:p w14:paraId="222307D1">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16" w:type="dxa"/>
                  <w:tcBorders>
                    <w:top w:val="single" w:color="auto" w:sz="6" w:space="0"/>
                    <w:left w:val="nil"/>
                    <w:bottom w:val="single" w:color="auto" w:sz="6" w:space="0"/>
                    <w:right w:val="single" w:color="auto" w:sz="6" w:space="0"/>
                  </w:tcBorders>
                  <w:noWrap w:val="0"/>
                  <w:vAlign w:val="center"/>
                </w:tcPr>
                <w:p w14:paraId="7DE6EC6B">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19" w:type="dxa"/>
                  <w:tcBorders>
                    <w:top w:val="single" w:color="auto" w:sz="6" w:space="0"/>
                    <w:left w:val="nil"/>
                    <w:bottom w:val="single" w:color="auto" w:sz="6" w:space="0"/>
                    <w:right w:val="single" w:color="auto" w:sz="6" w:space="0"/>
                  </w:tcBorders>
                  <w:noWrap w:val="0"/>
                  <w:vAlign w:val="center"/>
                </w:tcPr>
                <w:p w14:paraId="5C0E5771">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976" w:type="dxa"/>
                  <w:tcBorders>
                    <w:top w:val="single" w:color="auto" w:sz="6" w:space="0"/>
                    <w:left w:val="nil"/>
                    <w:bottom w:val="single" w:color="auto" w:sz="6" w:space="0"/>
                    <w:right w:val="single" w:color="auto" w:sz="6" w:space="0"/>
                  </w:tcBorders>
                  <w:noWrap w:val="0"/>
                  <w:vAlign w:val="center"/>
                </w:tcPr>
                <w:p w14:paraId="438B9023">
                  <w:pPr>
                    <w:autoSpaceDE w:val="0"/>
                    <w:autoSpaceDN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864" w:type="dxa"/>
                  <w:tcBorders>
                    <w:top w:val="nil"/>
                    <w:left w:val="nil"/>
                    <w:bottom w:val="single" w:color="auto" w:sz="6" w:space="0"/>
                    <w:right w:val="single" w:color="auto" w:sz="6" w:space="0"/>
                  </w:tcBorders>
                  <w:noWrap w:val="0"/>
                  <w:vAlign w:val="center"/>
                </w:tcPr>
                <w:p w14:paraId="46E83480">
                  <w:pPr>
                    <w:widowControl/>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bl>
          <w:p w14:paraId="4808C478">
            <w:pPr>
              <w:spacing w:line="240" w:lineRule="atLeas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1</w:t>
            </w:r>
            <w:r>
              <w:rPr>
                <w:rFonts w:hint="eastAsia" w:cs="Times New Roman"/>
                <w:b/>
                <w:color w:val="auto"/>
                <w:sz w:val="21"/>
                <w:szCs w:val="21"/>
                <w:lang w:val="en-US" w:eastAsia="zh-CN"/>
              </w:rPr>
              <w:t>1</w:t>
            </w:r>
            <w:r>
              <w:rPr>
                <w:rFonts w:hint="default" w:ascii="Times New Roman" w:hAnsi="Times New Roman" w:cs="Times New Roman"/>
                <w:b/>
                <w:color w:val="auto"/>
                <w:sz w:val="21"/>
                <w:szCs w:val="21"/>
              </w:rPr>
              <w:t xml:space="preserve"> 柴油油罐、加油机和通气管管口与站外建、构筑物的防火距离单位：m</w:t>
            </w:r>
          </w:p>
          <w:tbl>
            <w:tblPr>
              <w:tblStyle w:val="27"/>
              <w:tblW w:w="82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0"/>
              <w:gridCol w:w="318"/>
              <w:gridCol w:w="414"/>
              <w:gridCol w:w="1050"/>
              <w:gridCol w:w="840"/>
              <w:gridCol w:w="1005"/>
              <w:gridCol w:w="1140"/>
              <w:gridCol w:w="1000"/>
              <w:gridCol w:w="1743"/>
            </w:tblGrid>
            <w:tr w14:paraId="0CE8F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3322" w:type="dxa"/>
                  <w:gridSpan w:val="5"/>
                  <w:tcBorders>
                    <w:top w:val="single" w:color="auto" w:sz="6" w:space="0"/>
                    <w:left w:val="single" w:color="auto" w:sz="6" w:space="0"/>
                    <w:bottom w:val="single" w:color="auto" w:sz="6" w:space="0"/>
                    <w:right w:val="single" w:color="auto" w:sz="6" w:space="0"/>
                  </w:tcBorders>
                  <w:noWrap w:val="0"/>
                  <w:vAlign w:val="center"/>
                </w:tcPr>
                <w:p w14:paraId="47906F86">
                  <w:pPr>
                    <w:autoSpaceDE w:val="0"/>
                    <w:autoSpaceDN w:val="0"/>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项目</w:t>
                  </w:r>
                </w:p>
              </w:tc>
              <w:tc>
                <w:tcPr>
                  <w:tcW w:w="4888" w:type="dxa"/>
                  <w:gridSpan w:val="4"/>
                  <w:tcBorders>
                    <w:top w:val="single" w:color="auto" w:sz="6" w:space="0"/>
                    <w:left w:val="nil"/>
                    <w:bottom w:val="single" w:color="auto" w:sz="6" w:space="0"/>
                    <w:right w:val="single" w:color="auto" w:sz="6" w:space="0"/>
                  </w:tcBorders>
                  <w:noWrap w:val="0"/>
                  <w:vAlign w:val="center"/>
                </w:tcPr>
                <w:p w14:paraId="49F69311">
                  <w:pPr>
                    <w:autoSpaceDE w:val="0"/>
                    <w:autoSpaceDN w:val="0"/>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级别（</w:t>
                  </w:r>
                  <w:r>
                    <w:rPr>
                      <w:rFonts w:hint="default" w:ascii="Times New Roman" w:hAnsi="Times New Roman" w:cs="Times New Roman"/>
                      <w:b/>
                      <w:bCs/>
                      <w:color w:val="auto"/>
                      <w:lang w:val="en-US" w:eastAsia="zh-CN"/>
                    </w:rPr>
                    <w:t>三</w:t>
                  </w:r>
                  <w:r>
                    <w:rPr>
                      <w:rFonts w:hint="default" w:ascii="Times New Roman" w:hAnsi="Times New Roman" w:cs="Times New Roman"/>
                      <w:b/>
                      <w:bCs/>
                      <w:color w:val="auto"/>
                    </w:rPr>
                    <w:t>级站）</w:t>
                  </w:r>
                </w:p>
              </w:tc>
            </w:tr>
            <w:tr w14:paraId="2BD8E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3322" w:type="dxa"/>
                  <w:gridSpan w:val="5"/>
                  <w:tcBorders>
                    <w:top w:val="single" w:color="auto" w:sz="6" w:space="0"/>
                    <w:left w:val="single" w:color="auto" w:sz="6" w:space="0"/>
                    <w:bottom w:val="single" w:color="auto" w:sz="6" w:space="0"/>
                    <w:right w:val="single" w:color="auto" w:sz="6" w:space="0"/>
                  </w:tcBorders>
                  <w:noWrap w:val="0"/>
                  <w:vAlign w:val="center"/>
                </w:tcPr>
                <w:p w14:paraId="50EDC4E6">
                  <w:pPr>
                    <w:autoSpaceDE w:val="0"/>
                    <w:autoSpaceDN w:val="0"/>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站外建（构）筑物</w:t>
                  </w:r>
                </w:p>
              </w:tc>
              <w:tc>
                <w:tcPr>
                  <w:tcW w:w="1005" w:type="dxa"/>
                  <w:tcBorders>
                    <w:top w:val="single" w:color="auto" w:sz="6" w:space="0"/>
                    <w:left w:val="nil"/>
                    <w:bottom w:val="single" w:color="auto" w:sz="6" w:space="0"/>
                    <w:right w:val="single" w:color="auto" w:sz="6" w:space="0"/>
                  </w:tcBorders>
                  <w:noWrap w:val="0"/>
                  <w:vAlign w:val="center"/>
                </w:tcPr>
                <w:p w14:paraId="28ABA2A8">
                  <w:pPr>
                    <w:autoSpaceDE w:val="0"/>
                    <w:autoSpaceDN w:val="0"/>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埋地柴油罐</w:t>
                  </w:r>
                </w:p>
              </w:tc>
              <w:tc>
                <w:tcPr>
                  <w:tcW w:w="1140" w:type="dxa"/>
                  <w:tcBorders>
                    <w:top w:val="single" w:color="auto" w:sz="6" w:space="0"/>
                    <w:left w:val="nil"/>
                    <w:bottom w:val="single" w:color="auto" w:sz="6" w:space="0"/>
                    <w:right w:val="single" w:color="auto" w:sz="6" w:space="0"/>
                  </w:tcBorders>
                  <w:noWrap w:val="0"/>
                  <w:vAlign w:val="center"/>
                </w:tcPr>
                <w:p w14:paraId="06F46F91">
                  <w:pPr>
                    <w:autoSpaceDE w:val="0"/>
                    <w:autoSpaceDN w:val="0"/>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通气管管口</w:t>
                  </w:r>
                </w:p>
              </w:tc>
              <w:tc>
                <w:tcPr>
                  <w:tcW w:w="1000" w:type="dxa"/>
                  <w:tcBorders>
                    <w:top w:val="single" w:color="auto" w:sz="6" w:space="0"/>
                    <w:left w:val="nil"/>
                    <w:bottom w:val="single" w:color="auto" w:sz="6" w:space="0"/>
                    <w:right w:val="single" w:color="auto" w:sz="6" w:space="0"/>
                  </w:tcBorders>
                  <w:noWrap w:val="0"/>
                  <w:vAlign w:val="center"/>
                </w:tcPr>
                <w:p w14:paraId="15F8FFCE">
                  <w:pPr>
                    <w:autoSpaceDE w:val="0"/>
                    <w:autoSpaceDN w:val="0"/>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加油机</w:t>
                  </w:r>
                </w:p>
              </w:tc>
              <w:tc>
                <w:tcPr>
                  <w:tcW w:w="1743" w:type="dxa"/>
                  <w:tcBorders>
                    <w:top w:val="single" w:color="auto" w:sz="6" w:space="0"/>
                    <w:left w:val="nil"/>
                    <w:bottom w:val="single" w:color="auto" w:sz="6" w:space="0"/>
                    <w:right w:val="single" w:color="auto" w:sz="6" w:space="0"/>
                  </w:tcBorders>
                  <w:noWrap w:val="0"/>
                  <w:vAlign w:val="center"/>
                </w:tcPr>
                <w:p w14:paraId="49415944">
                  <w:pPr>
                    <w:autoSpaceDE w:val="0"/>
                    <w:autoSpaceDN w:val="0"/>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rPr>
                    <w:t>建（构）筑物名称</w:t>
                  </w:r>
                </w:p>
              </w:tc>
            </w:tr>
            <w:tr w14:paraId="7914A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restart"/>
                  <w:tcBorders>
                    <w:top w:val="nil"/>
                    <w:left w:val="single" w:color="auto" w:sz="6" w:space="0"/>
                    <w:bottom w:val="single" w:color="auto" w:sz="6" w:space="0"/>
                    <w:right w:val="single" w:color="auto" w:sz="6" w:space="0"/>
                  </w:tcBorders>
                  <w:noWrap w:val="0"/>
                  <w:vAlign w:val="center"/>
                </w:tcPr>
                <w:p w14:paraId="6504C716">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重要公共建筑物</w:t>
                  </w:r>
                </w:p>
              </w:tc>
              <w:tc>
                <w:tcPr>
                  <w:tcW w:w="840" w:type="dxa"/>
                  <w:tcBorders>
                    <w:top w:val="single" w:color="auto" w:sz="6" w:space="0"/>
                    <w:left w:val="nil"/>
                    <w:bottom w:val="single" w:color="auto" w:sz="6" w:space="0"/>
                    <w:right w:val="single" w:color="auto" w:sz="6" w:space="0"/>
                  </w:tcBorders>
                  <w:noWrap w:val="0"/>
                  <w:vAlign w:val="center"/>
                </w:tcPr>
                <w:p w14:paraId="6EDA8F95">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4F96BE7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25</w:t>
                  </w:r>
                </w:p>
              </w:tc>
              <w:tc>
                <w:tcPr>
                  <w:tcW w:w="1140" w:type="dxa"/>
                  <w:tcBorders>
                    <w:top w:val="single" w:color="auto" w:sz="6" w:space="0"/>
                    <w:left w:val="nil"/>
                    <w:bottom w:val="single" w:color="auto" w:sz="6" w:space="0"/>
                    <w:right w:val="single" w:color="auto" w:sz="6" w:space="0"/>
                  </w:tcBorders>
                  <w:noWrap w:val="0"/>
                  <w:vAlign w:val="center"/>
                </w:tcPr>
                <w:p w14:paraId="0EC8A90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25</w:t>
                  </w:r>
                </w:p>
              </w:tc>
              <w:tc>
                <w:tcPr>
                  <w:tcW w:w="1000" w:type="dxa"/>
                  <w:tcBorders>
                    <w:top w:val="single" w:color="auto" w:sz="6" w:space="0"/>
                    <w:left w:val="nil"/>
                    <w:bottom w:val="single" w:color="auto" w:sz="6" w:space="0"/>
                    <w:right w:val="single" w:color="auto" w:sz="6" w:space="0"/>
                  </w:tcBorders>
                  <w:noWrap w:val="0"/>
                  <w:vAlign w:val="center"/>
                </w:tcPr>
                <w:p w14:paraId="0FC508DA">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25</w:t>
                  </w:r>
                </w:p>
              </w:tc>
              <w:tc>
                <w:tcPr>
                  <w:tcW w:w="1743" w:type="dxa"/>
                  <w:tcBorders>
                    <w:top w:val="single" w:color="auto" w:sz="6" w:space="0"/>
                    <w:left w:val="nil"/>
                    <w:bottom w:val="single" w:color="auto" w:sz="6" w:space="0"/>
                    <w:right w:val="single" w:color="auto" w:sz="6" w:space="0"/>
                  </w:tcBorders>
                  <w:noWrap w:val="0"/>
                  <w:vAlign w:val="center"/>
                </w:tcPr>
                <w:p w14:paraId="42C8976B">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60CBD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continue"/>
                  <w:tcBorders>
                    <w:top w:val="nil"/>
                    <w:left w:val="single" w:color="auto" w:sz="6" w:space="0"/>
                    <w:bottom w:val="single" w:color="auto" w:sz="6" w:space="0"/>
                    <w:right w:val="single" w:color="auto" w:sz="6" w:space="0"/>
                  </w:tcBorders>
                  <w:noWrap w:val="0"/>
                  <w:vAlign w:val="center"/>
                </w:tcPr>
                <w:p w14:paraId="7F7B8942">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013C3970">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52397AB6">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40" w:type="dxa"/>
                  <w:tcBorders>
                    <w:top w:val="single" w:color="auto" w:sz="6" w:space="0"/>
                    <w:left w:val="nil"/>
                    <w:bottom w:val="single" w:color="auto" w:sz="6" w:space="0"/>
                    <w:right w:val="single" w:color="auto" w:sz="6" w:space="0"/>
                  </w:tcBorders>
                  <w:noWrap w:val="0"/>
                  <w:vAlign w:val="center"/>
                </w:tcPr>
                <w:p w14:paraId="2388D697">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000" w:type="dxa"/>
                  <w:tcBorders>
                    <w:top w:val="single" w:color="auto" w:sz="6" w:space="0"/>
                    <w:left w:val="nil"/>
                    <w:bottom w:val="single" w:color="auto" w:sz="6" w:space="0"/>
                    <w:right w:val="single" w:color="auto" w:sz="6" w:space="0"/>
                  </w:tcBorders>
                  <w:noWrap w:val="0"/>
                  <w:vAlign w:val="center"/>
                </w:tcPr>
                <w:p w14:paraId="5FD40043">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743" w:type="dxa"/>
                  <w:tcBorders>
                    <w:top w:val="single" w:color="auto" w:sz="6" w:space="0"/>
                    <w:left w:val="nil"/>
                    <w:bottom w:val="single" w:color="auto" w:sz="6" w:space="0"/>
                    <w:right w:val="single" w:color="auto" w:sz="6" w:space="0"/>
                  </w:tcBorders>
                  <w:noWrap w:val="0"/>
                  <w:vAlign w:val="center"/>
                </w:tcPr>
                <w:p w14:paraId="4ECD23D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1EA6E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restart"/>
                  <w:tcBorders>
                    <w:top w:val="nil"/>
                    <w:left w:val="single" w:color="auto" w:sz="6" w:space="0"/>
                    <w:bottom w:val="single" w:color="auto" w:sz="6" w:space="0"/>
                    <w:right w:val="single" w:color="auto" w:sz="6" w:space="0"/>
                  </w:tcBorders>
                  <w:noWrap w:val="0"/>
                  <w:vAlign w:val="center"/>
                </w:tcPr>
                <w:p w14:paraId="468714F5">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明火或散发火花地点</w:t>
                  </w:r>
                </w:p>
              </w:tc>
              <w:tc>
                <w:tcPr>
                  <w:tcW w:w="840" w:type="dxa"/>
                  <w:tcBorders>
                    <w:top w:val="single" w:color="auto" w:sz="6" w:space="0"/>
                    <w:left w:val="nil"/>
                    <w:bottom w:val="single" w:color="auto" w:sz="6" w:space="0"/>
                    <w:right w:val="single" w:color="auto" w:sz="6" w:space="0"/>
                  </w:tcBorders>
                  <w:noWrap w:val="0"/>
                  <w:vAlign w:val="center"/>
                </w:tcPr>
                <w:p w14:paraId="5646349D">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542A2256">
                  <w:pPr>
                    <w:autoSpaceDE w:val="0"/>
                    <w:autoSpaceDN w:val="0"/>
                    <w:adjustRightIn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10</w:t>
                  </w:r>
                </w:p>
              </w:tc>
              <w:tc>
                <w:tcPr>
                  <w:tcW w:w="1140" w:type="dxa"/>
                  <w:tcBorders>
                    <w:top w:val="single" w:color="auto" w:sz="6" w:space="0"/>
                    <w:left w:val="nil"/>
                    <w:bottom w:val="single" w:color="auto" w:sz="6" w:space="0"/>
                    <w:right w:val="single" w:color="auto" w:sz="6" w:space="0"/>
                  </w:tcBorders>
                  <w:noWrap w:val="0"/>
                  <w:vAlign w:val="center"/>
                </w:tcPr>
                <w:p w14:paraId="69D3228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10</w:t>
                  </w:r>
                </w:p>
              </w:tc>
              <w:tc>
                <w:tcPr>
                  <w:tcW w:w="1000" w:type="dxa"/>
                  <w:tcBorders>
                    <w:top w:val="single" w:color="auto" w:sz="6" w:space="0"/>
                    <w:left w:val="nil"/>
                    <w:bottom w:val="single" w:color="auto" w:sz="6" w:space="0"/>
                    <w:right w:val="single" w:color="auto" w:sz="6" w:space="0"/>
                  </w:tcBorders>
                  <w:noWrap w:val="0"/>
                  <w:vAlign w:val="center"/>
                </w:tcPr>
                <w:p w14:paraId="43538F3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10</w:t>
                  </w:r>
                </w:p>
              </w:tc>
              <w:tc>
                <w:tcPr>
                  <w:tcW w:w="1743" w:type="dxa"/>
                  <w:tcBorders>
                    <w:top w:val="single" w:color="auto" w:sz="6" w:space="0"/>
                    <w:left w:val="nil"/>
                    <w:bottom w:val="single" w:color="auto" w:sz="6" w:space="0"/>
                    <w:right w:val="single" w:color="auto" w:sz="6" w:space="0"/>
                  </w:tcBorders>
                  <w:noWrap w:val="0"/>
                  <w:vAlign w:val="center"/>
                </w:tcPr>
                <w:p w14:paraId="713A7C9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2D57E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continue"/>
                  <w:tcBorders>
                    <w:top w:val="nil"/>
                    <w:left w:val="single" w:color="auto" w:sz="6" w:space="0"/>
                    <w:bottom w:val="single" w:color="auto" w:sz="6" w:space="0"/>
                    <w:right w:val="single" w:color="auto" w:sz="6" w:space="0"/>
                  </w:tcBorders>
                  <w:noWrap w:val="0"/>
                  <w:vAlign w:val="center"/>
                </w:tcPr>
                <w:p w14:paraId="4C0CEEA8">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49423D89">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51DA8C2B">
                  <w:pPr>
                    <w:autoSpaceDE w:val="0"/>
                    <w:autoSpaceDN w:val="0"/>
                    <w:adjustRightInd w:val="0"/>
                    <w:jc w:val="center"/>
                    <w:rPr>
                      <w:rFonts w:hint="default" w:ascii="Times New Roman" w:hAnsi="Times New Roman" w:cs="Times New Roman"/>
                      <w:color w:val="auto"/>
                      <w:szCs w:val="21"/>
                    </w:rPr>
                  </w:pPr>
                  <w:r>
                    <w:rPr>
                      <w:rFonts w:hint="eastAsia"/>
                      <w:color w:val="auto"/>
                      <w:szCs w:val="21"/>
                    </w:rPr>
                    <w:t>29.68</w:t>
                  </w:r>
                </w:p>
              </w:tc>
              <w:tc>
                <w:tcPr>
                  <w:tcW w:w="1140" w:type="dxa"/>
                  <w:tcBorders>
                    <w:top w:val="single" w:color="auto" w:sz="6" w:space="0"/>
                    <w:left w:val="nil"/>
                    <w:bottom w:val="single" w:color="auto" w:sz="6" w:space="0"/>
                    <w:right w:val="single" w:color="auto" w:sz="6" w:space="0"/>
                  </w:tcBorders>
                  <w:noWrap w:val="0"/>
                  <w:vAlign w:val="center"/>
                </w:tcPr>
                <w:p w14:paraId="037D504F">
                  <w:pPr>
                    <w:autoSpaceDE w:val="0"/>
                    <w:autoSpaceDN w:val="0"/>
                    <w:adjustRightInd w:val="0"/>
                    <w:jc w:val="center"/>
                    <w:rPr>
                      <w:rFonts w:hint="default" w:ascii="Times New Roman" w:hAnsi="Times New Roman" w:cs="Times New Roman"/>
                      <w:color w:val="auto"/>
                      <w:szCs w:val="21"/>
                    </w:rPr>
                  </w:pPr>
                  <w:r>
                    <w:rPr>
                      <w:rFonts w:hint="eastAsia"/>
                      <w:color w:val="auto"/>
                      <w:szCs w:val="21"/>
                    </w:rPr>
                    <w:t>38.77</w:t>
                  </w:r>
                </w:p>
              </w:tc>
              <w:tc>
                <w:tcPr>
                  <w:tcW w:w="1000" w:type="dxa"/>
                  <w:tcBorders>
                    <w:top w:val="single" w:color="auto" w:sz="6" w:space="0"/>
                    <w:left w:val="nil"/>
                    <w:bottom w:val="single" w:color="auto" w:sz="6" w:space="0"/>
                    <w:right w:val="single" w:color="auto" w:sz="6" w:space="0"/>
                  </w:tcBorders>
                  <w:noWrap w:val="0"/>
                  <w:vAlign w:val="center"/>
                </w:tcPr>
                <w:p w14:paraId="059F3D4D">
                  <w:pPr>
                    <w:autoSpaceDE w:val="0"/>
                    <w:autoSpaceDN w:val="0"/>
                    <w:adjustRightInd w:val="0"/>
                    <w:jc w:val="center"/>
                    <w:rPr>
                      <w:rFonts w:hint="default" w:ascii="Times New Roman" w:hAnsi="Times New Roman" w:cs="Times New Roman"/>
                      <w:color w:val="auto"/>
                      <w:szCs w:val="21"/>
                    </w:rPr>
                  </w:pPr>
                  <w:r>
                    <w:rPr>
                      <w:rFonts w:hint="eastAsia"/>
                      <w:color w:val="auto"/>
                      <w:szCs w:val="21"/>
                    </w:rPr>
                    <w:t>27.1</w:t>
                  </w:r>
                </w:p>
              </w:tc>
              <w:tc>
                <w:tcPr>
                  <w:tcW w:w="1743" w:type="dxa"/>
                  <w:tcBorders>
                    <w:top w:val="single" w:color="auto" w:sz="6" w:space="0"/>
                    <w:left w:val="nil"/>
                    <w:bottom w:val="single" w:color="auto" w:sz="6" w:space="0"/>
                    <w:right w:val="single" w:color="auto" w:sz="6" w:space="0"/>
                  </w:tcBorders>
                  <w:noWrap w:val="0"/>
                  <w:vAlign w:val="center"/>
                </w:tcPr>
                <w:p w14:paraId="33A92671">
                  <w:pPr>
                    <w:autoSpaceDE w:val="0"/>
                    <w:autoSpaceDN w:val="0"/>
                    <w:adjustRightInd w:val="0"/>
                    <w:jc w:val="center"/>
                    <w:rPr>
                      <w:rFonts w:hint="default" w:ascii="Times New Roman" w:hAnsi="Times New Roman" w:cs="Times New Roman"/>
                      <w:color w:val="auto"/>
                      <w:szCs w:val="21"/>
                    </w:rPr>
                  </w:pPr>
                  <w:r>
                    <w:rPr>
                      <w:rFonts w:hint="eastAsia"/>
                      <w:color w:val="auto"/>
                      <w:szCs w:val="21"/>
                    </w:rPr>
                    <w:t>西面汽修厂</w:t>
                  </w:r>
                </w:p>
              </w:tc>
            </w:tr>
            <w:tr w14:paraId="42183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restart"/>
                  <w:tcBorders>
                    <w:top w:val="nil"/>
                    <w:left w:val="single" w:color="auto" w:sz="6" w:space="0"/>
                    <w:right w:val="single" w:color="auto" w:sz="6" w:space="0"/>
                  </w:tcBorders>
                  <w:noWrap w:val="0"/>
                  <w:vAlign w:val="center"/>
                </w:tcPr>
                <w:p w14:paraId="75AB84F8">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民用建筑物保护类别</w:t>
                  </w:r>
                </w:p>
              </w:tc>
              <w:tc>
                <w:tcPr>
                  <w:tcW w:w="1464" w:type="dxa"/>
                  <w:gridSpan w:val="2"/>
                  <w:vMerge w:val="restart"/>
                  <w:tcBorders>
                    <w:top w:val="nil"/>
                    <w:left w:val="nil"/>
                    <w:right w:val="single" w:color="auto" w:sz="6" w:space="0"/>
                  </w:tcBorders>
                  <w:noWrap w:val="0"/>
                  <w:vAlign w:val="center"/>
                </w:tcPr>
                <w:p w14:paraId="681E2BE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一类保护物</w:t>
                  </w:r>
                </w:p>
              </w:tc>
              <w:tc>
                <w:tcPr>
                  <w:tcW w:w="840" w:type="dxa"/>
                  <w:tcBorders>
                    <w:top w:val="single" w:color="auto" w:sz="6" w:space="0"/>
                    <w:left w:val="nil"/>
                    <w:bottom w:val="single" w:color="auto" w:sz="6" w:space="0"/>
                    <w:right w:val="single" w:color="auto" w:sz="6" w:space="0"/>
                  </w:tcBorders>
                  <w:noWrap w:val="0"/>
                  <w:vAlign w:val="center"/>
                </w:tcPr>
                <w:p w14:paraId="051D600A">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163D75C7">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140" w:type="dxa"/>
                  <w:tcBorders>
                    <w:top w:val="single" w:color="auto" w:sz="6" w:space="0"/>
                    <w:left w:val="nil"/>
                    <w:bottom w:val="single" w:color="auto" w:sz="6" w:space="0"/>
                    <w:right w:val="single" w:color="auto" w:sz="6" w:space="0"/>
                  </w:tcBorders>
                  <w:noWrap w:val="0"/>
                  <w:vAlign w:val="center"/>
                </w:tcPr>
                <w:p w14:paraId="5E535DCE">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000" w:type="dxa"/>
                  <w:tcBorders>
                    <w:top w:val="single" w:color="auto" w:sz="6" w:space="0"/>
                    <w:left w:val="nil"/>
                    <w:bottom w:val="single" w:color="auto" w:sz="6" w:space="0"/>
                    <w:right w:val="single" w:color="auto" w:sz="6" w:space="0"/>
                  </w:tcBorders>
                  <w:noWrap w:val="0"/>
                  <w:vAlign w:val="center"/>
                </w:tcPr>
                <w:p w14:paraId="16FAAED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743" w:type="dxa"/>
                  <w:tcBorders>
                    <w:top w:val="single" w:color="auto" w:sz="6" w:space="0"/>
                    <w:left w:val="nil"/>
                    <w:right w:val="single" w:color="auto" w:sz="6" w:space="0"/>
                  </w:tcBorders>
                  <w:noWrap w:val="0"/>
                  <w:vAlign w:val="center"/>
                </w:tcPr>
                <w:p w14:paraId="2FF01CC3">
                  <w:pPr>
                    <w:keepNext w:val="0"/>
                    <w:keepLines w:val="0"/>
                    <w:widowControl/>
                    <w:suppressLineNumbers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127BC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right w:val="single" w:color="auto" w:sz="6" w:space="0"/>
                  </w:tcBorders>
                  <w:noWrap w:val="0"/>
                  <w:vAlign w:val="center"/>
                </w:tcPr>
                <w:p w14:paraId="0B5ADF90">
                  <w:pPr>
                    <w:widowControl/>
                    <w:jc w:val="left"/>
                    <w:rPr>
                      <w:rFonts w:hint="default" w:ascii="Times New Roman" w:hAnsi="Times New Roman" w:cs="Times New Roman"/>
                      <w:color w:val="auto"/>
                      <w:szCs w:val="21"/>
                    </w:rPr>
                  </w:pPr>
                </w:p>
              </w:tc>
              <w:tc>
                <w:tcPr>
                  <w:tcW w:w="1464" w:type="dxa"/>
                  <w:gridSpan w:val="2"/>
                  <w:vMerge w:val="continue"/>
                  <w:tcBorders>
                    <w:left w:val="nil"/>
                    <w:right w:val="single" w:color="auto" w:sz="6" w:space="0"/>
                  </w:tcBorders>
                  <w:noWrap w:val="0"/>
                  <w:vAlign w:val="center"/>
                </w:tcPr>
                <w:p w14:paraId="3F43AED0">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7177CCFB">
                  <w:pPr>
                    <w:autoSpaceDE w:val="0"/>
                    <w:autoSpaceDN w:val="0"/>
                    <w:adjustRightIn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设计</w:t>
                  </w:r>
                </w:p>
              </w:tc>
              <w:tc>
                <w:tcPr>
                  <w:tcW w:w="1005" w:type="dxa"/>
                  <w:tcBorders>
                    <w:top w:val="single" w:color="auto" w:sz="6" w:space="0"/>
                    <w:left w:val="nil"/>
                    <w:bottom w:val="single" w:color="auto" w:sz="6" w:space="0"/>
                    <w:right w:val="single" w:color="auto" w:sz="6" w:space="0"/>
                  </w:tcBorders>
                  <w:noWrap w:val="0"/>
                  <w:vAlign w:val="center"/>
                </w:tcPr>
                <w:p w14:paraId="60D5B190">
                  <w:pPr>
                    <w:autoSpaceDE w:val="0"/>
                    <w:autoSpaceDN w:val="0"/>
                    <w:adjustRightIn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lang w:val="en-US" w:eastAsia="zh-CN"/>
                    </w:rPr>
                    <w:t>无</w:t>
                  </w:r>
                </w:p>
              </w:tc>
              <w:tc>
                <w:tcPr>
                  <w:tcW w:w="1140" w:type="dxa"/>
                  <w:tcBorders>
                    <w:top w:val="single" w:color="auto" w:sz="6" w:space="0"/>
                    <w:left w:val="nil"/>
                    <w:bottom w:val="single" w:color="auto" w:sz="6" w:space="0"/>
                    <w:right w:val="single" w:color="auto" w:sz="6" w:space="0"/>
                  </w:tcBorders>
                  <w:noWrap w:val="0"/>
                  <w:vAlign w:val="center"/>
                </w:tcPr>
                <w:p w14:paraId="1663446D">
                  <w:pPr>
                    <w:autoSpaceDE w:val="0"/>
                    <w:autoSpaceDN w:val="0"/>
                    <w:adjustRightIn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lang w:val="en-US" w:eastAsia="zh-CN"/>
                    </w:rPr>
                    <w:t>无</w:t>
                  </w:r>
                </w:p>
              </w:tc>
              <w:tc>
                <w:tcPr>
                  <w:tcW w:w="1000" w:type="dxa"/>
                  <w:tcBorders>
                    <w:top w:val="single" w:color="auto" w:sz="6" w:space="0"/>
                    <w:left w:val="nil"/>
                    <w:bottom w:val="single" w:color="auto" w:sz="6" w:space="0"/>
                    <w:right w:val="single" w:color="auto" w:sz="6" w:space="0"/>
                  </w:tcBorders>
                  <w:noWrap w:val="0"/>
                  <w:vAlign w:val="center"/>
                </w:tcPr>
                <w:p w14:paraId="775E94FB">
                  <w:pPr>
                    <w:autoSpaceDE w:val="0"/>
                    <w:autoSpaceDN w:val="0"/>
                    <w:adjustRightIn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lang w:val="en-US" w:eastAsia="zh-CN"/>
                    </w:rPr>
                    <w:t>无</w:t>
                  </w:r>
                </w:p>
              </w:tc>
              <w:tc>
                <w:tcPr>
                  <w:tcW w:w="1743" w:type="dxa"/>
                  <w:tcBorders>
                    <w:left w:val="nil"/>
                    <w:bottom w:val="single" w:color="auto" w:sz="6" w:space="0"/>
                    <w:right w:val="single" w:color="auto" w:sz="6" w:space="0"/>
                  </w:tcBorders>
                  <w:noWrap w:val="0"/>
                  <w:vAlign w:val="center"/>
                </w:tcPr>
                <w:p w14:paraId="54EFC528">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Cs w:val="21"/>
                      <w:lang w:val="en-US" w:eastAsia="zh-CN"/>
                    </w:rPr>
                    <w:t>/</w:t>
                  </w:r>
                </w:p>
              </w:tc>
            </w:tr>
            <w:tr w14:paraId="2D7D9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right w:val="single" w:color="auto" w:sz="6" w:space="0"/>
                  </w:tcBorders>
                  <w:noWrap w:val="0"/>
                  <w:vAlign w:val="center"/>
                </w:tcPr>
                <w:p w14:paraId="1564F112">
                  <w:pPr>
                    <w:widowControl/>
                    <w:jc w:val="left"/>
                    <w:rPr>
                      <w:rFonts w:hint="default" w:ascii="Times New Roman" w:hAnsi="Times New Roman" w:cs="Times New Roman"/>
                      <w:color w:val="auto"/>
                      <w:szCs w:val="21"/>
                    </w:rPr>
                  </w:pPr>
                </w:p>
              </w:tc>
              <w:tc>
                <w:tcPr>
                  <w:tcW w:w="1464" w:type="dxa"/>
                  <w:gridSpan w:val="2"/>
                  <w:vMerge w:val="restart"/>
                  <w:tcBorders>
                    <w:top w:val="nil"/>
                    <w:left w:val="nil"/>
                    <w:right w:val="single" w:color="auto" w:sz="6" w:space="0"/>
                  </w:tcBorders>
                  <w:noWrap w:val="0"/>
                  <w:vAlign w:val="center"/>
                </w:tcPr>
                <w:p w14:paraId="29C363D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二类保护物</w:t>
                  </w:r>
                </w:p>
              </w:tc>
              <w:tc>
                <w:tcPr>
                  <w:tcW w:w="840" w:type="dxa"/>
                  <w:tcBorders>
                    <w:top w:val="single" w:color="auto" w:sz="6" w:space="0"/>
                    <w:left w:val="nil"/>
                    <w:bottom w:val="single" w:color="auto" w:sz="6" w:space="0"/>
                    <w:right w:val="single" w:color="auto" w:sz="6" w:space="0"/>
                  </w:tcBorders>
                  <w:noWrap w:val="0"/>
                  <w:vAlign w:val="center"/>
                </w:tcPr>
                <w:p w14:paraId="4E5CE87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531F0D60">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140" w:type="dxa"/>
                  <w:tcBorders>
                    <w:top w:val="single" w:color="auto" w:sz="6" w:space="0"/>
                    <w:left w:val="nil"/>
                    <w:bottom w:val="single" w:color="auto" w:sz="6" w:space="0"/>
                    <w:right w:val="single" w:color="auto" w:sz="6" w:space="0"/>
                  </w:tcBorders>
                  <w:noWrap w:val="0"/>
                  <w:vAlign w:val="center"/>
                </w:tcPr>
                <w:p w14:paraId="646637DA">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000" w:type="dxa"/>
                  <w:tcBorders>
                    <w:top w:val="single" w:color="auto" w:sz="6" w:space="0"/>
                    <w:left w:val="nil"/>
                    <w:bottom w:val="single" w:color="auto" w:sz="6" w:space="0"/>
                    <w:right w:val="single" w:color="auto" w:sz="6" w:space="0"/>
                  </w:tcBorders>
                  <w:noWrap w:val="0"/>
                  <w:vAlign w:val="center"/>
                </w:tcPr>
                <w:p w14:paraId="3767EC35">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743" w:type="dxa"/>
                  <w:tcBorders>
                    <w:top w:val="single" w:color="auto" w:sz="6" w:space="0"/>
                    <w:left w:val="nil"/>
                    <w:right w:val="single" w:color="auto" w:sz="6" w:space="0"/>
                  </w:tcBorders>
                  <w:noWrap w:val="0"/>
                  <w:vAlign w:val="center"/>
                </w:tcPr>
                <w:p w14:paraId="0E859473">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w:t>
                  </w:r>
                </w:p>
              </w:tc>
            </w:tr>
            <w:tr w14:paraId="3F229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right w:val="single" w:color="auto" w:sz="6" w:space="0"/>
                  </w:tcBorders>
                  <w:noWrap w:val="0"/>
                  <w:vAlign w:val="center"/>
                </w:tcPr>
                <w:p w14:paraId="77ABAB83">
                  <w:pPr>
                    <w:widowControl/>
                    <w:jc w:val="left"/>
                    <w:rPr>
                      <w:rFonts w:hint="default" w:ascii="Times New Roman" w:hAnsi="Times New Roman" w:cs="Times New Roman"/>
                      <w:color w:val="auto"/>
                      <w:szCs w:val="21"/>
                    </w:rPr>
                  </w:pPr>
                </w:p>
              </w:tc>
              <w:tc>
                <w:tcPr>
                  <w:tcW w:w="1464" w:type="dxa"/>
                  <w:gridSpan w:val="2"/>
                  <w:vMerge w:val="continue"/>
                  <w:tcBorders>
                    <w:left w:val="nil"/>
                    <w:right w:val="single" w:color="auto" w:sz="6" w:space="0"/>
                  </w:tcBorders>
                  <w:noWrap w:val="0"/>
                  <w:vAlign w:val="center"/>
                </w:tcPr>
                <w:p w14:paraId="1088ECD6">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32BBC36A">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1C683AE0">
                  <w:pPr>
                    <w:autoSpaceDE w:val="0"/>
                    <w:autoSpaceDN w:val="0"/>
                    <w:adjustRightIn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无</w:t>
                  </w:r>
                </w:p>
              </w:tc>
              <w:tc>
                <w:tcPr>
                  <w:tcW w:w="1140" w:type="dxa"/>
                  <w:tcBorders>
                    <w:top w:val="single" w:color="auto" w:sz="6" w:space="0"/>
                    <w:left w:val="nil"/>
                    <w:bottom w:val="single" w:color="auto" w:sz="6" w:space="0"/>
                    <w:right w:val="single" w:color="auto" w:sz="6" w:space="0"/>
                  </w:tcBorders>
                  <w:noWrap w:val="0"/>
                  <w:vAlign w:val="center"/>
                </w:tcPr>
                <w:p w14:paraId="5D079F2D">
                  <w:pPr>
                    <w:autoSpaceDE w:val="0"/>
                    <w:autoSpaceDN w:val="0"/>
                    <w:adjustRightIn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无</w:t>
                  </w:r>
                </w:p>
              </w:tc>
              <w:tc>
                <w:tcPr>
                  <w:tcW w:w="1000" w:type="dxa"/>
                  <w:tcBorders>
                    <w:top w:val="single" w:color="auto" w:sz="6" w:space="0"/>
                    <w:left w:val="nil"/>
                    <w:bottom w:val="single" w:color="auto" w:sz="6" w:space="0"/>
                    <w:right w:val="single" w:color="auto" w:sz="6" w:space="0"/>
                  </w:tcBorders>
                  <w:noWrap w:val="0"/>
                  <w:vAlign w:val="center"/>
                </w:tcPr>
                <w:p w14:paraId="34A9AFAD">
                  <w:pPr>
                    <w:autoSpaceDE w:val="0"/>
                    <w:autoSpaceDN w:val="0"/>
                    <w:adjustRightIn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无</w:t>
                  </w:r>
                </w:p>
              </w:tc>
              <w:tc>
                <w:tcPr>
                  <w:tcW w:w="1743" w:type="dxa"/>
                  <w:tcBorders>
                    <w:left w:val="nil"/>
                    <w:bottom w:val="single" w:color="auto" w:sz="6" w:space="0"/>
                    <w:right w:val="single" w:color="auto" w:sz="6" w:space="0"/>
                  </w:tcBorders>
                  <w:noWrap w:val="0"/>
                  <w:vAlign w:val="center"/>
                </w:tcPr>
                <w:p w14:paraId="5B9CC82D">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w:t>
                  </w:r>
                </w:p>
              </w:tc>
            </w:tr>
            <w:tr w14:paraId="4C333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right w:val="single" w:color="auto" w:sz="6" w:space="0"/>
                  </w:tcBorders>
                  <w:noWrap w:val="0"/>
                  <w:vAlign w:val="center"/>
                </w:tcPr>
                <w:p w14:paraId="3F45AF6D">
                  <w:pPr>
                    <w:widowControl/>
                    <w:jc w:val="left"/>
                    <w:rPr>
                      <w:rFonts w:hint="default" w:ascii="Times New Roman" w:hAnsi="Times New Roman" w:cs="Times New Roman"/>
                      <w:color w:val="auto"/>
                      <w:szCs w:val="21"/>
                    </w:rPr>
                  </w:pPr>
                </w:p>
              </w:tc>
              <w:tc>
                <w:tcPr>
                  <w:tcW w:w="1464" w:type="dxa"/>
                  <w:gridSpan w:val="2"/>
                  <w:vMerge w:val="restart"/>
                  <w:tcBorders>
                    <w:top w:val="nil"/>
                    <w:left w:val="nil"/>
                    <w:right w:val="single" w:color="auto" w:sz="6" w:space="0"/>
                  </w:tcBorders>
                  <w:noWrap w:val="0"/>
                  <w:vAlign w:val="center"/>
                </w:tcPr>
                <w:p w14:paraId="2F71DDA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三类保护物</w:t>
                  </w:r>
                </w:p>
              </w:tc>
              <w:tc>
                <w:tcPr>
                  <w:tcW w:w="840" w:type="dxa"/>
                  <w:tcBorders>
                    <w:top w:val="single" w:color="auto" w:sz="6" w:space="0"/>
                    <w:left w:val="nil"/>
                    <w:bottom w:val="single" w:color="auto" w:sz="6" w:space="0"/>
                    <w:right w:val="single" w:color="auto" w:sz="6" w:space="0"/>
                  </w:tcBorders>
                  <w:noWrap w:val="0"/>
                  <w:vAlign w:val="center"/>
                </w:tcPr>
                <w:p w14:paraId="298A0D16">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26355C4B">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140" w:type="dxa"/>
                  <w:tcBorders>
                    <w:top w:val="single" w:color="auto" w:sz="6" w:space="0"/>
                    <w:left w:val="nil"/>
                    <w:bottom w:val="single" w:color="auto" w:sz="6" w:space="0"/>
                    <w:right w:val="single" w:color="auto" w:sz="6" w:space="0"/>
                  </w:tcBorders>
                  <w:noWrap w:val="0"/>
                  <w:vAlign w:val="center"/>
                </w:tcPr>
                <w:p w14:paraId="5BEC95D0">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000" w:type="dxa"/>
                  <w:tcBorders>
                    <w:top w:val="single" w:color="auto" w:sz="6" w:space="0"/>
                    <w:left w:val="nil"/>
                    <w:bottom w:val="single" w:color="auto" w:sz="6" w:space="0"/>
                    <w:right w:val="single" w:color="auto" w:sz="6" w:space="0"/>
                  </w:tcBorders>
                  <w:noWrap w:val="0"/>
                  <w:vAlign w:val="center"/>
                </w:tcPr>
                <w:p w14:paraId="02AE575D">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w:t>
                  </w:r>
                </w:p>
              </w:tc>
              <w:tc>
                <w:tcPr>
                  <w:tcW w:w="1743" w:type="dxa"/>
                  <w:tcBorders>
                    <w:top w:val="nil"/>
                    <w:left w:val="nil"/>
                    <w:right w:val="single" w:color="auto" w:sz="6" w:space="0"/>
                  </w:tcBorders>
                  <w:noWrap w:val="0"/>
                  <w:vAlign w:val="center"/>
                </w:tcPr>
                <w:p w14:paraId="5238608F">
                  <w:pPr>
                    <w:keepNext w:val="0"/>
                    <w:keepLines w:val="0"/>
                    <w:widowControl/>
                    <w:suppressLineNumbers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6F09E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right w:val="single" w:color="auto" w:sz="6" w:space="0"/>
                  </w:tcBorders>
                  <w:noWrap w:val="0"/>
                  <w:vAlign w:val="center"/>
                </w:tcPr>
                <w:p w14:paraId="388422B4">
                  <w:pPr>
                    <w:widowControl/>
                    <w:jc w:val="left"/>
                    <w:rPr>
                      <w:rFonts w:hint="default" w:ascii="Times New Roman" w:hAnsi="Times New Roman" w:cs="Times New Roman"/>
                      <w:color w:val="auto"/>
                      <w:szCs w:val="21"/>
                    </w:rPr>
                  </w:pPr>
                </w:p>
              </w:tc>
              <w:tc>
                <w:tcPr>
                  <w:tcW w:w="1464" w:type="dxa"/>
                  <w:gridSpan w:val="2"/>
                  <w:vMerge w:val="continue"/>
                  <w:tcBorders>
                    <w:left w:val="nil"/>
                    <w:right w:val="single" w:color="auto" w:sz="6" w:space="0"/>
                  </w:tcBorders>
                  <w:noWrap w:val="0"/>
                  <w:vAlign w:val="center"/>
                </w:tcPr>
                <w:p w14:paraId="0A2CFC77">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246723CD">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16521FB6">
                  <w:pPr>
                    <w:jc w:val="center"/>
                    <w:rPr>
                      <w:rFonts w:hint="default" w:ascii="Times New Roman" w:hAnsi="Times New Roman" w:eastAsia="宋体" w:cs="Times New Roman"/>
                      <w:color w:val="auto"/>
                      <w:szCs w:val="21"/>
                      <w:lang w:val="en-US" w:eastAsia="zh-CN"/>
                    </w:rPr>
                  </w:pPr>
                  <w:r>
                    <w:rPr>
                      <w:rFonts w:hint="eastAsia"/>
                      <w:color w:val="auto"/>
                      <w:szCs w:val="21"/>
                    </w:rPr>
                    <w:t>33.35</w:t>
                  </w:r>
                </w:p>
              </w:tc>
              <w:tc>
                <w:tcPr>
                  <w:tcW w:w="1140" w:type="dxa"/>
                  <w:tcBorders>
                    <w:top w:val="single" w:color="auto" w:sz="6" w:space="0"/>
                    <w:left w:val="nil"/>
                    <w:bottom w:val="single" w:color="auto" w:sz="6" w:space="0"/>
                    <w:right w:val="single" w:color="auto" w:sz="6" w:space="0"/>
                  </w:tcBorders>
                  <w:noWrap w:val="0"/>
                  <w:vAlign w:val="center"/>
                </w:tcPr>
                <w:p w14:paraId="7E90B3ED">
                  <w:pPr>
                    <w:jc w:val="center"/>
                    <w:rPr>
                      <w:rFonts w:hint="default" w:ascii="Times New Roman" w:hAnsi="Times New Roman" w:eastAsia="宋体" w:cs="Times New Roman"/>
                      <w:color w:val="auto"/>
                      <w:szCs w:val="21"/>
                      <w:lang w:val="en-US" w:eastAsia="zh-CN"/>
                    </w:rPr>
                  </w:pPr>
                  <w:r>
                    <w:rPr>
                      <w:rFonts w:hint="eastAsia"/>
                      <w:color w:val="auto"/>
                      <w:szCs w:val="21"/>
                    </w:rPr>
                    <w:t>36.3</w:t>
                  </w:r>
                </w:p>
              </w:tc>
              <w:tc>
                <w:tcPr>
                  <w:tcW w:w="1000" w:type="dxa"/>
                  <w:tcBorders>
                    <w:top w:val="single" w:color="auto" w:sz="6" w:space="0"/>
                    <w:left w:val="nil"/>
                    <w:bottom w:val="single" w:color="auto" w:sz="6" w:space="0"/>
                    <w:right w:val="single" w:color="auto" w:sz="6" w:space="0"/>
                  </w:tcBorders>
                  <w:noWrap w:val="0"/>
                  <w:vAlign w:val="center"/>
                </w:tcPr>
                <w:p w14:paraId="37BFB9AB">
                  <w:pPr>
                    <w:jc w:val="center"/>
                    <w:rPr>
                      <w:rFonts w:hint="default" w:ascii="Times New Roman" w:hAnsi="Times New Roman" w:eastAsia="宋体" w:cs="Times New Roman"/>
                      <w:color w:val="auto"/>
                      <w:szCs w:val="21"/>
                      <w:lang w:val="en-US" w:eastAsia="zh-CN"/>
                    </w:rPr>
                  </w:pPr>
                  <w:r>
                    <w:rPr>
                      <w:rFonts w:hint="eastAsia"/>
                      <w:color w:val="auto"/>
                      <w:szCs w:val="21"/>
                    </w:rPr>
                    <w:t>30.21</w:t>
                  </w:r>
                </w:p>
              </w:tc>
              <w:tc>
                <w:tcPr>
                  <w:tcW w:w="1743" w:type="dxa"/>
                  <w:tcBorders>
                    <w:left w:val="nil"/>
                    <w:bottom w:val="single" w:color="auto" w:sz="6" w:space="0"/>
                    <w:right w:val="single" w:color="auto" w:sz="6" w:space="0"/>
                  </w:tcBorders>
                  <w:noWrap w:val="0"/>
                  <w:vAlign w:val="center"/>
                </w:tcPr>
                <w:p w14:paraId="35D78524">
                  <w:pPr>
                    <w:jc w:val="center"/>
                    <w:rPr>
                      <w:rFonts w:hint="default" w:ascii="Times New Roman" w:hAnsi="Times New Roman" w:cs="Times New Roman"/>
                      <w:color w:val="auto"/>
                      <w:szCs w:val="21"/>
                      <w:lang w:val="en-US"/>
                    </w:rPr>
                  </w:pPr>
                  <w:r>
                    <w:rPr>
                      <w:color w:val="auto"/>
                      <w:szCs w:val="21"/>
                    </w:rPr>
                    <w:t>北面德沃尔农资专营店</w:t>
                  </w:r>
                </w:p>
              </w:tc>
            </w:tr>
            <w:tr w14:paraId="7EA0E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right w:val="single" w:color="auto" w:sz="6" w:space="0"/>
                  </w:tcBorders>
                  <w:noWrap w:val="0"/>
                  <w:vAlign w:val="center"/>
                </w:tcPr>
                <w:p w14:paraId="67A93817">
                  <w:pPr>
                    <w:widowControl/>
                    <w:jc w:val="left"/>
                    <w:rPr>
                      <w:rFonts w:hint="default" w:ascii="Times New Roman" w:hAnsi="Times New Roman" w:cs="Times New Roman"/>
                      <w:color w:val="auto"/>
                      <w:szCs w:val="21"/>
                    </w:rPr>
                  </w:pPr>
                </w:p>
              </w:tc>
              <w:tc>
                <w:tcPr>
                  <w:tcW w:w="1464" w:type="dxa"/>
                  <w:gridSpan w:val="2"/>
                  <w:vMerge w:val="continue"/>
                  <w:tcBorders>
                    <w:left w:val="nil"/>
                    <w:right w:val="single" w:color="auto" w:sz="6" w:space="0"/>
                  </w:tcBorders>
                  <w:noWrap w:val="0"/>
                  <w:vAlign w:val="center"/>
                </w:tcPr>
                <w:p w14:paraId="7D52F85E">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6D28C8DE">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333578CF">
                  <w:pPr>
                    <w:jc w:val="center"/>
                    <w:rPr>
                      <w:rFonts w:hint="eastAsia" w:cs="Times New Roman"/>
                      <w:color w:val="auto"/>
                      <w:lang w:val="en-US" w:eastAsia="zh-CN"/>
                    </w:rPr>
                  </w:pPr>
                  <w:r>
                    <w:rPr>
                      <w:rFonts w:hint="eastAsia"/>
                      <w:color w:val="auto"/>
                      <w:szCs w:val="21"/>
                    </w:rPr>
                    <w:t>40.4</w:t>
                  </w:r>
                </w:p>
              </w:tc>
              <w:tc>
                <w:tcPr>
                  <w:tcW w:w="1140" w:type="dxa"/>
                  <w:tcBorders>
                    <w:top w:val="single" w:color="auto" w:sz="6" w:space="0"/>
                    <w:left w:val="nil"/>
                    <w:bottom w:val="single" w:color="auto" w:sz="6" w:space="0"/>
                    <w:right w:val="single" w:color="auto" w:sz="6" w:space="0"/>
                  </w:tcBorders>
                  <w:noWrap w:val="0"/>
                  <w:vAlign w:val="center"/>
                </w:tcPr>
                <w:p w14:paraId="4E6283DE">
                  <w:pPr>
                    <w:jc w:val="center"/>
                    <w:rPr>
                      <w:rFonts w:hint="eastAsia" w:cs="Times New Roman"/>
                      <w:color w:val="auto"/>
                      <w:lang w:val="en-US" w:eastAsia="zh-CN"/>
                    </w:rPr>
                  </w:pPr>
                  <w:r>
                    <w:rPr>
                      <w:rFonts w:hint="eastAsia"/>
                      <w:color w:val="auto"/>
                      <w:szCs w:val="21"/>
                    </w:rPr>
                    <w:t>42.6</w:t>
                  </w:r>
                </w:p>
              </w:tc>
              <w:tc>
                <w:tcPr>
                  <w:tcW w:w="1000" w:type="dxa"/>
                  <w:tcBorders>
                    <w:top w:val="single" w:color="auto" w:sz="6" w:space="0"/>
                    <w:left w:val="nil"/>
                    <w:bottom w:val="single" w:color="auto" w:sz="6" w:space="0"/>
                    <w:right w:val="single" w:color="auto" w:sz="6" w:space="0"/>
                  </w:tcBorders>
                  <w:noWrap w:val="0"/>
                  <w:vAlign w:val="center"/>
                </w:tcPr>
                <w:p w14:paraId="6446AF24">
                  <w:pPr>
                    <w:jc w:val="center"/>
                    <w:rPr>
                      <w:rFonts w:hint="eastAsia" w:cs="Times New Roman"/>
                      <w:color w:val="auto"/>
                      <w:lang w:val="en-US" w:eastAsia="zh-CN"/>
                    </w:rPr>
                  </w:pPr>
                  <w:r>
                    <w:rPr>
                      <w:rFonts w:hint="eastAsia"/>
                      <w:color w:val="auto"/>
                      <w:szCs w:val="21"/>
                    </w:rPr>
                    <w:t>45.2</w:t>
                  </w:r>
                </w:p>
              </w:tc>
              <w:tc>
                <w:tcPr>
                  <w:tcW w:w="1743" w:type="dxa"/>
                  <w:tcBorders>
                    <w:left w:val="nil"/>
                    <w:bottom w:val="single" w:color="auto" w:sz="6" w:space="0"/>
                    <w:right w:val="single" w:color="auto" w:sz="6" w:space="0"/>
                  </w:tcBorders>
                  <w:noWrap w:val="0"/>
                  <w:vAlign w:val="center"/>
                </w:tcPr>
                <w:p w14:paraId="09E72D4A">
                  <w:pPr>
                    <w:jc w:val="center"/>
                    <w:rPr>
                      <w:rFonts w:hint="eastAsia" w:cs="Times New Roman"/>
                      <w:color w:val="auto"/>
                      <w:szCs w:val="21"/>
                      <w:lang w:val="en-US" w:eastAsia="zh-CN"/>
                    </w:rPr>
                  </w:pPr>
                  <w:r>
                    <w:rPr>
                      <w:color w:val="auto"/>
                      <w:szCs w:val="21"/>
                    </w:rPr>
                    <w:t>南面民房</w:t>
                  </w:r>
                </w:p>
              </w:tc>
            </w:tr>
            <w:tr w14:paraId="42178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right w:val="single" w:color="auto" w:sz="6" w:space="0"/>
                  </w:tcBorders>
                  <w:noWrap w:val="0"/>
                  <w:vAlign w:val="center"/>
                </w:tcPr>
                <w:p w14:paraId="2526E0C8">
                  <w:pPr>
                    <w:widowControl/>
                    <w:jc w:val="left"/>
                    <w:rPr>
                      <w:rFonts w:hint="default" w:ascii="Times New Roman" w:hAnsi="Times New Roman" w:cs="Times New Roman"/>
                      <w:color w:val="auto"/>
                      <w:szCs w:val="21"/>
                    </w:rPr>
                  </w:pPr>
                </w:p>
              </w:tc>
              <w:tc>
                <w:tcPr>
                  <w:tcW w:w="1464" w:type="dxa"/>
                  <w:gridSpan w:val="2"/>
                  <w:vMerge w:val="continue"/>
                  <w:tcBorders>
                    <w:left w:val="nil"/>
                    <w:right w:val="single" w:color="auto" w:sz="6" w:space="0"/>
                  </w:tcBorders>
                  <w:noWrap w:val="0"/>
                  <w:vAlign w:val="center"/>
                </w:tcPr>
                <w:p w14:paraId="024BA11D">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5BC6F047">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3C485B96">
                  <w:pPr>
                    <w:jc w:val="center"/>
                    <w:rPr>
                      <w:rFonts w:hint="eastAsia" w:cs="Times New Roman"/>
                      <w:color w:val="auto"/>
                      <w:lang w:val="en-US" w:eastAsia="zh-CN"/>
                    </w:rPr>
                  </w:pPr>
                  <w:r>
                    <w:rPr>
                      <w:rFonts w:hint="eastAsia"/>
                      <w:color w:val="auto"/>
                      <w:szCs w:val="21"/>
                    </w:rPr>
                    <w:t>37.3</w:t>
                  </w:r>
                </w:p>
              </w:tc>
              <w:tc>
                <w:tcPr>
                  <w:tcW w:w="1140" w:type="dxa"/>
                  <w:tcBorders>
                    <w:top w:val="single" w:color="auto" w:sz="6" w:space="0"/>
                    <w:left w:val="nil"/>
                    <w:bottom w:val="single" w:color="auto" w:sz="6" w:space="0"/>
                    <w:right w:val="single" w:color="auto" w:sz="6" w:space="0"/>
                  </w:tcBorders>
                  <w:noWrap w:val="0"/>
                  <w:vAlign w:val="center"/>
                </w:tcPr>
                <w:p w14:paraId="00067EE2">
                  <w:pPr>
                    <w:jc w:val="center"/>
                    <w:rPr>
                      <w:rFonts w:hint="eastAsia" w:cs="Times New Roman"/>
                      <w:color w:val="auto"/>
                      <w:lang w:val="en-US" w:eastAsia="zh-CN"/>
                    </w:rPr>
                  </w:pPr>
                  <w:r>
                    <w:rPr>
                      <w:rFonts w:hint="eastAsia"/>
                      <w:color w:val="auto"/>
                      <w:szCs w:val="21"/>
                    </w:rPr>
                    <w:t>41.6</w:t>
                  </w:r>
                </w:p>
              </w:tc>
              <w:tc>
                <w:tcPr>
                  <w:tcW w:w="1000" w:type="dxa"/>
                  <w:tcBorders>
                    <w:top w:val="single" w:color="auto" w:sz="6" w:space="0"/>
                    <w:left w:val="nil"/>
                    <w:bottom w:val="single" w:color="auto" w:sz="6" w:space="0"/>
                    <w:right w:val="single" w:color="auto" w:sz="6" w:space="0"/>
                  </w:tcBorders>
                  <w:noWrap w:val="0"/>
                  <w:vAlign w:val="center"/>
                </w:tcPr>
                <w:p w14:paraId="519740FF">
                  <w:pPr>
                    <w:jc w:val="center"/>
                    <w:rPr>
                      <w:rFonts w:hint="eastAsia" w:cs="Times New Roman"/>
                      <w:color w:val="auto"/>
                      <w:lang w:val="en-US" w:eastAsia="zh-CN"/>
                    </w:rPr>
                  </w:pPr>
                  <w:r>
                    <w:rPr>
                      <w:rFonts w:hint="eastAsia"/>
                      <w:color w:val="auto"/>
                      <w:szCs w:val="21"/>
                    </w:rPr>
                    <w:t>32.7</w:t>
                  </w:r>
                </w:p>
              </w:tc>
              <w:tc>
                <w:tcPr>
                  <w:tcW w:w="1743" w:type="dxa"/>
                  <w:tcBorders>
                    <w:left w:val="nil"/>
                    <w:bottom w:val="single" w:color="auto" w:sz="6" w:space="0"/>
                    <w:right w:val="single" w:color="auto" w:sz="6" w:space="0"/>
                  </w:tcBorders>
                  <w:noWrap w:val="0"/>
                  <w:vAlign w:val="center"/>
                </w:tcPr>
                <w:p w14:paraId="6FFA9269">
                  <w:pPr>
                    <w:jc w:val="center"/>
                    <w:rPr>
                      <w:rFonts w:hint="eastAsia" w:cs="Times New Roman"/>
                      <w:color w:val="auto"/>
                      <w:szCs w:val="21"/>
                      <w:lang w:val="en-US" w:eastAsia="zh-CN"/>
                    </w:rPr>
                  </w:pPr>
                  <w:r>
                    <w:rPr>
                      <w:color w:val="auto"/>
                      <w:szCs w:val="21"/>
                    </w:rPr>
                    <w:t>西北面大利嘉超市</w:t>
                  </w:r>
                </w:p>
              </w:tc>
            </w:tr>
            <w:tr w14:paraId="58D58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right w:val="single" w:color="auto" w:sz="6" w:space="0"/>
                  </w:tcBorders>
                  <w:noWrap w:val="0"/>
                  <w:vAlign w:val="center"/>
                </w:tcPr>
                <w:p w14:paraId="263FD7EF">
                  <w:pPr>
                    <w:widowControl/>
                    <w:jc w:val="left"/>
                    <w:rPr>
                      <w:rFonts w:hint="default" w:ascii="Times New Roman" w:hAnsi="Times New Roman" w:cs="Times New Roman"/>
                      <w:color w:val="auto"/>
                      <w:szCs w:val="21"/>
                    </w:rPr>
                  </w:pPr>
                </w:p>
              </w:tc>
              <w:tc>
                <w:tcPr>
                  <w:tcW w:w="1464" w:type="dxa"/>
                  <w:gridSpan w:val="2"/>
                  <w:vMerge w:val="continue"/>
                  <w:tcBorders>
                    <w:left w:val="nil"/>
                    <w:right w:val="single" w:color="auto" w:sz="6" w:space="0"/>
                  </w:tcBorders>
                  <w:noWrap w:val="0"/>
                  <w:vAlign w:val="center"/>
                </w:tcPr>
                <w:p w14:paraId="603F88AA">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3F443F24">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43652848">
                  <w:pPr>
                    <w:jc w:val="center"/>
                    <w:rPr>
                      <w:rFonts w:hint="eastAsia" w:cs="Times New Roman"/>
                      <w:color w:val="auto"/>
                      <w:lang w:val="en-US" w:eastAsia="zh-CN"/>
                    </w:rPr>
                  </w:pPr>
                  <w:r>
                    <w:rPr>
                      <w:rFonts w:hint="eastAsia"/>
                      <w:color w:val="auto"/>
                      <w:szCs w:val="21"/>
                    </w:rPr>
                    <w:t>36.9</w:t>
                  </w:r>
                </w:p>
              </w:tc>
              <w:tc>
                <w:tcPr>
                  <w:tcW w:w="1140" w:type="dxa"/>
                  <w:tcBorders>
                    <w:top w:val="single" w:color="auto" w:sz="6" w:space="0"/>
                    <w:left w:val="nil"/>
                    <w:bottom w:val="single" w:color="auto" w:sz="6" w:space="0"/>
                    <w:right w:val="single" w:color="auto" w:sz="6" w:space="0"/>
                  </w:tcBorders>
                  <w:noWrap w:val="0"/>
                  <w:vAlign w:val="center"/>
                </w:tcPr>
                <w:p w14:paraId="34F597C3">
                  <w:pPr>
                    <w:jc w:val="center"/>
                    <w:rPr>
                      <w:rFonts w:hint="eastAsia" w:cs="Times New Roman"/>
                      <w:color w:val="auto"/>
                      <w:lang w:val="en-US" w:eastAsia="zh-CN"/>
                    </w:rPr>
                  </w:pPr>
                  <w:r>
                    <w:rPr>
                      <w:rFonts w:hint="eastAsia"/>
                      <w:color w:val="auto"/>
                      <w:szCs w:val="21"/>
                    </w:rPr>
                    <w:t>33.6</w:t>
                  </w:r>
                </w:p>
              </w:tc>
              <w:tc>
                <w:tcPr>
                  <w:tcW w:w="1000" w:type="dxa"/>
                  <w:tcBorders>
                    <w:top w:val="single" w:color="auto" w:sz="6" w:space="0"/>
                    <w:left w:val="nil"/>
                    <w:bottom w:val="single" w:color="auto" w:sz="6" w:space="0"/>
                    <w:right w:val="single" w:color="auto" w:sz="6" w:space="0"/>
                  </w:tcBorders>
                  <w:noWrap w:val="0"/>
                  <w:vAlign w:val="center"/>
                </w:tcPr>
                <w:p w14:paraId="487C87D4">
                  <w:pPr>
                    <w:jc w:val="center"/>
                    <w:rPr>
                      <w:rFonts w:hint="eastAsia" w:cs="Times New Roman"/>
                      <w:color w:val="auto"/>
                      <w:lang w:val="en-US" w:eastAsia="zh-CN"/>
                    </w:rPr>
                  </w:pPr>
                  <w:r>
                    <w:rPr>
                      <w:rFonts w:hint="eastAsia"/>
                      <w:color w:val="auto"/>
                      <w:szCs w:val="21"/>
                    </w:rPr>
                    <w:t>43.8</w:t>
                  </w:r>
                </w:p>
              </w:tc>
              <w:tc>
                <w:tcPr>
                  <w:tcW w:w="1743" w:type="dxa"/>
                  <w:tcBorders>
                    <w:left w:val="nil"/>
                    <w:bottom w:val="single" w:color="auto" w:sz="6" w:space="0"/>
                    <w:right w:val="single" w:color="auto" w:sz="6" w:space="0"/>
                  </w:tcBorders>
                  <w:noWrap w:val="0"/>
                  <w:vAlign w:val="center"/>
                </w:tcPr>
                <w:p w14:paraId="41F9B179">
                  <w:pPr>
                    <w:jc w:val="center"/>
                    <w:rPr>
                      <w:rFonts w:hint="eastAsia" w:cs="Times New Roman"/>
                      <w:color w:val="auto"/>
                      <w:szCs w:val="21"/>
                      <w:lang w:val="en-US" w:eastAsia="zh-CN"/>
                    </w:rPr>
                  </w:pPr>
                  <w:r>
                    <w:rPr>
                      <w:color w:val="auto"/>
                      <w:szCs w:val="21"/>
                    </w:rPr>
                    <w:t>东面民房</w:t>
                  </w:r>
                </w:p>
              </w:tc>
            </w:tr>
            <w:tr w14:paraId="35FB1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018" w:type="dxa"/>
                  <w:gridSpan w:val="2"/>
                  <w:vMerge w:val="continue"/>
                  <w:tcBorders>
                    <w:left w:val="single" w:color="auto" w:sz="6" w:space="0"/>
                    <w:bottom w:val="single" w:color="auto" w:sz="6" w:space="0"/>
                    <w:right w:val="single" w:color="auto" w:sz="6" w:space="0"/>
                  </w:tcBorders>
                  <w:noWrap w:val="0"/>
                  <w:vAlign w:val="center"/>
                </w:tcPr>
                <w:p w14:paraId="7BA6C270">
                  <w:pPr>
                    <w:widowControl/>
                    <w:jc w:val="left"/>
                    <w:rPr>
                      <w:rFonts w:hint="default" w:ascii="Times New Roman" w:hAnsi="Times New Roman" w:cs="Times New Roman"/>
                      <w:color w:val="auto"/>
                      <w:szCs w:val="21"/>
                    </w:rPr>
                  </w:pPr>
                </w:p>
              </w:tc>
              <w:tc>
                <w:tcPr>
                  <w:tcW w:w="1464" w:type="dxa"/>
                  <w:gridSpan w:val="2"/>
                  <w:vMerge w:val="continue"/>
                  <w:tcBorders>
                    <w:left w:val="nil"/>
                    <w:bottom w:val="single" w:color="auto" w:sz="6" w:space="0"/>
                    <w:right w:val="single" w:color="auto" w:sz="6" w:space="0"/>
                  </w:tcBorders>
                  <w:noWrap w:val="0"/>
                  <w:vAlign w:val="center"/>
                </w:tcPr>
                <w:p w14:paraId="3060FDB1">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02E3796C">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79C96E90">
                  <w:pPr>
                    <w:jc w:val="center"/>
                    <w:rPr>
                      <w:rFonts w:hint="eastAsia" w:cs="Times New Roman"/>
                      <w:color w:val="auto"/>
                      <w:lang w:val="en-US" w:eastAsia="zh-CN"/>
                    </w:rPr>
                  </w:pPr>
                  <w:r>
                    <w:rPr>
                      <w:rFonts w:hint="eastAsia"/>
                      <w:color w:val="auto"/>
                      <w:szCs w:val="21"/>
                    </w:rPr>
                    <w:t>30</w:t>
                  </w:r>
                </w:p>
              </w:tc>
              <w:tc>
                <w:tcPr>
                  <w:tcW w:w="1140" w:type="dxa"/>
                  <w:tcBorders>
                    <w:top w:val="single" w:color="auto" w:sz="6" w:space="0"/>
                    <w:left w:val="nil"/>
                    <w:bottom w:val="single" w:color="auto" w:sz="6" w:space="0"/>
                    <w:right w:val="single" w:color="auto" w:sz="6" w:space="0"/>
                  </w:tcBorders>
                  <w:noWrap w:val="0"/>
                  <w:vAlign w:val="center"/>
                </w:tcPr>
                <w:p w14:paraId="78707718">
                  <w:pPr>
                    <w:jc w:val="center"/>
                    <w:rPr>
                      <w:rFonts w:hint="eastAsia" w:cs="Times New Roman"/>
                      <w:color w:val="auto"/>
                      <w:lang w:val="en-US" w:eastAsia="zh-CN"/>
                    </w:rPr>
                  </w:pPr>
                  <w:r>
                    <w:rPr>
                      <w:rFonts w:hint="eastAsia"/>
                      <w:color w:val="auto"/>
                      <w:szCs w:val="21"/>
                    </w:rPr>
                    <w:t>28.83</w:t>
                  </w:r>
                </w:p>
              </w:tc>
              <w:tc>
                <w:tcPr>
                  <w:tcW w:w="1000" w:type="dxa"/>
                  <w:tcBorders>
                    <w:top w:val="single" w:color="auto" w:sz="6" w:space="0"/>
                    <w:left w:val="nil"/>
                    <w:bottom w:val="single" w:color="auto" w:sz="6" w:space="0"/>
                    <w:right w:val="single" w:color="auto" w:sz="6" w:space="0"/>
                  </w:tcBorders>
                  <w:noWrap w:val="0"/>
                  <w:vAlign w:val="center"/>
                </w:tcPr>
                <w:p w14:paraId="18DC89EE">
                  <w:pPr>
                    <w:jc w:val="center"/>
                    <w:rPr>
                      <w:rFonts w:hint="eastAsia" w:cs="Times New Roman"/>
                      <w:color w:val="auto"/>
                      <w:lang w:val="en-US" w:eastAsia="zh-CN"/>
                    </w:rPr>
                  </w:pPr>
                  <w:r>
                    <w:rPr>
                      <w:rFonts w:hint="eastAsia"/>
                      <w:color w:val="auto"/>
                      <w:szCs w:val="21"/>
                    </w:rPr>
                    <w:t>31.4</w:t>
                  </w:r>
                </w:p>
              </w:tc>
              <w:tc>
                <w:tcPr>
                  <w:tcW w:w="1743" w:type="dxa"/>
                  <w:tcBorders>
                    <w:left w:val="nil"/>
                    <w:bottom w:val="single" w:color="auto" w:sz="6" w:space="0"/>
                    <w:right w:val="single" w:color="auto" w:sz="6" w:space="0"/>
                  </w:tcBorders>
                  <w:noWrap w:val="0"/>
                  <w:vAlign w:val="center"/>
                </w:tcPr>
                <w:p w14:paraId="7FDC933F">
                  <w:pPr>
                    <w:jc w:val="center"/>
                    <w:rPr>
                      <w:rFonts w:hint="eastAsia" w:cs="Times New Roman"/>
                      <w:color w:val="auto"/>
                      <w:szCs w:val="21"/>
                      <w:lang w:val="en-US" w:eastAsia="zh-CN"/>
                    </w:rPr>
                  </w:pPr>
                  <w:r>
                    <w:rPr>
                      <w:color w:val="auto"/>
                      <w:szCs w:val="21"/>
                    </w:rPr>
                    <w:t>东北面农村养猪猪舍</w:t>
                  </w:r>
                </w:p>
              </w:tc>
            </w:tr>
            <w:tr w14:paraId="578CB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restart"/>
                  <w:tcBorders>
                    <w:top w:val="nil"/>
                    <w:left w:val="single" w:color="auto" w:sz="6" w:space="0"/>
                    <w:bottom w:val="single" w:color="auto" w:sz="6" w:space="0"/>
                    <w:right w:val="single" w:color="auto" w:sz="6" w:space="0"/>
                  </w:tcBorders>
                  <w:noWrap w:val="0"/>
                  <w:vAlign w:val="center"/>
                </w:tcPr>
                <w:p w14:paraId="4DACABF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甲、乙类物品生产厂房、库房和甲、乙类液体储罐</w:t>
                  </w:r>
                </w:p>
              </w:tc>
              <w:tc>
                <w:tcPr>
                  <w:tcW w:w="840" w:type="dxa"/>
                  <w:tcBorders>
                    <w:top w:val="single" w:color="auto" w:sz="6" w:space="0"/>
                    <w:left w:val="nil"/>
                    <w:bottom w:val="single" w:color="auto" w:sz="6" w:space="0"/>
                    <w:right w:val="single" w:color="auto" w:sz="6" w:space="0"/>
                  </w:tcBorders>
                  <w:noWrap w:val="0"/>
                  <w:vAlign w:val="center"/>
                </w:tcPr>
                <w:p w14:paraId="6280E18F">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29D60CDB">
                  <w:pPr>
                    <w:autoSpaceDE w:val="0"/>
                    <w:autoSpaceDN w:val="0"/>
                    <w:adjustRightIn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9</w:t>
                  </w:r>
                </w:p>
              </w:tc>
              <w:tc>
                <w:tcPr>
                  <w:tcW w:w="1140" w:type="dxa"/>
                  <w:tcBorders>
                    <w:top w:val="single" w:color="auto" w:sz="6" w:space="0"/>
                    <w:left w:val="nil"/>
                    <w:bottom w:val="single" w:color="auto" w:sz="6" w:space="0"/>
                    <w:right w:val="single" w:color="auto" w:sz="6" w:space="0"/>
                  </w:tcBorders>
                  <w:noWrap w:val="0"/>
                  <w:vAlign w:val="center"/>
                </w:tcPr>
                <w:p w14:paraId="247623E5">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9</w:t>
                  </w:r>
                </w:p>
              </w:tc>
              <w:tc>
                <w:tcPr>
                  <w:tcW w:w="1000" w:type="dxa"/>
                  <w:tcBorders>
                    <w:top w:val="single" w:color="auto" w:sz="6" w:space="0"/>
                    <w:left w:val="nil"/>
                    <w:bottom w:val="single" w:color="auto" w:sz="6" w:space="0"/>
                    <w:right w:val="single" w:color="auto" w:sz="6" w:space="0"/>
                  </w:tcBorders>
                  <w:noWrap w:val="0"/>
                  <w:vAlign w:val="center"/>
                </w:tcPr>
                <w:p w14:paraId="49F1F77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9</w:t>
                  </w:r>
                </w:p>
              </w:tc>
              <w:tc>
                <w:tcPr>
                  <w:tcW w:w="1743" w:type="dxa"/>
                  <w:tcBorders>
                    <w:top w:val="nil"/>
                    <w:left w:val="nil"/>
                    <w:bottom w:val="single" w:color="auto" w:sz="6" w:space="0"/>
                    <w:right w:val="single" w:color="auto" w:sz="6" w:space="0"/>
                  </w:tcBorders>
                  <w:noWrap w:val="0"/>
                  <w:vAlign w:val="center"/>
                </w:tcPr>
                <w:p w14:paraId="25DE804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1D67B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continue"/>
                  <w:tcBorders>
                    <w:top w:val="nil"/>
                    <w:left w:val="single" w:color="auto" w:sz="6" w:space="0"/>
                    <w:bottom w:val="single" w:color="auto" w:sz="6" w:space="0"/>
                    <w:right w:val="single" w:color="auto" w:sz="6" w:space="0"/>
                  </w:tcBorders>
                  <w:noWrap w:val="0"/>
                  <w:vAlign w:val="center"/>
                </w:tcPr>
                <w:p w14:paraId="4649876A">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5DC7BAE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269ED928">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40" w:type="dxa"/>
                  <w:tcBorders>
                    <w:top w:val="single" w:color="auto" w:sz="6" w:space="0"/>
                    <w:left w:val="nil"/>
                    <w:bottom w:val="single" w:color="auto" w:sz="6" w:space="0"/>
                    <w:right w:val="single" w:color="auto" w:sz="6" w:space="0"/>
                  </w:tcBorders>
                  <w:noWrap w:val="0"/>
                  <w:vAlign w:val="center"/>
                </w:tcPr>
                <w:p w14:paraId="66D60B55">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000" w:type="dxa"/>
                  <w:tcBorders>
                    <w:top w:val="single" w:color="auto" w:sz="6" w:space="0"/>
                    <w:left w:val="nil"/>
                    <w:bottom w:val="single" w:color="auto" w:sz="6" w:space="0"/>
                    <w:right w:val="single" w:color="auto" w:sz="6" w:space="0"/>
                  </w:tcBorders>
                  <w:noWrap w:val="0"/>
                  <w:vAlign w:val="center"/>
                </w:tcPr>
                <w:p w14:paraId="4DBE9F7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743" w:type="dxa"/>
                  <w:tcBorders>
                    <w:top w:val="nil"/>
                    <w:left w:val="nil"/>
                    <w:bottom w:val="single" w:color="auto" w:sz="6" w:space="0"/>
                    <w:right w:val="single" w:color="auto" w:sz="6" w:space="0"/>
                  </w:tcBorders>
                  <w:noWrap w:val="0"/>
                  <w:vAlign w:val="center"/>
                </w:tcPr>
                <w:p w14:paraId="427E30F5">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53003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restart"/>
                  <w:tcBorders>
                    <w:top w:val="nil"/>
                    <w:left w:val="single" w:color="auto" w:sz="6" w:space="0"/>
                    <w:bottom w:val="single" w:color="auto" w:sz="6" w:space="0"/>
                    <w:right w:val="single" w:color="auto" w:sz="6" w:space="0"/>
                  </w:tcBorders>
                  <w:noWrap w:val="0"/>
                  <w:vAlign w:val="center"/>
                </w:tcPr>
                <w:p w14:paraId="7676C69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丙、丁、戊类物品生产厂房、库房和丙类液体储罐，以及容积不大于50m³的埋地甲、乙类液体储罐</w:t>
                  </w:r>
                </w:p>
              </w:tc>
              <w:tc>
                <w:tcPr>
                  <w:tcW w:w="840" w:type="dxa"/>
                  <w:tcBorders>
                    <w:top w:val="single" w:color="auto" w:sz="6" w:space="0"/>
                    <w:left w:val="nil"/>
                    <w:bottom w:val="single" w:color="auto" w:sz="6" w:space="0"/>
                    <w:right w:val="single" w:color="auto" w:sz="6" w:space="0"/>
                  </w:tcBorders>
                  <w:noWrap w:val="0"/>
                  <w:vAlign w:val="center"/>
                </w:tcPr>
                <w:p w14:paraId="5FA14FE0">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5D65C5CE">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9</w:t>
                  </w:r>
                </w:p>
              </w:tc>
              <w:tc>
                <w:tcPr>
                  <w:tcW w:w="1140" w:type="dxa"/>
                  <w:tcBorders>
                    <w:top w:val="single" w:color="auto" w:sz="6" w:space="0"/>
                    <w:left w:val="nil"/>
                    <w:bottom w:val="single" w:color="auto" w:sz="6" w:space="0"/>
                    <w:right w:val="single" w:color="auto" w:sz="6" w:space="0"/>
                  </w:tcBorders>
                  <w:noWrap w:val="0"/>
                  <w:vAlign w:val="center"/>
                </w:tcPr>
                <w:p w14:paraId="607436B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9</w:t>
                  </w:r>
                </w:p>
              </w:tc>
              <w:tc>
                <w:tcPr>
                  <w:tcW w:w="1000" w:type="dxa"/>
                  <w:tcBorders>
                    <w:top w:val="single" w:color="auto" w:sz="6" w:space="0"/>
                    <w:left w:val="nil"/>
                    <w:bottom w:val="single" w:color="auto" w:sz="6" w:space="0"/>
                    <w:right w:val="single" w:color="auto" w:sz="6" w:space="0"/>
                  </w:tcBorders>
                  <w:noWrap w:val="0"/>
                  <w:vAlign w:val="center"/>
                </w:tcPr>
                <w:p w14:paraId="1F352A4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9</w:t>
                  </w:r>
                </w:p>
              </w:tc>
              <w:tc>
                <w:tcPr>
                  <w:tcW w:w="1743" w:type="dxa"/>
                  <w:tcBorders>
                    <w:top w:val="nil"/>
                    <w:left w:val="nil"/>
                    <w:bottom w:val="single" w:color="auto" w:sz="6" w:space="0"/>
                    <w:right w:val="single" w:color="auto" w:sz="6" w:space="0"/>
                  </w:tcBorders>
                  <w:noWrap w:val="0"/>
                  <w:vAlign w:val="center"/>
                </w:tcPr>
                <w:p w14:paraId="35507E7E">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24A72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continue"/>
                  <w:tcBorders>
                    <w:top w:val="nil"/>
                    <w:left w:val="single" w:color="auto" w:sz="6" w:space="0"/>
                    <w:bottom w:val="single" w:color="auto" w:sz="6" w:space="0"/>
                    <w:right w:val="single" w:color="auto" w:sz="6" w:space="0"/>
                  </w:tcBorders>
                  <w:noWrap w:val="0"/>
                  <w:vAlign w:val="center"/>
                </w:tcPr>
                <w:p w14:paraId="5E87FE8E">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419508EF">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70F48A9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40" w:type="dxa"/>
                  <w:tcBorders>
                    <w:top w:val="single" w:color="auto" w:sz="6" w:space="0"/>
                    <w:left w:val="nil"/>
                    <w:bottom w:val="single" w:color="auto" w:sz="6" w:space="0"/>
                    <w:right w:val="single" w:color="auto" w:sz="6" w:space="0"/>
                  </w:tcBorders>
                  <w:noWrap w:val="0"/>
                  <w:vAlign w:val="center"/>
                </w:tcPr>
                <w:p w14:paraId="37BEFBF0">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000" w:type="dxa"/>
                  <w:tcBorders>
                    <w:top w:val="single" w:color="auto" w:sz="6" w:space="0"/>
                    <w:left w:val="nil"/>
                    <w:bottom w:val="single" w:color="auto" w:sz="6" w:space="0"/>
                    <w:right w:val="single" w:color="auto" w:sz="6" w:space="0"/>
                  </w:tcBorders>
                  <w:noWrap w:val="0"/>
                  <w:vAlign w:val="center"/>
                </w:tcPr>
                <w:p w14:paraId="0CE9EB13">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743" w:type="dxa"/>
                  <w:tcBorders>
                    <w:top w:val="nil"/>
                    <w:left w:val="nil"/>
                    <w:bottom w:val="single" w:color="auto" w:sz="6" w:space="0"/>
                    <w:right w:val="single" w:color="auto" w:sz="6" w:space="0"/>
                  </w:tcBorders>
                  <w:noWrap w:val="0"/>
                  <w:vAlign w:val="center"/>
                </w:tcPr>
                <w:p w14:paraId="41E8EC7F">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485A6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restart"/>
                  <w:tcBorders>
                    <w:top w:val="nil"/>
                    <w:left w:val="single" w:color="auto" w:sz="6" w:space="0"/>
                    <w:bottom w:val="single" w:color="auto" w:sz="6" w:space="0"/>
                    <w:right w:val="single" w:color="auto" w:sz="6" w:space="0"/>
                  </w:tcBorders>
                  <w:noWrap w:val="0"/>
                  <w:vAlign w:val="center"/>
                </w:tcPr>
                <w:p w14:paraId="3ECD71C6">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室外变配电站</w:t>
                  </w:r>
                </w:p>
              </w:tc>
              <w:tc>
                <w:tcPr>
                  <w:tcW w:w="840" w:type="dxa"/>
                  <w:tcBorders>
                    <w:top w:val="single" w:color="auto" w:sz="6" w:space="0"/>
                    <w:left w:val="nil"/>
                    <w:bottom w:val="single" w:color="auto" w:sz="6" w:space="0"/>
                    <w:right w:val="single" w:color="auto" w:sz="6" w:space="0"/>
                  </w:tcBorders>
                  <w:noWrap w:val="0"/>
                  <w:vAlign w:val="center"/>
                </w:tcPr>
                <w:p w14:paraId="53FC208D">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1794B26A">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1140" w:type="dxa"/>
                  <w:tcBorders>
                    <w:top w:val="single" w:color="auto" w:sz="6" w:space="0"/>
                    <w:left w:val="nil"/>
                    <w:bottom w:val="single" w:color="auto" w:sz="6" w:space="0"/>
                    <w:right w:val="single" w:color="auto" w:sz="6" w:space="0"/>
                  </w:tcBorders>
                  <w:noWrap w:val="0"/>
                  <w:vAlign w:val="center"/>
                </w:tcPr>
                <w:p w14:paraId="5A301E7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1000" w:type="dxa"/>
                  <w:tcBorders>
                    <w:top w:val="single" w:color="auto" w:sz="6" w:space="0"/>
                    <w:left w:val="nil"/>
                    <w:bottom w:val="single" w:color="auto" w:sz="6" w:space="0"/>
                    <w:right w:val="single" w:color="auto" w:sz="6" w:space="0"/>
                  </w:tcBorders>
                  <w:noWrap w:val="0"/>
                  <w:vAlign w:val="center"/>
                </w:tcPr>
                <w:p w14:paraId="08AEC9B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12.5</w:t>
                  </w:r>
                </w:p>
              </w:tc>
              <w:tc>
                <w:tcPr>
                  <w:tcW w:w="1743" w:type="dxa"/>
                  <w:tcBorders>
                    <w:top w:val="single" w:color="auto" w:sz="6" w:space="0"/>
                    <w:left w:val="nil"/>
                    <w:bottom w:val="single" w:color="auto" w:sz="6" w:space="0"/>
                    <w:right w:val="single" w:color="auto" w:sz="6" w:space="0"/>
                  </w:tcBorders>
                  <w:noWrap w:val="0"/>
                  <w:vAlign w:val="center"/>
                </w:tcPr>
                <w:p w14:paraId="52F08E3D">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52E9C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continue"/>
                  <w:tcBorders>
                    <w:top w:val="nil"/>
                    <w:left w:val="single" w:color="auto" w:sz="6" w:space="0"/>
                    <w:bottom w:val="single" w:color="auto" w:sz="6" w:space="0"/>
                    <w:right w:val="single" w:color="auto" w:sz="6" w:space="0"/>
                  </w:tcBorders>
                  <w:noWrap w:val="0"/>
                  <w:vAlign w:val="center"/>
                </w:tcPr>
                <w:p w14:paraId="463014F0">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136F8BE8">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10FD9845">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40" w:type="dxa"/>
                  <w:tcBorders>
                    <w:top w:val="single" w:color="auto" w:sz="6" w:space="0"/>
                    <w:left w:val="nil"/>
                    <w:bottom w:val="single" w:color="auto" w:sz="6" w:space="0"/>
                    <w:right w:val="single" w:color="auto" w:sz="6" w:space="0"/>
                  </w:tcBorders>
                  <w:noWrap w:val="0"/>
                  <w:vAlign w:val="center"/>
                </w:tcPr>
                <w:p w14:paraId="208C2827">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000" w:type="dxa"/>
                  <w:tcBorders>
                    <w:top w:val="single" w:color="auto" w:sz="6" w:space="0"/>
                    <w:left w:val="nil"/>
                    <w:bottom w:val="single" w:color="auto" w:sz="6" w:space="0"/>
                    <w:right w:val="single" w:color="auto" w:sz="6" w:space="0"/>
                  </w:tcBorders>
                  <w:noWrap w:val="0"/>
                  <w:vAlign w:val="center"/>
                </w:tcPr>
                <w:p w14:paraId="1EBCB6D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743" w:type="dxa"/>
                  <w:tcBorders>
                    <w:top w:val="single" w:color="auto" w:sz="6" w:space="0"/>
                    <w:left w:val="nil"/>
                    <w:bottom w:val="single" w:color="auto" w:sz="6" w:space="0"/>
                    <w:right w:val="single" w:color="auto" w:sz="6" w:space="0"/>
                  </w:tcBorders>
                  <w:noWrap w:val="0"/>
                  <w:vAlign w:val="center"/>
                </w:tcPr>
                <w:p w14:paraId="3534CDB0">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5FC20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restart"/>
                  <w:tcBorders>
                    <w:top w:val="nil"/>
                    <w:left w:val="single" w:color="auto" w:sz="6" w:space="0"/>
                    <w:bottom w:val="single" w:color="auto" w:sz="6" w:space="0"/>
                    <w:right w:val="single" w:color="auto" w:sz="6" w:space="0"/>
                  </w:tcBorders>
                  <w:noWrap w:val="0"/>
                  <w:vAlign w:val="center"/>
                </w:tcPr>
                <w:p w14:paraId="54BAD359">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铁 路</w:t>
                  </w:r>
                </w:p>
              </w:tc>
              <w:tc>
                <w:tcPr>
                  <w:tcW w:w="840" w:type="dxa"/>
                  <w:tcBorders>
                    <w:top w:val="single" w:color="auto" w:sz="6" w:space="0"/>
                    <w:left w:val="nil"/>
                    <w:bottom w:val="single" w:color="auto" w:sz="6" w:space="0"/>
                    <w:right w:val="single" w:color="auto" w:sz="6" w:space="0"/>
                  </w:tcBorders>
                  <w:noWrap w:val="0"/>
                  <w:vAlign w:val="center"/>
                </w:tcPr>
                <w:p w14:paraId="0259EE8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461215F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15</w:t>
                  </w:r>
                </w:p>
              </w:tc>
              <w:tc>
                <w:tcPr>
                  <w:tcW w:w="1140" w:type="dxa"/>
                  <w:tcBorders>
                    <w:top w:val="single" w:color="auto" w:sz="6" w:space="0"/>
                    <w:left w:val="nil"/>
                    <w:bottom w:val="single" w:color="auto" w:sz="6" w:space="0"/>
                    <w:right w:val="single" w:color="auto" w:sz="6" w:space="0"/>
                  </w:tcBorders>
                  <w:noWrap w:val="0"/>
                  <w:vAlign w:val="center"/>
                </w:tcPr>
                <w:p w14:paraId="230D27F8">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15</w:t>
                  </w:r>
                </w:p>
              </w:tc>
              <w:tc>
                <w:tcPr>
                  <w:tcW w:w="1000" w:type="dxa"/>
                  <w:tcBorders>
                    <w:top w:val="single" w:color="auto" w:sz="6" w:space="0"/>
                    <w:left w:val="nil"/>
                    <w:bottom w:val="single" w:color="auto" w:sz="6" w:space="0"/>
                    <w:right w:val="single" w:color="auto" w:sz="6" w:space="0"/>
                  </w:tcBorders>
                  <w:noWrap w:val="0"/>
                  <w:vAlign w:val="center"/>
                </w:tcPr>
                <w:p w14:paraId="6376C96B">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15</w:t>
                  </w:r>
                </w:p>
              </w:tc>
              <w:tc>
                <w:tcPr>
                  <w:tcW w:w="1743" w:type="dxa"/>
                  <w:tcBorders>
                    <w:top w:val="single" w:color="auto" w:sz="6" w:space="0"/>
                    <w:left w:val="nil"/>
                    <w:bottom w:val="single" w:color="auto" w:sz="6" w:space="0"/>
                    <w:right w:val="single" w:color="auto" w:sz="6" w:space="0"/>
                  </w:tcBorders>
                  <w:noWrap w:val="0"/>
                  <w:vAlign w:val="center"/>
                </w:tcPr>
                <w:p w14:paraId="19B942F9">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49EFC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continue"/>
                  <w:tcBorders>
                    <w:top w:val="nil"/>
                    <w:left w:val="single" w:color="auto" w:sz="6" w:space="0"/>
                    <w:bottom w:val="single" w:color="auto" w:sz="6" w:space="0"/>
                    <w:right w:val="single" w:color="auto" w:sz="6" w:space="0"/>
                  </w:tcBorders>
                  <w:noWrap w:val="0"/>
                  <w:vAlign w:val="center"/>
                </w:tcPr>
                <w:p w14:paraId="1D3E2D6C">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6B895027">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1BF1681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40" w:type="dxa"/>
                  <w:tcBorders>
                    <w:top w:val="single" w:color="auto" w:sz="6" w:space="0"/>
                    <w:left w:val="nil"/>
                    <w:bottom w:val="single" w:color="auto" w:sz="6" w:space="0"/>
                    <w:right w:val="single" w:color="auto" w:sz="6" w:space="0"/>
                  </w:tcBorders>
                  <w:noWrap w:val="0"/>
                  <w:vAlign w:val="center"/>
                </w:tcPr>
                <w:p w14:paraId="508F2BE8">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000" w:type="dxa"/>
                  <w:tcBorders>
                    <w:top w:val="single" w:color="auto" w:sz="6" w:space="0"/>
                    <w:left w:val="nil"/>
                    <w:bottom w:val="single" w:color="auto" w:sz="6" w:space="0"/>
                    <w:right w:val="single" w:color="auto" w:sz="6" w:space="0"/>
                  </w:tcBorders>
                  <w:noWrap w:val="0"/>
                  <w:vAlign w:val="center"/>
                </w:tcPr>
                <w:p w14:paraId="4BE14838">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743" w:type="dxa"/>
                  <w:tcBorders>
                    <w:top w:val="single" w:color="auto" w:sz="6" w:space="0"/>
                    <w:left w:val="nil"/>
                    <w:bottom w:val="single" w:color="auto" w:sz="6" w:space="0"/>
                    <w:right w:val="single" w:color="auto" w:sz="6" w:space="0"/>
                  </w:tcBorders>
                  <w:noWrap w:val="0"/>
                  <w:vAlign w:val="center"/>
                </w:tcPr>
                <w:p w14:paraId="68C03CF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1D8F8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00" w:type="dxa"/>
                  <w:vMerge w:val="restart"/>
                  <w:tcBorders>
                    <w:top w:val="nil"/>
                    <w:left w:val="single" w:color="auto" w:sz="6" w:space="0"/>
                    <w:bottom w:val="single" w:color="auto" w:sz="6" w:space="0"/>
                    <w:right w:val="single" w:color="auto" w:sz="6" w:space="0"/>
                  </w:tcBorders>
                  <w:noWrap w:val="0"/>
                  <w:vAlign w:val="center"/>
                </w:tcPr>
                <w:p w14:paraId="5C2791F1">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城市道路</w:t>
                  </w:r>
                </w:p>
                <w:p w14:paraId="35F17215">
                  <w:pPr>
                    <w:autoSpaceDE w:val="0"/>
                    <w:autoSpaceDN w:val="0"/>
                    <w:adjustRightInd w:val="0"/>
                    <w:jc w:val="center"/>
                    <w:rPr>
                      <w:rFonts w:hint="default" w:ascii="Times New Roman" w:hAnsi="Times New Roman" w:cs="Times New Roman"/>
                      <w:color w:val="auto"/>
                      <w:szCs w:val="21"/>
                    </w:rPr>
                  </w:pPr>
                </w:p>
              </w:tc>
              <w:tc>
                <w:tcPr>
                  <w:tcW w:w="1782" w:type="dxa"/>
                  <w:gridSpan w:val="3"/>
                  <w:vMerge w:val="restart"/>
                  <w:tcBorders>
                    <w:top w:val="nil"/>
                    <w:left w:val="nil"/>
                    <w:right w:val="single" w:color="auto" w:sz="6" w:space="0"/>
                  </w:tcBorders>
                  <w:noWrap w:val="0"/>
                  <w:vAlign w:val="center"/>
                </w:tcPr>
                <w:p w14:paraId="4AEAB353">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快速路、主干路</w:t>
                  </w:r>
                </w:p>
              </w:tc>
              <w:tc>
                <w:tcPr>
                  <w:tcW w:w="840" w:type="dxa"/>
                  <w:tcBorders>
                    <w:top w:val="single" w:color="auto" w:sz="6" w:space="0"/>
                    <w:left w:val="nil"/>
                    <w:bottom w:val="single" w:color="auto" w:sz="6" w:space="0"/>
                    <w:right w:val="single" w:color="auto" w:sz="6" w:space="0"/>
                  </w:tcBorders>
                  <w:noWrap w:val="0"/>
                  <w:vAlign w:val="center"/>
                </w:tcPr>
                <w:p w14:paraId="463C70CA">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648089B3">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3</w:t>
                  </w:r>
                </w:p>
              </w:tc>
              <w:tc>
                <w:tcPr>
                  <w:tcW w:w="1140" w:type="dxa"/>
                  <w:tcBorders>
                    <w:top w:val="single" w:color="auto" w:sz="6" w:space="0"/>
                    <w:left w:val="nil"/>
                    <w:bottom w:val="single" w:color="auto" w:sz="6" w:space="0"/>
                    <w:right w:val="single" w:color="auto" w:sz="6" w:space="0"/>
                  </w:tcBorders>
                  <w:noWrap w:val="0"/>
                  <w:vAlign w:val="center"/>
                </w:tcPr>
                <w:p w14:paraId="315DD7E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3</w:t>
                  </w:r>
                </w:p>
              </w:tc>
              <w:tc>
                <w:tcPr>
                  <w:tcW w:w="1000" w:type="dxa"/>
                  <w:tcBorders>
                    <w:top w:val="single" w:color="auto" w:sz="6" w:space="0"/>
                    <w:left w:val="nil"/>
                    <w:bottom w:val="single" w:color="auto" w:sz="6" w:space="0"/>
                    <w:right w:val="single" w:color="auto" w:sz="6" w:space="0"/>
                  </w:tcBorders>
                  <w:noWrap w:val="0"/>
                  <w:vAlign w:val="center"/>
                </w:tcPr>
                <w:p w14:paraId="4B6EB64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3</w:t>
                  </w:r>
                </w:p>
              </w:tc>
              <w:tc>
                <w:tcPr>
                  <w:tcW w:w="1743" w:type="dxa"/>
                  <w:tcBorders>
                    <w:top w:val="single" w:color="auto" w:sz="6" w:space="0"/>
                    <w:left w:val="nil"/>
                    <w:bottom w:val="single" w:color="auto" w:sz="6" w:space="0"/>
                    <w:right w:val="single" w:color="auto" w:sz="6" w:space="0"/>
                  </w:tcBorders>
                  <w:noWrap w:val="0"/>
                  <w:vAlign w:val="center"/>
                </w:tcPr>
                <w:p w14:paraId="68FA3216">
                  <w:pPr>
                    <w:autoSpaceDE w:val="0"/>
                    <w:autoSpaceDN w:val="0"/>
                    <w:adjustRightInd w:val="0"/>
                    <w:ind w:right="-172" w:rightChars="-82" w:firstLine="630" w:firstLineChars="300"/>
                    <w:jc w:val="both"/>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78F23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700" w:type="dxa"/>
                  <w:vMerge w:val="continue"/>
                  <w:tcBorders>
                    <w:top w:val="nil"/>
                    <w:left w:val="single" w:color="auto" w:sz="6" w:space="0"/>
                    <w:bottom w:val="single" w:color="auto" w:sz="6" w:space="0"/>
                    <w:right w:val="single" w:color="auto" w:sz="6" w:space="0"/>
                  </w:tcBorders>
                  <w:noWrap w:val="0"/>
                  <w:vAlign w:val="center"/>
                </w:tcPr>
                <w:p w14:paraId="1A8C47B4">
                  <w:pPr>
                    <w:widowControl/>
                    <w:jc w:val="left"/>
                    <w:rPr>
                      <w:rFonts w:hint="default" w:ascii="Times New Roman" w:hAnsi="Times New Roman" w:cs="Times New Roman"/>
                      <w:color w:val="auto"/>
                      <w:szCs w:val="21"/>
                    </w:rPr>
                  </w:pPr>
                </w:p>
              </w:tc>
              <w:tc>
                <w:tcPr>
                  <w:tcW w:w="1782" w:type="dxa"/>
                  <w:gridSpan w:val="3"/>
                  <w:vMerge w:val="continue"/>
                  <w:tcBorders>
                    <w:left w:val="nil"/>
                    <w:right w:val="single" w:color="auto" w:sz="6" w:space="0"/>
                  </w:tcBorders>
                  <w:noWrap w:val="0"/>
                  <w:vAlign w:val="center"/>
                </w:tcPr>
                <w:p w14:paraId="12E9EFCA">
                  <w:pPr>
                    <w:widowControl/>
                    <w:jc w:val="left"/>
                    <w:rPr>
                      <w:rFonts w:hint="default" w:ascii="Times New Roman" w:hAnsi="Times New Roman" w:cs="Times New Roman"/>
                      <w:color w:val="auto"/>
                      <w:szCs w:val="21"/>
                    </w:rPr>
                  </w:pPr>
                </w:p>
              </w:tc>
              <w:tc>
                <w:tcPr>
                  <w:tcW w:w="840" w:type="dxa"/>
                  <w:tcBorders>
                    <w:top w:val="single" w:color="auto" w:sz="6" w:space="0"/>
                    <w:left w:val="nil"/>
                    <w:right w:val="single" w:color="auto" w:sz="6" w:space="0"/>
                  </w:tcBorders>
                  <w:noWrap w:val="0"/>
                  <w:vAlign w:val="center"/>
                </w:tcPr>
                <w:p w14:paraId="2B2A390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right w:val="single" w:color="auto" w:sz="6" w:space="0"/>
                  </w:tcBorders>
                  <w:noWrap w:val="0"/>
                  <w:vAlign w:val="center"/>
                </w:tcPr>
                <w:p w14:paraId="2B36A960">
                  <w:pPr>
                    <w:autoSpaceDE w:val="0"/>
                    <w:autoSpaceDN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12.57</w:t>
                  </w:r>
                </w:p>
              </w:tc>
              <w:tc>
                <w:tcPr>
                  <w:tcW w:w="1140" w:type="dxa"/>
                  <w:tcBorders>
                    <w:top w:val="single" w:color="auto" w:sz="6" w:space="0"/>
                    <w:left w:val="nil"/>
                    <w:right w:val="single" w:color="auto" w:sz="6" w:space="0"/>
                  </w:tcBorders>
                  <w:noWrap w:val="0"/>
                  <w:vAlign w:val="center"/>
                </w:tcPr>
                <w:p w14:paraId="095DEA9A">
                  <w:pPr>
                    <w:autoSpaceDE w:val="0"/>
                    <w:autoSpaceDN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21.08</w:t>
                  </w:r>
                </w:p>
              </w:tc>
              <w:tc>
                <w:tcPr>
                  <w:tcW w:w="1000" w:type="dxa"/>
                  <w:tcBorders>
                    <w:top w:val="single" w:color="auto" w:sz="6" w:space="0"/>
                    <w:left w:val="nil"/>
                    <w:right w:val="single" w:color="auto" w:sz="6" w:space="0"/>
                  </w:tcBorders>
                  <w:noWrap w:val="0"/>
                  <w:vAlign w:val="center"/>
                </w:tcPr>
                <w:p w14:paraId="00D742DE">
                  <w:pPr>
                    <w:autoSpaceDE w:val="0"/>
                    <w:autoSpaceDN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10.15</w:t>
                  </w:r>
                </w:p>
              </w:tc>
              <w:tc>
                <w:tcPr>
                  <w:tcW w:w="1743" w:type="dxa"/>
                  <w:tcBorders>
                    <w:top w:val="single" w:color="auto" w:sz="6" w:space="0"/>
                    <w:left w:val="nil"/>
                    <w:bottom w:val="single" w:color="auto" w:sz="6" w:space="0"/>
                    <w:right w:val="single" w:color="auto" w:sz="6" w:space="0"/>
                  </w:tcBorders>
                  <w:noWrap w:val="0"/>
                  <w:vAlign w:val="center"/>
                </w:tcPr>
                <w:p w14:paraId="7DC3D24E">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西侧G213国道</w:t>
                  </w:r>
                </w:p>
              </w:tc>
            </w:tr>
            <w:tr w14:paraId="3E3F3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00" w:type="dxa"/>
                  <w:vMerge w:val="continue"/>
                  <w:tcBorders>
                    <w:top w:val="nil"/>
                    <w:left w:val="single" w:color="auto" w:sz="6" w:space="0"/>
                    <w:bottom w:val="single" w:color="auto" w:sz="6" w:space="0"/>
                    <w:right w:val="single" w:color="auto" w:sz="6" w:space="0"/>
                  </w:tcBorders>
                  <w:noWrap w:val="0"/>
                  <w:vAlign w:val="center"/>
                </w:tcPr>
                <w:p w14:paraId="7DECBF9B">
                  <w:pPr>
                    <w:widowControl/>
                    <w:jc w:val="left"/>
                    <w:rPr>
                      <w:rFonts w:hint="default" w:ascii="Times New Roman" w:hAnsi="Times New Roman" w:cs="Times New Roman"/>
                      <w:color w:val="auto"/>
                      <w:szCs w:val="21"/>
                    </w:rPr>
                  </w:pPr>
                </w:p>
              </w:tc>
              <w:tc>
                <w:tcPr>
                  <w:tcW w:w="1782" w:type="dxa"/>
                  <w:gridSpan w:val="3"/>
                  <w:vMerge w:val="restart"/>
                  <w:tcBorders>
                    <w:top w:val="nil"/>
                    <w:left w:val="nil"/>
                    <w:bottom w:val="single" w:color="auto" w:sz="6" w:space="0"/>
                    <w:right w:val="single" w:color="auto" w:sz="6" w:space="0"/>
                  </w:tcBorders>
                  <w:noWrap w:val="0"/>
                  <w:vAlign w:val="center"/>
                </w:tcPr>
                <w:p w14:paraId="2F9AECB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次干路、支路</w:t>
                  </w:r>
                </w:p>
              </w:tc>
              <w:tc>
                <w:tcPr>
                  <w:tcW w:w="840" w:type="dxa"/>
                  <w:tcBorders>
                    <w:top w:val="single" w:color="auto" w:sz="6" w:space="0"/>
                    <w:left w:val="nil"/>
                    <w:bottom w:val="single" w:color="auto" w:sz="6" w:space="0"/>
                    <w:right w:val="single" w:color="auto" w:sz="6" w:space="0"/>
                  </w:tcBorders>
                  <w:noWrap w:val="0"/>
                  <w:vAlign w:val="center"/>
                </w:tcPr>
                <w:p w14:paraId="5676BDE7">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0796FDFF">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3</w:t>
                  </w:r>
                </w:p>
              </w:tc>
              <w:tc>
                <w:tcPr>
                  <w:tcW w:w="1140" w:type="dxa"/>
                  <w:tcBorders>
                    <w:top w:val="single" w:color="auto" w:sz="6" w:space="0"/>
                    <w:left w:val="nil"/>
                    <w:bottom w:val="single" w:color="auto" w:sz="6" w:space="0"/>
                    <w:right w:val="single" w:color="auto" w:sz="6" w:space="0"/>
                  </w:tcBorders>
                  <w:noWrap w:val="0"/>
                  <w:vAlign w:val="center"/>
                </w:tcPr>
                <w:p w14:paraId="6CA7E007">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3</w:t>
                  </w:r>
                </w:p>
              </w:tc>
              <w:tc>
                <w:tcPr>
                  <w:tcW w:w="1000" w:type="dxa"/>
                  <w:tcBorders>
                    <w:top w:val="single" w:color="auto" w:sz="6" w:space="0"/>
                    <w:left w:val="nil"/>
                    <w:bottom w:val="single" w:color="auto" w:sz="6" w:space="0"/>
                    <w:right w:val="single" w:color="auto" w:sz="6" w:space="0"/>
                  </w:tcBorders>
                  <w:noWrap w:val="0"/>
                  <w:vAlign w:val="center"/>
                </w:tcPr>
                <w:p w14:paraId="328B6457">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3</w:t>
                  </w:r>
                </w:p>
              </w:tc>
              <w:tc>
                <w:tcPr>
                  <w:tcW w:w="1743" w:type="dxa"/>
                  <w:tcBorders>
                    <w:top w:val="single" w:color="auto" w:sz="6" w:space="0"/>
                    <w:left w:val="nil"/>
                    <w:right w:val="single" w:color="auto" w:sz="4" w:space="0"/>
                  </w:tcBorders>
                  <w:noWrap w:val="0"/>
                  <w:vAlign w:val="center"/>
                </w:tcPr>
                <w:p w14:paraId="056BC74C">
                  <w:pPr>
                    <w:autoSpaceDE w:val="0"/>
                    <w:autoSpaceDN w:val="0"/>
                    <w:ind w:right="-172" w:rightChars="-82" w:firstLine="630" w:firstLineChars="300"/>
                    <w:jc w:val="both"/>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w:t>
                  </w:r>
                </w:p>
              </w:tc>
            </w:tr>
            <w:tr w14:paraId="5631D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00" w:type="dxa"/>
                  <w:vMerge w:val="continue"/>
                  <w:tcBorders>
                    <w:top w:val="nil"/>
                    <w:left w:val="single" w:color="auto" w:sz="6" w:space="0"/>
                    <w:bottom w:val="single" w:color="auto" w:sz="6" w:space="0"/>
                    <w:right w:val="single" w:color="auto" w:sz="6" w:space="0"/>
                  </w:tcBorders>
                  <w:noWrap w:val="0"/>
                  <w:vAlign w:val="center"/>
                </w:tcPr>
                <w:p w14:paraId="7EBC1401">
                  <w:pPr>
                    <w:widowControl/>
                    <w:jc w:val="left"/>
                    <w:rPr>
                      <w:rFonts w:hint="default" w:ascii="Times New Roman" w:hAnsi="Times New Roman" w:cs="Times New Roman"/>
                      <w:color w:val="auto"/>
                      <w:szCs w:val="21"/>
                    </w:rPr>
                  </w:pPr>
                </w:p>
              </w:tc>
              <w:tc>
                <w:tcPr>
                  <w:tcW w:w="1782" w:type="dxa"/>
                  <w:gridSpan w:val="3"/>
                  <w:vMerge w:val="continue"/>
                  <w:tcBorders>
                    <w:top w:val="nil"/>
                    <w:left w:val="nil"/>
                    <w:bottom w:val="single" w:color="auto" w:sz="6" w:space="0"/>
                    <w:right w:val="single" w:color="auto" w:sz="6" w:space="0"/>
                  </w:tcBorders>
                  <w:noWrap w:val="0"/>
                  <w:vAlign w:val="center"/>
                </w:tcPr>
                <w:p w14:paraId="2A439BA0">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7A1B8D4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074F0E56">
                  <w:pPr>
                    <w:autoSpaceDE w:val="0"/>
                    <w:autoSpaceDN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140" w:type="dxa"/>
                  <w:tcBorders>
                    <w:top w:val="single" w:color="auto" w:sz="6" w:space="0"/>
                    <w:left w:val="nil"/>
                    <w:bottom w:val="single" w:color="auto" w:sz="6" w:space="0"/>
                    <w:right w:val="single" w:color="auto" w:sz="6" w:space="0"/>
                  </w:tcBorders>
                  <w:noWrap w:val="0"/>
                  <w:vAlign w:val="center"/>
                </w:tcPr>
                <w:p w14:paraId="49F41324">
                  <w:pPr>
                    <w:autoSpaceDE w:val="0"/>
                    <w:autoSpaceDN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000" w:type="dxa"/>
                  <w:tcBorders>
                    <w:top w:val="single" w:color="auto" w:sz="6" w:space="0"/>
                    <w:left w:val="nil"/>
                    <w:bottom w:val="single" w:color="auto" w:sz="6" w:space="0"/>
                    <w:right w:val="single" w:color="auto" w:sz="4" w:space="0"/>
                  </w:tcBorders>
                  <w:noWrap w:val="0"/>
                  <w:vAlign w:val="center"/>
                </w:tcPr>
                <w:p w14:paraId="7B4982D7">
                  <w:pPr>
                    <w:autoSpaceDE w:val="0"/>
                    <w:autoSpaceDN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无</w:t>
                  </w:r>
                </w:p>
              </w:tc>
              <w:tc>
                <w:tcPr>
                  <w:tcW w:w="1743" w:type="dxa"/>
                  <w:tcBorders>
                    <w:left w:val="nil"/>
                    <w:bottom w:val="single" w:color="auto" w:sz="6" w:space="0"/>
                    <w:right w:val="single" w:color="auto" w:sz="4" w:space="0"/>
                  </w:tcBorders>
                  <w:noWrap w:val="0"/>
                  <w:vAlign w:val="center"/>
                </w:tcPr>
                <w:p w14:paraId="57AA9CF4">
                  <w:pPr>
                    <w:autoSpaceDE w:val="0"/>
                    <w:autoSpaceDN w:val="0"/>
                    <w:ind w:right="-172" w:rightChars="-82"/>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w:t>
                  </w:r>
                </w:p>
              </w:tc>
            </w:tr>
            <w:tr w14:paraId="0000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restart"/>
                  <w:tcBorders>
                    <w:top w:val="nil"/>
                    <w:left w:val="single" w:color="auto" w:sz="6" w:space="0"/>
                    <w:bottom w:val="single" w:color="auto" w:sz="6" w:space="0"/>
                    <w:right w:val="single" w:color="auto" w:sz="6" w:space="0"/>
                  </w:tcBorders>
                  <w:noWrap w:val="0"/>
                  <w:vAlign w:val="center"/>
                </w:tcPr>
                <w:p w14:paraId="178C787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架空通信线</w:t>
                  </w:r>
                </w:p>
              </w:tc>
              <w:tc>
                <w:tcPr>
                  <w:tcW w:w="840" w:type="dxa"/>
                  <w:tcBorders>
                    <w:top w:val="single" w:color="auto" w:sz="6" w:space="0"/>
                    <w:left w:val="nil"/>
                    <w:bottom w:val="single" w:color="auto" w:sz="6" w:space="0"/>
                    <w:right w:val="single" w:color="auto" w:sz="6" w:space="0"/>
                  </w:tcBorders>
                  <w:noWrap w:val="0"/>
                  <w:vAlign w:val="center"/>
                </w:tcPr>
                <w:p w14:paraId="159DBDDB">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4B0AB88B">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140" w:type="dxa"/>
                  <w:tcBorders>
                    <w:top w:val="single" w:color="auto" w:sz="6" w:space="0"/>
                    <w:left w:val="nil"/>
                    <w:bottom w:val="single" w:color="auto" w:sz="6" w:space="0"/>
                    <w:right w:val="single" w:color="auto" w:sz="6" w:space="0"/>
                  </w:tcBorders>
                  <w:noWrap w:val="0"/>
                  <w:vAlign w:val="center"/>
                </w:tcPr>
                <w:p w14:paraId="6FE586D8">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000" w:type="dxa"/>
                  <w:tcBorders>
                    <w:top w:val="single" w:color="auto" w:sz="6" w:space="0"/>
                    <w:left w:val="nil"/>
                    <w:bottom w:val="single" w:color="auto" w:sz="6" w:space="0"/>
                    <w:right w:val="single" w:color="auto" w:sz="6" w:space="0"/>
                  </w:tcBorders>
                  <w:noWrap w:val="0"/>
                  <w:vAlign w:val="center"/>
                </w:tcPr>
                <w:p w14:paraId="499E91DD">
                  <w:pPr>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743" w:type="dxa"/>
                  <w:tcBorders>
                    <w:top w:val="single" w:color="auto" w:sz="6" w:space="0"/>
                    <w:left w:val="nil"/>
                    <w:bottom w:val="single" w:color="auto" w:sz="4" w:space="0"/>
                    <w:right w:val="single" w:color="auto" w:sz="6" w:space="0"/>
                  </w:tcBorders>
                  <w:noWrap w:val="0"/>
                  <w:vAlign w:val="center"/>
                </w:tcPr>
                <w:p w14:paraId="592A67AC">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53740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482" w:type="dxa"/>
                  <w:gridSpan w:val="4"/>
                  <w:vMerge w:val="continue"/>
                  <w:tcBorders>
                    <w:top w:val="nil"/>
                    <w:left w:val="single" w:color="auto" w:sz="6" w:space="0"/>
                    <w:bottom w:val="single" w:color="auto" w:sz="6" w:space="0"/>
                    <w:right w:val="single" w:color="auto" w:sz="6" w:space="0"/>
                  </w:tcBorders>
                  <w:noWrap w:val="0"/>
                  <w:vAlign w:val="center"/>
                </w:tcPr>
                <w:p w14:paraId="00E3598A">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32BFA6F8">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6CD17E62">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40" w:type="dxa"/>
                  <w:tcBorders>
                    <w:top w:val="single" w:color="auto" w:sz="6" w:space="0"/>
                    <w:left w:val="nil"/>
                    <w:bottom w:val="single" w:color="auto" w:sz="6" w:space="0"/>
                    <w:right w:val="single" w:color="auto" w:sz="6" w:space="0"/>
                  </w:tcBorders>
                  <w:noWrap w:val="0"/>
                  <w:vAlign w:val="center"/>
                </w:tcPr>
                <w:p w14:paraId="5360E142">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000" w:type="dxa"/>
                  <w:tcBorders>
                    <w:top w:val="single" w:color="auto" w:sz="6" w:space="0"/>
                    <w:left w:val="nil"/>
                    <w:bottom w:val="single" w:color="auto" w:sz="6" w:space="0"/>
                    <w:right w:val="single" w:color="auto" w:sz="6" w:space="0"/>
                  </w:tcBorders>
                  <w:noWrap w:val="0"/>
                  <w:vAlign w:val="center"/>
                </w:tcPr>
                <w:p w14:paraId="26D3A43B">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743" w:type="dxa"/>
                  <w:tcBorders>
                    <w:top w:val="single" w:color="auto" w:sz="4" w:space="0"/>
                    <w:left w:val="nil"/>
                    <w:bottom w:val="single" w:color="auto" w:sz="6" w:space="0"/>
                    <w:right w:val="single" w:color="auto" w:sz="6" w:space="0"/>
                  </w:tcBorders>
                  <w:noWrap w:val="0"/>
                  <w:vAlign w:val="center"/>
                </w:tcPr>
                <w:p w14:paraId="5272DA48">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6100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432" w:type="dxa"/>
                  <w:gridSpan w:val="3"/>
                  <w:vMerge w:val="restart"/>
                  <w:tcBorders>
                    <w:top w:val="nil"/>
                    <w:left w:val="single" w:color="auto" w:sz="6" w:space="0"/>
                    <w:bottom w:val="single" w:color="auto" w:sz="6" w:space="0"/>
                    <w:right w:val="single" w:color="auto" w:sz="6" w:space="0"/>
                  </w:tcBorders>
                  <w:noWrap w:val="0"/>
                  <w:vAlign w:val="center"/>
                </w:tcPr>
                <w:p w14:paraId="16F2E109">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架空电力线路</w:t>
                  </w:r>
                </w:p>
              </w:tc>
              <w:tc>
                <w:tcPr>
                  <w:tcW w:w="1050" w:type="dxa"/>
                  <w:vMerge w:val="restart"/>
                  <w:tcBorders>
                    <w:top w:val="nil"/>
                    <w:left w:val="nil"/>
                    <w:right w:val="single" w:color="auto" w:sz="6" w:space="0"/>
                  </w:tcBorders>
                  <w:noWrap w:val="0"/>
                  <w:vAlign w:val="center"/>
                </w:tcPr>
                <w:p w14:paraId="71D01C96">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无绝缘层</w:t>
                  </w:r>
                </w:p>
              </w:tc>
              <w:tc>
                <w:tcPr>
                  <w:tcW w:w="840" w:type="dxa"/>
                  <w:tcBorders>
                    <w:top w:val="single" w:color="auto" w:sz="6" w:space="0"/>
                    <w:left w:val="nil"/>
                    <w:bottom w:val="single" w:color="auto" w:sz="6" w:space="0"/>
                    <w:right w:val="single" w:color="auto" w:sz="6" w:space="0"/>
                  </w:tcBorders>
                  <w:noWrap w:val="0"/>
                  <w:vAlign w:val="center"/>
                </w:tcPr>
                <w:p w14:paraId="353002B0">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747DE9ED">
                  <w:pPr>
                    <w:autoSpaceDE w:val="0"/>
                    <w:autoSpaceDN w:val="0"/>
                    <w:adjustRightIn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6.5</w:t>
                  </w:r>
                </w:p>
              </w:tc>
              <w:tc>
                <w:tcPr>
                  <w:tcW w:w="1140" w:type="dxa"/>
                  <w:tcBorders>
                    <w:top w:val="single" w:color="auto" w:sz="6" w:space="0"/>
                    <w:left w:val="nil"/>
                    <w:bottom w:val="single" w:color="auto" w:sz="6" w:space="0"/>
                    <w:right w:val="single" w:color="auto" w:sz="6" w:space="0"/>
                  </w:tcBorders>
                  <w:noWrap w:val="0"/>
                  <w:vAlign w:val="center"/>
                </w:tcPr>
                <w:p w14:paraId="32FE05AB">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6.5</w:t>
                  </w:r>
                </w:p>
              </w:tc>
              <w:tc>
                <w:tcPr>
                  <w:tcW w:w="1000" w:type="dxa"/>
                  <w:tcBorders>
                    <w:top w:val="single" w:color="auto" w:sz="6" w:space="0"/>
                    <w:left w:val="nil"/>
                    <w:bottom w:val="single" w:color="auto" w:sz="6" w:space="0"/>
                    <w:right w:val="single" w:color="auto" w:sz="6" w:space="0"/>
                  </w:tcBorders>
                  <w:noWrap w:val="0"/>
                  <w:vAlign w:val="center"/>
                </w:tcPr>
                <w:p w14:paraId="46D22726">
                  <w:pPr>
                    <w:widowControl/>
                    <w:jc w:val="center"/>
                    <w:rPr>
                      <w:rFonts w:hint="default" w:ascii="Times New Roman" w:hAnsi="Times New Roman" w:cs="Times New Roman"/>
                      <w:color w:val="auto"/>
                      <w:szCs w:val="21"/>
                    </w:rPr>
                  </w:pPr>
                  <w:r>
                    <w:rPr>
                      <w:rFonts w:hint="default" w:ascii="Times New Roman" w:hAnsi="Times New Roman" w:cs="Times New Roman"/>
                      <w:color w:val="auto"/>
                    </w:rPr>
                    <w:t>6.5</w:t>
                  </w:r>
                </w:p>
              </w:tc>
              <w:tc>
                <w:tcPr>
                  <w:tcW w:w="1743" w:type="dxa"/>
                  <w:tcBorders>
                    <w:top w:val="single" w:color="auto" w:sz="6" w:space="0"/>
                    <w:left w:val="nil"/>
                    <w:bottom w:val="single" w:color="auto" w:sz="6" w:space="0"/>
                    <w:right w:val="single" w:color="auto" w:sz="6" w:space="0"/>
                  </w:tcBorders>
                  <w:noWrap w:val="0"/>
                  <w:vAlign w:val="center"/>
                </w:tcPr>
                <w:p w14:paraId="2D4037FD">
                  <w:pPr>
                    <w:tabs>
                      <w:tab w:val="left" w:pos="642"/>
                    </w:tabs>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w:t>
                  </w:r>
                </w:p>
              </w:tc>
            </w:tr>
            <w:tr w14:paraId="14017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432" w:type="dxa"/>
                  <w:gridSpan w:val="3"/>
                  <w:vMerge w:val="continue"/>
                  <w:tcBorders>
                    <w:top w:val="nil"/>
                    <w:left w:val="single" w:color="auto" w:sz="6" w:space="0"/>
                    <w:bottom w:val="single" w:color="auto" w:sz="6" w:space="0"/>
                    <w:right w:val="single" w:color="auto" w:sz="6" w:space="0"/>
                  </w:tcBorders>
                  <w:noWrap w:val="0"/>
                  <w:vAlign w:val="center"/>
                </w:tcPr>
                <w:p w14:paraId="4D165BC9">
                  <w:pPr>
                    <w:widowControl/>
                    <w:jc w:val="left"/>
                    <w:rPr>
                      <w:rFonts w:hint="default" w:ascii="Times New Roman" w:hAnsi="Times New Roman" w:cs="Times New Roman"/>
                      <w:color w:val="auto"/>
                      <w:szCs w:val="21"/>
                    </w:rPr>
                  </w:pPr>
                </w:p>
              </w:tc>
              <w:tc>
                <w:tcPr>
                  <w:tcW w:w="1050" w:type="dxa"/>
                  <w:vMerge w:val="continue"/>
                  <w:tcBorders>
                    <w:left w:val="nil"/>
                    <w:right w:val="single" w:color="auto" w:sz="6" w:space="0"/>
                  </w:tcBorders>
                  <w:noWrap w:val="0"/>
                  <w:vAlign w:val="center"/>
                </w:tcPr>
                <w:p w14:paraId="7240D168">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67AE2993">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3E327075">
                  <w:pPr>
                    <w:jc w:val="center"/>
                    <w:rPr>
                      <w:rFonts w:hint="default" w:ascii="Times New Roman" w:hAnsi="Times New Roman" w:cs="Times New Roman"/>
                      <w:color w:val="auto"/>
                      <w:szCs w:val="21"/>
                    </w:rPr>
                  </w:pPr>
                  <w:r>
                    <w:rPr>
                      <w:rFonts w:hint="eastAsia"/>
                      <w:color w:val="auto"/>
                      <w:szCs w:val="21"/>
                    </w:rPr>
                    <w:t>19.6</w:t>
                  </w:r>
                </w:p>
              </w:tc>
              <w:tc>
                <w:tcPr>
                  <w:tcW w:w="1140" w:type="dxa"/>
                  <w:tcBorders>
                    <w:top w:val="single" w:color="auto" w:sz="6" w:space="0"/>
                    <w:left w:val="nil"/>
                    <w:bottom w:val="single" w:color="auto" w:sz="6" w:space="0"/>
                    <w:right w:val="single" w:color="auto" w:sz="6" w:space="0"/>
                  </w:tcBorders>
                  <w:noWrap w:val="0"/>
                  <w:vAlign w:val="center"/>
                </w:tcPr>
                <w:p w14:paraId="06EB1C03">
                  <w:pPr>
                    <w:jc w:val="center"/>
                    <w:rPr>
                      <w:rFonts w:hint="default" w:ascii="Times New Roman" w:hAnsi="Times New Roman" w:cs="Times New Roman"/>
                      <w:color w:val="auto"/>
                      <w:szCs w:val="21"/>
                    </w:rPr>
                  </w:pPr>
                  <w:r>
                    <w:rPr>
                      <w:color w:val="auto"/>
                      <w:szCs w:val="21"/>
                    </w:rPr>
                    <w:t>2</w:t>
                  </w:r>
                  <w:r>
                    <w:rPr>
                      <w:rFonts w:hint="eastAsia"/>
                      <w:color w:val="auto"/>
                      <w:szCs w:val="21"/>
                    </w:rPr>
                    <w:t>8.7</w:t>
                  </w:r>
                </w:p>
              </w:tc>
              <w:tc>
                <w:tcPr>
                  <w:tcW w:w="1000" w:type="dxa"/>
                  <w:tcBorders>
                    <w:top w:val="single" w:color="auto" w:sz="6" w:space="0"/>
                    <w:left w:val="nil"/>
                    <w:bottom w:val="single" w:color="auto" w:sz="6" w:space="0"/>
                    <w:right w:val="single" w:color="auto" w:sz="6" w:space="0"/>
                  </w:tcBorders>
                  <w:noWrap w:val="0"/>
                  <w:vAlign w:val="center"/>
                </w:tcPr>
                <w:p w14:paraId="5EE1FB05">
                  <w:pPr>
                    <w:jc w:val="center"/>
                    <w:rPr>
                      <w:rFonts w:hint="default" w:ascii="Times New Roman" w:hAnsi="Times New Roman" w:cs="Times New Roman"/>
                      <w:color w:val="auto"/>
                      <w:szCs w:val="21"/>
                    </w:rPr>
                  </w:pPr>
                  <w:r>
                    <w:rPr>
                      <w:rFonts w:hint="eastAsia"/>
                      <w:color w:val="auto"/>
                      <w:szCs w:val="21"/>
                    </w:rPr>
                    <w:t>16.8</w:t>
                  </w:r>
                </w:p>
              </w:tc>
              <w:tc>
                <w:tcPr>
                  <w:tcW w:w="1743" w:type="dxa"/>
                  <w:tcBorders>
                    <w:top w:val="single" w:color="auto" w:sz="6" w:space="0"/>
                    <w:left w:val="nil"/>
                    <w:bottom w:val="single" w:color="auto" w:sz="6" w:space="0"/>
                    <w:right w:val="single" w:color="auto" w:sz="6" w:space="0"/>
                  </w:tcBorders>
                  <w:noWrap w:val="0"/>
                  <w:vAlign w:val="center"/>
                </w:tcPr>
                <w:p w14:paraId="1B1B048F">
                  <w:pPr>
                    <w:jc w:val="center"/>
                    <w:rPr>
                      <w:rFonts w:hint="default" w:ascii="Times New Roman" w:hAnsi="Times New Roman" w:cs="Times New Roman"/>
                      <w:color w:val="auto"/>
                      <w:szCs w:val="21"/>
                    </w:rPr>
                  </w:pPr>
                  <w:r>
                    <w:rPr>
                      <w:rFonts w:hint="eastAsia"/>
                      <w:color w:val="auto"/>
                      <w:szCs w:val="21"/>
                    </w:rPr>
                    <w:t>西面</w:t>
                  </w:r>
                  <w:r>
                    <w:rPr>
                      <w:color w:val="auto"/>
                      <w:szCs w:val="21"/>
                    </w:rPr>
                    <w:t>10kV架空电力线(杆高约6m，南一北走向)</w:t>
                  </w:r>
                </w:p>
              </w:tc>
            </w:tr>
            <w:tr w14:paraId="2A30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432" w:type="dxa"/>
                  <w:gridSpan w:val="3"/>
                  <w:vMerge w:val="continue"/>
                  <w:tcBorders>
                    <w:top w:val="nil"/>
                    <w:left w:val="single" w:color="auto" w:sz="6" w:space="0"/>
                    <w:bottom w:val="single" w:color="auto" w:sz="6" w:space="0"/>
                    <w:right w:val="single" w:color="auto" w:sz="6" w:space="0"/>
                  </w:tcBorders>
                  <w:noWrap w:val="0"/>
                  <w:vAlign w:val="center"/>
                </w:tcPr>
                <w:p w14:paraId="24071EC1">
                  <w:pPr>
                    <w:widowControl/>
                    <w:jc w:val="left"/>
                    <w:rPr>
                      <w:rFonts w:hint="default" w:ascii="Times New Roman" w:hAnsi="Times New Roman" w:cs="Times New Roman"/>
                      <w:color w:val="auto"/>
                      <w:szCs w:val="21"/>
                    </w:rPr>
                  </w:pPr>
                </w:p>
              </w:tc>
              <w:tc>
                <w:tcPr>
                  <w:tcW w:w="1050" w:type="dxa"/>
                  <w:vMerge w:val="continue"/>
                  <w:tcBorders>
                    <w:left w:val="nil"/>
                    <w:bottom w:val="single" w:color="auto" w:sz="6" w:space="0"/>
                    <w:right w:val="single" w:color="auto" w:sz="6" w:space="0"/>
                  </w:tcBorders>
                  <w:noWrap w:val="0"/>
                  <w:vAlign w:val="center"/>
                </w:tcPr>
                <w:p w14:paraId="346491D2">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1AC9234B">
                  <w:pPr>
                    <w:autoSpaceDE w:val="0"/>
                    <w:autoSpaceDN w:val="0"/>
                    <w:adjustRightInd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设计</w:t>
                  </w:r>
                </w:p>
              </w:tc>
              <w:tc>
                <w:tcPr>
                  <w:tcW w:w="1005" w:type="dxa"/>
                  <w:tcBorders>
                    <w:top w:val="single" w:color="auto" w:sz="6" w:space="0"/>
                    <w:left w:val="nil"/>
                    <w:bottom w:val="single" w:color="auto" w:sz="6" w:space="0"/>
                    <w:right w:val="single" w:color="auto" w:sz="6" w:space="0"/>
                  </w:tcBorders>
                  <w:noWrap w:val="0"/>
                  <w:vAlign w:val="center"/>
                </w:tcPr>
                <w:p w14:paraId="63FD18DC">
                  <w:pPr>
                    <w:jc w:val="center"/>
                    <w:rPr>
                      <w:rFonts w:hint="default" w:ascii="Times New Roman" w:hAnsi="Times New Roman" w:cs="Times New Roman"/>
                      <w:color w:val="auto"/>
                    </w:rPr>
                  </w:pPr>
                  <w:r>
                    <w:rPr>
                      <w:rFonts w:hint="eastAsia"/>
                      <w:color w:val="auto"/>
                      <w:szCs w:val="21"/>
                    </w:rPr>
                    <w:t>12.6</w:t>
                  </w:r>
                </w:p>
              </w:tc>
              <w:tc>
                <w:tcPr>
                  <w:tcW w:w="1140" w:type="dxa"/>
                  <w:tcBorders>
                    <w:top w:val="single" w:color="auto" w:sz="6" w:space="0"/>
                    <w:left w:val="nil"/>
                    <w:bottom w:val="single" w:color="auto" w:sz="6" w:space="0"/>
                    <w:right w:val="single" w:color="auto" w:sz="6" w:space="0"/>
                  </w:tcBorders>
                  <w:noWrap w:val="0"/>
                  <w:vAlign w:val="center"/>
                </w:tcPr>
                <w:p w14:paraId="44C8D7F5">
                  <w:pPr>
                    <w:jc w:val="center"/>
                    <w:rPr>
                      <w:rFonts w:hint="default" w:ascii="Times New Roman" w:hAnsi="Times New Roman" w:cs="Times New Roman"/>
                      <w:color w:val="auto"/>
                    </w:rPr>
                  </w:pPr>
                  <w:r>
                    <w:rPr>
                      <w:rFonts w:hint="eastAsia"/>
                      <w:color w:val="auto"/>
                      <w:szCs w:val="21"/>
                    </w:rPr>
                    <w:t>19.4</w:t>
                  </w:r>
                </w:p>
              </w:tc>
              <w:tc>
                <w:tcPr>
                  <w:tcW w:w="1000" w:type="dxa"/>
                  <w:tcBorders>
                    <w:top w:val="single" w:color="auto" w:sz="6" w:space="0"/>
                    <w:left w:val="nil"/>
                    <w:bottom w:val="single" w:color="auto" w:sz="6" w:space="0"/>
                    <w:right w:val="single" w:color="auto" w:sz="6" w:space="0"/>
                  </w:tcBorders>
                  <w:noWrap w:val="0"/>
                  <w:vAlign w:val="center"/>
                </w:tcPr>
                <w:p w14:paraId="1DD543AB">
                  <w:pPr>
                    <w:jc w:val="center"/>
                    <w:rPr>
                      <w:rFonts w:hint="default" w:ascii="Times New Roman" w:hAnsi="Times New Roman" w:cs="Times New Roman"/>
                      <w:color w:val="auto"/>
                    </w:rPr>
                  </w:pPr>
                  <w:r>
                    <w:rPr>
                      <w:rFonts w:hint="eastAsia"/>
                      <w:color w:val="auto"/>
                      <w:szCs w:val="21"/>
                    </w:rPr>
                    <w:t>16.6</w:t>
                  </w:r>
                </w:p>
              </w:tc>
              <w:tc>
                <w:tcPr>
                  <w:tcW w:w="1743" w:type="dxa"/>
                  <w:tcBorders>
                    <w:top w:val="single" w:color="auto" w:sz="6" w:space="0"/>
                    <w:left w:val="nil"/>
                    <w:bottom w:val="single" w:color="auto" w:sz="6" w:space="0"/>
                    <w:right w:val="single" w:color="auto" w:sz="6" w:space="0"/>
                  </w:tcBorders>
                  <w:noWrap w:val="0"/>
                  <w:vAlign w:val="center"/>
                </w:tcPr>
                <w:p w14:paraId="784FA8C5">
                  <w:pPr>
                    <w:jc w:val="center"/>
                    <w:rPr>
                      <w:rFonts w:hint="default" w:ascii="Times New Roman" w:hAnsi="Times New Roman" w:cs="Times New Roman"/>
                      <w:color w:val="auto"/>
                      <w:szCs w:val="21"/>
                      <w:lang w:val="en-US" w:eastAsia="zh-CN"/>
                    </w:rPr>
                  </w:pPr>
                  <w:r>
                    <w:rPr>
                      <w:color w:val="auto"/>
                      <w:szCs w:val="21"/>
                    </w:rPr>
                    <w:t>西南面10kV架空电力线(杆高约6m，西南一东北走向)</w:t>
                  </w:r>
                </w:p>
              </w:tc>
            </w:tr>
            <w:tr w14:paraId="4EF4A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432" w:type="dxa"/>
                  <w:gridSpan w:val="3"/>
                  <w:vMerge w:val="continue"/>
                  <w:tcBorders>
                    <w:top w:val="nil"/>
                    <w:left w:val="single" w:color="auto" w:sz="6" w:space="0"/>
                    <w:bottom w:val="single" w:color="auto" w:sz="6" w:space="0"/>
                    <w:right w:val="single" w:color="auto" w:sz="6" w:space="0"/>
                  </w:tcBorders>
                  <w:noWrap w:val="0"/>
                  <w:vAlign w:val="center"/>
                </w:tcPr>
                <w:p w14:paraId="085178B9">
                  <w:pPr>
                    <w:widowControl/>
                    <w:jc w:val="left"/>
                    <w:rPr>
                      <w:rFonts w:hint="default" w:ascii="Times New Roman" w:hAnsi="Times New Roman" w:cs="Times New Roman"/>
                      <w:color w:val="auto"/>
                      <w:szCs w:val="21"/>
                    </w:rPr>
                  </w:pPr>
                </w:p>
              </w:tc>
              <w:tc>
                <w:tcPr>
                  <w:tcW w:w="1050" w:type="dxa"/>
                  <w:vMerge w:val="restart"/>
                  <w:tcBorders>
                    <w:top w:val="nil"/>
                    <w:left w:val="nil"/>
                    <w:bottom w:val="single" w:color="auto" w:sz="6" w:space="0"/>
                    <w:right w:val="single" w:color="auto" w:sz="6" w:space="0"/>
                  </w:tcBorders>
                  <w:noWrap w:val="0"/>
                  <w:vAlign w:val="center"/>
                </w:tcPr>
                <w:p w14:paraId="61FEBEB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有绝缘层</w:t>
                  </w:r>
                </w:p>
              </w:tc>
              <w:tc>
                <w:tcPr>
                  <w:tcW w:w="840" w:type="dxa"/>
                  <w:tcBorders>
                    <w:top w:val="single" w:color="auto" w:sz="6" w:space="0"/>
                    <w:left w:val="nil"/>
                    <w:bottom w:val="single" w:color="auto" w:sz="6" w:space="0"/>
                    <w:right w:val="single" w:color="auto" w:sz="6" w:space="0"/>
                  </w:tcBorders>
                  <w:noWrap w:val="0"/>
                  <w:vAlign w:val="center"/>
                </w:tcPr>
                <w:p w14:paraId="3F3510B0">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规范</w:t>
                  </w:r>
                </w:p>
              </w:tc>
              <w:tc>
                <w:tcPr>
                  <w:tcW w:w="1005" w:type="dxa"/>
                  <w:tcBorders>
                    <w:top w:val="single" w:color="auto" w:sz="6" w:space="0"/>
                    <w:left w:val="nil"/>
                    <w:bottom w:val="single" w:color="auto" w:sz="6" w:space="0"/>
                    <w:right w:val="single" w:color="auto" w:sz="6" w:space="0"/>
                  </w:tcBorders>
                  <w:noWrap w:val="0"/>
                  <w:vAlign w:val="center"/>
                </w:tcPr>
                <w:p w14:paraId="01B73E4D">
                  <w:pPr>
                    <w:autoSpaceDE w:val="0"/>
                    <w:autoSpaceDN w:val="0"/>
                    <w:adjustRightIn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5</w:t>
                  </w:r>
                </w:p>
              </w:tc>
              <w:tc>
                <w:tcPr>
                  <w:tcW w:w="1140" w:type="dxa"/>
                  <w:tcBorders>
                    <w:top w:val="single" w:color="auto" w:sz="6" w:space="0"/>
                    <w:left w:val="nil"/>
                    <w:bottom w:val="single" w:color="auto" w:sz="6" w:space="0"/>
                    <w:right w:val="single" w:color="auto" w:sz="6" w:space="0"/>
                  </w:tcBorders>
                  <w:noWrap w:val="0"/>
                  <w:vAlign w:val="center"/>
                </w:tcPr>
                <w:p w14:paraId="1448AB57">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000" w:type="dxa"/>
                  <w:tcBorders>
                    <w:top w:val="single" w:color="auto" w:sz="6" w:space="0"/>
                    <w:left w:val="nil"/>
                    <w:bottom w:val="single" w:color="auto" w:sz="6" w:space="0"/>
                    <w:right w:val="single" w:color="auto" w:sz="6" w:space="0"/>
                  </w:tcBorders>
                  <w:noWrap w:val="0"/>
                  <w:vAlign w:val="center"/>
                </w:tcPr>
                <w:p w14:paraId="40DEDB16">
                  <w:pPr>
                    <w:widowControl/>
                    <w:jc w:val="center"/>
                    <w:rPr>
                      <w:rFonts w:hint="default" w:ascii="Times New Roman" w:hAnsi="Times New Roman" w:cs="Times New Roman"/>
                      <w:color w:val="auto"/>
                      <w:szCs w:val="21"/>
                    </w:rPr>
                  </w:pPr>
                  <w:r>
                    <w:rPr>
                      <w:rFonts w:hint="default" w:ascii="Times New Roman" w:hAnsi="Times New Roman" w:cs="Times New Roman"/>
                      <w:color w:val="auto"/>
                    </w:rPr>
                    <w:t>5</w:t>
                  </w:r>
                </w:p>
              </w:tc>
              <w:tc>
                <w:tcPr>
                  <w:tcW w:w="1743" w:type="dxa"/>
                  <w:tcBorders>
                    <w:top w:val="nil"/>
                    <w:left w:val="nil"/>
                    <w:bottom w:val="single" w:color="auto" w:sz="6" w:space="0"/>
                    <w:right w:val="single" w:color="auto" w:sz="6" w:space="0"/>
                  </w:tcBorders>
                  <w:noWrap w:val="0"/>
                  <w:vAlign w:val="center"/>
                </w:tcPr>
                <w:p w14:paraId="46CB68D8">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14:paraId="5A15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1432" w:type="dxa"/>
                  <w:gridSpan w:val="3"/>
                  <w:vMerge w:val="continue"/>
                  <w:tcBorders>
                    <w:top w:val="nil"/>
                    <w:left w:val="single" w:color="auto" w:sz="6" w:space="0"/>
                    <w:bottom w:val="single" w:color="auto" w:sz="6" w:space="0"/>
                    <w:right w:val="single" w:color="auto" w:sz="6" w:space="0"/>
                  </w:tcBorders>
                  <w:noWrap w:val="0"/>
                  <w:vAlign w:val="center"/>
                </w:tcPr>
                <w:p w14:paraId="2D0DC304">
                  <w:pPr>
                    <w:widowControl/>
                    <w:jc w:val="left"/>
                    <w:rPr>
                      <w:rFonts w:hint="default" w:ascii="Times New Roman" w:hAnsi="Times New Roman" w:cs="Times New Roman"/>
                      <w:color w:val="auto"/>
                      <w:szCs w:val="21"/>
                    </w:rPr>
                  </w:pPr>
                </w:p>
              </w:tc>
              <w:tc>
                <w:tcPr>
                  <w:tcW w:w="1050" w:type="dxa"/>
                  <w:vMerge w:val="continue"/>
                  <w:tcBorders>
                    <w:top w:val="nil"/>
                    <w:left w:val="nil"/>
                    <w:bottom w:val="single" w:color="auto" w:sz="6" w:space="0"/>
                    <w:right w:val="single" w:color="auto" w:sz="6" w:space="0"/>
                  </w:tcBorders>
                  <w:noWrap w:val="0"/>
                  <w:vAlign w:val="center"/>
                </w:tcPr>
                <w:p w14:paraId="014F1514">
                  <w:pPr>
                    <w:widowControl/>
                    <w:jc w:val="left"/>
                    <w:rPr>
                      <w:rFonts w:hint="default" w:ascii="Times New Roman" w:hAnsi="Times New Roman" w:cs="Times New Roman"/>
                      <w:color w:val="auto"/>
                      <w:szCs w:val="21"/>
                    </w:rPr>
                  </w:pPr>
                </w:p>
              </w:tc>
              <w:tc>
                <w:tcPr>
                  <w:tcW w:w="840" w:type="dxa"/>
                  <w:tcBorders>
                    <w:top w:val="single" w:color="auto" w:sz="6" w:space="0"/>
                    <w:left w:val="nil"/>
                    <w:bottom w:val="single" w:color="auto" w:sz="6" w:space="0"/>
                    <w:right w:val="single" w:color="auto" w:sz="6" w:space="0"/>
                  </w:tcBorders>
                  <w:noWrap w:val="0"/>
                  <w:vAlign w:val="center"/>
                </w:tcPr>
                <w:p w14:paraId="4A7CE73D">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rPr>
                    <w:t>设计</w:t>
                  </w:r>
                </w:p>
              </w:tc>
              <w:tc>
                <w:tcPr>
                  <w:tcW w:w="1005" w:type="dxa"/>
                  <w:tcBorders>
                    <w:top w:val="single" w:color="auto" w:sz="6" w:space="0"/>
                    <w:left w:val="nil"/>
                    <w:bottom w:val="single" w:color="auto" w:sz="6" w:space="0"/>
                    <w:right w:val="single" w:color="auto" w:sz="6" w:space="0"/>
                  </w:tcBorders>
                  <w:noWrap w:val="0"/>
                  <w:vAlign w:val="center"/>
                </w:tcPr>
                <w:p w14:paraId="7F2119A3">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140" w:type="dxa"/>
                  <w:tcBorders>
                    <w:top w:val="single" w:color="auto" w:sz="6" w:space="0"/>
                    <w:left w:val="nil"/>
                    <w:bottom w:val="single" w:color="auto" w:sz="6" w:space="0"/>
                    <w:right w:val="single" w:color="auto" w:sz="6" w:space="0"/>
                  </w:tcBorders>
                  <w:noWrap w:val="0"/>
                  <w:vAlign w:val="center"/>
                </w:tcPr>
                <w:p w14:paraId="271630BB">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000" w:type="dxa"/>
                  <w:tcBorders>
                    <w:top w:val="single" w:color="auto" w:sz="6" w:space="0"/>
                    <w:left w:val="nil"/>
                    <w:bottom w:val="single" w:color="auto" w:sz="6" w:space="0"/>
                    <w:right w:val="single" w:color="auto" w:sz="6" w:space="0"/>
                  </w:tcBorders>
                  <w:noWrap w:val="0"/>
                  <w:vAlign w:val="center"/>
                </w:tcPr>
                <w:p w14:paraId="177C3B60">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rPr>
                    <w:t>无</w:t>
                  </w:r>
                </w:p>
              </w:tc>
              <w:tc>
                <w:tcPr>
                  <w:tcW w:w="1743" w:type="dxa"/>
                  <w:tcBorders>
                    <w:top w:val="nil"/>
                    <w:left w:val="nil"/>
                    <w:bottom w:val="single" w:color="auto" w:sz="6" w:space="0"/>
                    <w:right w:val="single" w:color="auto" w:sz="6" w:space="0"/>
                  </w:tcBorders>
                  <w:noWrap w:val="0"/>
                  <w:vAlign w:val="center"/>
                </w:tcPr>
                <w:p w14:paraId="6F98291E">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bl>
          <w:p w14:paraId="6A49610C">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由上表可以看出本项目地埋油罐、通气管管口、加油机与站外建（构）筑物间的距离符合</w:t>
            </w:r>
            <w:r>
              <w:rPr>
                <w:rFonts w:hint="default" w:ascii="Times New Roman" w:hAnsi="Times New Roman" w:cs="Times New Roman"/>
                <w:color w:val="auto"/>
                <w:sz w:val="24"/>
                <w:szCs w:val="32"/>
              </w:rPr>
              <w:t>《汽车加油加气加氢站技术标准》（GB50156-2021）</w:t>
            </w:r>
            <w:r>
              <w:rPr>
                <w:rFonts w:hint="default" w:ascii="Times New Roman" w:hAnsi="Times New Roman" w:cs="Times New Roman"/>
                <w:color w:val="auto"/>
                <w:sz w:val="24"/>
                <w:szCs w:val="22"/>
              </w:rPr>
              <w:t>中与外环境建构筑物的安全距离要求，站址选择的要求。</w:t>
            </w:r>
          </w:p>
          <w:p w14:paraId="2C8BC7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val="en-US" w:eastAsia="zh-CN"/>
              </w:rPr>
              <w:t>1</w:t>
            </w:r>
            <w:r>
              <w:rPr>
                <w:rFonts w:hint="eastAsia" w:cs="Times New Roman"/>
                <w:b/>
                <w:color w:val="auto"/>
                <w:sz w:val="24"/>
                <w:szCs w:val="24"/>
                <w:lang w:val="en-US" w:eastAsia="zh-CN"/>
              </w:rPr>
              <w:t>2</w:t>
            </w:r>
            <w:r>
              <w:rPr>
                <w:rFonts w:hint="default" w:ascii="Times New Roman" w:hAnsi="Times New Roman" w:cs="Times New Roman"/>
                <w:b/>
                <w:color w:val="auto"/>
                <w:sz w:val="24"/>
                <w:szCs w:val="24"/>
                <w:lang w:val="en-US" w:eastAsia="zh-CN"/>
              </w:rPr>
              <w:t>、选</w:t>
            </w:r>
            <w:r>
              <w:rPr>
                <w:rFonts w:hint="default" w:ascii="Times New Roman" w:hAnsi="Times New Roman" w:eastAsia="宋体" w:cs="Times New Roman"/>
                <w:b/>
                <w:color w:val="auto"/>
                <w:sz w:val="24"/>
                <w:szCs w:val="24"/>
                <w:lang w:val="en-US" w:eastAsia="zh-CN"/>
              </w:rPr>
              <w:t>址的合理性分析</w:t>
            </w:r>
          </w:p>
          <w:p w14:paraId="5D8A44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0"/>
                <w:lang w:val="en-US" w:eastAsia="zh-CN" w:bidi="ar-SA"/>
              </w:rPr>
              <w:t>本项目选址位于</w:t>
            </w:r>
            <w:r>
              <w:rPr>
                <w:rFonts w:hint="eastAsia" w:cs="Times New Roman"/>
                <w:color w:val="auto"/>
                <w:kern w:val="0"/>
                <w:sz w:val="24"/>
                <w:szCs w:val="20"/>
                <w:lang w:val="en-US" w:eastAsia="zh-CN" w:bidi="ar-SA"/>
              </w:rPr>
              <w:t>云南省昆明市寻甸县功山镇梧桐村</w:t>
            </w:r>
            <w:r>
              <w:rPr>
                <w:rFonts w:hint="default" w:ascii="Times New Roman" w:hAnsi="Times New Roman" w:eastAsia="宋体" w:cs="Times New Roman"/>
                <w:color w:val="auto"/>
                <w:kern w:val="0"/>
                <w:sz w:val="24"/>
                <w:szCs w:val="20"/>
                <w:lang w:val="en-US" w:eastAsia="zh-CN" w:bidi="ar-SA"/>
              </w:rPr>
              <w:t>，</w:t>
            </w:r>
            <w:r>
              <w:rPr>
                <w:rFonts w:hint="eastAsia" w:cs="Times New Roman"/>
                <w:color w:val="auto"/>
                <w:sz w:val="24"/>
                <w:szCs w:val="24"/>
                <w:lang w:val="en-US" w:eastAsia="zh-CN"/>
              </w:rPr>
              <w:t>西侧为G213国道</w:t>
            </w:r>
            <w:r>
              <w:rPr>
                <w:rFonts w:hint="default" w:ascii="Times New Roman" w:hAnsi="Times New Roman" w:eastAsia="宋体" w:cs="Times New Roman"/>
                <w:color w:val="auto"/>
                <w:kern w:val="0"/>
                <w:sz w:val="24"/>
                <w:szCs w:val="20"/>
                <w:lang w:val="en-US" w:eastAsia="zh-CN" w:bidi="ar-SA"/>
              </w:rPr>
              <w:t>交通便利，车流量大，能兼顾项目所在区域内和过境车辆的加油需求。本项目已取得寻甸回族彝族自治县国土资源局于2006年11月20日出具的《中国石化集团资产经营管理有限公司云南石油分公司土地证书-寻国用（2006）第415号—NO004255367》（附件2），本项目加油站属于“机动车燃油零售”，</w:t>
            </w:r>
            <w:r>
              <w:rPr>
                <w:rFonts w:hint="eastAsia" w:cs="Times New Roman"/>
                <w:color w:val="auto"/>
                <w:kern w:val="0"/>
                <w:sz w:val="24"/>
                <w:szCs w:val="20"/>
                <w:lang w:val="en-US" w:eastAsia="zh-CN" w:bidi="ar-SA"/>
              </w:rPr>
              <w:t>在原有加油站上进行技术改造</w:t>
            </w:r>
            <w:r>
              <w:rPr>
                <w:rFonts w:hint="default" w:ascii="Times New Roman" w:hAnsi="Times New Roman" w:eastAsia="宋体" w:cs="Times New Roman"/>
                <w:color w:val="auto"/>
                <w:kern w:val="0"/>
                <w:sz w:val="24"/>
                <w:szCs w:val="24"/>
                <w:lang w:val="en-US" w:eastAsia="zh-CN" w:bidi="ar"/>
              </w:rPr>
              <w:t>。</w:t>
            </w:r>
          </w:p>
          <w:p w14:paraId="4709C623">
            <w:pPr>
              <w:spacing w:line="360" w:lineRule="auto"/>
              <w:ind w:firstLine="482"/>
              <w:rPr>
                <w:rFonts w:hint="default" w:ascii="Times New Roman" w:hAnsi="Times New Roman" w:cs="Times New Roman"/>
                <w:bCs/>
                <w:color w:val="auto"/>
                <w:sz w:val="24"/>
              </w:rPr>
            </w:pP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kern w:val="0"/>
                <w:sz w:val="24"/>
                <w:szCs w:val="24"/>
                <w:highlight w:val="none"/>
                <w:lang w:val="en-US" w:eastAsia="zh-CN"/>
              </w:rPr>
              <w:t>无</w:t>
            </w:r>
            <w:r>
              <w:rPr>
                <w:rFonts w:hint="default" w:ascii="Times New Roman" w:hAnsi="Times New Roman" w:eastAsia="宋体" w:cs="Times New Roman"/>
                <w:color w:val="auto"/>
                <w:kern w:val="0"/>
                <w:sz w:val="24"/>
                <w:szCs w:val="24"/>
                <w:highlight w:val="none"/>
                <w:lang w:val="en-US" w:eastAsia="zh-CN"/>
              </w:rPr>
              <w:t>废水</w:t>
            </w:r>
            <w:r>
              <w:rPr>
                <w:rFonts w:hint="default" w:ascii="Times New Roman" w:hAnsi="Times New Roman" w:cs="Times New Roman"/>
                <w:color w:val="auto"/>
                <w:kern w:val="0"/>
                <w:sz w:val="24"/>
                <w:szCs w:val="24"/>
                <w:highlight w:val="none"/>
                <w:lang w:val="en-US" w:eastAsia="zh-CN"/>
              </w:rPr>
              <w:t>外排</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区</w:t>
            </w:r>
            <w:r>
              <w:rPr>
                <w:rFonts w:hint="default" w:ascii="Times New Roman" w:hAnsi="Times New Roman" w:eastAsia="宋体" w:cs="Times New Roman"/>
                <w:color w:val="auto"/>
                <w:kern w:val="2"/>
                <w:sz w:val="24"/>
                <w:szCs w:val="24"/>
                <w:lang w:val="en-US" w:eastAsia="zh-CN" w:bidi="ar-SA"/>
              </w:rPr>
              <w:t>食堂含油废水经隔油池预处理后与其余办公生活废水及外来人员冲厕废水一同进入化粪池处理，地面冲洗废水经三级油水分离池处理，上述所有废水最终</w:t>
            </w:r>
            <w:r>
              <w:rPr>
                <w:rFonts w:hint="eastAsia" w:cs="Times New Roman"/>
                <w:color w:val="auto"/>
                <w:kern w:val="2"/>
                <w:sz w:val="24"/>
                <w:szCs w:val="24"/>
                <w:lang w:val="en-US" w:eastAsia="zh-CN" w:bidi="ar-SA"/>
              </w:rPr>
              <w:t>委托寻甸绿运垃圾清运有限公司清运处置，</w:t>
            </w:r>
            <w:r>
              <w:rPr>
                <w:rFonts w:hint="default" w:ascii="Times New Roman" w:hAnsi="Times New Roman" w:eastAsia="宋体" w:cs="Times New Roman"/>
                <w:color w:val="auto"/>
                <w:kern w:val="2"/>
                <w:sz w:val="24"/>
                <w:szCs w:val="24"/>
                <w:lang w:val="en-US" w:eastAsia="zh-CN" w:bidi="ar-SA"/>
              </w:rPr>
              <w:t>不外排</w:t>
            </w:r>
            <w:r>
              <w:rPr>
                <w:rFonts w:hint="default" w:ascii="Times New Roman" w:hAnsi="Times New Roman" w:cs="Times New Roman"/>
                <w:color w:val="auto"/>
                <w:sz w:val="24"/>
                <w:szCs w:val="24"/>
                <w:highlight w:val="none"/>
                <w:lang w:val="en-US" w:eastAsia="zh-CN"/>
              </w:rPr>
              <w:t>，对周边地表水环境影响较小。</w:t>
            </w:r>
            <w:r>
              <w:rPr>
                <w:rFonts w:hint="default" w:ascii="Times New Roman" w:hAnsi="Times New Roman" w:cs="Times New Roman"/>
                <w:bCs/>
                <w:color w:val="auto"/>
                <w:sz w:val="24"/>
              </w:rPr>
              <w:t>环境影响评价结果表明，项目所排大气污染物及噪声对周边环境及关心点的影响均不大。</w:t>
            </w:r>
          </w:p>
          <w:p w14:paraId="11C140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lang w:val="en-US" w:eastAsia="zh-CN"/>
              </w:rPr>
              <w:t>本项目位于</w:t>
            </w:r>
            <w:r>
              <w:rPr>
                <w:rFonts w:hint="eastAsia" w:cs="Times New Roman"/>
                <w:bCs/>
                <w:color w:val="auto"/>
                <w:sz w:val="24"/>
                <w:lang w:val="en-US" w:eastAsia="zh-CN"/>
              </w:rPr>
              <w:t>云南省昆明市寻甸县功山镇梧桐村，已取得寻甸回族彝族自治县自然资源局于2024年9月14日出具的《关于云南昆明寻甸梧桐加油站隐患治理项目范围是否涉及永久基本农田的说明、是否涉及生态保护红线及城镇开发边界的情况说明》（附件3），未占用生态保护红线和永久基本农田、不涉及城镇开发边界。</w:t>
            </w:r>
            <w:r>
              <w:rPr>
                <w:rFonts w:hint="default" w:ascii="Times New Roman" w:hAnsi="Times New Roman" w:cs="Times New Roman"/>
                <w:bCs/>
                <w:color w:val="auto"/>
                <w:sz w:val="24"/>
                <w:lang w:val="en-US" w:eastAsia="zh-CN"/>
              </w:rPr>
              <w:t>项目评价区域</w:t>
            </w:r>
            <w:r>
              <w:rPr>
                <w:rFonts w:hint="default" w:ascii="Times New Roman" w:hAnsi="Times New Roman" w:cs="Times New Roman"/>
                <w:bCs/>
                <w:color w:val="auto"/>
                <w:sz w:val="24"/>
              </w:rPr>
              <w:t>内</w:t>
            </w:r>
            <w:r>
              <w:rPr>
                <w:rFonts w:hint="default" w:ascii="Times New Roman" w:hAnsi="Times New Roman" w:cs="Times New Roman"/>
                <w:color w:val="auto"/>
                <w:sz w:val="24"/>
              </w:rPr>
              <w:t>无自然保护区、风景名胜区、历史文物保护地等分布。</w:t>
            </w:r>
          </w:p>
          <w:p w14:paraId="09DE08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因此</w:t>
            </w: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val="en-US" w:eastAsia="zh-CN"/>
              </w:rPr>
              <w:t>选址合理</w:t>
            </w:r>
            <w:r>
              <w:rPr>
                <w:rFonts w:hint="default" w:ascii="Times New Roman" w:hAnsi="Times New Roman" w:cs="Times New Roman"/>
                <w:color w:val="auto"/>
                <w:sz w:val="24"/>
              </w:rPr>
              <w:t>。</w:t>
            </w:r>
          </w:p>
          <w:p w14:paraId="7DFC5CD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kern w:val="1"/>
                <w:sz w:val="24"/>
                <w:szCs w:val="24"/>
              </w:rPr>
            </w:pPr>
            <w:r>
              <w:rPr>
                <w:rFonts w:hint="default" w:ascii="Times New Roman" w:hAnsi="Times New Roman" w:cs="Times New Roman"/>
                <w:b/>
                <w:color w:val="auto"/>
                <w:kern w:val="1"/>
                <w:sz w:val="24"/>
                <w:szCs w:val="24"/>
                <w:lang w:val="en-US" w:eastAsia="zh-CN"/>
              </w:rPr>
              <w:t>1</w:t>
            </w:r>
            <w:r>
              <w:rPr>
                <w:rFonts w:hint="eastAsia" w:cs="Times New Roman"/>
                <w:b/>
                <w:color w:val="auto"/>
                <w:kern w:val="1"/>
                <w:sz w:val="24"/>
                <w:szCs w:val="24"/>
                <w:lang w:val="en-US" w:eastAsia="zh-CN"/>
              </w:rPr>
              <w:t>3</w:t>
            </w:r>
            <w:r>
              <w:rPr>
                <w:rFonts w:hint="default" w:ascii="Times New Roman" w:hAnsi="Times New Roman" w:cs="Times New Roman"/>
                <w:b/>
                <w:color w:val="auto"/>
                <w:kern w:val="1"/>
                <w:sz w:val="24"/>
                <w:szCs w:val="24"/>
                <w:lang w:val="en-US" w:eastAsia="zh-CN"/>
              </w:rPr>
              <w:t>、</w:t>
            </w:r>
            <w:r>
              <w:rPr>
                <w:rFonts w:hint="default" w:ascii="Times New Roman" w:hAnsi="Times New Roman" w:cs="Times New Roman"/>
                <w:b/>
                <w:color w:val="auto"/>
                <w:kern w:val="1"/>
                <w:sz w:val="24"/>
                <w:szCs w:val="24"/>
              </w:rPr>
              <w:t>平面布局合理性分析</w:t>
            </w:r>
          </w:p>
          <w:p w14:paraId="6D01D26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从规范角度分析平面布局合理性</w:t>
            </w:r>
          </w:p>
          <w:p w14:paraId="5DC122AF">
            <w:pPr>
              <w:spacing w:line="440" w:lineRule="exact"/>
              <w:ind w:firstLine="480" w:firstLineChars="200"/>
              <w:rPr>
                <w:rFonts w:hint="default" w:ascii="Times New Roman" w:hAnsi="Times New Roman" w:cs="Times New Roman"/>
                <w:b/>
                <w:color w:val="auto"/>
                <w:sz w:val="24"/>
                <w:szCs w:val="24"/>
              </w:rPr>
            </w:pPr>
            <w:r>
              <w:rPr>
                <w:rFonts w:hint="default" w:ascii="Times New Roman" w:hAnsi="Times New Roman" w:cs="Times New Roman"/>
                <w:bCs/>
                <w:color w:val="auto"/>
                <w:sz w:val="24"/>
                <w:szCs w:val="24"/>
              </w:rPr>
              <w:t>项目平面布局设计与</w:t>
            </w:r>
            <w:r>
              <w:rPr>
                <w:rFonts w:hint="default" w:ascii="Times New Roman" w:hAnsi="Times New Roman" w:cs="Times New Roman"/>
                <w:color w:val="auto"/>
                <w:sz w:val="24"/>
                <w:szCs w:val="32"/>
              </w:rPr>
              <w:t>《汽车加油加气加氢站技术标准》（GB50156-2021）</w:t>
            </w:r>
            <w:r>
              <w:rPr>
                <w:rFonts w:hint="default" w:ascii="Times New Roman" w:hAnsi="Times New Roman" w:cs="Times New Roman"/>
                <w:color w:val="auto"/>
                <w:sz w:val="24"/>
                <w:szCs w:val="24"/>
              </w:rPr>
              <w:t>规定对比情况如表</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2</w:t>
            </w:r>
            <w:r>
              <w:rPr>
                <w:rFonts w:hint="default" w:ascii="Times New Roman" w:hAnsi="Times New Roman" w:cs="Times New Roman"/>
                <w:color w:val="auto"/>
                <w:sz w:val="24"/>
                <w:szCs w:val="24"/>
              </w:rPr>
              <w:t>所列：</w:t>
            </w:r>
          </w:p>
          <w:p w14:paraId="6D2A79E2">
            <w:pPr>
              <w:jc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rPr>
              <w:t>表</w:t>
            </w:r>
            <w:r>
              <w:rPr>
                <w:rFonts w:hint="default" w:ascii="Times New Roman" w:hAnsi="Times New Roman" w:cs="Times New Roman"/>
                <w:b/>
                <w:color w:val="auto"/>
                <w:sz w:val="21"/>
                <w:szCs w:val="22"/>
                <w:lang w:val="en-US" w:eastAsia="zh-CN"/>
              </w:rPr>
              <w:t>1</w:t>
            </w:r>
            <w:r>
              <w:rPr>
                <w:rFonts w:hint="default" w:ascii="Times New Roman" w:hAnsi="Times New Roman" w:cs="Times New Roman"/>
                <w:b/>
                <w:color w:val="auto"/>
                <w:sz w:val="21"/>
                <w:szCs w:val="22"/>
              </w:rPr>
              <w:t>-</w:t>
            </w:r>
            <w:r>
              <w:rPr>
                <w:rFonts w:hint="default" w:ascii="Times New Roman" w:hAnsi="Times New Roman" w:cs="Times New Roman"/>
                <w:b/>
                <w:color w:val="auto"/>
                <w:sz w:val="21"/>
                <w:szCs w:val="22"/>
                <w:lang w:val="en-US" w:eastAsia="zh-CN"/>
              </w:rPr>
              <w:t>1</w:t>
            </w:r>
            <w:r>
              <w:rPr>
                <w:rFonts w:hint="eastAsia" w:cs="Times New Roman"/>
                <w:b/>
                <w:color w:val="auto"/>
                <w:sz w:val="21"/>
                <w:szCs w:val="22"/>
                <w:lang w:val="en-US" w:eastAsia="zh-CN"/>
              </w:rPr>
              <w:t>2</w:t>
            </w:r>
            <w:r>
              <w:rPr>
                <w:rFonts w:hint="default" w:ascii="Times New Roman" w:hAnsi="Times New Roman" w:cs="Times New Roman"/>
                <w:b/>
                <w:color w:val="auto"/>
                <w:sz w:val="21"/>
                <w:szCs w:val="22"/>
              </w:rPr>
              <w:t xml:space="preserve"> 本项目总平面布置与标准对比情况</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3251"/>
              <w:gridCol w:w="2962"/>
              <w:gridCol w:w="1078"/>
            </w:tblGrid>
            <w:tr w14:paraId="6744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48D529CC">
                  <w:pPr>
                    <w:spacing w:line="360" w:lineRule="auto"/>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序号</w:t>
                  </w:r>
                </w:p>
              </w:tc>
              <w:tc>
                <w:tcPr>
                  <w:tcW w:w="3251" w:type="dxa"/>
                  <w:noWrap w:val="0"/>
                  <w:vAlign w:val="top"/>
                </w:tcPr>
                <w:p w14:paraId="1DDABE2E">
                  <w:pPr>
                    <w:spacing w:line="360" w:lineRule="auto"/>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标准要求</w:t>
                  </w:r>
                </w:p>
              </w:tc>
              <w:tc>
                <w:tcPr>
                  <w:tcW w:w="2962" w:type="dxa"/>
                  <w:noWrap w:val="0"/>
                  <w:vAlign w:val="top"/>
                </w:tcPr>
                <w:p w14:paraId="05FC3A47">
                  <w:pPr>
                    <w:spacing w:line="360" w:lineRule="auto"/>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本项目实际情况</w:t>
                  </w:r>
                </w:p>
              </w:tc>
              <w:tc>
                <w:tcPr>
                  <w:tcW w:w="1078" w:type="dxa"/>
                  <w:noWrap w:val="0"/>
                  <w:vAlign w:val="center"/>
                </w:tcPr>
                <w:p w14:paraId="7F35C5BC">
                  <w:pPr>
                    <w:spacing w:line="360" w:lineRule="auto"/>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符合情况</w:t>
                  </w:r>
                </w:p>
              </w:tc>
            </w:tr>
            <w:tr w14:paraId="5692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88" w:type="dxa"/>
                  <w:noWrap w:val="0"/>
                  <w:vAlign w:val="center"/>
                </w:tcPr>
                <w:p w14:paraId="608A5DFC">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1</w:t>
                  </w:r>
                </w:p>
              </w:tc>
              <w:tc>
                <w:tcPr>
                  <w:tcW w:w="3251" w:type="dxa"/>
                  <w:noWrap w:val="0"/>
                  <w:vAlign w:val="top"/>
                </w:tcPr>
                <w:p w14:paraId="3A419CB2">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车辆入口、出口道路分开设置</w:t>
                  </w:r>
                </w:p>
              </w:tc>
              <w:tc>
                <w:tcPr>
                  <w:tcW w:w="2962" w:type="dxa"/>
                  <w:noWrap w:val="0"/>
                  <w:vAlign w:val="top"/>
                </w:tcPr>
                <w:p w14:paraId="25500EA4">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车辆入口、出口道路分开设置</w:t>
                  </w:r>
                </w:p>
              </w:tc>
              <w:tc>
                <w:tcPr>
                  <w:tcW w:w="1078" w:type="dxa"/>
                  <w:noWrap w:val="0"/>
                  <w:vAlign w:val="center"/>
                </w:tcPr>
                <w:p w14:paraId="3B78A74F">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符合</w:t>
                  </w:r>
                </w:p>
              </w:tc>
            </w:tr>
            <w:tr w14:paraId="7B13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72079750">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2</w:t>
                  </w:r>
                </w:p>
              </w:tc>
              <w:tc>
                <w:tcPr>
                  <w:tcW w:w="3251" w:type="dxa"/>
                  <w:noWrap w:val="0"/>
                  <w:vAlign w:val="center"/>
                </w:tcPr>
                <w:p w14:paraId="10CA7803">
                  <w:pPr>
                    <w:spacing w:line="24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单车道宽度</w:t>
                  </w:r>
                  <w:r>
                    <w:rPr>
                      <w:rFonts w:hint="default" w:ascii="Times New Roman" w:hAnsi="Times New Roman" w:eastAsia="宋体" w:cs="Times New Roman"/>
                      <w:color w:val="auto"/>
                      <w:sz w:val="21"/>
                      <w:szCs w:val="22"/>
                    </w:rPr>
                    <w:t>≥</w:t>
                  </w:r>
                  <w:r>
                    <w:rPr>
                      <w:rFonts w:hint="default" w:ascii="Times New Roman" w:hAnsi="Times New Roman" w:cs="Times New Roman"/>
                      <w:color w:val="auto"/>
                      <w:sz w:val="21"/>
                      <w:szCs w:val="22"/>
                      <w:lang w:val="en-US" w:eastAsia="zh-CN"/>
                    </w:rPr>
                    <w:t>4</w:t>
                  </w:r>
                  <w:r>
                    <w:rPr>
                      <w:rFonts w:hint="default" w:ascii="Times New Roman" w:hAnsi="Times New Roman" w:cs="Times New Roman"/>
                      <w:color w:val="auto"/>
                      <w:sz w:val="21"/>
                      <w:szCs w:val="22"/>
                    </w:rPr>
                    <w:t>m，</w:t>
                  </w:r>
                </w:p>
                <w:p w14:paraId="67BB0827">
                  <w:pPr>
                    <w:spacing w:line="24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双车道宽度</w:t>
                  </w:r>
                  <w:r>
                    <w:rPr>
                      <w:rFonts w:hint="default" w:ascii="Times New Roman" w:hAnsi="Times New Roman" w:eastAsia="宋体" w:cs="Times New Roman"/>
                      <w:color w:val="auto"/>
                      <w:sz w:val="21"/>
                      <w:szCs w:val="22"/>
                    </w:rPr>
                    <w:t>≥</w:t>
                  </w:r>
                  <w:r>
                    <w:rPr>
                      <w:rFonts w:hint="default" w:ascii="Times New Roman" w:hAnsi="Times New Roman" w:cs="Times New Roman"/>
                      <w:color w:val="auto"/>
                      <w:sz w:val="21"/>
                      <w:szCs w:val="22"/>
                    </w:rPr>
                    <w:t>6m</w:t>
                  </w:r>
                </w:p>
              </w:tc>
              <w:tc>
                <w:tcPr>
                  <w:tcW w:w="2962" w:type="dxa"/>
                  <w:noWrap w:val="0"/>
                  <w:vAlign w:val="center"/>
                </w:tcPr>
                <w:p w14:paraId="02318D7F">
                  <w:pPr>
                    <w:spacing w:line="24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单车道宽</w:t>
                  </w:r>
                  <w:r>
                    <w:rPr>
                      <w:rFonts w:hint="default" w:ascii="Times New Roman" w:hAnsi="Times New Roman" w:cs="Times New Roman"/>
                      <w:color w:val="auto"/>
                      <w:sz w:val="21"/>
                      <w:szCs w:val="22"/>
                      <w:lang w:val="en-US" w:eastAsia="zh-CN"/>
                    </w:rPr>
                    <w:t>5.49</w:t>
                  </w:r>
                  <w:r>
                    <w:rPr>
                      <w:rFonts w:hint="default" w:ascii="Times New Roman" w:hAnsi="Times New Roman" w:cs="Times New Roman"/>
                      <w:color w:val="auto"/>
                      <w:sz w:val="21"/>
                      <w:szCs w:val="22"/>
                    </w:rPr>
                    <w:t>m</w:t>
                  </w:r>
                </w:p>
                <w:p w14:paraId="0DABA453">
                  <w:pPr>
                    <w:spacing w:line="24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双车道宽</w:t>
                  </w:r>
                  <w:r>
                    <w:rPr>
                      <w:rFonts w:hint="default" w:ascii="Times New Roman" w:hAnsi="Times New Roman" w:cs="Times New Roman"/>
                      <w:color w:val="auto"/>
                      <w:sz w:val="21"/>
                      <w:szCs w:val="22"/>
                      <w:lang w:val="en-US" w:eastAsia="zh-CN"/>
                    </w:rPr>
                    <w:t>10.75</w:t>
                  </w:r>
                  <w:r>
                    <w:rPr>
                      <w:rFonts w:hint="default" w:ascii="Times New Roman" w:hAnsi="Times New Roman" w:cs="Times New Roman"/>
                      <w:color w:val="auto"/>
                      <w:sz w:val="21"/>
                      <w:szCs w:val="22"/>
                    </w:rPr>
                    <w:t>m</w:t>
                  </w:r>
                </w:p>
              </w:tc>
              <w:tc>
                <w:tcPr>
                  <w:tcW w:w="1078" w:type="dxa"/>
                  <w:noWrap w:val="0"/>
                  <w:vAlign w:val="center"/>
                </w:tcPr>
                <w:p w14:paraId="485DD17F">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符合</w:t>
                  </w:r>
                </w:p>
              </w:tc>
            </w:tr>
            <w:tr w14:paraId="10A9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88" w:type="dxa"/>
                  <w:noWrap w:val="0"/>
                  <w:vAlign w:val="center"/>
                </w:tcPr>
                <w:p w14:paraId="1DB81881">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3</w:t>
                  </w:r>
                </w:p>
              </w:tc>
              <w:tc>
                <w:tcPr>
                  <w:tcW w:w="3251" w:type="dxa"/>
                  <w:noWrap w:val="0"/>
                  <w:vAlign w:val="center"/>
                </w:tcPr>
                <w:p w14:paraId="6C11DE41">
                  <w:pPr>
                    <w:spacing w:line="240" w:lineRule="auto"/>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站内道路转弯半径≥9m</w:t>
                  </w:r>
                </w:p>
              </w:tc>
              <w:tc>
                <w:tcPr>
                  <w:tcW w:w="2962" w:type="dxa"/>
                  <w:noWrap w:val="0"/>
                  <w:vAlign w:val="center"/>
                </w:tcPr>
                <w:p w14:paraId="01EE8C71">
                  <w:pPr>
                    <w:spacing w:line="240" w:lineRule="auto"/>
                    <w:jc w:val="center"/>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1"/>
                      <w:szCs w:val="22"/>
                    </w:rPr>
                    <w:t>站内弯道半径9m</w:t>
                  </w:r>
                </w:p>
              </w:tc>
              <w:tc>
                <w:tcPr>
                  <w:tcW w:w="1078" w:type="dxa"/>
                  <w:noWrap w:val="0"/>
                  <w:vAlign w:val="center"/>
                </w:tcPr>
                <w:p w14:paraId="58BE98EB">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符合</w:t>
                  </w:r>
                </w:p>
              </w:tc>
            </w:tr>
            <w:tr w14:paraId="162A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19C4F6D">
                  <w:pPr>
                    <w:spacing w:line="360" w:lineRule="auto"/>
                    <w:jc w:val="center"/>
                    <w:rPr>
                      <w:rFonts w:hint="default" w:ascii="Times New Roman" w:hAnsi="Times New Roman" w:cs="Times New Roman"/>
                      <w:color w:val="auto"/>
                      <w:sz w:val="21"/>
                      <w:szCs w:val="22"/>
                      <w:lang w:val="en-US" w:eastAsia="zh-CN"/>
                    </w:rPr>
                  </w:pPr>
                  <w:r>
                    <w:rPr>
                      <w:rFonts w:hint="default" w:ascii="Times New Roman" w:hAnsi="Times New Roman" w:cs="Times New Roman"/>
                      <w:color w:val="auto"/>
                      <w:sz w:val="21"/>
                      <w:szCs w:val="22"/>
                      <w:lang w:val="en-US" w:eastAsia="zh-CN"/>
                    </w:rPr>
                    <w:t>4</w:t>
                  </w:r>
                </w:p>
              </w:tc>
              <w:tc>
                <w:tcPr>
                  <w:tcW w:w="3251" w:type="dxa"/>
                  <w:noWrap w:val="0"/>
                  <w:vAlign w:val="center"/>
                </w:tcPr>
                <w:p w14:paraId="72898C90">
                  <w:pPr>
                    <w:spacing w:line="240" w:lineRule="auto"/>
                    <w:jc w:val="center"/>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站内停车位应为平坡，道路坡度不应大于8%，且宜坡向站外。</w:t>
                  </w:r>
                </w:p>
              </w:tc>
              <w:tc>
                <w:tcPr>
                  <w:tcW w:w="2962" w:type="dxa"/>
                  <w:noWrap w:val="0"/>
                  <w:vAlign w:val="center"/>
                </w:tcPr>
                <w:p w14:paraId="51B27610">
                  <w:pPr>
                    <w:spacing w:line="240" w:lineRule="auto"/>
                    <w:jc w:val="center"/>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本项目设计不低于0.3%不高于8%的坡度坡向</w:t>
                  </w:r>
                  <w:r>
                    <w:rPr>
                      <w:rFonts w:hint="default" w:ascii="Times New Roman" w:hAnsi="Times New Roman" w:cs="Times New Roman"/>
                      <w:color w:val="auto"/>
                      <w:sz w:val="21"/>
                      <w:szCs w:val="22"/>
                      <w:lang w:val="en-US" w:eastAsia="zh-CN"/>
                    </w:rPr>
                    <w:t>站</w:t>
                  </w:r>
                  <w:r>
                    <w:rPr>
                      <w:rFonts w:hint="default" w:ascii="Times New Roman" w:hAnsi="Times New Roman" w:eastAsia="宋体" w:cs="Times New Roman"/>
                      <w:color w:val="auto"/>
                      <w:sz w:val="21"/>
                      <w:szCs w:val="22"/>
                      <w:lang w:val="en-US" w:eastAsia="zh-CN"/>
                    </w:rPr>
                    <w:t>区出入口</w:t>
                  </w:r>
                </w:p>
              </w:tc>
              <w:tc>
                <w:tcPr>
                  <w:tcW w:w="1078" w:type="dxa"/>
                  <w:noWrap w:val="0"/>
                  <w:vAlign w:val="center"/>
                </w:tcPr>
                <w:p w14:paraId="78339605">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符合</w:t>
                  </w:r>
                </w:p>
              </w:tc>
            </w:tr>
            <w:tr w14:paraId="5F4E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88" w:type="dxa"/>
                  <w:noWrap w:val="0"/>
                  <w:vAlign w:val="center"/>
                </w:tcPr>
                <w:p w14:paraId="745958EC">
                  <w:pPr>
                    <w:spacing w:line="360" w:lineRule="auto"/>
                    <w:jc w:val="center"/>
                    <w:rPr>
                      <w:rFonts w:hint="default" w:ascii="Times New Roman" w:hAnsi="Times New Roman" w:cs="Times New Roman"/>
                      <w:color w:val="auto"/>
                      <w:sz w:val="21"/>
                      <w:szCs w:val="22"/>
                      <w:lang w:val="en-US" w:eastAsia="zh-CN"/>
                    </w:rPr>
                  </w:pPr>
                  <w:r>
                    <w:rPr>
                      <w:rFonts w:hint="default" w:ascii="Times New Roman" w:hAnsi="Times New Roman" w:cs="Times New Roman"/>
                      <w:color w:val="auto"/>
                      <w:sz w:val="21"/>
                      <w:szCs w:val="22"/>
                      <w:lang w:val="en-US" w:eastAsia="zh-CN"/>
                    </w:rPr>
                    <w:t>5</w:t>
                  </w:r>
                </w:p>
              </w:tc>
              <w:tc>
                <w:tcPr>
                  <w:tcW w:w="3251" w:type="dxa"/>
                  <w:noWrap w:val="0"/>
                  <w:vAlign w:val="center"/>
                </w:tcPr>
                <w:p w14:paraId="46270F35">
                  <w:pPr>
                    <w:spacing w:line="240" w:lineRule="auto"/>
                    <w:jc w:val="center"/>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作业区内的停车场和道路路面不应采用沥青路面</w:t>
                  </w:r>
                </w:p>
              </w:tc>
              <w:tc>
                <w:tcPr>
                  <w:tcW w:w="2962" w:type="dxa"/>
                  <w:noWrap w:val="0"/>
                  <w:vAlign w:val="center"/>
                </w:tcPr>
                <w:p w14:paraId="72056FDA">
                  <w:pPr>
                    <w:spacing w:line="240" w:lineRule="auto"/>
                    <w:jc w:val="center"/>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color w:val="auto"/>
                      <w:sz w:val="21"/>
                      <w:szCs w:val="22"/>
                      <w:lang w:val="en-US" w:eastAsia="zh-CN"/>
                    </w:rPr>
                    <w:t>项目场地采用水泥铺设</w:t>
                  </w:r>
                </w:p>
              </w:tc>
              <w:tc>
                <w:tcPr>
                  <w:tcW w:w="1078" w:type="dxa"/>
                  <w:noWrap w:val="0"/>
                  <w:vAlign w:val="center"/>
                </w:tcPr>
                <w:p w14:paraId="593AEA42">
                  <w:pPr>
                    <w:spacing w:line="360"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符合</w:t>
                  </w:r>
                </w:p>
              </w:tc>
            </w:tr>
          </w:tbl>
          <w:p w14:paraId="0F435957">
            <w:pPr>
              <w:widowControl w:val="0"/>
              <w:adjustRightInd w:val="0"/>
              <w:snapToGrid w:val="0"/>
              <w:spacing w:line="360" w:lineRule="auto"/>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根据表</w:t>
            </w:r>
            <w:r>
              <w:rPr>
                <w:rFonts w:hint="default" w:ascii="Times New Roman" w:hAnsi="Times New Roman" w:cs="Times New Roman"/>
                <w:bCs/>
                <w:color w:val="auto"/>
                <w:sz w:val="24"/>
                <w:szCs w:val="22"/>
                <w:lang w:val="en-US" w:eastAsia="zh-CN"/>
              </w:rPr>
              <w:t>1-13</w:t>
            </w:r>
            <w:r>
              <w:rPr>
                <w:rFonts w:hint="default" w:ascii="Times New Roman" w:hAnsi="Times New Roman" w:cs="Times New Roman"/>
                <w:bCs/>
                <w:color w:val="auto"/>
                <w:sz w:val="24"/>
                <w:szCs w:val="22"/>
              </w:rPr>
              <w:t>中对比情况，本项目实际建设情况符合</w:t>
            </w:r>
            <w:r>
              <w:rPr>
                <w:rFonts w:hint="default" w:ascii="Times New Roman" w:hAnsi="Times New Roman" w:cs="Times New Roman"/>
                <w:color w:val="auto"/>
                <w:sz w:val="24"/>
                <w:szCs w:val="32"/>
              </w:rPr>
              <w:t>《汽车加油加气加氢站技术标准》（GB50156-2021）</w:t>
            </w:r>
            <w:r>
              <w:rPr>
                <w:rFonts w:hint="default" w:ascii="Times New Roman" w:hAnsi="Times New Roman" w:cs="Times New Roman"/>
                <w:bCs/>
                <w:color w:val="auto"/>
                <w:sz w:val="24"/>
                <w:szCs w:val="22"/>
              </w:rPr>
              <w:t>中设计规范要求，本项目平面布置规范，且物流短捷，人流、物流互不交叉干扰。项目站内各设施间的防火间距符合</w:t>
            </w:r>
            <w:r>
              <w:rPr>
                <w:rFonts w:hint="default" w:ascii="Times New Roman" w:hAnsi="Times New Roman" w:cs="Times New Roman"/>
                <w:color w:val="auto"/>
                <w:sz w:val="24"/>
                <w:szCs w:val="32"/>
              </w:rPr>
              <w:t>《汽车加油加气加氢站技术标准》（GB50156-2021）</w:t>
            </w:r>
            <w:r>
              <w:rPr>
                <w:rFonts w:hint="default" w:ascii="Times New Roman" w:hAnsi="Times New Roman" w:cs="Times New Roman"/>
                <w:bCs/>
                <w:color w:val="auto"/>
                <w:sz w:val="24"/>
                <w:szCs w:val="22"/>
              </w:rPr>
              <w:t>中设计规范要求。</w:t>
            </w:r>
          </w:p>
          <w:p w14:paraId="3915F9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2"/>
              </w:rPr>
            </w:pPr>
            <w:r>
              <w:rPr>
                <w:rFonts w:hint="default" w:ascii="Times New Roman" w:hAnsi="Times New Roman" w:cs="Times New Roman"/>
                <w:b/>
                <w:color w:val="auto"/>
                <w:sz w:val="24"/>
                <w:szCs w:val="22"/>
                <w:lang w:eastAsia="zh-CN"/>
              </w:rPr>
              <w:t>（</w:t>
            </w:r>
            <w:r>
              <w:rPr>
                <w:rFonts w:hint="default" w:ascii="Times New Roman" w:hAnsi="Times New Roman" w:cs="Times New Roman"/>
                <w:b/>
                <w:color w:val="auto"/>
                <w:sz w:val="24"/>
                <w:szCs w:val="22"/>
                <w:lang w:val="en-US" w:eastAsia="zh-CN"/>
              </w:rPr>
              <w:t>2</w:t>
            </w:r>
            <w:r>
              <w:rPr>
                <w:rFonts w:hint="default" w:ascii="Times New Roman" w:hAnsi="Times New Roman" w:cs="Times New Roman"/>
                <w:b/>
                <w:color w:val="auto"/>
                <w:sz w:val="24"/>
                <w:szCs w:val="22"/>
                <w:lang w:eastAsia="zh-CN"/>
              </w:rPr>
              <w:t>）</w:t>
            </w:r>
            <w:r>
              <w:rPr>
                <w:rFonts w:hint="default" w:ascii="Times New Roman" w:hAnsi="Times New Roman" w:cs="Times New Roman"/>
                <w:b/>
                <w:color w:val="auto"/>
                <w:sz w:val="24"/>
                <w:szCs w:val="22"/>
              </w:rPr>
              <w:t>从环境可行性分析平面布局合理性</w:t>
            </w:r>
          </w:p>
          <w:p w14:paraId="48740486">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加油站整体呈</w:t>
            </w:r>
            <w:r>
              <w:rPr>
                <w:rFonts w:hint="eastAsia" w:cs="Times New Roman"/>
                <w:color w:val="auto"/>
                <w:sz w:val="24"/>
                <w:lang w:val="en-US" w:eastAsia="zh-CN"/>
              </w:rPr>
              <w:t>不规则梯形</w:t>
            </w:r>
            <w:r>
              <w:rPr>
                <w:rFonts w:hint="default" w:ascii="Times New Roman" w:hAnsi="Times New Roman" w:cs="Times New Roman"/>
                <w:color w:val="auto"/>
                <w:sz w:val="24"/>
              </w:rPr>
              <w:t>，出入口分别设置于项目区的</w:t>
            </w:r>
            <w:r>
              <w:rPr>
                <w:rFonts w:hint="eastAsia" w:cs="Times New Roman"/>
                <w:color w:val="auto"/>
                <w:sz w:val="24"/>
                <w:lang w:val="en-US" w:eastAsia="zh-CN"/>
              </w:rPr>
              <w:t>西北</w:t>
            </w:r>
            <w:r>
              <w:rPr>
                <w:rFonts w:hint="default" w:ascii="Times New Roman" w:hAnsi="Times New Roman" w:cs="Times New Roman"/>
                <w:color w:val="auto"/>
                <w:sz w:val="24"/>
              </w:rPr>
              <w:t>和</w:t>
            </w:r>
            <w:r>
              <w:rPr>
                <w:rFonts w:hint="eastAsia" w:cs="Times New Roman"/>
                <w:color w:val="auto"/>
                <w:sz w:val="24"/>
                <w:lang w:val="en-US" w:eastAsia="zh-CN"/>
              </w:rPr>
              <w:t>西南</w:t>
            </w:r>
            <w:r>
              <w:rPr>
                <w:rFonts w:hint="default" w:ascii="Times New Roman" w:hAnsi="Times New Roman" w:cs="Times New Roman"/>
                <w:color w:val="auto"/>
                <w:sz w:val="24"/>
                <w:lang w:val="en-US" w:eastAsia="zh-CN"/>
              </w:rPr>
              <w:t>侧</w:t>
            </w:r>
            <w:r>
              <w:rPr>
                <w:rFonts w:hint="default" w:ascii="Times New Roman" w:hAnsi="Times New Roman" w:cs="Times New Roman"/>
                <w:color w:val="auto"/>
                <w:sz w:val="24"/>
              </w:rPr>
              <w:t>。加油区罩棚设置于加油站中央，罩棚下设</w:t>
            </w:r>
            <w:r>
              <w:rPr>
                <w:rFonts w:hint="default" w:ascii="Times New Roman" w:hAnsi="Times New Roman" w:cs="Times New Roman"/>
                <w:color w:val="auto"/>
                <w:sz w:val="24"/>
                <w:lang w:eastAsia="zh-CN"/>
              </w:rPr>
              <w:t>2台4枪加油机共</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lang w:eastAsia="zh-CN"/>
              </w:rPr>
              <w:t>枪</w:t>
            </w:r>
            <w:r>
              <w:rPr>
                <w:rFonts w:hint="eastAsia" w:cs="Times New Roman"/>
                <w:color w:val="auto"/>
                <w:sz w:val="24"/>
                <w:lang w:eastAsia="zh-CN"/>
              </w:rPr>
              <w:t>，</w:t>
            </w:r>
            <w:r>
              <w:rPr>
                <w:rFonts w:hint="default" w:ascii="Times New Roman" w:hAnsi="Times New Roman" w:cs="Times New Roman"/>
                <w:color w:val="auto"/>
                <w:sz w:val="24"/>
                <w:lang w:eastAsia="zh-CN"/>
              </w:rPr>
              <w:t>设置常规地下水监测井</w:t>
            </w:r>
            <w:r>
              <w:rPr>
                <w:rFonts w:hint="eastAsia" w:cs="Times New Roman"/>
                <w:color w:val="auto"/>
                <w:sz w:val="24"/>
                <w:lang w:eastAsia="zh-CN"/>
              </w:rPr>
              <w:t>（103°15′34.779″,25°43′26.131″）</w:t>
            </w:r>
            <w:r>
              <w:rPr>
                <w:rFonts w:hint="default" w:ascii="Times New Roman" w:hAnsi="Times New Roman" w:cs="Times New Roman"/>
                <w:color w:val="auto"/>
                <w:sz w:val="24"/>
              </w:rPr>
              <w:t>。罩棚</w:t>
            </w:r>
            <w:r>
              <w:rPr>
                <w:rFonts w:hint="eastAsia" w:cs="Times New Roman"/>
                <w:color w:val="auto"/>
                <w:sz w:val="24"/>
                <w:lang w:val="en-US" w:eastAsia="zh-CN"/>
              </w:rPr>
              <w:t>东</w:t>
            </w:r>
            <w:r>
              <w:rPr>
                <w:rFonts w:hint="default" w:ascii="Times New Roman" w:hAnsi="Times New Roman" w:cs="Times New Roman"/>
                <w:color w:val="auto"/>
                <w:sz w:val="24"/>
                <w:lang w:val="en-US" w:eastAsia="zh-CN"/>
              </w:rPr>
              <w:t>侧</w:t>
            </w:r>
            <w:r>
              <w:rPr>
                <w:rFonts w:hint="default" w:ascii="Times New Roman" w:hAnsi="Times New Roman" w:cs="Times New Roman"/>
                <w:color w:val="auto"/>
                <w:sz w:val="24"/>
              </w:rPr>
              <w:t>紧邻站房，设置</w:t>
            </w:r>
            <w:r>
              <w:rPr>
                <w:rFonts w:hint="default" w:ascii="Times New Roman" w:hAnsi="Times New Roman" w:cs="Times New Roman"/>
                <w:color w:val="auto"/>
                <w:sz w:val="24"/>
                <w:lang w:val="en-US" w:eastAsia="zh-CN"/>
              </w:rPr>
              <w:t>便利店</w:t>
            </w:r>
            <w:r>
              <w:rPr>
                <w:rFonts w:hint="eastAsia" w:cs="Times New Roman"/>
                <w:color w:val="auto"/>
                <w:sz w:val="24"/>
                <w:lang w:val="en-US" w:eastAsia="zh-CN"/>
              </w:rPr>
              <w:t>、站长室</w:t>
            </w:r>
            <w:r>
              <w:rPr>
                <w:rFonts w:hint="default" w:ascii="Times New Roman" w:hAnsi="Times New Roman" w:cs="Times New Roman"/>
                <w:color w:val="auto"/>
                <w:sz w:val="24"/>
              </w:rPr>
              <w:t>。油罐区位于</w:t>
            </w:r>
            <w:r>
              <w:rPr>
                <w:rFonts w:hint="default" w:ascii="Times New Roman" w:hAnsi="Times New Roman" w:cs="Times New Roman"/>
                <w:color w:val="auto"/>
                <w:sz w:val="24"/>
                <w:lang w:val="en-US" w:eastAsia="zh-CN"/>
              </w:rPr>
              <w:t>罩棚</w:t>
            </w:r>
            <w:r>
              <w:rPr>
                <w:rFonts w:hint="eastAsia" w:cs="Times New Roman"/>
                <w:color w:val="auto"/>
                <w:sz w:val="24"/>
                <w:lang w:val="en-US" w:eastAsia="zh-CN"/>
              </w:rPr>
              <w:t>正下方</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为埋地式，设有1个30m³柴油罐、1个30m³92#汽油罐、1个30m³95#汽油罐。</w:t>
            </w:r>
            <w:r>
              <w:rPr>
                <w:rFonts w:hint="default" w:ascii="Times New Roman" w:hAnsi="Times New Roman" w:cs="Times New Roman"/>
                <w:color w:val="auto"/>
                <w:sz w:val="24"/>
              </w:rPr>
              <w:t>密闭卸油点位于</w:t>
            </w:r>
            <w:r>
              <w:rPr>
                <w:rFonts w:hint="default" w:ascii="Times New Roman" w:hAnsi="Times New Roman" w:cs="Times New Roman"/>
                <w:color w:val="auto"/>
                <w:sz w:val="24"/>
                <w:lang w:val="en-US" w:eastAsia="zh-CN"/>
              </w:rPr>
              <w:t>油罐区</w:t>
            </w:r>
            <w:r>
              <w:rPr>
                <w:rFonts w:hint="eastAsia" w:cs="Times New Roman"/>
                <w:color w:val="auto"/>
                <w:sz w:val="24"/>
                <w:lang w:val="en-US" w:eastAsia="zh-CN"/>
              </w:rPr>
              <w:t>东北</w:t>
            </w:r>
            <w:r>
              <w:rPr>
                <w:rFonts w:hint="default" w:ascii="Times New Roman" w:hAnsi="Times New Roman" w:cs="Times New Roman"/>
                <w:color w:val="auto"/>
                <w:sz w:val="24"/>
              </w:rPr>
              <w:t>侧。</w:t>
            </w:r>
            <w:r>
              <w:rPr>
                <w:rFonts w:hint="default" w:ascii="Times New Roman" w:hAnsi="Times New Roman" w:cs="Times New Roman"/>
                <w:color w:val="auto"/>
                <w:sz w:val="24"/>
                <w:szCs w:val="22"/>
              </w:rPr>
              <w:t>消防沙箱和消防器材箱位于卸油区旁。</w:t>
            </w:r>
            <w:r>
              <w:rPr>
                <w:rFonts w:hint="eastAsia" w:cs="Times New Roman"/>
                <w:color w:val="auto"/>
                <w:sz w:val="24"/>
                <w:szCs w:val="22"/>
                <w:lang w:eastAsia="zh-CN"/>
              </w:rPr>
              <w:t>危废暂存点</w:t>
            </w:r>
            <w:r>
              <w:rPr>
                <w:rFonts w:hint="default" w:ascii="Times New Roman" w:hAnsi="Times New Roman" w:cs="Times New Roman"/>
                <w:color w:val="auto"/>
                <w:sz w:val="24"/>
                <w:szCs w:val="22"/>
              </w:rPr>
              <w:t>位于</w:t>
            </w:r>
            <w:r>
              <w:rPr>
                <w:rFonts w:hint="eastAsia" w:cs="Times New Roman"/>
                <w:color w:val="auto"/>
                <w:sz w:val="24"/>
                <w:szCs w:val="22"/>
                <w:lang w:val="en-US" w:eastAsia="zh-CN"/>
              </w:rPr>
              <w:t>加油站东北角</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项目区</w:t>
            </w:r>
            <w:r>
              <w:rPr>
                <w:rFonts w:hint="eastAsia" w:cs="Times New Roman"/>
                <w:color w:val="auto"/>
                <w:sz w:val="24"/>
                <w:szCs w:val="22"/>
                <w:lang w:val="en-US" w:eastAsia="zh-CN"/>
              </w:rPr>
              <w:t>南</w:t>
            </w:r>
            <w:r>
              <w:rPr>
                <w:rFonts w:hint="default" w:ascii="Times New Roman" w:hAnsi="Times New Roman" w:cs="Times New Roman"/>
                <w:color w:val="auto"/>
                <w:sz w:val="24"/>
                <w:szCs w:val="22"/>
                <w:lang w:val="en-US" w:eastAsia="zh-CN"/>
              </w:rPr>
              <w:t>侧设置</w:t>
            </w:r>
            <w:r>
              <w:rPr>
                <w:rFonts w:hint="eastAsia" w:cs="Times New Roman"/>
                <w:color w:val="auto"/>
                <w:sz w:val="24"/>
                <w:szCs w:val="22"/>
                <w:lang w:val="en-US" w:eastAsia="zh-CN"/>
              </w:rPr>
              <w:t>4</w:t>
            </w:r>
            <w:r>
              <w:rPr>
                <w:rFonts w:hint="default" w:ascii="Times New Roman" w:hAnsi="Times New Roman" w:cs="Times New Roman"/>
                <w:color w:val="auto"/>
                <w:sz w:val="24"/>
                <w:szCs w:val="22"/>
                <w:lang w:val="en-US" w:eastAsia="zh-CN"/>
              </w:rPr>
              <w:t>个充电</w:t>
            </w:r>
            <w:r>
              <w:rPr>
                <w:rFonts w:hint="eastAsia" w:cs="Times New Roman"/>
                <w:color w:val="auto"/>
                <w:sz w:val="24"/>
                <w:szCs w:val="22"/>
                <w:lang w:val="en-US" w:eastAsia="zh-CN"/>
              </w:rPr>
              <w:t>车位，附房1#位于西南侧，设置配电间、员工值班室、备餐间、餐厅等</w:t>
            </w:r>
            <w:r>
              <w:rPr>
                <w:rFonts w:hint="default" w:ascii="Times New Roman" w:hAnsi="Times New Roman" w:cs="Times New Roman"/>
                <w:color w:val="auto"/>
                <w:sz w:val="24"/>
                <w:szCs w:val="22"/>
              </w:rPr>
              <w:t>。</w:t>
            </w:r>
            <w:r>
              <w:rPr>
                <w:rFonts w:hint="eastAsia" w:cs="Times New Roman"/>
                <w:color w:val="auto"/>
                <w:sz w:val="24"/>
                <w:szCs w:val="22"/>
                <w:lang w:val="en-US" w:eastAsia="zh-CN"/>
              </w:rPr>
              <w:t>东南侧设置卫生间。加油站东侧、南侧、北侧</w:t>
            </w:r>
            <w:r>
              <w:rPr>
                <w:rFonts w:hint="default" w:ascii="Times New Roman" w:hAnsi="Times New Roman" w:cs="Times New Roman"/>
                <w:color w:val="auto"/>
                <w:sz w:val="24"/>
                <w:szCs w:val="22"/>
              </w:rPr>
              <w:t>设置绿化带。罩棚</w:t>
            </w:r>
            <w:r>
              <w:rPr>
                <w:rFonts w:hint="eastAsia" w:cs="Times New Roman"/>
                <w:color w:val="auto"/>
                <w:sz w:val="24"/>
                <w:szCs w:val="22"/>
                <w:lang w:val="en-US" w:eastAsia="zh-CN"/>
              </w:rPr>
              <w:t>下</w:t>
            </w:r>
            <w:r>
              <w:rPr>
                <w:rFonts w:hint="default" w:ascii="Times New Roman" w:hAnsi="Times New Roman" w:cs="Times New Roman"/>
                <w:color w:val="auto"/>
                <w:sz w:val="24"/>
                <w:szCs w:val="22"/>
              </w:rPr>
              <w:t>加油区四周设有环保沟，环保沟连通项目区</w:t>
            </w:r>
            <w:r>
              <w:rPr>
                <w:rFonts w:hint="eastAsia" w:cs="Times New Roman"/>
                <w:color w:val="auto"/>
                <w:sz w:val="24"/>
                <w:szCs w:val="22"/>
                <w:lang w:val="en-US" w:eastAsia="zh-CN"/>
              </w:rPr>
              <w:t>西</w:t>
            </w:r>
            <w:r>
              <w:rPr>
                <w:rFonts w:hint="default" w:ascii="Times New Roman" w:hAnsi="Times New Roman" w:cs="Times New Roman"/>
                <w:color w:val="auto"/>
                <w:sz w:val="24"/>
                <w:szCs w:val="22"/>
                <w:lang w:val="en-US" w:eastAsia="zh-CN"/>
              </w:rPr>
              <w:t>侧三级</w:t>
            </w:r>
            <w:r>
              <w:rPr>
                <w:rFonts w:hint="default" w:ascii="Times New Roman" w:hAnsi="Times New Roman" w:cs="Times New Roman"/>
                <w:color w:val="auto"/>
                <w:sz w:val="24"/>
                <w:szCs w:val="22"/>
              </w:rPr>
              <w:t>油水分离池。化粪池</w:t>
            </w:r>
            <w:r>
              <w:rPr>
                <w:rFonts w:hint="eastAsia" w:cs="Times New Roman"/>
                <w:color w:val="auto"/>
                <w:sz w:val="24"/>
                <w:szCs w:val="22"/>
                <w:lang w:eastAsia="zh-CN"/>
              </w:rPr>
              <w:t>、</w:t>
            </w:r>
            <w:r>
              <w:rPr>
                <w:rFonts w:hint="eastAsia" w:cs="Times New Roman"/>
                <w:color w:val="auto"/>
                <w:sz w:val="24"/>
                <w:szCs w:val="22"/>
                <w:lang w:val="en-US" w:eastAsia="zh-CN"/>
              </w:rPr>
              <w:t>隔油池位于</w:t>
            </w:r>
            <w:r>
              <w:rPr>
                <w:rFonts w:hint="default" w:ascii="Times New Roman" w:hAnsi="Times New Roman" w:cs="Times New Roman"/>
                <w:color w:val="auto"/>
                <w:sz w:val="24"/>
                <w:szCs w:val="22"/>
                <w:lang w:val="en-US" w:eastAsia="zh-CN"/>
              </w:rPr>
              <w:t>项目区</w:t>
            </w:r>
            <w:r>
              <w:rPr>
                <w:rFonts w:hint="eastAsia" w:cs="Times New Roman"/>
                <w:color w:val="auto"/>
                <w:sz w:val="24"/>
                <w:szCs w:val="22"/>
                <w:lang w:val="en-US" w:eastAsia="zh-CN"/>
              </w:rPr>
              <w:t>东南</w:t>
            </w:r>
            <w:r>
              <w:rPr>
                <w:rFonts w:hint="default" w:ascii="Times New Roman" w:hAnsi="Times New Roman" w:cs="Times New Roman"/>
                <w:color w:val="auto"/>
                <w:sz w:val="24"/>
                <w:szCs w:val="22"/>
                <w:lang w:val="en-US" w:eastAsia="zh-CN"/>
              </w:rPr>
              <w:t>侧</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项目加油区和卸油区位于</w:t>
            </w:r>
            <w:r>
              <w:rPr>
                <w:rFonts w:hint="eastAsia" w:cs="Times New Roman"/>
                <w:color w:val="auto"/>
                <w:sz w:val="24"/>
                <w:szCs w:val="22"/>
                <w:lang w:val="en-US" w:eastAsia="zh-CN"/>
              </w:rPr>
              <w:t>下</w:t>
            </w:r>
            <w:r>
              <w:rPr>
                <w:rFonts w:hint="default" w:ascii="Times New Roman" w:hAnsi="Times New Roman" w:cs="Times New Roman"/>
                <w:color w:val="auto"/>
                <w:sz w:val="24"/>
                <w:szCs w:val="22"/>
                <w:lang w:val="en-US" w:eastAsia="zh-CN"/>
              </w:rPr>
              <w:t>风向，对员工生活影响较小。</w:t>
            </w:r>
          </w:p>
          <w:p w14:paraId="64D53519">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综上，从环境保护角度考虑，本项目总平面布局规范、合理。</w:t>
            </w:r>
          </w:p>
          <w:p w14:paraId="2CF195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p>
          <w:p w14:paraId="2E6768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p>
        </w:tc>
      </w:tr>
    </w:tbl>
    <w:p w14:paraId="46CE8572">
      <w:pPr>
        <w:rPr>
          <w:rFonts w:hint="default" w:ascii="Times New Roman" w:hAnsi="Times New Roman" w:cs="Times New Roman"/>
          <w:color w:val="auto"/>
        </w:rPr>
        <w:sectPr>
          <w:footerReference r:id="rId6" w:type="default"/>
          <w:pgSz w:w="11906" w:h="16838"/>
          <w:pgMar w:top="1417" w:right="1134" w:bottom="1417" w:left="1134" w:header="851" w:footer="992" w:gutter="0"/>
          <w:pgNumType w:fmt="decimal" w:start="1"/>
          <w:cols w:space="425" w:num="1"/>
          <w:docGrid w:type="lines" w:linePitch="312" w:charSpace="0"/>
        </w:sectPr>
      </w:pPr>
    </w:p>
    <w:p w14:paraId="3ABECBE2">
      <w:pPr>
        <w:pStyle w:val="24"/>
        <w:jc w:val="center"/>
        <w:outlineLvl w:val="0"/>
        <w:rPr>
          <w:rFonts w:hint="default" w:ascii="Times New Roman" w:hAnsi="Times New Roman" w:eastAsia="黑体" w:cs="Times New Roman"/>
          <w:snapToGrid w:val="0"/>
          <w:color w:val="auto"/>
          <w:sz w:val="30"/>
          <w:szCs w:val="30"/>
        </w:rPr>
      </w:pPr>
      <w:bookmarkStart w:id="9" w:name="_Toc16051"/>
      <w:bookmarkStart w:id="10" w:name="_Toc26112"/>
      <w:r>
        <w:rPr>
          <w:rFonts w:hint="default" w:ascii="Times New Roman" w:hAnsi="Times New Roman" w:eastAsia="黑体" w:cs="Times New Roman"/>
          <w:snapToGrid w:val="0"/>
          <w:color w:val="auto"/>
          <w:sz w:val="30"/>
          <w:szCs w:val="30"/>
        </w:rPr>
        <w:t>二、建设项目工程分析</w:t>
      </w:r>
      <w:bookmarkEnd w:id="9"/>
      <w:bookmarkEnd w:id="10"/>
    </w:p>
    <w:tbl>
      <w:tblPr>
        <w:tblStyle w:val="27"/>
        <w:tblW w:w="95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1"/>
        <w:gridCol w:w="8788"/>
      </w:tblGrid>
      <w:tr w14:paraId="3AD69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075CB7F5">
            <w:pPr>
              <w:pStyle w:val="24"/>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788" w:type="dxa"/>
            <w:noWrap w:val="0"/>
            <w:vAlign w:val="top"/>
          </w:tcPr>
          <w:p w14:paraId="73B684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kern w:val="1"/>
                <w:sz w:val="24"/>
                <w:szCs w:val="22"/>
                <w:lang w:val="en-US" w:eastAsia="zh-CN"/>
              </w:rPr>
              <w:t>本项目为加油站隐患升级改造项目</w:t>
            </w:r>
            <w:r>
              <w:rPr>
                <w:rFonts w:hint="eastAsia" w:cs="Times New Roman"/>
                <w:color w:val="auto"/>
                <w:kern w:val="1"/>
                <w:sz w:val="24"/>
                <w:szCs w:val="22"/>
                <w:lang w:val="en-US" w:eastAsia="zh-CN"/>
              </w:rPr>
              <w:t>，主体工程拆除新建，换新设备。</w:t>
            </w:r>
            <w:r>
              <w:rPr>
                <w:rFonts w:hint="eastAsia" w:cs="Times New Roman"/>
                <w:color w:val="auto"/>
                <w:kern w:val="0"/>
                <w:sz w:val="24"/>
                <w:szCs w:val="20"/>
                <w:lang w:val="en-US" w:eastAsia="zh-CN" w:bidi="ar-SA"/>
              </w:rPr>
              <w:t>本项目被纳入乡村示范区，需办理《乡村建设规划许可证》，根据《云南省建设项目用地指引（2023版）》办理《乡村建设规划许可证》的申请材料目录（附录43）—5乡镇企业、乡村公共设施和公益事业建设：还需提供项目批准（核准、备案）文件；需进行环境影响评价、地质灾害评估，应当提供有关材料。因此本项目按照相关管理部门要求办理环境影响评价手续</w:t>
            </w:r>
            <w:r>
              <w:rPr>
                <w:rFonts w:hint="default" w:ascii="Times New Roman" w:hAnsi="Times New Roman" w:eastAsia="宋体" w:cs="Times New Roman"/>
                <w:color w:val="auto"/>
                <w:kern w:val="0"/>
                <w:sz w:val="24"/>
                <w:szCs w:val="24"/>
                <w:lang w:val="en-US" w:eastAsia="zh-CN" w:bidi="ar"/>
              </w:rPr>
              <w:t>。</w:t>
            </w:r>
          </w:p>
          <w:p w14:paraId="10E1DFA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szCs w:val="22"/>
                <w:lang w:val="en-US" w:eastAsia="zh-CN"/>
              </w:rPr>
            </w:pPr>
            <w:r>
              <w:rPr>
                <w:rFonts w:hint="default" w:ascii="Times New Roman" w:hAnsi="Times New Roman" w:cs="Times New Roman"/>
                <w:b/>
                <w:color w:val="auto"/>
                <w:sz w:val="24"/>
                <w:szCs w:val="22"/>
                <w:lang w:val="en-US" w:eastAsia="zh-CN"/>
              </w:rPr>
              <w:t>1、项目建设内容及规模</w:t>
            </w:r>
          </w:p>
          <w:p w14:paraId="6712968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cs="Times New Roman"/>
                <w:b/>
                <w:color w:val="auto"/>
                <w:sz w:val="24"/>
                <w:szCs w:val="22"/>
                <w:lang w:val="en-US" w:eastAsia="zh-CN"/>
              </w:rPr>
              <w:t>（1）加油站等级、规模</w:t>
            </w:r>
          </w:p>
          <w:p w14:paraId="63F2B3D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Cs/>
                <w:color w:val="auto"/>
                <w:sz w:val="24"/>
                <w:szCs w:val="22"/>
              </w:rPr>
            </w:pPr>
            <w:r>
              <w:rPr>
                <w:rFonts w:hint="default" w:ascii="Times New Roman" w:hAnsi="Times New Roman" w:cs="Times New Roman"/>
                <w:color w:val="auto"/>
                <w:kern w:val="1"/>
                <w:sz w:val="24"/>
                <w:szCs w:val="22"/>
              </w:rPr>
              <w:t>本项目</w:t>
            </w:r>
            <w:r>
              <w:rPr>
                <w:rFonts w:hint="default" w:ascii="Times New Roman" w:hAnsi="Times New Roman" w:cs="Times New Roman"/>
                <w:bCs/>
                <w:color w:val="auto"/>
                <w:sz w:val="24"/>
                <w:szCs w:val="22"/>
              </w:rPr>
              <w:t>设有</w:t>
            </w:r>
            <w:r>
              <w:rPr>
                <w:rFonts w:hint="default" w:ascii="Times New Roman" w:hAnsi="Times New Roman" w:cs="Times New Roman"/>
                <w:bCs/>
                <w:color w:val="auto"/>
                <w:sz w:val="24"/>
                <w:szCs w:val="22"/>
                <w:lang w:val="en-US" w:eastAsia="zh-CN"/>
              </w:rPr>
              <w:t>3</w:t>
            </w:r>
            <w:r>
              <w:rPr>
                <w:rFonts w:hint="default" w:ascii="Times New Roman" w:hAnsi="Times New Roman" w:cs="Times New Roman"/>
                <w:bCs/>
                <w:color w:val="auto"/>
                <w:sz w:val="24"/>
                <w:szCs w:val="22"/>
              </w:rPr>
              <w:t>个卧式双层埋地储油罐，其中</w:t>
            </w:r>
            <w:r>
              <w:rPr>
                <w:rFonts w:hint="default" w:ascii="Times New Roman" w:hAnsi="Times New Roman" w:cs="Times New Roman"/>
                <w:color w:val="auto"/>
                <w:kern w:val="1"/>
                <w:sz w:val="24"/>
                <w:szCs w:val="22"/>
              </w:rPr>
              <w:t>30m³9</w:t>
            </w:r>
            <w:r>
              <w:rPr>
                <w:rFonts w:hint="default" w:ascii="Times New Roman" w:hAnsi="Times New Roman" w:cs="Times New Roman"/>
                <w:color w:val="auto"/>
                <w:kern w:val="1"/>
                <w:sz w:val="24"/>
                <w:szCs w:val="22"/>
                <w:lang w:val="en-US" w:eastAsia="zh-CN"/>
              </w:rPr>
              <w:t>2</w:t>
            </w:r>
            <w:r>
              <w:rPr>
                <w:rFonts w:hint="default" w:ascii="Times New Roman" w:hAnsi="Times New Roman" w:cs="Times New Roman"/>
                <w:color w:val="auto"/>
                <w:kern w:val="1"/>
                <w:sz w:val="24"/>
                <w:szCs w:val="22"/>
              </w:rPr>
              <w:t>#汽油储罐1个，</w:t>
            </w:r>
            <w:r>
              <w:rPr>
                <w:rFonts w:hint="default" w:ascii="Times New Roman" w:hAnsi="Times New Roman" w:cs="Times New Roman"/>
                <w:color w:val="auto"/>
                <w:kern w:val="1"/>
                <w:sz w:val="24"/>
                <w:szCs w:val="22"/>
                <w:lang w:val="en-US" w:eastAsia="zh-CN"/>
              </w:rPr>
              <w:t>3</w:t>
            </w:r>
            <w:r>
              <w:rPr>
                <w:rFonts w:hint="default" w:ascii="Times New Roman" w:hAnsi="Times New Roman" w:cs="Times New Roman"/>
                <w:color w:val="auto"/>
                <w:kern w:val="1"/>
                <w:sz w:val="24"/>
                <w:szCs w:val="22"/>
              </w:rPr>
              <w:t>0m³9</w:t>
            </w:r>
            <w:r>
              <w:rPr>
                <w:rFonts w:hint="default" w:ascii="Times New Roman" w:hAnsi="Times New Roman" w:cs="Times New Roman"/>
                <w:color w:val="auto"/>
                <w:kern w:val="1"/>
                <w:sz w:val="24"/>
                <w:szCs w:val="22"/>
                <w:lang w:val="en-US" w:eastAsia="zh-CN"/>
              </w:rPr>
              <w:t>5</w:t>
            </w:r>
            <w:r>
              <w:rPr>
                <w:rFonts w:hint="default" w:ascii="Times New Roman" w:hAnsi="Times New Roman" w:cs="Times New Roman"/>
                <w:color w:val="auto"/>
                <w:kern w:val="1"/>
                <w:sz w:val="24"/>
                <w:szCs w:val="22"/>
              </w:rPr>
              <w:t>#汽油储油罐1个，</w:t>
            </w:r>
            <w:r>
              <w:rPr>
                <w:rFonts w:hint="default" w:ascii="Times New Roman" w:hAnsi="Times New Roman" w:cs="Times New Roman"/>
                <w:color w:val="auto"/>
                <w:kern w:val="1"/>
                <w:sz w:val="24"/>
                <w:szCs w:val="22"/>
                <w:lang w:val="en-US" w:eastAsia="zh-CN"/>
              </w:rPr>
              <w:t>3</w:t>
            </w:r>
            <w:r>
              <w:rPr>
                <w:rFonts w:hint="default" w:ascii="Times New Roman" w:hAnsi="Times New Roman" w:cs="Times New Roman"/>
                <w:color w:val="auto"/>
                <w:kern w:val="1"/>
                <w:sz w:val="24"/>
                <w:szCs w:val="22"/>
              </w:rPr>
              <w:t>0m³</w:t>
            </w:r>
            <w:r>
              <w:rPr>
                <w:rFonts w:hint="default" w:ascii="Times New Roman" w:hAnsi="Times New Roman" w:cs="Times New Roman"/>
                <w:color w:val="auto"/>
                <w:kern w:val="1"/>
                <w:sz w:val="24"/>
                <w:szCs w:val="22"/>
                <w:lang w:val="en-US" w:eastAsia="zh-CN"/>
              </w:rPr>
              <w:t>0</w:t>
            </w:r>
            <w:r>
              <w:rPr>
                <w:rFonts w:hint="default" w:ascii="Times New Roman" w:hAnsi="Times New Roman" w:cs="Times New Roman"/>
                <w:color w:val="auto"/>
                <w:kern w:val="1"/>
                <w:sz w:val="24"/>
                <w:szCs w:val="22"/>
              </w:rPr>
              <w:t>#</w:t>
            </w:r>
            <w:r>
              <w:rPr>
                <w:rFonts w:hint="default" w:ascii="Times New Roman" w:hAnsi="Times New Roman" w:cs="Times New Roman"/>
                <w:color w:val="auto"/>
                <w:kern w:val="1"/>
                <w:sz w:val="24"/>
                <w:szCs w:val="22"/>
                <w:lang w:val="en-US" w:eastAsia="zh-CN"/>
              </w:rPr>
              <w:t>柴</w:t>
            </w:r>
            <w:r>
              <w:rPr>
                <w:rFonts w:hint="default" w:ascii="Times New Roman" w:hAnsi="Times New Roman" w:cs="Times New Roman"/>
                <w:color w:val="auto"/>
                <w:kern w:val="1"/>
                <w:sz w:val="24"/>
                <w:szCs w:val="22"/>
              </w:rPr>
              <w:t>油储油罐1个，均为双层油罐，总储油量为</w:t>
            </w:r>
            <w:r>
              <w:rPr>
                <w:rFonts w:hint="default" w:ascii="Times New Roman" w:hAnsi="Times New Roman" w:cs="Times New Roman"/>
                <w:color w:val="auto"/>
                <w:kern w:val="1"/>
                <w:sz w:val="24"/>
                <w:szCs w:val="22"/>
                <w:lang w:val="en-US" w:eastAsia="zh-CN"/>
              </w:rPr>
              <w:t>75</w:t>
            </w:r>
            <w:r>
              <w:rPr>
                <w:rFonts w:hint="default" w:ascii="Times New Roman" w:hAnsi="Times New Roman" w:cs="Times New Roman"/>
                <w:color w:val="auto"/>
                <w:kern w:val="1"/>
                <w:sz w:val="24"/>
                <w:szCs w:val="22"/>
              </w:rPr>
              <w:t>m³（</w:t>
            </w:r>
            <w:r>
              <w:rPr>
                <w:rFonts w:hint="default" w:ascii="Times New Roman" w:hAnsi="Times New Roman" w:cs="Times New Roman"/>
                <w:color w:val="auto"/>
                <w:sz w:val="24"/>
                <w:szCs w:val="32"/>
              </w:rPr>
              <w:t>柴油罐容积折半计入油罐总容积</w:t>
            </w:r>
            <w:r>
              <w:rPr>
                <w:rFonts w:hint="default" w:ascii="Times New Roman" w:hAnsi="Times New Roman" w:cs="Times New Roman"/>
                <w:color w:val="auto"/>
                <w:kern w:val="1"/>
                <w:sz w:val="24"/>
                <w:szCs w:val="22"/>
              </w:rPr>
              <w:t>），属于</w:t>
            </w:r>
            <w:r>
              <w:rPr>
                <w:rFonts w:hint="default" w:ascii="Times New Roman" w:hAnsi="Times New Roman" w:cs="Times New Roman"/>
                <w:color w:val="auto"/>
                <w:kern w:val="1"/>
                <w:sz w:val="24"/>
                <w:szCs w:val="22"/>
                <w:lang w:val="en-US" w:eastAsia="zh-CN"/>
              </w:rPr>
              <w:t>三</w:t>
            </w:r>
            <w:r>
              <w:rPr>
                <w:rFonts w:hint="default" w:ascii="Times New Roman" w:hAnsi="Times New Roman" w:cs="Times New Roman"/>
                <w:color w:val="auto"/>
                <w:kern w:val="1"/>
                <w:sz w:val="24"/>
                <w:szCs w:val="22"/>
              </w:rPr>
              <w:t>级加油站。</w:t>
            </w:r>
            <w:r>
              <w:rPr>
                <w:rFonts w:hint="default" w:ascii="Times New Roman" w:hAnsi="Times New Roman" w:cs="Times New Roman"/>
                <w:bCs/>
                <w:color w:val="auto"/>
                <w:sz w:val="24"/>
                <w:szCs w:val="22"/>
              </w:rPr>
              <w:t>根据</w:t>
            </w:r>
            <w:r>
              <w:rPr>
                <w:rFonts w:hint="default" w:ascii="Times New Roman" w:hAnsi="Times New Roman" w:cs="Times New Roman"/>
                <w:color w:val="auto"/>
                <w:sz w:val="24"/>
                <w:szCs w:val="32"/>
              </w:rPr>
              <w:t>《汽车加油加气加氢站技术标准》（GB50156-2021）</w:t>
            </w:r>
            <w:r>
              <w:rPr>
                <w:rFonts w:hint="default" w:ascii="Times New Roman" w:hAnsi="Times New Roman" w:cs="Times New Roman"/>
                <w:bCs/>
                <w:color w:val="auto"/>
                <w:sz w:val="24"/>
                <w:szCs w:val="22"/>
              </w:rPr>
              <w:t>的加油站等级划分详见表</w:t>
            </w:r>
            <w:r>
              <w:rPr>
                <w:rFonts w:hint="default" w:ascii="Times New Roman" w:hAnsi="Times New Roman" w:cs="Times New Roman"/>
                <w:bCs/>
                <w:color w:val="auto"/>
                <w:sz w:val="24"/>
                <w:szCs w:val="22"/>
                <w:lang w:val="en-US" w:eastAsia="zh-CN"/>
              </w:rPr>
              <w:t>2</w:t>
            </w:r>
            <w:r>
              <w:rPr>
                <w:rFonts w:hint="default" w:ascii="Times New Roman" w:hAnsi="Times New Roman" w:cs="Times New Roman"/>
                <w:bCs/>
                <w:color w:val="auto"/>
                <w:sz w:val="24"/>
                <w:szCs w:val="22"/>
              </w:rPr>
              <w:t>-</w:t>
            </w:r>
            <w:r>
              <w:rPr>
                <w:rFonts w:hint="default" w:ascii="Times New Roman" w:hAnsi="Times New Roman" w:cs="Times New Roman"/>
                <w:bCs/>
                <w:color w:val="auto"/>
                <w:sz w:val="24"/>
                <w:szCs w:val="22"/>
                <w:lang w:val="en-US" w:eastAsia="zh-CN"/>
              </w:rPr>
              <w:t>1</w:t>
            </w:r>
            <w:r>
              <w:rPr>
                <w:rFonts w:hint="default" w:ascii="Times New Roman" w:hAnsi="Times New Roman" w:cs="Times New Roman"/>
                <w:bCs/>
                <w:color w:val="auto"/>
                <w:sz w:val="24"/>
                <w:szCs w:val="22"/>
              </w:rPr>
              <w:t>。</w:t>
            </w:r>
          </w:p>
          <w:p w14:paraId="54A1C6D0">
            <w:pPr>
              <w:spacing w:line="240" w:lineRule="auto"/>
              <w:jc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rPr>
              <w:t>表</w:t>
            </w:r>
            <w:r>
              <w:rPr>
                <w:rFonts w:hint="default" w:ascii="Times New Roman" w:hAnsi="Times New Roman" w:cs="Times New Roman"/>
                <w:b/>
                <w:color w:val="auto"/>
                <w:sz w:val="21"/>
                <w:szCs w:val="22"/>
                <w:lang w:val="en-US" w:eastAsia="zh-CN"/>
              </w:rPr>
              <w:t>2</w:t>
            </w:r>
            <w:r>
              <w:rPr>
                <w:rFonts w:hint="default" w:ascii="Times New Roman" w:hAnsi="Times New Roman" w:cs="Times New Roman"/>
                <w:b/>
                <w:color w:val="auto"/>
                <w:sz w:val="21"/>
                <w:szCs w:val="22"/>
              </w:rPr>
              <w:t>-</w:t>
            </w:r>
            <w:r>
              <w:rPr>
                <w:rFonts w:hint="default" w:ascii="Times New Roman" w:hAnsi="Times New Roman" w:cs="Times New Roman"/>
                <w:b/>
                <w:color w:val="auto"/>
                <w:sz w:val="21"/>
                <w:szCs w:val="22"/>
                <w:lang w:val="en-US" w:eastAsia="zh-CN"/>
              </w:rPr>
              <w:t>1</w:t>
            </w:r>
            <w:r>
              <w:rPr>
                <w:rFonts w:hint="default" w:ascii="Times New Roman" w:hAnsi="Times New Roman" w:cs="Times New Roman"/>
                <w:b/>
                <w:color w:val="auto"/>
                <w:sz w:val="21"/>
                <w:szCs w:val="22"/>
              </w:rPr>
              <w:t xml:space="preserve">  加油站等级划分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2309"/>
              <w:gridCol w:w="3254"/>
            </w:tblGrid>
            <w:tr w14:paraId="337D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743" w:type="dxa"/>
                  <w:vMerge w:val="restart"/>
                  <w:noWrap w:val="0"/>
                  <w:vAlign w:val="top"/>
                </w:tcPr>
                <w:p w14:paraId="3E2E237B">
                  <w:pPr>
                    <w:jc w:val="center"/>
                    <w:rPr>
                      <w:rFonts w:hint="default" w:ascii="Times New Roman" w:hAnsi="Times New Roman" w:cs="Times New Roman"/>
                      <w:b/>
                      <w:bCs w:val="0"/>
                      <w:color w:val="auto"/>
                      <w:sz w:val="21"/>
                      <w:szCs w:val="22"/>
                    </w:rPr>
                  </w:pPr>
                  <w:r>
                    <w:rPr>
                      <w:rFonts w:hint="default" w:ascii="Times New Roman" w:hAnsi="Times New Roman" w:cs="Times New Roman"/>
                      <w:b/>
                      <w:bCs w:val="0"/>
                      <w:color w:val="auto"/>
                      <w:sz w:val="21"/>
                      <w:szCs w:val="22"/>
                    </w:rPr>
                    <w:t>级别</w:t>
                  </w:r>
                </w:p>
              </w:tc>
              <w:tc>
                <w:tcPr>
                  <w:tcW w:w="5563" w:type="dxa"/>
                  <w:gridSpan w:val="2"/>
                  <w:noWrap w:val="0"/>
                  <w:vAlign w:val="top"/>
                </w:tcPr>
                <w:p w14:paraId="5A6778BF">
                  <w:pPr>
                    <w:jc w:val="center"/>
                    <w:rPr>
                      <w:rFonts w:hint="default" w:ascii="Times New Roman" w:hAnsi="Times New Roman" w:cs="Times New Roman"/>
                      <w:b/>
                      <w:bCs w:val="0"/>
                      <w:color w:val="auto"/>
                      <w:sz w:val="21"/>
                      <w:szCs w:val="22"/>
                    </w:rPr>
                  </w:pPr>
                  <w:r>
                    <w:rPr>
                      <w:rFonts w:hint="default" w:ascii="Times New Roman" w:hAnsi="Times New Roman" w:cs="Times New Roman"/>
                      <w:b/>
                      <w:bCs w:val="0"/>
                      <w:color w:val="auto"/>
                      <w:sz w:val="21"/>
                      <w:szCs w:val="22"/>
                    </w:rPr>
                    <w:t>油罐容积（m³）</w:t>
                  </w:r>
                </w:p>
              </w:tc>
            </w:tr>
            <w:tr w14:paraId="2D2E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743" w:type="dxa"/>
                  <w:vMerge w:val="continue"/>
                  <w:noWrap w:val="0"/>
                  <w:vAlign w:val="top"/>
                </w:tcPr>
                <w:p w14:paraId="563A4701">
                  <w:pPr>
                    <w:jc w:val="center"/>
                    <w:rPr>
                      <w:rFonts w:hint="default" w:ascii="Times New Roman" w:hAnsi="Times New Roman" w:cs="Times New Roman"/>
                      <w:b/>
                      <w:bCs w:val="0"/>
                      <w:color w:val="auto"/>
                      <w:sz w:val="21"/>
                      <w:szCs w:val="22"/>
                    </w:rPr>
                  </w:pPr>
                </w:p>
              </w:tc>
              <w:tc>
                <w:tcPr>
                  <w:tcW w:w="2309" w:type="dxa"/>
                  <w:noWrap w:val="0"/>
                  <w:vAlign w:val="top"/>
                </w:tcPr>
                <w:p w14:paraId="30DD8073">
                  <w:pPr>
                    <w:tabs>
                      <w:tab w:val="center" w:pos="1389"/>
                    </w:tabs>
                    <w:jc w:val="center"/>
                    <w:rPr>
                      <w:rFonts w:hint="default" w:ascii="Times New Roman" w:hAnsi="Times New Roman" w:cs="Times New Roman"/>
                      <w:b/>
                      <w:bCs w:val="0"/>
                      <w:color w:val="auto"/>
                      <w:sz w:val="21"/>
                      <w:szCs w:val="22"/>
                    </w:rPr>
                  </w:pPr>
                  <w:r>
                    <w:rPr>
                      <w:rFonts w:hint="default" w:ascii="Times New Roman" w:hAnsi="Times New Roman" w:cs="Times New Roman"/>
                      <w:b/>
                      <w:bCs w:val="0"/>
                      <w:color w:val="auto"/>
                      <w:sz w:val="21"/>
                      <w:szCs w:val="22"/>
                    </w:rPr>
                    <w:t>总容积</w:t>
                  </w:r>
                  <w:r>
                    <w:rPr>
                      <w:rFonts w:hint="default" w:ascii="Times New Roman" w:hAnsi="Times New Roman" w:cs="Times New Roman"/>
                      <w:b/>
                      <w:bCs w:val="0"/>
                      <w:color w:val="auto"/>
                      <w:sz w:val="21"/>
                      <w:szCs w:val="22"/>
                    </w:rPr>
                    <w:tab/>
                  </w:r>
                  <w:r>
                    <w:rPr>
                      <w:rFonts w:hint="default" w:ascii="Times New Roman" w:hAnsi="Times New Roman" w:cs="Times New Roman"/>
                      <w:b/>
                      <w:bCs w:val="0"/>
                      <w:color w:val="auto"/>
                      <w:sz w:val="21"/>
                      <w:szCs w:val="22"/>
                    </w:rPr>
                    <w:t>（m</w:t>
                  </w:r>
                  <w:r>
                    <w:rPr>
                      <w:rFonts w:hint="default" w:ascii="Times New Roman" w:hAnsi="Times New Roman" w:cs="Times New Roman"/>
                      <w:b/>
                      <w:bCs w:val="0"/>
                      <w:color w:val="auto"/>
                      <w:sz w:val="21"/>
                      <w:szCs w:val="22"/>
                      <w:vertAlign w:val="superscript"/>
                    </w:rPr>
                    <w:t>3</w:t>
                  </w:r>
                  <w:r>
                    <w:rPr>
                      <w:rFonts w:hint="default" w:ascii="Times New Roman" w:hAnsi="Times New Roman" w:cs="Times New Roman"/>
                      <w:b/>
                      <w:bCs w:val="0"/>
                      <w:color w:val="auto"/>
                      <w:sz w:val="21"/>
                      <w:szCs w:val="22"/>
                    </w:rPr>
                    <w:t>）</w:t>
                  </w:r>
                </w:p>
              </w:tc>
              <w:tc>
                <w:tcPr>
                  <w:tcW w:w="3254" w:type="dxa"/>
                  <w:noWrap w:val="0"/>
                  <w:vAlign w:val="top"/>
                </w:tcPr>
                <w:p w14:paraId="304D3369">
                  <w:pPr>
                    <w:jc w:val="center"/>
                    <w:rPr>
                      <w:rFonts w:hint="default" w:ascii="Times New Roman" w:hAnsi="Times New Roman" w:cs="Times New Roman"/>
                      <w:b/>
                      <w:bCs w:val="0"/>
                      <w:color w:val="auto"/>
                      <w:sz w:val="21"/>
                      <w:szCs w:val="22"/>
                    </w:rPr>
                  </w:pPr>
                  <w:r>
                    <w:rPr>
                      <w:rFonts w:hint="default" w:ascii="Times New Roman" w:hAnsi="Times New Roman" w:cs="Times New Roman"/>
                      <w:b/>
                      <w:bCs w:val="0"/>
                      <w:color w:val="auto"/>
                      <w:sz w:val="21"/>
                      <w:szCs w:val="22"/>
                    </w:rPr>
                    <w:t>单罐容积（m³）</w:t>
                  </w:r>
                </w:p>
              </w:tc>
            </w:tr>
            <w:tr w14:paraId="7432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743" w:type="dxa"/>
                  <w:noWrap w:val="0"/>
                  <w:vAlign w:val="top"/>
                </w:tcPr>
                <w:p w14:paraId="7C5B3A3C">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一级</w:t>
                  </w:r>
                </w:p>
              </w:tc>
              <w:tc>
                <w:tcPr>
                  <w:tcW w:w="2309" w:type="dxa"/>
                  <w:noWrap w:val="0"/>
                  <w:vAlign w:val="top"/>
                </w:tcPr>
                <w:p w14:paraId="352F4CDF">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150＜V≤210</w:t>
                  </w:r>
                </w:p>
              </w:tc>
              <w:tc>
                <w:tcPr>
                  <w:tcW w:w="3254" w:type="dxa"/>
                  <w:noWrap w:val="0"/>
                  <w:vAlign w:val="top"/>
                </w:tcPr>
                <w:p w14:paraId="040F6EEC">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V≤50</w:t>
                  </w:r>
                </w:p>
              </w:tc>
            </w:tr>
            <w:tr w14:paraId="13E0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743" w:type="dxa"/>
                  <w:noWrap w:val="0"/>
                  <w:vAlign w:val="top"/>
                </w:tcPr>
                <w:p w14:paraId="3A723985">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二级</w:t>
                  </w:r>
                </w:p>
              </w:tc>
              <w:tc>
                <w:tcPr>
                  <w:tcW w:w="2309" w:type="dxa"/>
                  <w:noWrap w:val="0"/>
                  <w:vAlign w:val="top"/>
                </w:tcPr>
                <w:p w14:paraId="49BE018F">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90＜V≤150</w:t>
                  </w:r>
                </w:p>
              </w:tc>
              <w:tc>
                <w:tcPr>
                  <w:tcW w:w="3254" w:type="dxa"/>
                  <w:noWrap w:val="0"/>
                  <w:vAlign w:val="top"/>
                </w:tcPr>
                <w:p w14:paraId="0E995623">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V≤50</w:t>
                  </w:r>
                </w:p>
              </w:tc>
            </w:tr>
            <w:tr w14:paraId="5D29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3" w:type="dxa"/>
                  <w:noWrap w:val="0"/>
                  <w:vAlign w:val="top"/>
                </w:tcPr>
                <w:p w14:paraId="110C387B">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三级</w:t>
                  </w:r>
                </w:p>
              </w:tc>
              <w:tc>
                <w:tcPr>
                  <w:tcW w:w="2309" w:type="dxa"/>
                  <w:noWrap w:val="0"/>
                  <w:vAlign w:val="top"/>
                </w:tcPr>
                <w:p w14:paraId="15E35754">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V≤90</w:t>
                  </w:r>
                </w:p>
              </w:tc>
              <w:tc>
                <w:tcPr>
                  <w:tcW w:w="3254" w:type="dxa"/>
                  <w:noWrap w:val="0"/>
                  <w:vAlign w:val="top"/>
                </w:tcPr>
                <w:p w14:paraId="7E06F8C2">
                  <w:pPr>
                    <w:jc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rPr>
                    <w:t>汽油罐V≤30，柴油罐V≤50</w:t>
                  </w:r>
                </w:p>
              </w:tc>
            </w:tr>
          </w:tbl>
          <w:p w14:paraId="124AFA60">
            <w:pPr>
              <w:spacing w:line="360" w:lineRule="auto"/>
              <w:ind w:firstLine="422" w:firstLineChars="200"/>
              <w:rPr>
                <w:rFonts w:hint="default" w:ascii="Times New Roman" w:hAnsi="Times New Roman" w:cs="Times New Roman"/>
                <w:b/>
                <w:bCs/>
                <w:color w:val="auto"/>
                <w:sz w:val="20"/>
                <w:szCs w:val="21"/>
              </w:rPr>
            </w:pPr>
            <w:r>
              <w:rPr>
                <w:rFonts w:hint="default" w:ascii="Times New Roman" w:hAnsi="Times New Roman" w:cs="Times New Roman"/>
                <w:b/>
                <w:bCs/>
                <w:color w:val="auto"/>
                <w:sz w:val="21"/>
                <w:szCs w:val="22"/>
              </w:rPr>
              <w:t>注：柴油罐容积可折半计入油罐总容积。</w:t>
            </w:r>
          </w:p>
          <w:p w14:paraId="2272E8B3">
            <w:pPr>
              <w:spacing w:line="360" w:lineRule="auto"/>
              <w:ind w:firstLine="482" w:firstLineChars="200"/>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lang w:val="en-US" w:eastAsia="zh-CN"/>
              </w:rPr>
              <w:t>（2）</w:t>
            </w:r>
            <w:r>
              <w:rPr>
                <w:rFonts w:hint="default" w:ascii="Times New Roman" w:hAnsi="Times New Roman" w:cs="Times New Roman"/>
                <w:b/>
                <w:bCs/>
                <w:color w:val="auto"/>
                <w:sz w:val="24"/>
                <w:szCs w:val="22"/>
              </w:rPr>
              <w:t>加油站主要建设内容</w:t>
            </w:r>
          </w:p>
          <w:p w14:paraId="713A6B09">
            <w:pPr>
              <w:spacing w:line="360" w:lineRule="auto"/>
              <w:ind w:firstLine="480" w:firstLineChars="200"/>
              <w:rPr>
                <w:rFonts w:hint="default" w:ascii="Times New Roman" w:hAnsi="Times New Roman" w:eastAsia="宋体" w:cs="Times New Roman"/>
                <w:color w:val="auto"/>
                <w:kern w:val="1"/>
                <w:sz w:val="24"/>
                <w:szCs w:val="22"/>
                <w:lang w:val="en-US" w:eastAsia="zh-CN"/>
              </w:rPr>
            </w:pPr>
            <w:r>
              <w:rPr>
                <w:rFonts w:hint="default" w:ascii="Times New Roman" w:hAnsi="Times New Roman" w:cs="Times New Roman"/>
                <w:color w:val="auto"/>
                <w:sz w:val="24"/>
                <w:szCs w:val="22"/>
              </w:rPr>
              <w:t>本项目</w:t>
            </w:r>
            <w:r>
              <w:rPr>
                <w:rFonts w:hint="default" w:ascii="Times New Roman" w:hAnsi="Times New Roman" w:cs="Times New Roman"/>
                <w:color w:val="auto"/>
                <w:kern w:val="1"/>
                <w:sz w:val="24"/>
                <w:szCs w:val="22"/>
              </w:rPr>
              <w:t>加油站占地面积为</w:t>
            </w:r>
            <w:r>
              <w:rPr>
                <w:rFonts w:hint="eastAsia" w:cs="Times New Roman"/>
                <w:color w:val="auto"/>
                <w:kern w:val="0"/>
                <w:sz w:val="24"/>
                <w:szCs w:val="24"/>
                <w:lang w:val="en-US" w:eastAsia="zh-CN"/>
              </w:rPr>
              <w:t>2528</w:t>
            </w:r>
            <w:r>
              <w:rPr>
                <w:rFonts w:hint="default" w:ascii="Times New Roman" w:hAnsi="Times New Roman" w:cs="Times New Roman"/>
                <w:color w:val="auto"/>
                <w:kern w:val="1"/>
                <w:sz w:val="24"/>
                <w:szCs w:val="22"/>
              </w:rPr>
              <w:t>m</w:t>
            </w:r>
            <w:r>
              <w:rPr>
                <w:rFonts w:hint="default" w:ascii="Times New Roman" w:hAnsi="Times New Roman" w:cs="Times New Roman"/>
                <w:color w:val="auto"/>
                <w:kern w:val="1"/>
                <w:sz w:val="24"/>
                <w:szCs w:val="22"/>
                <w:vertAlign w:val="superscript"/>
              </w:rPr>
              <w:t>2</w:t>
            </w:r>
            <w:r>
              <w:rPr>
                <w:rFonts w:hint="default" w:ascii="Times New Roman" w:hAnsi="Times New Roman" w:cs="Times New Roman"/>
                <w:color w:val="auto"/>
                <w:kern w:val="1"/>
                <w:sz w:val="24"/>
                <w:szCs w:val="22"/>
              </w:rPr>
              <w:t>。</w:t>
            </w:r>
            <w:r>
              <w:rPr>
                <w:rFonts w:hint="eastAsia" w:cs="Times New Roman"/>
                <w:color w:val="auto"/>
                <w:kern w:val="1"/>
                <w:sz w:val="24"/>
                <w:szCs w:val="22"/>
                <w:lang w:val="en-US" w:eastAsia="zh-CN"/>
              </w:rPr>
              <w:t>除附房1#装修利旧外，其余全部拆除新建，硬化新做、绿化新做、环保设施全部新建。</w:t>
            </w:r>
          </w:p>
          <w:p w14:paraId="0E2BCFC1">
            <w:pPr>
              <w:spacing w:line="360" w:lineRule="auto"/>
              <w:ind w:firstLine="480" w:firstLineChars="200"/>
              <w:rPr>
                <w:rFonts w:hint="default" w:ascii="Times New Roman" w:hAnsi="Times New Roman" w:cs="Times New Roman"/>
                <w:color w:val="auto"/>
                <w:kern w:val="1"/>
                <w:sz w:val="24"/>
                <w:szCs w:val="22"/>
              </w:rPr>
            </w:pPr>
            <w:r>
              <w:rPr>
                <w:rFonts w:hint="default" w:ascii="Times New Roman" w:hAnsi="Times New Roman" w:cs="Times New Roman"/>
                <w:color w:val="auto"/>
                <w:kern w:val="1"/>
                <w:sz w:val="24"/>
                <w:szCs w:val="22"/>
                <w:lang w:val="en-US" w:eastAsia="zh-CN"/>
              </w:rPr>
              <w:t>项目</w:t>
            </w:r>
            <w:r>
              <w:rPr>
                <w:rFonts w:hint="eastAsia" w:cs="Times New Roman"/>
                <w:color w:val="auto"/>
                <w:kern w:val="1"/>
                <w:sz w:val="24"/>
                <w:szCs w:val="22"/>
                <w:lang w:val="en-US" w:eastAsia="zh-CN"/>
              </w:rPr>
              <w:t>东侧</w:t>
            </w:r>
            <w:r>
              <w:rPr>
                <w:rFonts w:hint="default" w:ascii="Times New Roman" w:hAnsi="Times New Roman" w:cs="Times New Roman"/>
                <w:color w:val="auto"/>
                <w:kern w:val="1"/>
                <w:sz w:val="24"/>
                <w:szCs w:val="22"/>
                <w:lang w:val="en-US" w:eastAsia="zh-CN"/>
              </w:rPr>
              <w:t>新建1栋站房，</w:t>
            </w:r>
            <w:r>
              <w:rPr>
                <w:rFonts w:hint="eastAsia" w:cs="Times New Roman"/>
                <w:color w:val="auto"/>
                <w:kern w:val="1"/>
                <w:sz w:val="24"/>
                <w:szCs w:val="22"/>
                <w:lang w:val="en-US" w:eastAsia="zh-CN"/>
              </w:rPr>
              <w:t>中央新建</w:t>
            </w:r>
            <w:r>
              <w:rPr>
                <w:rFonts w:hint="default" w:ascii="Times New Roman" w:hAnsi="Times New Roman" w:cs="Times New Roman"/>
                <w:color w:val="auto"/>
                <w:kern w:val="1"/>
                <w:sz w:val="24"/>
                <w:szCs w:val="22"/>
                <w:lang w:val="en-US" w:eastAsia="zh-CN"/>
              </w:rPr>
              <w:t>1个</w:t>
            </w:r>
            <w:r>
              <w:rPr>
                <w:rFonts w:hint="default" w:ascii="Times New Roman" w:hAnsi="Times New Roman" w:cs="Times New Roman"/>
                <w:color w:val="auto"/>
                <w:kern w:val="1"/>
                <w:sz w:val="24"/>
                <w:szCs w:val="22"/>
              </w:rPr>
              <w:t>油罐区</w:t>
            </w:r>
            <w:r>
              <w:rPr>
                <w:rFonts w:hint="default" w:ascii="Times New Roman" w:hAnsi="Times New Roman" w:cs="Times New Roman"/>
                <w:color w:val="auto"/>
                <w:kern w:val="1"/>
                <w:sz w:val="24"/>
                <w:szCs w:val="22"/>
                <w:lang w:eastAsia="zh-CN"/>
              </w:rPr>
              <w:t>（</w:t>
            </w:r>
            <w:r>
              <w:rPr>
                <w:rFonts w:hint="default" w:ascii="Times New Roman" w:hAnsi="Times New Roman" w:cs="Times New Roman"/>
                <w:color w:val="auto"/>
                <w:kern w:val="1"/>
                <w:sz w:val="24"/>
                <w:szCs w:val="22"/>
                <w:lang w:val="en-US" w:eastAsia="zh-CN"/>
              </w:rPr>
              <w:t>位于罩棚</w:t>
            </w:r>
            <w:r>
              <w:rPr>
                <w:rFonts w:hint="eastAsia" w:cs="Times New Roman"/>
                <w:color w:val="auto"/>
                <w:kern w:val="1"/>
                <w:sz w:val="24"/>
                <w:szCs w:val="22"/>
                <w:lang w:val="en-US" w:eastAsia="zh-CN"/>
              </w:rPr>
              <w:t>下面</w:t>
            </w:r>
            <w:r>
              <w:rPr>
                <w:rFonts w:hint="default" w:ascii="Times New Roman" w:hAnsi="Times New Roman" w:cs="Times New Roman"/>
                <w:color w:val="auto"/>
                <w:kern w:val="1"/>
                <w:sz w:val="24"/>
                <w:szCs w:val="22"/>
                <w:lang w:eastAsia="zh-CN"/>
              </w:rPr>
              <w:t>），</w:t>
            </w:r>
            <w:r>
              <w:rPr>
                <w:rFonts w:hint="default" w:ascii="Times New Roman" w:hAnsi="Times New Roman" w:cs="Times New Roman"/>
                <w:color w:val="auto"/>
                <w:kern w:val="1"/>
                <w:sz w:val="24"/>
                <w:szCs w:val="22"/>
              </w:rPr>
              <w:t>油罐区</w:t>
            </w:r>
            <w:r>
              <w:rPr>
                <w:rFonts w:hint="default" w:ascii="Times New Roman" w:hAnsi="Times New Roman" w:cs="Times New Roman"/>
                <w:color w:val="auto"/>
                <w:kern w:val="1"/>
                <w:sz w:val="24"/>
                <w:szCs w:val="22"/>
                <w:lang w:val="en-US" w:eastAsia="zh-CN"/>
              </w:rPr>
              <w:t>设置</w:t>
            </w:r>
            <w:r>
              <w:rPr>
                <w:rFonts w:hint="default" w:ascii="Times New Roman" w:hAnsi="Times New Roman" w:cs="Times New Roman"/>
                <w:color w:val="auto"/>
                <w:kern w:val="1"/>
                <w:sz w:val="24"/>
                <w:szCs w:val="22"/>
              </w:rPr>
              <w:t>30m³9</w:t>
            </w:r>
            <w:r>
              <w:rPr>
                <w:rFonts w:hint="default" w:ascii="Times New Roman" w:hAnsi="Times New Roman" w:cs="Times New Roman"/>
                <w:color w:val="auto"/>
                <w:kern w:val="1"/>
                <w:sz w:val="24"/>
                <w:szCs w:val="22"/>
                <w:lang w:val="en-US" w:eastAsia="zh-CN"/>
              </w:rPr>
              <w:t>2</w:t>
            </w:r>
            <w:r>
              <w:rPr>
                <w:rFonts w:hint="default" w:ascii="Times New Roman" w:hAnsi="Times New Roman" w:cs="Times New Roman"/>
                <w:color w:val="auto"/>
                <w:kern w:val="1"/>
                <w:sz w:val="24"/>
                <w:szCs w:val="22"/>
              </w:rPr>
              <w:t>#汽油储罐1个，</w:t>
            </w:r>
            <w:r>
              <w:rPr>
                <w:rFonts w:hint="default" w:ascii="Times New Roman" w:hAnsi="Times New Roman" w:cs="Times New Roman"/>
                <w:color w:val="auto"/>
                <w:kern w:val="1"/>
                <w:sz w:val="24"/>
                <w:szCs w:val="22"/>
                <w:lang w:val="en-US" w:eastAsia="zh-CN"/>
              </w:rPr>
              <w:t>3</w:t>
            </w:r>
            <w:r>
              <w:rPr>
                <w:rFonts w:hint="default" w:ascii="Times New Roman" w:hAnsi="Times New Roman" w:cs="Times New Roman"/>
                <w:color w:val="auto"/>
                <w:kern w:val="1"/>
                <w:sz w:val="24"/>
                <w:szCs w:val="22"/>
              </w:rPr>
              <w:t>0m³9</w:t>
            </w:r>
            <w:r>
              <w:rPr>
                <w:rFonts w:hint="default" w:ascii="Times New Roman" w:hAnsi="Times New Roman" w:cs="Times New Roman"/>
                <w:color w:val="auto"/>
                <w:kern w:val="1"/>
                <w:sz w:val="24"/>
                <w:szCs w:val="22"/>
                <w:lang w:val="en-US" w:eastAsia="zh-CN"/>
              </w:rPr>
              <w:t>5</w:t>
            </w:r>
            <w:r>
              <w:rPr>
                <w:rFonts w:hint="default" w:ascii="Times New Roman" w:hAnsi="Times New Roman" w:cs="Times New Roman"/>
                <w:color w:val="auto"/>
                <w:kern w:val="1"/>
                <w:sz w:val="24"/>
                <w:szCs w:val="22"/>
              </w:rPr>
              <w:t>#汽油储油罐1个</w:t>
            </w:r>
            <w:r>
              <w:rPr>
                <w:rFonts w:hint="default" w:ascii="Times New Roman" w:hAnsi="Times New Roman" w:cs="Times New Roman"/>
                <w:color w:val="auto"/>
                <w:kern w:val="1"/>
                <w:sz w:val="24"/>
                <w:szCs w:val="22"/>
                <w:lang w:eastAsia="zh-CN"/>
              </w:rPr>
              <w:t>，</w:t>
            </w:r>
            <w:r>
              <w:rPr>
                <w:rFonts w:hint="default" w:ascii="Times New Roman" w:hAnsi="Times New Roman" w:cs="Times New Roman"/>
                <w:color w:val="auto"/>
                <w:kern w:val="1"/>
                <w:sz w:val="24"/>
                <w:szCs w:val="22"/>
              </w:rPr>
              <w:t>为</w:t>
            </w:r>
            <w:r>
              <w:rPr>
                <w:rFonts w:hint="default" w:ascii="Times New Roman" w:hAnsi="Times New Roman" w:cs="Times New Roman"/>
                <w:color w:val="auto"/>
                <w:kern w:val="1"/>
                <w:sz w:val="24"/>
                <w:szCs w:val="22"/>
                <w:lang w:val="en-US" w:eastAsia="zh-CN"/>
              </w:rPr>
              <w:t>埋地式</w:t>
            </w:r>
            <w:r>
              <w:rPr>
                <w:rFonts w:hint="default" w:ascii="Times New Roman" w:hAnsi="Times New Roman" w:cs="Times New Roman"/>
                <w:color w:val="auto"/>
                <w:kern w:val="1"/>
                <w:sz w:val="24"/>
                <w:szCs w:val="22"/>
              </w:rPr>
              <w:t>双层油罐，</w:t>
            </w:r>
            <w:r>
              <w:rPr>
                <w:rFonts w:hint="default" w:ascii="Times New Roman" w:hAnsi="Times New Roman" w:cs="Times New Roman"/>
                <w:color w:val="auto"/>
                <w:spacing w:val="1"/>
                <w:sz w:val="24"/>
                <w:szCs w:val="24"/>
              </w:rPr>
              <w:t>以0.9的充装系数计取，</w:t>
            </w:r>
            <w:r>
              <w:rPr>
                <w:rFonts w:hint="default" w:ascii="Times New Roman" w:hAnsi="Times New Roman" w:cs="Times New Roman"/>
                <w:color w:val="auto"/>
                <w:kern w:val="1"/>
                <w:sz w:val="24"/>
                <w:szCs w:val="24"/>
              </w:rPr>
              <w:t>汽油密度为0.7</w:t>
            </w:r>
            <w:r>
              <w:rPr>
                <w:rFonts w:hint="default" w:ascii="Times New Roman" w:hAnsi="Times New Roman" w:cs="Times New Roman"/>
                <w:color w:val="auto"/>
                <w:kern w:val="1"/>
                <w:sz w:val="24"/>
                <w:szCs w:val="24"/>
                <w:lang w:val="en-US" w:eastAsia="zh-CN"/>
              </w:rPr>
              <w:t>5</w:t>
            </w:r>
            <w:r>
              <w:rPr>
                <w:rFonts w:hint="default" w:ascii="Times New Roman" w:hAnsi="Times New Roman" w:cs="Times New Roman"/>
                <w:color w:val="auto"/>
                <w:kern w:val="1"/>
                <w:sz w:val="24"/>
                <w:szCs w:val="24"/>
              </w:rPr>
              <w:t>，则汽油最大贮存量为</w:t>
            </w:r>
            <w:r>
              <w:rPr>
                <w:rFonts w:hint="default" w:ascii="Times New Roman" w:hAnsi="Times New Roman" w:cs="Times New Roman"/>
                <w:color w:val="auto"/>
                <w:kern w:val="1"/>
                <w:sz w:val="24"/>
                <w:szCs w:val="24"/>
                <w:lang w:val="en-US" w:eastAsia="zh-CN"/>
              </w:rPr>
              <w:t>40.5</w:t>
            </w:r>
            <w:r>
              <w:rPr>
                <w:rFonts w:hint="default" w:ascii="Times New Roman" w:hAnsi="Times New Roman" w:cs="Times New Roman"/>
                <w:color w:val="auto"/>
                <w:kern w:val="1"/>
                <w:sz w:val="24"/>
                <w:szCs w:val="24"/>
              </w:rPr>
              <w:t>t，</w:t>
            </w:r>
            <w:r>
              <w:rPr>
                <w:rFonts w:hint="default" w:ascii="Times New Roman" w:hAnsi="Times New Roman" w:cs="Times New Roman"/>
                <w:color w:val="auto"/>
                <w:kern w:val="1"/>
                <w:sz w:val="24"/>
                <w:szCs w:val="24"/>
                <w:lang w:val="en-US" w:eastAsia="zh-CN"/>
              </w:rPr>
              <w:t>新建</w:t>
            </w:r>
            <w:r>
              <w:rPr>
                <w:rFonts w:hint="default" w:ascii="Times New Roman" w:hAnsi="Times New Roman" w:cs="Times New Roman"/>
                <w:color w:val="auto"/>
                <w:kern w:val="1"/>
                <w:sz w:val="24"/>
                <w:szCs w:val="22"/>
                <w:lang w:val="en-US" w:eastAsia="zh-CN"/>
              </w:rPr>
              <w:t>3</w:t>
            </w:r>
            <w:r>
              <w:rPr>
                <w:rFonts w:hint="default" w:ascii="Times New Roman" w:hAnsi="Times New Roman" w:cs="Times New Roman"/>
                <w:color w:val="auto"/>
                <w:kern w:val="1"/>
                <w:sz w:val="24"/>
                <w:szCs w:val="22"/>
              </w:rPr>
              <w:t>0m³</w:t>
            </w:r>
            <w:r>
              <w:rPr>
                <w:rFonts w:hint="default" w:ascii="Times New Roman" w:hAnsi="Times New Roman" w:cs="Times New Roman"/>
                <w:color w:val="auto"/>
                <w:kern w:val="1"/>
                <w:sz w:val="24"/>
                <w:szCs w:val="22"/>
                <w:lang w:val="en-US" w:eastAsia="zh-CN"/>
              </w:rPr>
              <w:t>0</w:t>
            </w:r>
            <w:r>
              <w:rPr>
                <w:rFonts w:hint="default" w:ascii="Times New Roman" w:hAnsi="Times New Roman" w:cs="Times New Roman"/>
                <w:color w:val="auto"/>
                <w:kern w:val="1"/>
                <w:sz w:val="24"/>
                <w:szCs w:val="22"/>
              </w:rPr>
              <w:t>#</w:t>
            </w:r>
            <w:r>
              <w:rPr>
                <w:rFonts w:hint="default" w:ascii="Times New Roman" w:hAnsi="Times New Roman" w:cs="Times New Roman"/>
                <w:color w:val="auto"/>
                <w:kern w:val="1"/>
                <w:sz w:val="24"/>
                <w:szCs w:val="22"/>
                <w:lang w:val="en-US" w:eastAsia="zh-CN"/>
              </w:rPr>
              <w:t>柴</w:t>
            </w:r>
            <w:r>
              <w:rPr>
                <w:rFonts w:hint="default" w:ascii="Times New Roman" w:hAnsi="Times New Roman" w:cs="Times New Roman"/>
                <w:color w:val="auto"/>
                <w:kern w:val="1"/>
                <w:sz w:val="24"/>
                <w:szCs w:val="22"/>
              </w:rPr>
              <w:t>油储油罐1个，为</w:t>
            </w:r>
            <w:r>
              <w:rPr>
                <w:rFonts w:hint="default" w:ascii="Times New Roman" w:hAnsi="Times New Roman" w:cs="Times New Roman"/>
                <w:color w:val="auto"/>
                <w:kern w:val="1"/>
                <w:sz w:val="24"/>
                <w:szCs w:val="22"/>
                <w:lang w:val="en-US" w:eastAsia="zh-CN"/>
              </w:rPr>
              <w:t>埋地式</w:t>
            </w:r>
            <w:r>
              <w:rPr>
                <w:rFonts w:hint="default" w:ascii="Times New Roman" w:hAnsi="Times New Roman" w:cs="Times New Roman"/>
                <w:color w:val="auto"/>
                <w:kern w:val="1"/>
                <w:sz w:val="24"/>
                <w:szCs w:val="22"/>
              </w:rPr>
              <w:t>双层油罐，</w:t>
            </w:r>
            <w:r>
              <w:rPr>
                <w:rFonts w:hint="default" w:ascii="Times New Roman" w:hAnsi="Times New Roman" w:cs="Times New Roman"/>
                <w:color w:val="auto"/>
                <w:spacing w:val="1"/>
                <w:sz w:val="24"/>
                <w:szCs w:val="24"/>
              </w:rPr>
              <w:t>以0.9的充装系数计取，</w:t>
            </w:r>
            <w:r>
              <w:rPr>
                <w:rFonts w:hint="default" w:ascii="Times New Roman" w:hAnsi="Times New Roman" w:cs="Times New Roman"/>
                <w:color w:val="auto"/>
                <w:kern w:val="1"/>
                <w:sz w:val="24"/>
                <w:szCs w:val="24"/>
              </w:rPr>
              <w:t>柴油密度0.85，则柴油最大贮存量为</w:t>
            </w:r>
            <w:r>
              <w:rPr>
                <w:rFonts w:hint="default" w:ascii="Times New Roman" w:hAnsi="Times New Roman" w:cs="Times New Roman"/>
                <w:color w:val="auto"/>
                <w:kern w:val="1"/>
                <w:sz w:val="24"/>
                <w:szCs w:val="24"/>
                <w:lang w:val="en-US" w:eastAsia="zh-CN"/>
              </w:rPr>
              <w:t>22.95</w:t>
            </w:r>
            <w:r>
              <w:rPr>
                <w:rFonts w:hint="default" w:ascii="Times New Roman" w:hAnsi="Times New Roman" w:cs="Times New Roman"/>
                <w:color w:val="auto"/>
                <w:kern w:val="1"/>
                <w:sz w:val="24"/>
                <w:szCs w:val="24"/>
              </w:rPr>
              <w:t>t</w:t>
            </w:r>
            <w:r>
              <w:rPr>
                <w:rFonts w:hint="default" w:ascii="Times New Roman" w:hAnsi="Times New Roman" w:cs="Times New Roman"/>
                <w:color w:val="auto"/>
                <w:kern w:val="1"/>
                <w:sz w:val="24"/>
                <w:szCs w:val="24"/>
                <w:lang w:eastAsia="zh-CN"/>
              </w:rPr>
              <w:t>。</w:t>
            </w:r>
            <w:r>
              <w:rPr>
                <w:rFonts w:hint="default" w:ascii="Times New Roman" w:hAnsi="Times New Roman" w:cs="Times New Roman"/>
                <w:color w:val="auto"/>
                <w:kern w:val="1"/>
                <w:sz w:val="24"/>
                <w:szCs w:val="22"/>
              </w:rPr>
              <w:t>总储油量为</w:t>
            </w:r>
            <w:r>
              <w:rPr>
                <w:rFonts w:hint="default" w:ascii="Times New Roman" w:hAnsi="Times New Roman" w:cs="Times New Roman"/>
                <w:color w:val="auto"/>
                <w:kern w:val="1"/>
                <w:sz w:val="24"/>
                <w:szCs w:val="22"/>
                <w:lang w:val="en-US" w:eastAsia="zh-CN"/>
              </w:rPr>
              <w:t>75</w:t>
            </w:r>
            <w:r>
              <w:rPr>
                <w:rFonts w:hint="default" w:ascii="Times New Roman" w:hAnsi="Times New Roman" w:cs="Times New Roman"/>
                <w:color w:val="auto"/>
                <w:kern w:val="1"/>
                <w:sz w:val="24"/>
                <w:szCs w:val="22"/>
              </w:rPr>
              <w:t>m³（</w:t>
            </w:r>
            <w:r>
              <w:rPr>
                <w:rFonts w:hint="default" w:ascii="Times New Roman" w:hAnsi="Times New Roman" w:cs="Times New Roman"/>
                <w:color w:val="auto"/>
                <w:sz w:val="24"/>
                <w:szCs w:val="32"/>
              </w:rPr>
              <w:t>柴油罐容积折半计入油罐总容积</w:t>
            </w:r>
            <w:r>
              <w:rPr>
                <w:rFonts w:hint="default" w:ascii="Times New Roman" w:hAnsi="Times New Roman" w:cs="Times New Roman"/>
                <w:color w:val="auto"/>
                <w:kern w:val="1"/>
                <w:sz w:val="24"/>
                <w:szCs w:val="22"/>
              </w:rPr>
              <w:t>）</w:t>
            </w:r>
            <w:r>
              <w:rPr>
                <w:rFonts w:hint="default" w:ascii="Times New Roman" w:hAnsi="Times New Roman" w:cs="Times New Roman"/>
                <w:color w:val="auto"/>
                <w:kern w:val="1"/>
                <w:sz w:val="24"/>
                <w:szCs w:val="22"/>
                <w:lang w:eastAsia="zh-CN"/>
              </w:rPr>
              <w:t>，</w:t>
            </w:r>
            <w:r>
              <w:rPr>
                <w:rFonts w:hint="default" w:ascii="Times New Roman" w:hAnsi="Times New Roman" w:cs="Times New Roman"/>
                <w:color w:val="auto"/>
                <w:kern w:val="1"/>
                <w:sz w:val="24"/>
                <w:szCs w:val="22"/>
                <w:lang w:val="en-US" w:eastAsia="zh-CN"/>
              </w:rPr>
              <w:t>63.45</w:t>
            </w:r>
            <w:r>
              <w:rPr>
                <w:rFonts w:hint="default" w:ascii="Times New Roman" w:hAnsi="Times New Roman" w:cs="Times New Roman"/>
                <w:color w:val="auto"/>
                <w:kern w:val="1"/>
                <w:sz w:val="24"/>
                <w:szCs w:val="24"/>
              </w:rPr>
              <w:t>t</w:t>
            </w:r>
            <w:r>
              <w:rPr>
                <w:rFonts w:hint="default" w:ascii="Times New Roman" w:hAnsi="Times New Roman" w:cs="Times New Roman"/>
                <w:color w:val="auto"/>
                <w:kern w:val="1"/>
                <w:sz w:val="24"/>
                <w:szCs w:val="22"/>
              </w:rPr>
              <w:t>。</w:t>
            </w:r>
          </w:p>
          <w:p w14:paraId="70D51106">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本项目</w:t>
            </w:r>
            <w:r>
              <w:rPr>
                <w:rFonts w:hint="default" w:ascii="Times New Roman" w:hAnsi="Times New Roman" w:cs="Times New Roman"/>
                <w:b/>
                <w:bCs/>
                <w:color w:val="auto"/>
                <w:sz w:val="21"/>
                <w:szCs w:val="21"/>
                <w:highlight w:val="none"/>
                <w:lang w:val="en-US" w:eastAsia="zh-CN"/>
              </w:rPr>
              <w:t>油类物质</w:t>
            </w:r>
            <w:r>
              <w:rPr>
                <w:rFonts w:hint="default" w:ascii="Times New Roman" w:hAnsi="Times New Roman" w:cs="Times New Roman"/>
                <w:b/>
                <w:bCs/>
                <w:color w:val="auto"/>
                <w:sz w:val="21"/>
                <w:szCs w:val="21"/>
                <w:highlight w:val="none"/>
              </w:rPr>
              <w:t>情况表</w:t>
            </w:r>
          </w:p>
          <w:tbl>
            <w:tblPr>
              <w:tblStyle w:val="27"/>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88"/>
              <w:gridCol w:w="1150"/>
              <w:gridCol w:w="3712"/>
              <w:gridCol w:w="1579"/>
            </w:tblGrid>
            <w:tr w14:paraId="6A31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60" w:type="dxa"/>
                  <w:noWrap w:val="0"/>
                  <w:vAlign w:val="center"/>
                </w:tcPr>
                <w:p w14:paraId="6CB5512B">
                  <w:pPr>
                    <w:pStyle w:val="21"/>
                    <w:spacing w:after="0"/>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1188" w:type="dxa"/>
                  <w:noWrap w:val="0"/>
                  <w:vAlign w:val="center"/>
                </w:tcPr>
                <w:p w14:paraId="6D10A0D2">
                  <w:pPr>
                    <w:pStyle w:val="21"/>
                    <w:spacing w:after="0"/>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油料名称</w:t>
                  </w:r>
                </w:p>
              </w:tc>
              <w:tc>
                <w:tcPr>
                  <w:tcW w:w="1150" w:type="dxa"/>
                  <w:noWrap w:val="0"/>
                  <w:vAlign w:val="center"/>
                </w:tcPr>
                <w:p w14:paraId="69C6F42D">
                  <w:pPr>
                    <w:pStyle w:val="21"/>
                    <w:spacing w:after="0"/>
                    <w:ind w:left="0" w:leftChars="0" w:firstLine="207" w:firstLineChars="98"/>
                    <w:jc w:val="both"/>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规格</w:t>
                  </w:r>
                </w:p>
              </w:tc>
              <w:tc>
                <w:tcPr>
                  <w:tcW w:w="3712" w:type="dxa"/>
                  <w:noWrap w:val="0"/>
                  <w:vAlign w:val="center"/>
                </w:tcPr>
                <w:p w14:paraId="3716DE70">
                  <w:pPr>
                    <w:pStyle w:val="21"/>
                    <w:spacing w:after="0"/>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每个罐体储量</w:t>
                  </w:r>
                </w:p>
              </w:tc>
              <w:tc>
                <w:tcPr>
                  <w:tcW w:w="1579" w:type="dxa"/>
                  <w:noWrap w:val="0"/>
                  <w:vAlign w:val="center"/>
                </w:tcPr>
                <w:p w14:paraId="01AA5396">
                  <w:pPr>
                    <w:pStyle w:val="21"/>
                    <w:spacing w:after="0"/>
                    <w:ind w:left="0" w:left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储存方式</w:t>
                  </w:r>
                </w:p>
              </w:tc>
            </w:tr>
            <w:tr w14:paraId="1342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jc w:val="center"/>
              </w:trPr>
              <w:tc>
                <w:tcPr>
                  <w:tcW w:w="660" w:type="dxa"/>
                  <w:noWrap w:val="0"/>
                  <w:vAlign w:val="center"/>
                </w:tcPr>
                <w:p w14:paraId="6E765F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88" w:type="dxa"/>
                  <w:noWrap w:val="0"/>
                  <w:vAlign w:val="center"/>
                </w:tcPr>
                <w:p w14:paraId="03BBC2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w:t>
                  </w:r>
                </w:p>
              </w:tc>
              <w:tc>
                <w:tcPr>
                  <w:tcW w:w="1150" w:type="dxa"/>
                  <w:noWrap w:val="0"/>
                  <w:vAlign w:val="center"/>
                </w:tcPr>
                <w:p w14:paraId="042848A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vertAlign w:val="superscript"/>
                    </w:rPr>
                    <w:t>＃</w:t>
                  </w:r>
                </w:p>
              </w:tc>
              <w:tc>
                <w:tcPr>
                  <w:tcW w:w="3712" w:type="dxa"/>
                  <w:noWrap w:val="0"/>
                  <w:vAlign w:val="center"/>
                </w:tcPr>
                <w:p w14:paraId="20E04AC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22.95t（设</w:t>
                  </w:r>
                  <w:r>
                    <w:rPr>
                      <w:rFonts w:hint="default" w:ascii="Times New Roman" w:hAnsi="Times New Roman" w:cs="Times New Roman"/>
                      <w:color w:val="auto"/>
                      <w:kern w:val="1"/>
                      <w:sz w:val="21"/>
                      <w:szCs w:val="21"/>
                      <w:lang w:val="en-US" w:eastAsia="zh-CN"/>
                    </w:rPr>
                    <w:t>3</w:t>
                  </w:r>
                  <w:r>
                    <w:rPr>
                      <w:rFonts w:hint="default" w:ascii="Times New Roman" w:hAnsi="Times New Roman" w:cs="Times New Roman"/>
                      <w:color w:val="auto"/>
                      <w:kern w:val="1"/>
                      <w:sz w:val="21"/>
                      <w:szCs w:val="21"/>
                    </w:rPr>
                    <w:t>0m³</w:t>
                  </w:r>
                  <w:r>
                    <w:rPr>
                      <w:rFonts w:hint="default" w:ascii="Times New Roman" w:hAnsi="Times New Roman" w:cs="Times New Roman"/>
                      <w:color w:val="auto"/>
                      <w:kern w:val="1"/>
                      <w:sz w:val="21"/>
                      <w:szCs w:val="21"/>
                      <w:lang w:val="en-US" w:eastAsia="zh-CN"/>
                    </w:rPr>
                    <w:t>柴油罐一个</w:t>
                  </w:r>
                  <w:r>
                    <w:rPr>
                      <w:rFonts w:hint="default" w:ascii="Times New Roman" w:hAnsi="Times New Roman" w:cs="Times New Roman"/>
                      <w:color w:val="auto"/>
                      <w:sz w:val="21"/>
                      <w:szCs w:val="21"/>
                      <w:lang w:val="en-US" w:eastAsia="zh-CN"/>
                    </w:rPr>
                    <w:t>）</w:t>
                  </w:r>
                </w:p>
              </w:tc>
              <w:tc>
                <w:tcPr>
                  <w:tcW w:w="1579" w:type="dxa"/>
                  <w:vMerge w:val="restart"/>
                  <w:noWrap w:val="0"/>
                  <w:vAlign w:val="center"/>
                </w:tcPr>
                <w:p w14:paraId="5D5721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卧式双层</w:t>
                  </w:r>
                  <w:r>
                    <w:rPr>
                      <w:rFonts w:hint="default" w:ascii="Times New Roman" w:hAnsi="Times New Roman" w:cs="Times New Roman"/>
                      <w:color w:val="auto"/>
                      <w:sz w:val="21"/>
                      <w:szCs w:val="21"/>
                      <w:lang w:val="en-US" w:eastAsia="zh-CN"/>
                    </w:rPr>
                    <w:t>罐，均</w:t>
                  </w:r>
                  <w:r>
                    <w:rPr>
                      <w:rFonts w:hint="default" w:ascii="Times New Roman" w:hAnsi="Times New Roman" w:cs="Times New Roman"/>
                      <w:color w:val="auto"/>
                      <w:sz w:val="21"/>
                      <w:szCs w:val="21"/>
                    </w:rPr>
                    <w:t>埋地</w:t>
                  </w:r>
                </w:p>
              </w:tc>
            </w:tr>
            <w:tr w14:paraId="0AE5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jc w:val="center"/>
              </w:trPr>
              <w:tc>
                <w:tcPr>
                  <w:tcW w:w="660" w:type="dxa"/>
                  <w:noWrap w:val="0"/>
                  <w:vAlign w:val="center"/>
                </w:tcPr>
                <w:p w14:paraId="3A5B0FE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88" w:type="dxa"/>
                  <w:vMerge w:val="restart"/>
                  <w:noWrap w:val="0"/>
                  <w:vAlign w:val="center"/>
                </w:tcPr>
                <w:p w14:paraId="64FB7BF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汽油</w:t>
                  </w:r>
                </w:p>
              </w:tc>
              <w:tc>
                <w:tcPr>
                  <w:tcW w:w="1150" w:type="dxa"/>
                  <w:noWrap w:val="0"/>
                  <w:vAlign w:val="center"/>
                </w:tcPr>
                <w:p w14:paraId="3B9AD7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w:t>
                  </w:r>
                  <w:r>
                    <w:rPr>
                      <w:rFonts w:hint="default" w:ascii="Times New Roman" w:hAnsi="Times New Roman" w:cs="Times New Roman"/>
                      <w:color w:val="auto"/>
                      <w:sz w:val="21"/>
                      <w:szCs w:val="21"/>
                      <w:vertAlign w:val="superscript"/>
                    </w:rPr>
                    <w:t>＃</w:t>
                  </w:r>
                </w:p>
              </w:tc>
              <w:tc>
                <w:tcPr>
                  <w:tcW w:w="3712" w:type="dxa"/>
                  <w:vMerge w:val="restart"/>
                  <w:noWrap w:val="0"/>
                  <w:vAlign w:val="center"/>
                </w:tcPr>
                <w:p w14:paraId="15A4DB5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40.5t（</w:t>
                  </w:r>
                  <w:r>
                    <w:rPr>
                      <w:rFonts w:hint="default" w:ascii="Times New Roman" w:hAnsi="Times New Roman" w:cs="Times New Roman"/>
                      <w:color w:val="auto"/>
                      <w:sz w:val="21"/>
                      <w:szCs w:val="21"/>
                    </w:rPr>
                    <w:t>92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rPr>
                    <w:t>95</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baseline"/>
                      <w:lang w:val="en-US" w:eastAsia="zh-CN"/>
                    </w:rPr>
                    <w:t>汽油</w:t>
                  </w:r>
                  <w:r>
                    <w:rPr>
                      <w:rFonts w:hint="default" w:ascii="Times New Roman" w:hAnsi="Times New Roman" w:cs="Times New Roman"/>
                      <w:color w:val="auto"/>
                      <w:kern w:val="1"/>
                      <w:sz w:val="21"/>
                      <w:szCs w:val="21"/>
                      <w:lang w:val="en-US" w:eastAsia="zh-CN"/>
                    </w:rPr>
                    <w:t>各设一个3</w:t>
                  </w:r>
                  <w:r>
                    <w:rPr>
                      <w:rFonts w:hint="default" w:ascii="Times New Roman" w:hAnsi="Times New Roman" w:cs="Times New Roman"/>
                      <w:color w:val="auto"/>
                      <w:kern w:val="1"/>
                      <w:sz w:val="21"/>
                      <w:szCs w:val="21"/>
                    </w:rPr>
                    <w:t>0m³</w:t>
                  </w:r>
                  <w:r>
                    <w:rPr>
                      <w:rFonts w:hint="default" w:ascii="Times New Roman" w:hAnsi="Times New Roman" w:cs="Times New Roman"/>
                      <w:color w:val="auto"/>
                      <w:kern w:val="1"/>
                      <w:sz w:val="21"/>
                      <w:szCs w:val="21"/>
                      <w:lang w:val="en-US" w:eastAsia="zh-CN"/>
                    </w:rPr>
                    <w:t>罐</w:t>
                  </w:r>
                  <w:r>
                    <w:rPr>
                      <w:rFonts w:hint="default" w:ascii="Times New Roman" w:hAnsi="Times New Roman" w:cs="Times New Roman"/>
                      <w:color w:val="auto"/>
                      <w:sz w:val="21"/>
                      <w:szCs w:val="21"/>
                      <w:lang w:val="en-US" w:eastAsia="zh-CN"/>
                    </w:rPr>
                    <w:t>）</w:t>
                  </w:r>
                </w:p>
              </w:tc>
              <w:tc>
                <w:tcPr>
                  <w:tcW w:w="1579" w:type="dxa"/>
                  <w:vMerge w:val="continue"/>
                  <w:noWrap w:val="0"/>
                  <w:vAlign w:val="center"/>
                </w:tcPr>
                <w:p w14:paraId="4EBEE154">
                  <w:pPr>
                    <w:jc w:val="center"/>
                    <w:rPr>
                      <w:rFonts w:hint="default" w:ascii="Times New Roman" w:hAnsi="Times New Roman" w:cs="Times New Roman"/>
                      <w:color w:val="auto"/>
                      <w:sz w:val="21"/>
                      <w:szCs w:val="21"/>
                    </w:rPr>
                  </w:pPr>
                </w:p>
              </w:tc>
            </w:tr>
            <w:tr w14:paraId="2047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660" w:type="dxa"/>
                  <w:noWrap w:val="0"/>
                  <w:vAlign w:val="center"/>
                </w:tcPr>
                <w:p w14:paraId="0DFC0D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88" w:type="dxa"/>
                  <w:vMerge w:val="continue"/>
                  <w:noWrap w:val="0"/>
                  <w:vAlign w:val="center"/>
                </w:tcPr>
                <w:p w14:paraId="1C7B3F0F">
                  <w:pPr>
                    <w:jc w:val="center"/>
                    <w:rPr>
                      <w:rFonts w:hint="default" w:ascii="Times New Roman" w:hAnsi="Times New Roman" w:cs="Times New Roman"/>
                      <w:color w:val="auto"/>
                      <w:sz w:val="21"/>
                      <w:szCs w:val="21"/>
                    </w:rPr>
                  </w:pPr>
                </w:p>
              </w:tc>
              <w:tc>
                <w:tcPr>
                  <w:tcW w:w="1150" w:type="dxa"/>
                  <w:noWrap w:val="0"/>
                  <w:vAlign w:val="center"/>
                </w:tcPr>
                <w:p w14:paraId="5030AA8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r>
                    <w:rPr>
                      <w:rFonts w:hint="default" w:ascii="Times New Roman" w:hAnsi="Times New Roman" w:cs="Times New Roman"/>
                      <w:color w:val="auto"/>
                      <w:sz w:val="21"/>
                      <w:szCs w:val="21"/>
                      <w:vertAlign w:val="superscript"/>
                    </w:rPr>
                    <w:t>＃</w:t>
                  </w:r>
                </w:p>
              </w:tc>
              <w:tc>
                <w:tcPr>
                  <w:tcW w:w="3712" w:type="dxa"/>
                  <w:vMerge w:val="continue"/>
                  <w:noWrap w:val="0"/>
                  <w:vAlign w:val="center"/>
                </w:tcPr>
                <w:p w14:paraId="2DDDE67B">
                  <w:pPr>
                    <w:jc w:val="center"/>
                    <w:rPr>
                      <w:rFonts w:hint="default" w:ascii="Times New Roman" w:hAnsi="Times New Roman" w:eastAsia="宋体" w:cs="Times New Roman"/>
                      <w:color w:val="auto"/>
                      <w:sz w:val="21"/>
                      <w:szCs w:val="21"/>
                      <w:lang w:val="en-US" w:eastAsia="zh-CN"/>
                    </w:rPr>
                  </w:pPr>
                </w:p>
              </w:tc>
              <w:tc>
                <w:tcPr>
                  <w:tcW w:w="1579" w:type="dxa"/>
                  <w:vMerge w:val="continue"/>
                  <w:noWrap w:val="0"/>
                  <w:vAlign w:val="center"/>
                </w:tcPr>
                <w:p w14:paraId="5699C578">
                  <w:pPr>
                    <w:jc w:val="center"/>
                    <w:rPr>
                      <w:rFonts w:hint="default" w:ascii="Times New Roman" w:hAnsi="Times New Roman" w:cs="Times New Roman"/>
                      <w:color w:val="auto"/>
                      <w:sz w:val="21"/>
                      <w:szCs w:val="21"/>
                    </w:rPr>
                  </w:pPr>
                </w:p>
              </w:tc>
            </w:tr>
          </w:tbl>
          <w:p w14:paraId="06C131C1">
            <w:pPr>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kern w:val="1"/>
                <w:sz w:val="24"/>
                <w:szCs w:val="22"/>
              </w:rPr>
              <w:t>加油站</w:t>
            </w:r>
            <w:r>
              <w:rPr>
                <w:rFonts w:hint="eastAsia" w:cs="Times New Roman"/>
                <w:color w:val="auto"/>
                <w:kern w:val="1"/>
                <w:sz w:val="24"/>
                <w:szCs w:val="22"/>
                <w:lang w:val="en-US" w:eastAsia="zh-CN"/>
              </w:rPr>
              <w:t>中央新</w:t>
            </w:r>
            <w:r>
              <w:rPr>
                <w:rFonts w:hint="default" w:ascii="Times New Roman" w:hAnsi="Times New Roman" w:cs="Times New Roman"/>
                <w:bCs/>
                <w:color w:val="auto"/>
                <w:sz w:val="24"/>
                <w:szCs w:val="22"/>
              </w:rPr>
              <w:t>设</w:t>
            </w:r>
            <w:r>
              <w:rPr>
                <w:rFonts w:hint="default" w:ascii="Times New Roman" w:hAnsi="Times New Roman" w:cs="Times New Roman"/>
                <w:bCs/>
                <w:color w:val="auto"/>
                <w:sz w:val="24"/>
                <w:szCs w:val="22"/>
                <w:lang w:val="en-US" w:eastAsia="zh-CN"/>
              </w:rPr>
              <w:t>1</w:t>
            </w:r>
            <w:r>
              <w:rPr>
                <w:rFonts w:hint="default" w:ascii="Times New Roman" w:hAnsi="Times New Roman" w:cs="Times New Roman"/>
                <w:bCs/>
                <w:color w:val="auto"/>
                <w:sz w:val="24"/>
                <w:szCs w:val="22"/>
              </w:rPr>
              <w:t>个罩棚，罩棚下设置</w:t>
            </w:r>
            <w:r>
              <w:rPr>
                <w:rFonts w:hint="default" w:ascii="Times New Roman" w:hAnsi="Times New Roman" w:cs="Times New Roman"/>
                <w:bCs/>
                <w:color w:val="auto"/>
                <w:sz w:val="24"/>
                <w:szCs w:val="22"/>
                <w:lang w:val="en-US" w:eastAsia="zh-CN"/>
              </w:rPr>
              <w:t>2</w:t>
            </w:r>
            <w:r>
              <w:rPr>
                <w:rFonts w:hint="default" w:ascii="Times New Roman" w:hAnsi="Times New Roman" w:cs="Times New Roman"/>
                <w:bCs/>
                <w:color w:val="auto"/>
                <w:sz w:val="24"/>
                <w:szCs w:val="22"/>
              </w:rPr>
              <w:t>个加油岛，</w:t>
            </w:r>
            <w:r>
              <w:rPr>
                <w:rFonts w:hint="default" w:ascii="Times New Roman" w:hAnsi="Times New Roman" w:cs="Times New Roman"/>
                <w:color w:val="auto"/>
                <w:sz w:val="24"/>
                <w:szCs w:val="40"/>
              </w:rPr>
              <w:t>根据建设方提供资料，项目配套设置</w:t>
            </w:r>
            <w:r>
              <w:rPr>
                <w:rFonts w:hint="eastAsia" w:cs="Times New Roman"/>
                <w:color w:val="auto"/>
                <w:sz w:val="24"/>
                <w:szCs w:val="40"/>
                <w:lang w:eastAsia="zh-CN"/>
              </w:rPr>
              <w:t>油气回收系统</w:t>
            </w:r>
            <w:r>
              <w:rPr>
                <w:rFonts w:hint="default" w:ascii="Times New Roman" w:hAnsi="Times New Roman" w:cs="Times New Roman"/>
                <w:color w:val="auto"/>
                <w:sz w:val="24"/>
                <w:szCs w:val="40"/>
              </w:rPr>
              <w:t>，站内配套设置三级</w:t>
            </w:r>
            <w:r>
              <w:rPr>
                <w:rFonts w:hint="default" w:ascii="Times New Roman" w:hAnsi="Times New Roman" w:cs="Times New Roman"/>
                <w:color w:val="auto"/>
                <w:sz w:val="24"/>
                <w:szCs w:val="40"/>
                <w:lang w:val="en-US" w:eastAsia="zh-CN"/>
              </w:rPr>
              <w:t>油水分离池</w:t>
            </w:r>
            <w:r>
              <w:rPr>
                <w:rFonts w:hint="default" w:ascii="Times New Roman" w:hAnsi="Times New Roman" w:cs="Times New Roman"/>
                <w:color w:val="auto"/>
                <w:sz w:val="24"/>
                <w:szCs w:val="40"/>
              </w:rPr>
              <w:t>、化粪池等配套环保设施。项目为</w:t>
            </w:r>
            <w:r>
              <w:rPr>
                <w:rFonts w:hint="eastAsia" w:cs="Times New Roman"/>
                <w:color w:val="auto"/>
                <w:sz w:val="24"/>
                <w:szCs w:val="40"/>
                <w:lang w:val="en-US" w:eastAsia="zh-CN"/>
              </w:rPr>
              <w:t>扩建</w:t>
            </w:r>
            <w:r>
              <w:rPr>
                <w:rFonts w:hint="default" w:ascii="Times New Roman" w:hAnsi="Times New Roman" w:cs="Times New Roman"/>
                <w:color w:val="auto"/>
                <w:sz w:val="24"/>
                <w:szCs w:val="40"/>
              </w:rPr>
              <w:t>项目，项目建成后主要经营汽油、柴油零售业务、</w:t>
            </w:r>
            <w:r>
              <w:rPr>
                <w:rFonts w:hint="default" w:ascii="Times New Roman" w:hAnsi="Times New Roman" w:cs="Times New Roman"/>
                <w:color w:val="auto"/>
                <w:sz w:val="24"/>
                <w:szCs w:val="40"/>
                <w:lang w:val="en-US" w:eastAsia="zh-CN"/>
              </w:rPr>
              <w:t>新能源汽车充电业务</w:t>
            </w:r>
            <w:r>
              <w:rPr>
                <w:rFonts w:hint="default" w:ascii="Times New Roman" w:hAnsi="Times New Roman" w:cs="Times New Roman"/>
                <w:color w:val="auto"/>
                <w:sz w:val="24"/>
                <w:szCs w:val="40"/>
              </w:rPr>
              <w:t>等相关的销售服务，</w:t>
            </w:r>
            <w:r>
              <w:rPr>
                <w:rFonts w:hint="default" w:ascii="Times New Roman" w:hAnsi="Times New Roman" w:cs="Times New Roman"/>
                <w:color w:val="auto"/>
                <w:sz w:val="24"/>
                <w:szCs w:val="24"/>
              </w:rPr>
              <w:t>不涉及洗车及汽修服务</w:t>
            </w:r>
            <w:r>
              <w:rPr>
                <w:rFonts w:hint="default" w:ascii="Times New Roman" w:hAnsi="Times New Roman" w:cs="Times New Roman"/>
                <w:color w:val="auto"/>
                <w:szCs w:val="32"/>
                <w:lang w:eastAsia="zh-CN"/>
              </w:rPr>
              <w:t>。</w:t>
            </w:r>
            <w:r>
              <w:rPr>
                <w:rFonts w:hint="default" w:ascii="Times New Roman" w:hAnsi="Times New Roman" w:cs="Times New Roman"/>
                <w:color w:val="auto"/>
                <w:sz w:val="24"/>
                <w:szCs w:val="24"/>
              </w:rPr>
              <w:t>项目主要建设内容见表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14:paraId="44E3DB8A">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eastAsia="zh-CN"/>
              </w:rPr>
              <w:t>本项目</w:t>
            </w:r>
            <w:r>
              <w:rPr>
                <w:rFonts w:hint="default" w:ascii="Times New Roman" w:hAnsi="Times New Roman" w:cs="Times New Roman"/>
                <w:b/>
                <w:color w:val="auto"/>
                <w:sz w:val="21"/>
                <w:szCs w:val="21"/>
              </w:rPr>
              <w:t>建设内容一览表</w:t>
            </w:r>
          </w:p>
          <w:tbl>
            <w:tblPr>
              <w:tblStyle w:val="27"/>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16"/>
              <w:gridCol w:w="653"/>
              <w:gridCol w:w="637"/>
              <w:gridCol w:w="1954"/>
              <w:gridCol w:w="3685"/>
              <w:gridCol w:w="702"/>
            </w:tblGrid>
            <w:tr w14:paraId="769B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71" w:type="dxa"/>
                  <w:vMerge w:val="restart"/>
                  <w:noWrap w:val="0"/>
                  <w:vAlign w:val="center"/>
                </w:tcPr>
                <w:p w14:paraId="6128C8D1">
                  <w:pPr>
                    <w:jc w:val="center"/>
                    <w:rPr>
                      <w:rFonts w:hint="default" w:ascii="Times New Roman" w:hAnsi="Times New Roman" w:cs="Times New Roman"/>
                      <w:b/>
                      <w:bCs/>
                      <w:color w:val="auto"/>
                    </w:rPr>
                  </w:pPr>
                  <w:r>
                    <w:rPr>
                      <w:rFonts w:hint="default" w:ascii="Times New Roman" w:hAnsi="Times New Roman" w:cs="Times New Roman"/>
                      <w:b/>
                      <w:bCs/>
                      <w:color w:val="auto"/>
                    </w:rPr>
                    <w:t>工程</w:t>
                  </w:r>
                </w:p>
                <w:p w14:paraId="653EFA86">
                  <w:pPr>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内容</w:t>
                  </w:r>
                </w:p>
              </w:tc>
              <w:tc>
                <w:tcPr>
                  <w:tcW w:w="1706" w:type="dxa"/>
                  <w:gridSpan w:val="3"/>
                  <w:vMerge w:val="restart"/>
                  <w:noWrap w:val="0"/>
                  <w:vAlign w:val="center"/>
                </w:tcPr>
                <w:p w14:paraId="77011F0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5639" w:type="dxa"/>
                  <w:gridSpan w:val="2"/>
                  <w:noWrap w:val="0"/>
                  <w:vAlign w:val="center"/>
                </w:tcPr>
                <w:p w14:paraId="6151BB68">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tc>
              <w:tc>
                <w:tcPr>
                  <w:tcW w:w="702" w:type="dxa"/>
                  <w:vMerge w:val="restart"/>
                  <w:noWrap w:val="0"/>
                  <w:vAlign w:val="center"/>
                </w:tcPr>
                <w:p w14:paraId="585180C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2334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71" w:type="dxa"/>
                  <w:vMerge w:val="continue"/>
                  <w:noWrap w:val="0"/>
                  <w:vAlign w:val="center"/>
                </w:tcPr>
                <w:p w14:paraId="7F739C43">
                  <w:pPr>
                    <w:jc w:val="center"/>
                    <w:rPr>
                      <w:color w:val="auto"/>
                    </w:rPr>
                  </w:pPr>
                </w:p>
              </w:tc>
              <w:tc>
                <w:tcPr>
                  <w:tcW w:w="1706" w:type="dxa"/>
                  <w:gridSpan w:val="3"/>
                  <w:vMerge w:val="continue"/>
                  <w:noWrap w:val="0"/>
                  <w:vAlign w:val="center"/>
                </w:tcPr>
                <w:p w14:paraId="002661E0">
                  <w:pPr>
                    <w:jc w:val="center"/>
                    <w:rPr>
                      <w:color w:val="auto"/>
                    </w:rPr>
                  </w:pPr>
                </w:p>
              </w:tc>
              <w:tc>
                <w:tcPr>
                  <w:tcW w:w="1954" w:type="dxa"/>
                  <w:noWrap w:val="0"/>
                  <w:vAlign w:val="center"/>
                </w:tcPr>
                <w:p w14:paraId="7D39A4E8">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原有工程</w:t>
                  </w:r>
                </w:p>
              </w:tc>
              <w:tc>
                <w:tcPr>
                  <w:tcW w:w="3685" w:type="dxa"/>
                  <w:noWrap w:val="0"/>
                  <w:vAlign w:val="center"/>
                </w:tcPr>
                <w:p w14:paraId="7D0AD032">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本项目新建工程</w:t>
                  </w:r>
                </w:p>
              </w:tc>
              <w:tc>
                <w:tcPr>
                  <w:tcW w:w="702" w:type="dxa"/>
                  <w:vMerge w:val="continue"/>
                  <w:noWrap w:val="0"/>
                  <w:vAlign w:val="center"/>
                </w:tcPr>
                <w:p w14:paraId="75E6DDED">
                  <w:pPr>
                    <w:jc w:val="center"/>
                    <w:rPr>
                      <w:rFonts w:hint="default" w:ascii="Times New Roman" w:hAnsi="Times New Roman" w:cs="Times New Roman"/>
                      <w:b/>
                      <w:bCs/>
                      <w:color w:val="auto"/>
                      <w:sz w:val="21"/>
                      <w:szCs w:val="21"/>
                    </w:rPr>
                  </w:pPr>
                </w:p>
              </w:tc>
            </w:tr>
            <w:tr w14:paraId="31B0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restart"/>
                  <w:noWrap w:val="0"/>
                  <w:vAlign w:val="center"/>
                </w:tcPr>
                <w:p w14:paraId="74BD596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w:t>
                  </w:r>
                </w:p>
                <w:p w14:paraId="76E249E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706" w:type="dxa"/>
                  <w:gridSpan w:val="3"/>
                  <w:noWrap w:val="0"/>
                  <w:vAlign w:val="center"/>
                </w:tcPr>
                <w:p w14:paraId="4C34694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站房</w:t>
                  </w:r>
                </w:p>
              </w:tc>
              <w:tc>
                <w:tcPr>
                  <w:tcW w:w="1954" w:type="dxa"/>
                  <w:noWrap w:val="0"/>
                  <w:vAlign w:val="center"/>
                </w:tcPr>
                <w:p w14:paraId="31C3149E">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站房为一栋一层建筑面积为43.2m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建筑，位于加油区东面，设置有便利店</w:t>
                  </w:r>
                  <w:r>
                    <w:rPr>
                      <w:rFonts w:hint="eastAsia" w:cs="Times New Roman"/>
                      <w:color w:val="auto"/>
                      <w:sz w:val="21"/>
                      <w:szCs w:val="21"/>
                      <w:lang w:val="en-US" w:eastAsia="zh-CN"/>
                    </w:rPr>
                    <w:t>。拆除。</w:t>
                  </w:r>
                </w:p>
              </w:tc>
              <w:tc>
                <w:tcPr>
                  <w:tcW w:w="3685" w:type="dxa"/>
                  <w:noWrap w:val="0"/>
                  <w:vAlign w:val="center"/>
                </w:tcPr>
                <w:p w14:paraId="357D17A3">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新建一层框架结构站房1座，按简易站装修，</w:t>
                  </w:r>
                  <w:r>
                    <w:rPr>
                      <w:rFonts w:hint="default" w:ascii="Times New Roman" w:hAnsi="Times New Roman" w:cs="Times New Roman"/>
                      <w:color w:val="auto"/>
                      <w:sz w:val="21"/>
                      <w:szCs w:val="21"/>
                      <w:lang w:val="en-US" w:eastAsia="zh-CN"/>
                    </w:rPr>
                    <w:t>位于</w:t>
                  </w:r>
                  <w:r>
                    <w:rPr>
                      <w:rFonts w:hint="eastAsia" w:ascii="Times New Roman" w:hAnsi="Times New Roman" w:cs="Times New Roman"/>
                      <w:color w:val="auto"/>
                      <w:sz w:val="21"/>
                      <w:szCs w:val="21"/>
                      <w:lang w:val="en-US" w:eastAsia="zh-CN"/>
                    </w:rPr>
                    <w:t>东侧</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建筑总高度</w:t>
                  </w:r>
                  <w:r>
                    <w:rPr>
                      <w:rFonts w:hint="eastAsia" w:cs="Times New Roman"/>
                      <w:color w:val="auto"/>
                      <w:sz w:val="21"/>
                      <w:szCs w:val="21"/>
                      <w:lang w:val="en-US" w:eastAsia="zh-CN"/>
                    </w:rPr>
                    <w:t>4.65</w:t>
                  </w:r>
                  <w:r>
                    <w:rPr>
                      <w:rFonts w:hint="default" w:ascii="Times New Roman" w:hAnsi="Times New Roman" w:cs="Times New Roman"/>
                      <w:color w:val="auto"/>
                      <w:sz w:val="21"/>
                      <w:szCs w:val="21"/>
                    </w:rPr>
                    <w:t>m，占地面积</w:t>
                  </w:r>
                  <w:r>
                    <w:rPr>
                      <w:rFonts w:hint="eastAsia" w:ascii="Times New Roman" w:hAnsi="Times New Roman" w:cs="Times New Roman"/>
                      <w:color w:val="auto"/>
                      <w:sz w:val="21"/>
                      <w:szCs w:val="21"/>
                      <w:lang w:val="en-US" w:eastAsia="zh-CN"/>
                    </w:rPr>
                    <w:t>68.65</w:t>
                  </w:r>
                  <w:r>
                    <w:rPr>
                      <w:rFonts w:hint="default" w:ascii="Times New Roman" w:hAnsi="Times New Roman" w:cs="Times New Roman"/>
                      <w:color w:val="auto"/>
                      <w:kern w:val="1"/>
                      <w:sz w:val="21"/>
                      <w:szCs w:val="21"/>
                    </w:rPr>
                    <w:t>m</w:t>
                  </w:r>
                  <w:r>
                    <w:rPr>
                      <w:rFonts w:hint="default" w:ascii="Times New Roman" w:hAnsi="Times New Roman" w:cs="Times New Roman"/>
                      <w:color w:val="auto"/>
                      <w:kern w:val="1"/>
                      <w:sz w:val="21"/>
                      <w:szCs w:val="21"/>
                      <w:vertAlign w:val="superscript"/>
                    </w:rPr>
                    <w:t>2</w:t>
                  </w:r>
                  <w:r>
                    <w:rPr>
                      <w:rFonts w:hint="default" w:ascii="Times New Roman" w:hAnsi="Times New Roman" w:cs="Times New Roman"/>
                      <w:color w:val="auto"/>
                      <w:sz w:val="21"/>
                      <w:szCs w:val="21"/>
                    </w:rPr>
                    <w:t>。其中设置站长室</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便利店</w:t>
                  </w:r>
                  <w:r>
                    <w:rPr>
                      <w:rFonts w:hint="default" w:ascii="Times New Roman" w:hAnsi="Times New Roman" w:cs="Times New Roman"/>
                      <w:color w:val="auto"/>
                      <w:sz w:val="21"/>
                      <w:szCs w:val="21"/>
                    </w:rPr>
                    <w:t>等。</w:t>
                  </w:r>
                </w:p>
              </w:tc>
              <w:tc>
                <w:tcPr>
                  <w:tcW w:w="702" w:type="dxa"/>
                  <w:noWrap w:val="0"/>
                  <w:vAlign w:val="center"/>
                </w:tcPr>
                <w:p w14:paraId="4BC0A38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2AF0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671" w:type="dxa"/>
                  <w:vMerge w:val="continue"/>
                  <w:noWrap w:val="0"/>
                  <w:vAlign w:val="center"/>
                </w:tcPr>
                <w:p w14:paraId="128E0D7E">
                  <w:pPr>
                    <w:rPr>
                      <w:rFonts w:hint="default" w:ascii="Times New Roman" w:hAnsi="Times New Roman" w:cs="Times New Roman"/>
                      <w:color w:val="auto"/>
                      <w:sz w:val="21"/>
                      <w:szCs w:val="21"/>
                    </w:rPr>
                  </w:pPr>
                </w:p>
              </w:tc>
              <w:tc>
                <w:tcPr>
                  <w:tcW w:w="1706" w:type="dxa"/>
                  <w:gridSpan w:val="3"/>
                  <w:noWrap w:val="0"/>
                  <w:vAlign w:val="center"/>
                </w:tcPr>
                <w:p w14:paraId="2F8F40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油罐区</w:t>
                  </w:r>
                </w:p>
              </w:tc>
              <w:tc>
                <w:tcPr>
                  <w:tcW w:w="1954" w:type="dxa"/>
                  <w:noWrap w:val="0"/>
                  <w:vAlign w:val="center"/>
                </w:tcPr>
                <w:p w14:paraId="27DD21A8">
                  <w:pPr>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油罐区设置于东北面，加油站设置3个SF双层油罐，油罐总容积90m</w:t>
                  </w:r>
                  <w:r>
                    <w:rPr>
                      <w:rFonts w:hint="default" w:ascii="Times New Roman" w:hAnsi="Times New Roman" w:cs="Times New Roman"/>
                      <w:color w:val="auto"/>
                      <w:sz w:val="21"/>
                      <w:szCs w:val="21"/>
                      <w:vertAlign w:val="superscript"/>
                    </w:rPr>
                    <w:t>3</w:t>
                  </w:r>
                  <w:r>
                    <w:rPr>
                      <w:rFonts w:hint="eastAsia" w:cs="Times New Roman"/>
                      <w:color w:val="auto"/>
                      <w:sz w:val="21"/>
                      <w:szCs w:val="21"/>
                      <w:lang w:eastAsia="zh-CN"/>
                    </w:rPr>
                    <w:t>。拆除回填硬化，清管清罐吊装。</w:t>
                  </w:r>
                </w:p>
              </w:tc>
              <w:tc>
                <w:tcPr>
                  <w:tcW w:w="3685" w:type="dxa"/>
                  <w:noWrap w:val="0"/>
                  <w:vAlign w:val="center"/>
                </w:tcPr>
                <w:p w14:paraId="733E76FE">
                  <w:pPr>
                    <w:jc w:val="both"/>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新设3具30m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FF双层油罐（92#×1、95#×1、0#×1），新设成品操作井6个；新设水位观察井；新设油罐渗漏监测井；新设排湿系统；新设通气管（4根，含1根出风管）；新设3台潜油泵</w:t>
                  </w:r>
                  <w:r>
                    <w:rPr>
                      <w:rFonts w:hint="eastAsia" w:cs="Times New Roman"/>
                      <w:bCs/>
                      <w:color w:val="auto"/>
                      <w:sz w:val="21"/>
                      <w:szCs w:val="21"/>
                      <w:lang w:eastAsia="zh-CN"/>
                    </w:rPr>
                    <w:t>。</w:t>
                  </w:r>
                </w:p>
              </w:tc>
              <w:tc>
                <w:tcPr>
                  <w:tcW w:w="702" w:type="dxa"/>
                  <w:noWrap w:val="0"/>
                  <w:vAlign w:val="center"/>
                </w:tcPr>
                <w:p w14:paraId="39A58CA6">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77FF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71" w:type="dxa"/>
                  <w:vMerge w:val="continue"/>
                  <w:noWrap w:val="0"/>
                  <w:vAlign w:val="center"/>
                </w:tcPr>
                <w:p w14:paraId="6279D030">
                  <w:pPr>
                    <w:rPr>
                      <w:rFonts w:hint="default" w:ascii="Times New Roman" w:hAnsi="Times New Roman" w:cs="Times New Roman"/>
                      <w:color w:val="auto"/>
                      <w:sz w:val="21"/>
                      <w:szCs w:val="21"/>
                    </w:rPr>
                  </w:pPr>
                </w:p>
              </w:tc>
              <w:tc>
                <w:tcPr>
                  <w:tcW w:w="1706" w:type="dxa"/>
                  <w:gridSpan w:val="3"/>
                  <w:noWrap w:val="0"/>
                  <w:vAlign w:val="center"/>
                </w:tcPr>
                <w:p w14:paraId="758419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罩棚</w:t>
                  </w:r>
                </w:p>
              </w:tc>
              <w:tc>
                <w:tcPr>
                  <w:tcW w:w="1954" w:type="dxa"/>
                  <w:noWrap w:val="0"/>
                  <w:vAlign w:val="center"/>
                </w:tcPr>
                <w:p w14:paraId="522235EF">
                  <w:pP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面积179.84m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，设置2台税控双枪加油机，配加油枪4支。加油岛岛宽1.3m且高出地坪0.2m，一排设置。加油区设置加油车道2条。</w:t>
                  </w:r>
                  <w:r>
                    <w:rPr>
                      <w:rFonts w:hint="eastAsia" w:cs="Times New Roman"/>
                      <w:color w:val="auto"/>
                      <w:sz w:val="21"/>
                      <w:szCs w:val="21"/>
                      <w:lang w:val="en-US" w:eastAsia="zh-CN"/>
                    </w:rPr>
                    <w:t>全部拆除。</w:t>
                  </w:r>
                </w:p>
              </w:tc>
              <w:tc>
                <w:tcPr>
                  <w:tcW w:w="3685" w:type="dxa"/>
                  <w:noWrap w:val="0"/>
                  <w:vAlign w:val="center"/>
                </w:tcPr>
                <w:p w14:paraId="0076B8C0">
                  <w:pP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新建型钢结构罩棚1座</w:t>
                  </w:r>
                  <w:r>
                    <w:rPr>
                      <w:rFonts w:hint="eastAsia" w:cs="Times New Roman"/>
                      <w:color w:val="auto"/>
                      <w:sz w:val="21"/>
                      <w:szCs w:val="21"/>
                      <w:lang w:val="en-US" w:eastAsia="zh-CN"/>
                    </w:rPr>
                    <w:t>，位于项目中央，占地298.77</w:t>
                  </w:r>
                  <w:r>
                    <w:rPr>
                      <w:rFonts w:hint="default" w:ascii="Times New Roman" w:hAnsi="Times New Roman" w:cs="Times New Roman"/>
                      <w:color w:val="auto"/>
                      <w:kern w:val="1"/>
                      <w:sz w:val="21"/>
                      <w:szCs w:val="21"/>
                    </w:rPr>
                    <w:t>m</w:t>
                  </w:r>
                  <w:r>
                    <w:rPr>
                      <w:rFonts w:hint="default" w:ascii="Times New Roman" w:hAnsi="Times New Roman" w:cs="Times New Roman"/>
                      <w:color w:val="auto"/>
                      <w:kern w:val="1"/>
                      <w:sz w:val="21"/>
                      <w:szCs w:val="21"/>
                      <w:vertAlign w:val="superscript"/>
                    </w:rPr>
                    <w:t>2</w:t>
                  </w:r>
                  <w:r>
                    <w:rPr>
                      <w:rFonts w:hint="eastAsia" w:ascii="Times New Roman" w:hAnsi="Times New Roman" w:cs="Times New Roman"/>
                      <w:color w:val="auto"/>
                      <w:kern w:val="1"/>
                      <w:sz w:val="21"/>
                      <w:szCs w:val="21"/>
                      <w:vertAlign w:val="baseline"/>
                      <w:lang w:eastAsia="zh-CN"/>
                    </w:rPr>
                    <w:t>，</w:t>
                  </w:r>
                  <w:r>
                    <w:rPr>
                      <w:rFonts w:hint="default" w:ascii="Times New Roman" w:hAnsi="Times New Roman" w:cs="Times New Roman"/>
                      <w:color w:val="auto"/>
                      <w:sz w:val="21"/>
                      <w:szCs w:val="21"/>
                    </w:rPr>
                    <w:t>建筑总高度</w:t>
                  </w:r>
                  <w:r>
                    <w:rPr>
                      <w:rFonts w:hint="eastAsia" w:cs="Times New Roman"/>
                      <w:color w:val="auto"/>
                      <w:sz w:val="21"/>
                      <w:szCs w:val="21"/>
                      <w:lang w:val="en-US" w:eastAsia="zh-CN"/>
                    </w:rPr>
                    <w:t>6.3</w:t>
                  </w:r>
                  <w:r>
                    <w:rPr>
                      <w:rFonts w:hint="default" w:ascii="Times New Roman" w:hAnsi="Times New Roman" w:cs="Times New Roman"/>
                      <w:color w:val="auto"/>
                      <w:sz w:val="21"/>
                      <w:szCs w:val="21"/>
                    </w:rPr>
                    <w:t>m</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rPr>
                    <w:t>新建2座加油岛</w:t>
                  </w:r>
                  <w:r>
                    <w:rPr>
                      <w:rFonts w:hint="eastAsia" w:ascii="Times New Roman" w:hAnsi="Times New Roman" w:eastAsia="宋体" w:cs="Times New Roman"/>
                      <w:color w:val="auto"/>
                      <w:sz w:val="21"/>
                      <w:szCs w:val="21"/>
                      <w:lang w:val="en-US" w:eastAsia="zh-CN"/>
                    </w:rPr>
                    <w:t>，新设防撞柱4套，新设2台四枪四油品潜油泵加油机。</w:t>
                  </w:r>
                </w:p>
              </w:tc>
              <w:tc>
                <w:tcPr>
                  <w:tcW w:w="702" w:type="dxa"/>
                  <w:noWrap w:val="0"/>
                  <w:vAlign w:val="center"/>
                </w:tcPr>
                <w:p w14:paraId="17C2D7A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4F39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671" w:type="dxa"/>
                  <w:vMerge w:val="restart"/>
                  <w:noWrap w:val="0"/>
                  <w:vAlign w:val="center"/>
                </w:tcPr>
                <w:p w14:paraId="03220DB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1706" w:type="dxa"/>
                  <w:gridSpan w:val="3"/>
                  <w:noWrap w:val="0"/>
                  <w:vAlign w:val="center"/>
                </w:tcPr>
                <w:p w14:paraId="0B0B6EE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卸油区</w:t>
                  </w:r>
                </w:p>
              </w:tc>
              <w:tc>
                <w:tcPr>
                  <w:tcW w:w="1954" w:type="dxa"/>
                  <w:noWrap w:val="0"/>
                  <w:vAlign w:val="center"/>
                </w:tcPr>
                <w:p w14:paraId="7AD48567">
                  <w:pP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rPr>
                    <w:t>油品卸车点设置于油罐区北面，采用密闭卸油方式，油口箱内设置了4个接口，其中3个卸油接口、1个油气回收接口。每个油罐单独设置卸油口，设置有汽油卸油油气回收接口，卸油接口装设快速接及密封盖，卸油接口集中设置，且设置箱盖等防护设施，油品卸车点附近设置有人体静电释放装置及静电接地报警仪。</w:t>
                  </w:r>
                  <w:r>
                    <w:rPr>
                      <w:rFonts w:hint="eastAsia" w:ascii="Times New Roman" w:hAnsi="Times New Roman" w:eastAsia="宋体" w:cs="Times New Roman"/>
                      <w:color w:val="auto"/>
                      <w:sz w:val="21"/>
                      <w:szCs w:val="21"/>
                      <w:lang w:val="en-US" w:eastAsia="zh-CN"/>
                    </w:rPr>
                    <w:t>全部拆除。</w:t>
                  </w:r>
                </w:p>
              </w:tc>
              <w:tc>
                <w:tcPr>
                  <w:tcW w:w="3685" w:type="dxa"/>
                  <w:noWrap w:val="0"/>
                  <w:vAlign w:val="center"/>
                </w:tcPr>
                <w:p w14:paraId="47891848">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卸油区位于油罐区的</w:t>
                  </w:r>
                  <w:r>
                    <w:rPr>
                      <w:rFonts w:hint="eastAsia" w:cs="Times New Roman"/>
                      <w:color w:val="auto"/>
                      <w:sz w:val="21"/>
                      <w:szCs w:val="21"/>
                      <w:lang w:val="en-US" w:eastAsia="zh-CN"/>
                    </w:rPr>
                    <w:t>东</w:t>
                  </w:r>
                  <w:r>
                    <w:rPr>
                      <w:rFonts w:hint="eastAsia" w:ascii="Times New Roman" w:hAnsi="Times New Roman" w:cs="Times New Roman"/>
                      <w:color w:val="auto"/>
                      <w:sz w:val="21"/>
                      <w:szCs w:val="21"/>
                      <w:lang w:val="en-US" w:eastAsia="zh-CN"/>
                    </w:rPr>
                    <w:t>北</w:t>
                  </w:r>
                  <w:r>
                    <w:rPr>
                      <w:rFonts w:hint="default" w:ascii="Times New Roman" w:hAnsi="Times New Roman" w:cs="Times New Roman"/>
                      <w:color w:val="auto"/>
                      <w:sz w:val="21"/>
                      <w:szCs w:val="21"/>
                    </w:rPr>
                    <w:t>侧。按油品设有</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个单独的卸油口，1个油气回收油管。卸油口处设有卸油接地和静电接地检测装置和报警仪，设有1个人体导静电桩。卸油箱内明显标明了各管口油品标志。该站为密闭卸油，槽车通过橡胶软管与卸油管道连接后，利用槽车与油罐的位差，油品自流卸入油罐。</w:t>
                  </w:r>
                </w:p>
              </w:tc>
              <w:tc>
                <w:tcPr>
                  <w:tcW w:w="702" w:type="dxa"/>
                  <w:noWrap w:val="0"/>
                  <w:vAlign w:val="center"/>
                </w:tcPr>
                <w:p w14:paraId="067BCCD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362F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671" w:type="dxa"/>
                  <w:vMerge w:val="continue"/>
                  <w:noWrap w:val="0"/>
                  <w:vAlign w:val="center"/>
                </w:tcPr>
                <w:p w14:paraId="2F29ADAA">
                  <w:pPr>
                    <w:jc w:val="center"/>
                    <w:rPr>
                      <w:rFonts w:hint="default" w:ascii="Times New Roman" w:hAnsi="Times New Roman" w:cs="Times New Roman"/>
                      <w:color w:val="auto"/>
                      <w:sz w:val="21"/>
                      <w:szCs w:val="21"/>
                    </w:rPr>
                  </w:pPr>
                </w:p>
              </w:tc>
              <w:tc>
                <w:tcPr>
                  <w:tcW w:w="1706" w:type="dxa"/>
                  <w:gridSpan w:val="3"/>
                  <w:noWrap w:val="0"/>
                  <w:vAlign w:val="center"/>
                </w:tcPr>
                <w:p w14:paraId="4C3479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工艺管道</w:t>
                  </w:r>
                </w:p>
              </w:tc>
              <w:tc>
                <w:tcPr>
                  <w:tcW w:w="1954" w:type="dxa"/>
                  <w:noWrap w:val="0"/>
                  <w:vAlign w:val="center"/>
                </w:tcPr>
                <w:p w14:paraId="2D58C1B5">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加油站内的工艺管道均埋地敷设。加油管道采用双层复合管道，卸油、油气回收管道采用单层复合管</w:t>
                  </w:r>
                  <w:r>
                    <w:rPr>
                      <w:rFonts w:hint="default"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val="en-US" w:eastAsia="zh-CN"/>
                    </w:rPr>
                    <w:t>全部拆除。</w:t>
                  </w:r>
                </w:p>
              </w:tc>
              <w:tc>
                <w:tcPr>
                  <w:tcW w:w="3685" w:type="dxa"/>
                  <w:noWrap w:val="0"/>
                  <w:vAlign w:val="center"/>
                </w:tcPr>
                <w:p w14:paraId="2E57A3DB">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重新敷设全部工艺管线；出油管线埋地部分为双层复合管线，卸油、油气回收管线埋地部分采用单层复合管线，其余均为20#无缝钢管；</w:t>
                  </w:r>
                </w:p>
              </w:tc>
              <w:tc>
                <w:tcPr>
                  <w:tcW w:w="702" w:type="dxa"/>
                  <w:noWrap w:val="0"/>
                  <w:vAlign w:val="center"/>
                </w:tcPr>
                <w:p w14:paraId="5A1D7D94">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348B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671" w:type="dxa"/>
                  <w:vMerge w:val="continue"/>
                  <w:noWrap w:val="0"/>
                  <w:vAlign w:val="center"/>
                </w:tcPr>
                <w:p w14:paraId="5DA6AF05">
                  <w:pPr>
                    <w:jc w:val="center"/>
                    <w:rPr>
                      <w:rFonts w:hint="default" w:ascii="Times New Roman" w:hAnsi="Times New Roman" w:cs="Times New Roman"/>
                      <w:color w:val="auto"/>
                      <w:sz w:val="21"/>
                      <w:szCs w:val="21"/>
                    </w:rPr>
                  </w:pPr>
                </w:p>
              </w:tc>
              <w:tc>
                <w:tcPr>
                  <w:tcW w:w="1706" w:type="dxa"/>
                  <w:gridSpan w:val="3"/>
                  <w:noWrap w:val="0"/>
                  <w:vAlign w:val="center"/>
                </w:tcPr>
                <w:p w14:paraId="6CF6934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充电桩</w:t>
                  </w:r>
                </w:p>
              </w:tc>
              <w:tc>
                <w:tcPr>
                  <w:tcW w:w="1954" w:type="dxa"/>
                  <w:noWrap w:val="0"/>
                  <w:vAlign w:val="center"/>
                </w:tcPr>
                <w:p w14:paraId="12937C90">
                  <w:pP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3685" w:type="dxa"/>
                  <w:noWrap w:val="0"/>
                  <w:vAlign w:val="center"/>
                </w:tcPr>
                <w:p w14:paraId="5434BCCA">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120kW一体式直流双枪快充充电桩2台，充电车位4个、1台315kVA的箱式变压器</w:t>
                  </w:r>
                  <w:r>
                    <w:rPr>
                      <w:rFonts w:hint="eastAsia" w:cs="Times New Roman"/>
                      <w:color w:val="auto"/>
                      <w:sz w:val="21"/>
                      <w:szCs w:val="21"/>
                      <w:lang w:val="en-US" w:eastAsia="zh-CN"/>
                    </w:rPr>
                    <w:t>。</w:t>
                  </w:r>
                </w:p>
              </w:tc>
              <w:tc>
                <w:tcPr>
                  <w:tcW w:w="702" w:type="dxa"/>
                  <w:noWrap w:val="0"/>
                  <w:vAlign w:val="center"/>
                </w:tcPr>
                <w:p w14:paraId="6502074B">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2DBF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71" w:type="dxa"/>
                  <w:vMerge w:val="continue"/>
                  <w:noWrap w:val="0"/>
                  <w:vAlign w:val="center"/>
                </w:tcPr>
                <w:p w14:paraId="7B9CD97C">
                  <w:pPr>
                    <w:jc w:val="center"/>
                    <w:rPr>
                      <w:rFonts w:hint="default" w:ascii="Times New Roman" w:hAnsi="Times New Roman" w:cs="Times New Roman"/>
                      <w:color w:val="auto"/>
                      <w:sz w:val="21"/>
                      <w:szCs w:val="21"/>
                    </w:rPr>
                  </w:pPr>
                </w:p>
              </w:tc>
              <w:tc>
                <w:tcPr>
                  <w:tcW w:w="1706" w:type="dxa"/>
                  <w:gridSpan w:val="3"/>
                  <w:noWrap w:val="0"/>
                  <w:vAlign w:val="center"/>
                </w:tcPr>
                <w:p w14:paraId="49FA31C5">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辅助区</w:t>
                  </w:r>
                </w:p>
              </w:tc>
              <w:tc>
                <w:tcPr>
                  <w:tcW w:w="1954" w:type="dxa"/>
                  <w:noWrap w:val="0"/>
                  <w:vAlign w:val="center"/>
                </w:tcPr>
                <w:p w14:paraId="124EA9ED">
                  <w:pPr>
                    <w:rPr>
                      <w:rFonts w:hint="default" w:cs="Times New Roman"/>
                      <w:color w:val="auto"/>
                      <w:sz w:val="21"/>
                      <w:szCs w:val="21"/>
                      <w:lang w:val="en-US" w:eastAsia="zh-CN"/>
                    </w:rPr>
                  </w:pPr>
                  <w:r>
                    <w:rPr>
                      <w:rFonts w:hint="eastAsia" w:cs="Times New Roman"/>
                      <w:color w:val="auto"/>
                      <w:sz w:val="21"/>
                      <w:szCs w:val="21"/>
                      <w:lang w:val="en-US" w:eastAsia="zh-CN"/>
                    </w:rPr>
                    <w:t>1栋三层建筑面积为478.8m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附房1#，1栋一层建筑面积为24.34m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附房2#，1栋一层建筑面积为28.13m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附房3#（卫生间），1栋二层建筑面积为230.75m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附房4#，1栋一层建筑面积为43.15m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附房5#，1栋一层建筑面积为106.84m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附房6#。除1#附房外全部拆除。</w:t>
                  </w:r>
                </w:p>
              </w:tc>
              <w:tc>
                <w:tcPr>
                  <w:tcW w:w="3685" w:type="dxa"/>
                  <w:noWrap w:val="0"/>
                  <w:vAlign w:val="center"/>
                </w:tcPr>
                <w:p w14:paraId="190793F6">
                  <w:pP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1#利旧装修，</w:t>
                  </w:r>
                  <w:r>
                    <w:rPr>
                      <w:rFonts w:hint="default" w:ascii="Times New Roman" w:hAnsi="Times New Roman" w:cs="Times New Roman"/>
                      <w:color w:val="auto"/>
                      <w:sz w:val="21"/>
                      <w:szCs w:val="21"/>
                      <w:lang w:val="en-US" w:eastAsia="zh-CN"/>
                    </w:rPr>
                    <w:t>附房检测加固，外立面清洗刷漆；附房屋顶新做防水；二层室内功能布局调整；北侧楼梯间旁边房间改造为配电间，其余房间利旧，改造房间门窗新做，利旧房间门窗清洗翻新，一层房间室内粉刷</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二层设置员工值班室，备餐间，餐厅，卫浴间等。备餐间餐厅、卫浴间门窗新做，值班室门窗清洗翻新。二层所有房间室内外粉刷，含阳台。三层原布局利旧，只室内外粉刷。屋顶新做防水，落水管新做</w:t>
                  </w:r>
                  <w:r>
                    <w:rPr>
                      <w:rFonts w:hint="eastAsia" w:cs="Times New Roman"/>
                      <w:color w:val="auto"/>
                      <w:sz w:val="21"/>
                      <w:szCs w:val="21"/>
                      <w:lang w:val="en-US" w:eastAsia="zh-CN"/>
                    </w:rPr>
                    <w:t>。</w:t>
                  </w:r>
                </w:p>
              </w:tc>
              <w:tc>
                <w:tcPr>
                  <w:tcW w:w="702" w:type="dxa"/>
                  <w:noWrap w:val="0"/>
                  <w:vAlign w:val="center"/>
                </w:tcPr>
                <w:p w14:paraId="6B10EB85">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利旧装修</w:t>
                  </w:r>
                </w:p>
              </w:tc>
            </w:tr>
            <w:tr w14:paraId="03B4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71" w:type="dxa"/>
                  <w:vMerge w:val="continue"/>
                  <w:noWrap w:val="0"/>
                  <w:vAlign w:val="center"/>
                </w:tcPr>
                <w:p w14:paraId="115EBEAE">
                  <w:pPr>
                    <w:jc w:val="center"/>
                    <w:rPr>
                      <w:rFonts w:hint="default" w:ascii="Times New Roman" w:hAnsi="Times New Roman" w:cs="Times New Roman"/>
                      <w:color w:val="auto"/>
                      <w:sz w:val="21"/>
                      <w:szCs w:val="21"/>
                    </w:rPr>
                  </w:pPr>
                </w:p>
              </w:tc>
              <w:tc>
                <w:tcPr>
                  <w:tcW w:w="1706" w:type="dxa"/>
                  <w:gridSpan w:val="3"/>
                  <w:noWrap w:val="0"/>
                  <w:vAlign w:val="center"/>
                </w:tcPr>
                <w:p w14:paraId="0342C04F">
                  <w:pPr>
                    <w:jc w:val="center"/>
                    <w:rPr>
                      <w:rFonts w:hint="default" w:cs="Times New Roman"/>
                      <w:color w:val="auto"/>
                      <w:sz w:val="21"/>
                      <w:szCs w:val="21"/>
                      <w:lang w:val="en-US" w:eastAsia="zh-CN"/>
                    </w:rPr>
                  </w:pPr>
                  <w:r>
                    <w:rPr>
                      <w:rFonts w:hint="eastAsia" w:cs="Times New Roman"/>
                      <w:color w:val="auto"/>
                      <w:sz w:val="21"/>
                      <w:szCs w:val="21"/>
                      <w:lang w:val="en-US" w:eastAsia="zh-CN"/>
                    </w:rPr>
                    <w:t>卫生间</w:t>
                  </w:r>
                </w:p>
              </w:tc>
              <w:tc>
                <w:tcPr>
                  <w:tcW w:w="1954" w:type="dxa"/>
                  <w:noWrap w:val="0"/>
                  <w:vAlign w:val="center"/>
                </w:tcPr>
                <w:p w14:paraId="7F1099FD">
                  <w:pPr>
                    <w:rPr>
                      <w:rFonts w:hint="default" w:cs="Times New Roman"/>
                      <w:color w:val="auto"/>
                      <w:sz w:val="21"/>
                      <w:szCs w:val="21"/>
                      <w:lang w:val="en-US" w:eastAsia="zh-CN"/>
                    </w:rPr>
                  </w:pPr>
                  <w:r>
                    <w:rPr>
                      <w:rFonts w:hint="eastAsia" w:cs="Times New Roman"/>
                      <w:color w:val="auto"/>
                      <w:sz w:val="21"/>
                      <w:szCs w:val="21"/>
                      <w:lang w:val="en-US" w:eastAsia="zh-CN"/>
                    </w:rPr>
                    <w:t>东南侧，全部拆除。</w:t>
                  </w:r>
                </w:p>
              </w:tc>
              <w:tc>
                <w:tcPr>
                  <w:tcW w:w="3685" w:type="dxa"/>
                  <w:noWrap w:val="0"/>
                  <w:vAlign w:val="center"/>
                </w:tcPr>
                <w:p w14:paraId="7B8EA17E">
                  <w:pPr>
                    <w:rPr>
                      <w:rFonts w:hint="default" w:cs="Times New Roman"/>
                      <w:color w:val="auto"/>
                      <w:sz w:val="21"/>
                      <w:szCs w:val="21"/>
                      <w:lang w:val="en-US" w:eastAsia="zh-CN"/>
                    </w:rPr>
                  </w:pPr>
                  <w:r>
                    <w:rPr>
                      <w:rFonts w:hint="eastAsia" w:cs="Times New Roman"/>
                      <w:color w:val="auto"/>
                      <w:sz w:val="21"/>
                      <w:szCs w:val="21"/>
                      <w:lang w:val="en-US" w:eastAsia="zh-CN"/>
                    </w:rPr>
                    <w:t>东南侧，占地33.84m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rPr>
                    <w:t>建筑总高度</w:t>
                  </w:r>
                  <w:r>
                    <w:rPr>
                      <w:rFonts w:hint="eastAsia" w:cs="Times New Roman"/>
                      <w:color w:val="auto"/>
                      <w:sz w:val="21"/>
                      <w:szCs w:val="21"/>
                      <w:lang w:val="en-US" w:eastAsia="zh-CN"/>
                    </w:rPr>
                    <w:t>3.95</w:t>
                  </w:r>
                  <w:r>
                    <w:rPr>
                      <w:rFonts w:hint="default" w:ascii="Times New Roman" w:hAnsi="Times New Roman" w:cs="Times New Roman"/>
                      <w:color w:val="auto"/>
                      <w:sz w:val="21"/>
                      <w:szCs w:val="21"/>
                    </w:rPr>
                    <w:t>m</w:t>
                  </w:r>
                  <w:r>
                    <w:rPr>
                      <w:rFonts w:hint="eastAsia" w:cs="Times New Roman"/>
                      <w:color w:val="auto"/>
                      <w:sz w:val="21"/>
                      <w:szCs w:val="21"/>
                      <w:lang w:val="en-US" w:eastAsia="zh-CN"/>
                    </w:rPr>
                    <w:t>。</w:t>
                  </w:r>
                </w:p>
              </w:tc>
              <w:tc>
                <w:tcPr>
                  <w:tcW w:w="702" w:type="dxa"/>
                  <w:noWrap w:val="0"/>
                  <w:vAlign w:val="center"/>
                </w:tcPr>
                <w:p w14:paraId="043680B2">
                  <w:pPr>
                    <w:jc w:val="center"/>
                    <w:rPr>
                      <w:rFonts w:hint="eastAsia" w:cs="Times New Roman"/>
                      <w:color w:val="auto"/>
                      <w:sz w:val="21"/>
                      <w:szCs w:val="21"/>
                      <w:lang w:val="en-US" w:eastAsia="zh-CN"/>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0060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restart"/>
                  <w:noWrap w:val="0"/>
                  <w:vAlign w:val="center"/>
                </w:tcPr>
                <w:p w14:paraId="1BA38721">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公用</w:t>
                  </w:r>
                </w:p>
                <w:p w14:paraId="0609208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706" w:type="dxa"/>
                  <w:gridSpan w:val="3"/>
                  <w:noWrap w:val="0"/>
                  <w:vAlign w:val="center"/>
                </w:tcPr>
                <w:p w14:paraId="06D0E3D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给水工程</w:t>
                  </w:r>
                </w:p>
              </w:tc>
              <w:tc>
                <w:tcPr>
                  <w:tcW w:w="1954" w:type="dxa"/>
                  <w:noWrap w:val="0"/>
                  <w:vAlign w:val="center"/>
                </w:tcPr>
                <w:p w14:paraId="4C959AD9">
                  <w:pPr>
                    <w:spacing w:line="240" w:lineRule="auto"/>
                    <w:jc w:val="both"/>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市政</w:t>
                  </w:r>
                  <w:r>
                    <w:rPr>
                      <w:rFonts w:hint="default" w:ascii="Times New Roman" w:hAnsi="Times New Roman" w:cs="Times New Roman"/>
                      <w:color w:val="auto"/>
                      <w:sz w:val="21"/>
                      <w:szCs w:val="21"/>
                    </w:rPr>
                    <w:t>自来水厂接入。</w:t>
                  </w:r>
                  <w:r>
                    <w:rPr>
                      <w:rFonts w:hint="eastAsia" w:cs="Times New Roman"/>
                      <w:color w:val="auto"/>
                      <w:sz w:val="21"/>
                      <w:szCs w:val="21"/>
                      <w:lang w:val="en-US" w:eastAsia="zh-CN"/>
                    </w:rPr>
                    <w:t>全部拆除。</w:t>
                  </w:r>
                </w:p>
              </w:tc>
              <w:tc>
                <w:tcPr>
                  <w:tcW w:w="3685" w:type="dxa"/>
                  <w:noWrap w:val="0"/>
                  <w:vAlign w:val="center"/>
                </w:tcPr>
                <w:p w14:paraId="5ECA653A">
                  <w:pPr>
                    <w:spacing w:line="360" w:lineRule="auto"/>
                    <w:jc w:val="both"/>
                    <w:rPr>
                      <w:rFonts w:hint="default" w:ascii="Times New Roman" w:hAnsi="Times New Roman" w:cs="Times New Roman"/>
                      <w:color w:val="auto"/>
                      <w:sz w:val="21"/>
                      <w:szCs w:val="21"/>
                    </w:rPr>
                  </w:pPr>
                  <w:r>
                    <w:rPr>
                      <w:rFonts w:hint="eastAsia" w:cs="Times New Roman"/>
                      <w:color w:val="auto"/>
                      <w:sz w:val="21"/>
                      <w:szCs w:val="21"/>
                      <w:lang w:val="en-US" w:eastAsia="zh-CN"/>
                    </w:rPr>
                    <w:t>市政</w:t>
                  </w:r>
                  <w:r>
                    <w:rPr>
                      <w:rFonts w:hint="default" w:ascii="Times New Roman" w:hAnsi="Times New Roman" w:cs="Times New Roman"/>
                      <w:color w:val="auto"/>
                      <w:sz w:val="21"/>
                      <w:szCs w:val="21"/>
                    </w:rPr>
                    <w:t>自来水厂接入。</w:t>
                  </w:r>
                </w:p>
              </w:tc>
              <w:tc>
                <w:tcPr>
                  <w:tcW w:w="702" w:type="dxa"/>
                  <w:noWrap w:val="0"/>
                  <w:vAlign w:val="center"/>
                </w:tcPr>
                <w:p w14:paraId="767C1E8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4D46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continue"/>
                  <w:noWrap w:val="0"/>
                  <w:vAlign w:val="center"/>
                </w:tcPr>
                <w:p w14:paraId="3C5E86DD">
                  <w:pPr>
                    <w:rPr>
                      <w:rFonts w:hint="default" w:ascii="Times New Roman" w:hAnsi="Times New Roman" w:cs="Times New Roman"/>
                      <w:color w:val="auto"/>
                      <w:sz w:val="21"/>
                      <w:szCs w:val="21"/>
                    </w:rPr>
                  </w:pPr>
                </w:p>
              </w:tc>
              <w:tc>
                <w:tcPr>
                  <w:tcW w:w="1706" w:type="dxa"/>
                  <w:gridSpan w:val="3"/>
                  <w:noWrap w:val="0"/>
                  <w:vAlign w:val="center"/>
                </w:tcPr>
                <w:p w14:paraId="170FDCE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供电工程</w:t>
                  </w:r>
                </w:p>
              </w:tc>
              <w:tc>
                <w:tcPr>
                  <w:tcW w:w="1954" w:type="dxa"/>
                  <w:noWrap w:val="0"/>
                  <w:vAlign w:val="center"/>
                </w:tcPr>
                <w:p w14:paraId="0E92A138">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w:t>
                  </w:r>
                  <w:r>
                    <w:rPr>
                      <w:rFonts w:hint="default" w:ascii="Times New Roman" w:hAnsi="Times New Roman" w:cs="Times New Roman"/>
                      <w:color w:val="auto"/>
                      <w:sz w:val="21"/>
                      <w:szCs w:val="21"/>
                      <w:lang w:val="en-US" w:eastAsia="zh-CN"/>
                    </w:rPr>
                    <w:t>当地</w:t>
                  </w:r>
                  <w:r>
                    <w:rPr>
                      <w:rFonts w:hint="default" w:ascii="Times New Roman" w:hAnsi="Times New Roman" w:cs="Times New Roman"/>
                      <w:color w:val="auto"/>
                      <w:sz w:val="21"/>
                      <w:szCs w:val="21"/>
                    </w:rPr>
                    <w:t>电网穿管埋地引入变压器室。</w:t>
                  </w:r>
                </w:p>
              </w:tc>
              <w:tc>
                <w:tcPr>
                  <w:tcW w:w="3685" w:type="dxa"/>
                  <w:noWrap w:val="0"/>
                  <w:vAlign w:val="center"/>
                </w:tcPr>
                <w:p w14:paraId="2D87CD36">
                  <w:pPr>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由</w:t>
                  </w:r>
                  <w:r>
                    <w:rPr>
                      <w:rFonts w:hint="default" w:ascii="Times New Roman" w:hAnsi="Times New Roman" w:cs="Times New Roman"/>
                      <w:color w:val="auto"/>
                      <w:sz w:val="21"/>
                      <w:szCs w:val="21"/>
                      <w:lang w:val="en-US" w:eastAsia="zh-CN"/>
                    </w:rPr>
                    <w:t>当地</w:t>
                  </w:r>
                  <w:r>
                    <w:rPr>
                      <w:rFonts w:hint="default" w:ascii="Times New Roman" w:hAnsi="Times New Roman" w:cs="Times New Roman"/>
                      <w:color w:val="auto"/>
                      <w:sz w:val="21"/>
                      <w:szCs w:val="21"/>
                    </w:rPr>
                    <w:t>电网穿管埋地引入变压器室</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整站电气线路新做；新设高清视频监控系统</w:t>
                  </w:r>
                  <w:r>
                    <w:rPr>
                      <w:rFonts w:hint="eastAsia" w:cs="Times New Roman"/>
                      <w:color w:val="auto"/>
                      <w:sz w:val="21"/>
                      <w:szCs w:val="21"/>
                      <w:lang w:eastAsia="zh-CN"/>
                    </w:rPr>
                    <w:t>。</w:t>
                  </w:r>
                  <w:r>
                    <w:rPr>
                      <w:rFonts w:hint="eastAsia" w:cs="Times New Roman"/>
                      <w:color w:val="auto"/>
                      <w:sz w:val="21"/>
                      <w:szCs w:val="21"/>
                      <w:lang w:val="en-US" w:eastAsia="zh-CN"/>
                    </w:rPr>
                    <w:t>设柴油发电机1台。</w:t>
                  </w:r>
                </w:p>
              </w:tc>
              <w:tc>
                <w:tcPr>
                  <w:tcW w:w="702" w:type="dxa"/>
                  <w:noWrap w:val="0"/>
                  <w:vAlign w:val="center"/>
                </w:tcPr>
                <w:p w14:paraId="50B16E8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1177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671" w:type="dxa"/>
                  <w:vMerge w:val="continue"/>
                  <w:noWrap w:val="0"/>
                  <w:vAlign w:val="center"/>
                </w:tcPr>
                <w:p w14:paraId="2413E331">
                  <w:pPr>
                    <w:rPr>
                      <w:rFonts w:hint="default" w:ascii="Times New Roman" w:hAnsi="Times New Roman" w:cs="Times New Roman"/>
                      <w:color w:val="auto"/>
                      <w:sz w:val="21"/>
                      <w:szCs w:val="21"/>
                    </w:rPr>
                  </w:pPr>
                </w:p>
              </w:tc>
              <w:tc>
                <w:tcPr>
                  <w:tcW w:w="1706" w:type="dxa"/>
                  <w:gridSpan w:val="3"/>
                  <w:noWrap w:val="0"/>
                  <w:vAlign w:val="center"/>
                </w:tcPr>
                <w:p w14:paraId="4BBABEC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排水工程</w:t>
                  </w:r>
                </w:p>
              </w:tc>
              <w:tc>
                <w:tcPr>
                  <w:tcW w:w="1954" w:type="dxa"/>
                  <w:noWrap w:val="0"/>
                  <w:vAlign w:val="center"/>
                </w:tcPr>
                <w:p w14:paraId="7588AA2A">
                  <w:pP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设有1个油水分离池，生活废水、</w:t>
                  </w:r>
                  <w:r>
                    <w:rPr>
                      <w:rFonts w:hint="default" w:ascii="Times New Roman" w:hAnsi="Times New Roman" w:eastAsia="宋体" w:cs="Times New Roman"/>
                      <w:color w:val="auto"/>
                      <w:kern w:val="2"/>
                      <w:sz w:val="21"/>
                      <w:szCs w:val="21"/>
                      <w:lang w:val="en-US" w:eastAsia="zh-CN" w:bidi="ar-SA"/>
                    </w:rPr>
                    <w:t>地面冲洗废水</w:t>
                  </w:r>
                  <w:r>
                    <w:rPr>
                      <w:rFonts w:hint="eastAsia" w:ascii="Times New Roman" w:hAnsi="Times New Roman" w:eastAsia="宋体" w:cs="Times New Roman"/>
                      <w:color w:val="auto"/>
                      <w:kern w:val="2"/>
                      <w:sz w:val="21"/>
                      <w:szCs w:val="21"/>
                      <w:lang w:val="en-US" w:eastAsia="zh-CN" w:bidi="ar-SA"/>
                    </w:rPr>
                    <w:t>经油水分离池处理后给墙外村民施肥。全部拆除。</w:t>
                  </w:r>
                </w:p>
              </w:tc>
              <w:tc>
                <w:tcPr>
                  <w:tcW w:w="3685" w:type="dxa"/>
                  <w:noWrap w:val="0"/>
                  <w:vAlign w:val="center"/>
                </w:tcPr>
                <w:p w14:paraId="17494ADB">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区排水采用“雨污分流”排水制度，</w:t>
                  </w:r>
                  <w:r>
                    <w:rPr>
                      <w:rFonts w:hint="default" w:ascii="Times New Roman" w:hAnsi="Times New Roman" w:eastAsia="宋体" w:cs="Times New Roman"/>
                      <w:color w:val="auto"/>
                      <w:kern w:val="2"/>
                      <w:sz w:val="21"/>
                      <w:szCs w:val="21"/>
                      <w:lang w:val="en-US" w:eastAsia="zh-CN" w:bidi="ar-SA"/>
                    </w:rPr>
                    <w:t>食堂含油废水经隔油池预处理后与其余办公生活废水及外来人员冲厕废水一同进入化粪池处理，地面冲洗废水</w:t>
                  </w:r>
                  <w:r>
                    <w:rPr>
                      <w:rFonts w:hint="eastAsia" w:cs="Times New Roman"/>
                      <w:color w:val="auto"/>
                      <w:kern w:val="2"/>
                      <w:sz w:val="21"/>
                      <w:szCs w:val="21"/>
                      <w:lang w:val="en-US" w:eastAsia="zh-CN" w:bidi="ar-SA"/>
                    </w:rPr>
                    <w:t>、初期雨水</w:t>
                  </w:r>
                  <w:r>
                    <w:rPr>
                      <w:rFonts w:hint="default" w:ascii="Times New Roman" w:hAnsi="Times New Roman" w:eastAsia="宋体" w:cs="Times New Roman"/>
                      <w:color w:val="auto"/>
                      <w:kern w:val="2"/>
                      <w:sz w:val="21"/>
                      <w:szCs w:val="21"/>
                      <w:lang w:val="en-US" w:eastAsia="zh-CN" w:bidi="ar-SA"/>
                    </w:rPr>
                    <w:t>经三级油水分离池处理，</w:t>
                  </w:r>
                  <w:r>
                    <w:rPr>
                      <w:rFonts w:hint="eastAsia" w:cs="Times New Roman"/>
                      <w:color w:val="auto"/>
                      <w:kern w:val="2"/>
                      <w:sz w:val="21"/>
                      <w:szCs w:val="21"/>
                      <w:lang w:val="en-US" w:eastAsia="zh-CN" w:bidi="ar-SA"/>
                    </w:rPr>
                    <w:t>上述废水委托寻甸绿运垃圾清运有限公司清运，</w:t>
                  </w:r>
                  <w:r>
                    <w:rPr>
                      <w:rFonts w:hint="default" w:ascii="Times New Roman" w:hAnsi="Times New Roman" w:eastAsia="宋体" w:cs="Times New Roman"/>
                      <w:color w:val="auto"/>
                      <w:kern w:val="2"/>
                      <w:sz w:val="21"/>
                      <w:szCs w:val="21"/>
                      <w:lang w:val="en-US" w:eastAsia="zh-CN" w:bidi="ar-SA"/>
                    </w:rPr>
                    <w:t>不外排。</w:t>
                  </w:r>
                </w:p>
              </w:tc>
              <w:tc>
                <w:tcPr>
                  <w:tcW w:w="702" w:type="dxa"/>
                  <w:noWrap w:val="0"/>
                  <w:vAlign w:val="center"/>
                </w:tcPr>
                <w:p w14:paraId="18F1FB16">
                  <w:pPr>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637D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71" w:type="dxa"/>
                  <w:vMerge w:val="continue"/>
                  <w:noWrap w:val="0"/>
                  <w:vAlign w:val="center"/>
                </w:tcPr>
                <w:p w14:paraId="1C154FD1">
                  <w:pPr>
                    <w:rPr>
                      <w:rFonts w:hint="default" w:ascii="Times New Roman" w:hAnsi="Times New Roman" w:cs="Times New Roman"/>
                      <w:color w:val="auto"/>
                      <w:sz w:val="21"/>
                      <w:szCs w:val="21"/>
                    </w:rPr>
                  </w:pPr>
                </w:p>
              </w:tc>
              <w:tc>
                <w:tcPr>
                  <w:tcW w:w="1706" w:type="dxa"/>
                  <w:gridSpan w:val="3"/>
                  <w:noWrap w:val="0"/>
                  <w:vAlign w:val="center"/>
                </w:tcPr>
                <w:p w14:paraId="45A0924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消防工程</w:t>
                  </w:r>
                </w:p>
              </w:tc>
              <w:tc>
                <w:tcPr>
                  <w:tcW w:w="1954" w:type="dxa"/>
                  <w:noWrap w:val="0"/>
                  <w:vAlign w:val="center"/>
                </w:tcPr>
                <w:p w14:paraId="25615C92">
                  <w:pP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微型消防柜1个。</w:t>
                  </w:r>
                </w:p>
              </w:tc>
              <w:tc>
                <w:tcPr>
                  <w:tcW w:w="3685" w:type="dxa"/>
                  <w:noWrap w:val="0"/>
                  <w:vAlign w:val="center"/>
                </w:tcPr>
                <w:p w14:paraId="5F1ED399">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新设消防沙箱、消防器材箱、计量工具箱(白色版、成品)，消防器材新设。</w:t>
                  </w:r>
                </w:p>
              </w:tc>
              <w:tc>
                <w:tcPr>
                  <w:tcW w:w="702" w:type="dxa"/>
                  <w:noWrap w:val="0"/>
                  <w:vAlign w:val="center"/>
                </w:tcPr>
                <w:p w14:paraId="31F250F1">
                  <w:pPr>
                    <w:spacing w:line="360" w:lineRule="auto"/>
                    <w:jc w:val="center"/>
                    <w:rPr>
                      <w:rFonts w:hint="default" w:ascii="Times New Roman" w:hAnsi="Times New Roman" w:cs="Times New Roman"/>
                      <w:bCs/>
                      <w:color w:val="auto"/>
                      <w:sz w:val="21"/>
                      <w:szCs w:val="21"/>
                      <w:lang w:val="en-US"/>
                    </w:rPr>
                  </w:pPr>
                  <w:r>
                    <w:rPr>
                      <w:rFonts w:hint="eastAsia" w:cs="Times New Roman"/>
                      <w:color w:val="auto"/>
                      <w:sz w:val="21"/>
                      <w:szCs w:val="21"/>
                      <w:lang w:val="en-US" w:eastAsia="zh-CN"/>
                    </w:rPr>
                    <w:t>新建</w:t>
                  </w:r>
                </w:p>
              </w:tc>
            </w:tr>
            <w:tr w14:paraId="4B9C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671" w:type="dxa"/>
                  <w:vMerge w:val="continue"/>
                  <w:noWrap w:val="0"/>
                  <w:vAlign w:val="center"/>
                </w:tcPr>
                <w:p w14:paraId="6074E9F6">
                  <w:pPr>
                    <w:rPr>
                      <w:rFonts w:hint="default" w:ascii="Times New Roman" w:hAnsi="Times New Roman" w:cs="Times New Roman"/>
                      <w:color w:val="auto"/>
                      <w:sz w:val="21"/>
                      <w:szCs w:val="21"/>
                    </w:rPr>
                  </w:pPr>
                </w:p>
              </w:tc>
              <w:tc>
                <w:tcPr>
                  <w:tcW w:w="1706" w:type="dxa"/>
                  <w:gridSpan w:val="3"/>
                  <w:noWrap w:val="0"/>
                  <w:vAlign w:val="center"/>
                </w:tcPr>
                <w:p w14:paraId="013C525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站内道路</w:t>
                  </w:r>
                </w:p>
              </w:tc>
              <w:tc>
                <w:tcPr>
                  <w:tcW w:w="1954" w:type="dxa"/>
                  <w:noWrap w:val="0"/>
                  <w:vAlign w:val="center"/>
                </w:tcPr>
                <w:p w14:paraId="5B5D2613">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加油区设置加油车道2条</w:t>
                  </w:r>
                  <w:r>
                    <w:rPr>
                      <w:rFonts w:hint="eastAsia" w:cs="Times New Roman"/>
                      <w:color w:val="auto"/>
                      <w:sz w:val="21"/>
                      <w:szCs w:val="21"/>
                      <w:lang w:eastAsia="zh-CN"/>
                    </w:rPr>
                    <w:t>，</w:t>
                  </w:r>
                  <w:r>
                    <w:rPr>
                      <w:rFonts w:hint="eastAsia" w:cs="Times New Roman"/>
                      <w:color w:val="auto"/>
                      <w:sz w:val="21"/>
                      <w:szCs w:val="21"/>
                      <w:lang w:val="en-US" w:eastAsia="zh-CN"/>
                    </w:rPr>
                    <w:t>全部拆除。</w:t>
                  </w:r>
                </w:p>
              </w:tc>
              <w:tc>
                <w:tcPr>
                  <w:tcW w:w="3685" w:type="dxa"/>
                  <w:noWrap w:val="0"/>
                  <w:vAlign w:val="center"/>
                </w:tcPr>
                <w:p w14:paraId="71F4E484">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加油区</w:t>
                  </w:r>
                  <w:r>
                    <w:rPr>
                      <w:rFonts w:hint="eastAsia" w:cs="Times New Roman"/>
                      <w:color w:val="auto"/>
                      <w:sz w:val="21"/>
                      <w:szCs w:val="21"/>
                      <w:lang w:val="en-US" w:eastAsia="zh-CN"/>
                    </w:rPr>
                    <w:t>新建</w:t>
                  </w:r>
                  <w:r>
                    <w:rPr>
                      <w:rFonts w:hint="default" w:ascii="Times New Roman" w:hAnsi="Times New Roman" w:cs="Times New Roman"/>
                      <w:color w:val="auto"/>
                      <w:sz w:val="21"/>
                      <w:szCs w:val="21"/>
                    </w:rPr>
                    <w:t>加油车道3条，中间双车道宽度为</w:t>
                  </w:r>
                  <w:r>
                    <w:rPr>
                      <w:rFonts w:hint="eastAsia" w:cs="Times New Roman"/>
                      <w:color w:val="auto"/>
                      <w:sz w:val="21"/>
                      <w:szCs w:val="21"/>
                      <w:lang w:val="en-US" w:eastAsia="zh-CN"/>
                    </w:rPr>
                    <w:t>10.75</w:t>
                  </w:r>
                  <w:r>
                    <w:rPr>
                      <w:rFonts w:hint="default" w:ascii="Times New Roman" w:hAnsi="Times New Roman" w:cs="Times New Roman"/>
                      <w:color w:val="auto"/>
                      <w:sz w:val="21"/>
                      <w:szCs w:val="21"/>
                    </w:rPr>
                    <w:t>m，站内道路转弯半径不小于9.0m。罩棚支柱距加油岛端部0.6m，加油岛两端设置防撞栏，加油机与加油罩棚边缘的最小平面距离为5.0m。</w:t>
                  </w:r>
                </w:p>
              </w:tc>
              <w:tc>
                <w:tcPr>
                  <w:tcW w:w="702" w:type="dxa"/>
                  <w:noWrap w:val="0"/>
                  <w:vAlign w:val="center"/>
                </w:tcPr>
                <w:p w14:paraId="742D2767">
                  <w:pPr>
                    <w:spacing w:line="360" w:lineRule="auto"/>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7AA6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restart"/>
                  <w:noWrap w:val="0"/>
                  <w:vAlign w:val="center"/>
                </w:tcPr>
                <w:p w14:paraId="58892AF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w:t>
                  </w:r>
                </w:p>
                <w:p w14:paraId="0187125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工程</w:t>
                  </w:r>
                </w:p>
              </w:tc>
              <w:tc>
                <w:tcPr>
                  <w:tcW w:w="416" w:type="dxa"/>
                  <w:vMerge w:val="restart"/>
                  <w:noWrap w:val="0"/>
                  <w:vAlign w:val="center"/>
                </w:tcPr>
                <w:p w14:paraId="29D54C1C">
                  <w:pPr>
                    <w:jc w:val="center"/>
                    <w:rPr>
                      <w:rFonts w:hint="default" w:ascii="Times New Roman" w:hAnsi="Times New Roman" w:cs="Times New Roman"/>
                      <w:color w:val="auto"/>
                      <w:sz w:val="21"/>
                      <w:szCs w:val="21"/>
                    </w:rPr>
                  </w:pPr>
                </w:p>
                <w:p w14:paraId="0B078D6B">
                  <w:pPr>
                    <w:jc w:val="center"/>
                    <w:rPr>
                      <w:rFonts w:hint="default" w:ascii="Times New Roman" w:hAnsi="Times New Roman" w:cs="Times New Roman"/>
                      <w:color w:val="auto"/>
                      <w:sz w:val="21"/>
                      <w:szCs w:val="21"/>
                    </w:rPr>
                  </w:pPr>
                </w:p>
                <w:p w14:paraId="6CB4D237">
                  <w:pPr>
                    <w:jc w:val="center"/>
                    <w:rPr>
                      <w:rFonts w:hint="default" w:ascii="Times New Roman" w:hAnsi="Times New Roman" w:cs="Times New Roman"/>
                      <w:color w:val="auto"/>
                      <w:sz w:val="21"/>
                      <w:szCs w:val="21"/>
                    </w:rPr>
                  </w:pPr>
                </w:p>
                <w:p w14:paraId="1290D74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290" w:type="dxa"/>
                  <w:gridSpan w:val="2"/>
                  <w:noWrap w:val="0"/>
                  <w:vAlign w:val="center"/>
                </w:tcPr>
                <w:p w14:paraId="49F8ECAF">
                  <w:pPr>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Cs w:val="21"/>
                    </w:rPr>
                    <w:t>油气回收系统</w:t>
                  </w:r>
                </w:p>
              </w:tc>
              <w:tc>
                <w:tcPr>
                  <w:tcW w:w="1954" w:type="dxa"/>
                  <w:noWrap w:val="0"/>
                  <w:vAlign w:val="center"/>
                </w:tcPr>
                <w:p w14:paraId="15E58E6E">
                  <w:pPr>
                    <w:jc w:val="left"/>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全部拆除。</w:t>
                  </w:r>
                </w:p>
              </w:tc>
              <w:tc>
                <w:tcPr>
                  <w:tcW w:w="3685" w:type="dxa"/>
                  <w:noWrap w:val="0"/>
                  <w:vAlign w:val="center"/>
                </w:tcPr>
                <w:p w14:paraId="71BFB931">
                  <w:pPr>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1套（</w:t>
                  </w:r>
                  <w:r>
                    <w:rPr>
                      <w:rFonts w:hint="eastAsia" w:cs="Times New Roman"/>
                      <w:color w:val="auto"/>
                      <w:kern w:val="0"/>
                      <w:szCs w:val="21"/>
                      <w:lang w:eastAsia="zh-CN" w:bidi="ar"/>
                    </w:rPr>
                    <w:t>1套卸油油气回收系统，1套加油油气回收系统</w:t>
                  </w:r>
                  <w:r>
                    <w:rPr>
                      <w:rFonts w:hint="default" w:ascii="Times New Roman" w:hAnsi="Times New Roman" w:cs="Times New Roman"/>
                      <w:color w:val="auto"/>
                      <w:kern w:val="0"/>
                      <w:szCs w:val="21"/>
                      <w:lang w:bidi="ar"/>
                    </w:rPr>
                    <w:t>）</w:t>
                  </w:r>
                  <w:r>
                    <w:rPr>
                      <w:rFonts w:hint="eastAsia" w:cs="Times New Roman"/>
                      <w:color w:val="auto"/>
                      <w:kern w:val="0"/>
                      <w:szCs w:val="21"/>
                      <w:lang w:eastAsia="zh-CN" w:bidi="ar"/>
                    </w:rPr>
                    <w:t>。</w:t>
                  </w:r>
                  <w:r>
                    <w:rPr>
                      <w:rFonts w:hint="default" w:ascii="Times New Roman" w:hAnsi="Times New Roman" w:cs="Times New Roman"/>
                      <w:color w:val="auto"/>
                      <w:kern w:val="0"/>
                      <w:szCs w:val="21"/>
                      <w:lang w:bidi="ar"/>
                    </w:rPr>
                    <w:t>卸油废气通过管路回收到油罐车内；加油过程每把汽油加油枪配置1</w:t>
                  </w:r>
                  <w:r>
                    <w:rPr>
                      <w:rFonts w:hint="eastAsia" w:cs="Times New Roman"/>
                      <w:color w:val="auto"/>
                      <w:kern w:val="0"/>
                      <w:szCs w:val="21"/>
                      <w:lang w:val="en-US" w:eastAsia="zh-CN" w:bidi="ar"/>
                    </w:rPr>
                    <w:t>套</w:t>
                  </w:r>
                  <w:r>
                    <w:rPr>
                      <w:rFonts w:hint="default" w:ascii="Times New Roman" w:hAnsi="Times New Roman" w:cs="Times New Roman"/>
                      <w:color w:val="auto"/>
                      <w:kern w:val="0"/>
                      <w:szCs w:val="21"/>
                      <w:lang w:bidi="ar"/>
                    </w:rPr>
                    <w:t>加油油气回收</w:t>
                  </w:r>
                  <w:r>
                    <w:rPr>
                      <w:rFonts w:hint="eastAsia" w:cs="Times New Roman"/>
                      <w:color w:val="auto"/>
                      <w:kern w:val="0"/>
                      <w:szCs w:val="21"/>
                      <w:lang w:val="en-US" w:eastAsia="zh-CN" w:bidi="ar"/>
                    </w:rPr>
                    <w:t>系统</w:t>
                  </w:r>
                  <w:r>
                    <w:rPr>
                      <w:rFonts w:hint="default" w:ascii="Times New Roman" w:hAnsi="Times New Roman" w:cs="Times New Roman"/>
                      <w:color w:val="auto"/>
                      <w:kern w:val="0"/>
                      <w:szCs w:val="21"/>
                      <w:lang w:bidi="ar"/>
                    </w:rPr>
                    <w:t>。油罐储油过程随昼夜温差产生的废气通过通气管管口排出，最终由通气管排放。</w:t>
                  </w:r>
                </w:p>
              </w:tc>
              <w:tc>
                <w:tcPr>
                  <w:tcW w:w="702" w:type="dxa"/>
                  <w:noWrap w:val="0"/>
                  <w:vAlign w:val="center"/>
                </w:tcPr>
                <w:p w14:paraId="79A8C2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3ADC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1" w:type="dxa"/>
                  <w:vMerge w:val="continue"/>
                  <w:noWrap w:val="0"/>
                  <w:vAlign w:val="center"/>
                </w:tcPr>
                <w:p w14:paraId="660F27EF">
                  <w:pPr>
                    <w:jc w:val="center"/>
                    <w:rPr>
                      <w:rFonts w:hint="default" w:ascii="Times New Roman" w:hAnsi="Times New Roman" w:cs="Times New Roman"/>
                      <w:color w:val="auto"/>
                      <w:sz w:val="21"/>
                      <w:szCs w:val="21"/>
                    </w:rPr>
                  </w:pPr>
                </w:p>
              </w:tc>
              <w:tc>
                <w:tcPr>
                  <w:tcW w:w="416" w:type="dxa"/>
                  <w:vMerge w:val="continue"/>
                  <w:noWrap w:val="0"/>
                  <w:vAlign w:val="center"/>
                </w:tcPr>
                <w:p w14:paraId="52E7DD58">
                  <w:pPr>
                    <w:jc w:val="center"/>
                    <w:rPr>
                      <w:rFonts w:hint="default" w:ascii="Times New Roman" w:hAnsi="Times New Roman" w:cs="Times New Roman"/>
                      <w:color w:val="auto"/>
                      <w:sz w:val="21"/>
                      <w:szCs w:val="21"/>
                    </w:rPr>
                  </w:pPr>
                </w:p>
              </w:tc>
              <w:tc>
                <w:tcPr>
                  <w:tcW w:w="1290" w:type="dxa"/>
                  <w:gridSpan w:val="2"/>
                  <w:noWrap w:val="0"/>
                  <w:vAlign w:val="center"/>
                </w:tcPr>
                <w:p w14:paraId="5410CED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厨房油烟</w:t>
                  </w:r>
                </w:p>
              </w:tc>
              <w:tc>
                <w:tcPr>
                  <w:tcW w:w="1954" w:type="dxa"/>
                  <w:noWrap w:val="0"/>
                  <w:vAlign w:val="center"/>
                </w:tcPr>
                <w:p w14:paraId="4BF385EB">
                  <w:pPr>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未设食堂。</w:t>
                  </w:r>
                </w:p>
              </w:tc>
              <w:tc>
                <w:tcPr>
                  <w:tcW w:w="3685" w:type="dxa"/>
                  <w:noWrap w:val="0"/>
                  <w:vAlign w:val="center"/>
                </w:tcPr>
                <w:p w14:paraId="2690ECF9">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员工厨房内按规范设置1</w:t>
                  </w:r>
                  <w:r>
                    <w:rPr>
                      <w:rFonts w:hint="default" w:ascii="Times New Roman" w:hAnsi="Times New Roman" w:cs="Times New Roman"/>
                      <w:color w:val="auto"/>
                      <w:sz w:val="21"/>
                      <w:szCs w:val="21"/>
                      <w:lang w:val="en-US" w:eastAsia="zh-CN"/>
                    </w:rPr>
                    <w:t>套油烟净化装置，排气筒高于站房1.5m。</w:t>
                  </w:r>
                </w:p>
              </w:tc>
              <w:tc>
                <w:tcPr>
                  <w:tcW w:w="702" w:type="dxa"/>
                  <w:noWrap w:val="0"/>
                  <w:vAlign w:val="center"/>
                </w:tcPr>
                <w:p w14:paraId="0F64F7A1">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3496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continue"/>
                  <w:noWrap w:val="0"/>
                  <w:vAlign w:val="center"/>
                </w:tcPr>
                <w:p w14:paraId="49E02FA6">
                  <w:pPr>
                    <w:jc w:val="center"/>
                    <w:rPr>
                      <w:rFonts w:hint="default" w:ascii="Times New Roman" w:hAnsi="Times New Roman" w:cs="Times New Roman"/>
                      <w:color w:val="auto"/>
                      <w:sz w:val="21"/>
                      <w:szCs w:val="21"/>
                    </w:rPr>
                  </w:pPr>
                </w:p>
              </w:tc>
              <w:tc>
                <w:tcPr>
                  <w:tcW w:w="416" w:type="dxa"/>
                  <w:vMerge w:val="restart"/>
                  <w:noWrap w:val="0"/>
                  <w:vAlign w:val="center"/>
                </w:tcPr>
                <w:p w14:paraId="7B5FA3EF">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653" w:type="dxa"/>
                  <w:vMerge w:val="restart"/>
                  <w:noWrap w:val="0"/>
                  <w:vAlign w:val="center"/>
                </w:tcPr>
                <w:p w14:paraId="3CDD64B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地坪冲洗水</w:t>
                  </w:r>
                </w:p>
              </w:tc>
              <w:tc>
                <w:tcPr>
                  <w:tcW w:w="637" w:type="dxa"/>
                  <w:noWrap w:val="0"/>
                  <w:vAlign w:val="center"/>
                </w:tcPr>
                <w:p w14:paraId="1DFC4EA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环保沟</w:t>
                  </w:r>
                </w:p>
              </w:tc>
              <w:tc>
                <w:tcPr>
                  <w:tcW w:w="1954" w:type="dxa"/>
                  <w:noWrap w:val="0"/>
                  <w:vAlign w:val="center"/>
                </w:tcPr>
                <w:p w14:paraId="6CE6CA50">
                  <w:pPr>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三条，全部拆除。</w:t>
                  </w:r>
                </w:p>
              </w:tc>
              <w:tc>
                <w:tcPr>
                  <w:tcW w:w="3685" w:type="dxa"/>
                  <w:noWrap w:val="0"/>
                  <w:vAlign w:val="center"/>
                </w:tcPr>
                <w:p w14:paraId="59B50F23">
                  <w:pPr>
                    <w:jc w:val="both"/>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罩棚</w:t>
                  </w:r>
                  <w:r>
                    <w:rPr>
                      <w:rFonts w:hint="eastAsia" w:cs="Times New Roman"/>
                      <w:color w:val="auto"/>
                      <w:sz w:val="21"/>
                      <w:szCs w:val="22"/>
                      <w:lang w:val="en-US" w:eastAsia="zh-CN"/>
                    </w:rPr>
                    <w:t>靠</w:t>
                  </w:r>
                  <w:r>
                    <w:rPr>
                      <w:rFonts w:hint="default" w:ascii="Times New Roman" w:hAnsi="Times New Roman" w:cs="Times New Roman"/>
                      <w:color w:val="auto"/>
                      <w:sz w:val="21"/>
                      <w:szCs w:val="22"/>
                    </w:rPr>
                    <w:t>边界布置，长约</w:t>
                  </w:r>
                  <w:r>
                    <w:rPr>
                      <w:rFonts w:hint="eastAsia" w:cs="Times New Roman"/>
                      <w:color w:val="auto"/>
                      <w:sz w:val="21"/>
                      <w:szCs w:val="22"/>
                      <w:lang w:val="en-US" w:eastAsia="zh-CN"/>
                    </w:rPr>
                    <w:t>100</w:t>
                  </w:r>
                  <w:r>
                    <w:rPr>
                      <w:rFonts w:hint="default" w:ascii="Times New Roman" w:hAnsi="Times New Roman" w:cs="Times New Roman"/>
                      <w:color w:val="auto"/>
                      <w:sz w:val="21"/>
                      <w:szCs w:val="22"/>
                    </w:rPr>
                    <w:t>m</w:t>
                  </w:r>
                  <w:r>
                    <w:rPr>
                      <w:rFonts w:hint="default" w:ascii="Times New Roman" w:hAnsi="Times New Roman" w:cs="Times New Roman"/>
                      <w:color w:val="auto"/>
                      <w:sz w:val="21"/>
                      <w:szCs w:val="22"/>
                      <w:lang w:eastAsia="zh-CN"/>
                    </w:rPr>
                    <w:t>。</w:t>
                  </w:r>
                </w:p>
              </w:tc>
              <w:tc>
                <w:tcPr>
                  <w:tcW w:w="702" w:type="dxa"/>
                  <w:noWrap w:val="0"/>
                  <w:vAlign w:val="center"/>
                </w:tcPr>
                <w:p w14:paraId="61165BB0">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4A5C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671" w:type="dxa"/>
                  <w:vMerge w:val="continue"/>
                  <w:noWrap w:val="0"/>
                  <w:vAlign w:val="center"/>
                </w:tcPr>
                <w:p w14:paraId="4160EACE">
                  <w:pPr>
                    <w:jc w:val="center"/>
                    <w:rPr>
                      <w:rFonts w:hint="default" w:ascii="Times New Roman" w:hAnsi="Times New Roman" w:cs="Times New Roman"/>
                      <w:color w:val="auto"/>
                      <w:sz w:val="21"/>
                      <w:szCs w:val="21"/>
                    </w:rPr>
                  </w:pPr>
                </w:p>
              </w:tc>
              <w:tc>
                <w:tcPr>
                  <w:tcW w:w="416" w:type="dxa"/>
                  <w:vMerge w:val="continue"/>
                  <w:noWrap w:val="0"/>
                  <w:vAlign w:val="center"/>
                </w:tcPr>
                <w:p w14:paraId="4FE76AE3">
                  <w:pPr>
                    <w:rPr>
                      <w:rFonts w:hint="default" w:ascii="Times New Roman" w:hAnsi="Times New Roman" w:cs="Times New Roman"/>
                      <w:color w:val="auto"/>
                      <w:sz w:val="21"/>
                      <w:szCs w:val="21"/>
                    </w:rPr>
                  </w:pPr>
                </w:p>
              </w:tc>
              <w:tc>
                <w:tcPr>
                  <w:tcW w:w="653" w:type="dxa"/>
                  <w:vMerge w:val="continue"/>
                  <w:noWrap w:val="0"/>
                  <w:vAlign w:val="center"/>
                </w:tcPr>
                <w:p w14:paraId="6493E501">
                  <w:pPr>
                    <w:jc w:val="center"/>
                    <w:rPr>
                      <w:rFonts w:hint="default" w:ascii="Times New Roman" w:hAnsi="Times New Roman" w:cs="Times New Roman"/>
                      <w:color w:val="auto"/>
                      <w:sz w:val="21"/>
                      <w:szCs w:val="21"/>
                    </w:rPr>
                  </w:pPr>
                </w:p>
              </w:tc>
              <w:tc>
                <w:tcPr>
                  <w:tcW w:w="637" w:type="dxa"/>
                  <w:noWrap w:val="0"/>
                  <w:vAlign w:val="center"/>
                </w:tcPr>
                <w:p w14:paraId="22154C4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三级</w:t>
                  </w:r>
                  <w:r>
                    <w:rPr>
                      <w:rFonts w:hint="default" w:ascii="Times New Roman" w:hAnsi="Times New Roman" w:cs="Times New Roman"/>
                      <w:color w:val="auto"/>
                      <w:sz w:val="21"/>
                      <w:szCs w:val="21"/>
                    </w:rPr>
                    <w:t>油水分离池</w:t>
                  </w:r>
                </w:p>
              </w:tc>
              <w:tc>
                <w:tcPr>
                  <w:tcW w:w="1954" w:type="dxa"/>
                  <w:noWrap w:val="0"/>
                  <w:vAlign w:val="center"/>
                </w:tcPr>
                <w:p w14:paraId="58D62033">
                  <w:pPr>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3</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eastAsia" w:ascii="Times New Roman" w:hAnsi="Times New Roman" w:cs="Times New Roman"/>
                      <w:bCs/>
                      <w:color w:val="auto"/>
                      <w:sz w:val="21"/>
                      <w:szCs w:val="21"/>
                      <w:vertAlign w:val="baseline"/>
                      <w:lang w:val="en-US" w:eastAsia="zh-CN"/>
                    </w:rPr>
                    <w:t>油水分离器一个。</w:t>
                  </w:r>
                </w:p>
              </w:tc>
              <w:tc>
                <w:tcPr>
                  <w:tcW w:w="3685" w:type="dxa"/>
                  <w:noWrap w:val="0"/>
                  <w:vAlign w:val="center"/>
                </w:tcPr>
                <w:p w14:paraId="4E4E546B">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1个，容积为</w:t>
                  </w:r>
                  <w:r>
                    <w:rPr>
                      <w:rFonts w:hint="eastAsia" w:cs="Times New Roman"/>
                      <w:color w:val="auto"/>
                      <w:sz w:val="21"/>
                      <w:szCs w:val="21"/>
                      <w:lang w:val="en-US" w:eastAsia="zh-CN"/>
                    </w:rPr>
                    <w:t>8.5</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default" w:ascii="Times New Roman" w:hAnsi="Times New Roman" w:cs="Times New Roman"/>
                      <w:color w:val="auto"/>
                      <w:sz w:val="21"/>
                      <w:szCs w:val="21"/>
                    </w:rPr>
                    <w:t>，用于处理加油站</w:t>
                  </w:r>
                  <w:r>
                    <w:rPr>
                      <w:rFonts w:hint="default" w:ascii="Times New Roman" w:hAnsi="Times New Roman" w:cs="Times New Roman"/>
                      <w:color w:val="auto"/>
                      <w:sz w:val="21"/>
                      <w:szCs w:val="21"/>
                      <w:lang w:val="en-US" w:eastAsia="zh-CN"/>
                    </w:rPr>
                    <w:t>地坪冲洗水</w:t>
                  </w:r>
                  <w:r>
                    <w:rPr>
                      <w:rFonts w:hint="eastAsia" w:cs="Times New Roman"/>
                      <w:color w:val="auto"/>
                      <w:sz w:val="21"/>
                      <w:szCs w:val="21"/>
                      <w:lang w:val="en-US" w:eastAsia="zh-CN"/>
                    </w:rPr>
                    <w:t>、初期雨水</w:t>
                  </w:r>
                  <w:r>
                    <w:rPr>
                      <w:rStyle w:val="31"/>
                      <w:rFonts w:hint="default" w:ascii="Times New Roman" w:hAnsi="Times New Roman" w:cs="Times New Roman"/>
                      <w:color w:val="auto"/>
                      <w:sz w:val="21"/>
                      <w:szCs w:val="21"/>
                    </w:rPr>
                    <w:t>。</w:t>
                  </w:r>
                </w:p>
              </w:tc>
              <w:tc>
                <w:tcPr>
                  <w:tcW w:w="702" w:type="dxa"/>
                  <w:noWrap w:val="0"/>
                  <w:vAlign w:val="center"/>
                </w:tcPr>
                <w:p w14:paraId="3CC8D25A">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50C5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continue"/>
                  <w:noWrap w:val="0"/>
                  <w:vAlign w:val="center"/>
                </w:tcPr>
                <w:p w14:paraId="7D1AAACD">
                  <w:pPr>
                    <w:jc w:val="center"/>
                    <w:rPr>
                      <w:rFonts w:hint="default" w:ascii="Times New Roman" w:hAnsi="Times New Roman" w:cs="Times New Roman"/>
                      <w:color w:val="auto"/>
                      <w:sz w:val="21"/>
                      <w:szCs w:val="21"/>
                    </w:rPr>
                  </w:pPr>
                </w:p>
              </w:tc>
              <w:tc>
                <w:tcPr>
                  <w:tcW w:w="416" w:type="dxa"/>
                  <w:vMerge w:val="continue"/>
                  <w:noWrap w:val="0"/>
                  <w:vAlign w:val="center"/>
                </w:tcPr>
                <w:p w14:paraId="1D2290B2">
                  <w:pPr>
                    <w:rPr>
                      <w:rFonts w:hint="default" w:ascii="Times New Roman" w:hAnsi="Times New Roman" w:cs="Times New Roman"/>
                      <w:color w:val="auto"/>
                      <w:sz w:val="21"/>
                      <w:szCs w:val="21"/>
                    </w:rPr>
                  </w:pPr>
                </w:p>
              </w:tc>
              <w:tc>
                <w:tcPr>
                  <w:tcW w:w="653" w:type="dxa"/>
                  <w:vMerge w:val="restart"/>
                  <w:noWrap w:val="0"/>
                  <w:vAlign w:val="center"/>
                </w:tcPr>
                <w:p w14:paraId="78B62C3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637" w:type="dxa"/>
                  <w:noWrap w:val="0"/>
                  <w:vAlign w:val="center"/>
                </w:tcPr>
                <w:p w14:paraId="02FAC9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隔油池</w:t>
                  </w:r>
                </w:p>
              </w:tc>
              <w:tc>
                <w:tcPr>
                  <w:tcW w:w="1954" w:type="dxa"/>
                  <w:noWrap w:val="0"/>
                  <w:vAlign w:val="center"/>
                </w:tcPr>
                <w:p w14:paraId="7BFEB9CB">
                  <w:pPr>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3685" w:type="dxa"/>
                  <w:noWrap w:val="0"/>
                  <w:vAlign w:val="center"/>
                </w:tcPr>
                <w:p w14:paraId="2CCB5599">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1个，容积为0.</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m³，位于</w:t>
                  </w:r>
                  <w:r>
                    <w:rPr>
                      <w:rFonts w:hint="eastAsia" w:cs="Times New Roman"/>
                      <w:color w:val="auto"/>
                      <w:sz w:val="21"/>
                      <w:szCs w:val="21"/>
                      <w:lang w:val="en-US" w:eastAsia="zh-CN"/>
                    </w:rPr>
                    <w:t>东南</w:t>
                  </w:r>
                  <w:r>
                    <w:rPr>
                      <w:rFonts w:hint="default" w:ascii="Times New Roman" w:hAnsi="Times New Roman" w:cs="Times New Roman"/>
                      <w:color w:val="auto"/>
                      <w:sz w:val="21"/>
                      <w:szCs w:val="21"/>
                      <w:lang w:val="en-US" w:eastAsia="zh-CN"/>
                    </w:rPr>
                    <w:t>侧</w:t>
                  </w:r>
                  <w:r>
                    <w:rPr>
                      <w:rFonts w:hint="default" w:ascii="Times New Roman" w:hAnsi="Times New Roman" w:cs="Times New Roman"/>
                      <w:color w:val="auto"/>
                      <w:sz w:val="21"/>
                      <w:szCs w:val="21"/>
                    </w:rPr>
                    <w:t>，用于处理站房厨房餐饮废水</w:t>
                  </w:r>
                  <w:r>
                    <w:rPr>
                      <w:rStyle w:val="31"/>
                      <w:rFonts w:hint="default" w:ascii="Times New Roman" w:hAnsi="Times New Roman" w:cs="Times New Roman"/>
                      <w:color w:val="auto"/>
                      <w:sz w:val="21"/>
                      <w:szCs w:val="21"/>
                    </w:rPr>
                    <w:t>（废水通过隔油池处理后排入</w:t>
                  </w:r>
                  <w:r>
                    <w:rPr>
                      <w:rFonts w:hint="default" w:ascii="Times New Roman" w:hAnsi="Times New Roman" w:cs="Times New Roman"/>
                      <w:color w:val="auto"/>
                      <w:sz w:val="21"/>
                      <w:szCs w:val="21"/>
                      <w:lang w:bidi="ar"/>
                    </w:rPr>
                    <w:t>项目区化粪池</w:t>
                  </w:r>
                  <w:r>
                    <w:rPr>
                      <w:rStyle w:val="31"/>
                      <w:rFonts w:hint="default" w:ascii="Times New Roman" w:hAnsi="Times New Roman" w:cs="Times New Roman"/>
                      <w:color w:val="auto"/>
                      <w:sz w:val="21"/>
                      <w:szCs w:val="21"/>
                    </w:rPr>
                    <w:t>）</w:t>
                  </w:r>
                  <w:r>
                    <w:rPr>
                      <w:rStyle w:val="31"/>
                      <w:rFonts w:hint="default" w:ascii="Times New Roman" w:hAnsi="Times New Roman" w:cs="Times New Roman"/>
                      <w:color w:val="auto"/>
                      <w:sz w:val="21"/>
                      <w:szCs w:val="21"/>
                      <w:lang w:eastAsia="zh-CN"/>
                    </w:rPr>
                    <w:t>。</w:t>
                  </w:r>
                </w:p>
              </w:tc>
              <w:tc>
                <w:tcPr>
                  <w:tcW w:w="702" w:type="dxa"/>
                  <w:noWrap w:val="0"/>
                  <w:vAlign w:val="center"/>
                </w:tcPr>
                <w:p w14:paraId="1CC6DE0E">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61DC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71" w:type="dxa"/>
                  <w:vMerge w:val="continue"/>
                  <w:noWrap w:val="0"/>
                  <w:vAlign w:val="center"/>
                </w:tcPr>
                <w:p w14:paraId="770241AC">
                  <w:pPr>
                    <w:jc w:val="center"/>
                    <w:rPr>
                      <w:rFonts w:hint="default" w:ascii="Times New Roman" w:hAnsi="Times New Roman" w:cs="Times New Roman"/>
                      <w:color w:val="auto"/>
                      <w:sz w:val="21"/>
                      <w:szCs w:val="21"/>
                    </w:rPr>
                  </w:pPr>
                </w:p>
              </w:tc>
              <w:tc>
                <w:tcPr>
                  <w:tcW w:w="416" w:type="dxa"/>
                  <w:vMerge w:val="continue"/>
                  <w:noWrap w:val="0"/>
                  <w:vAlign w:val="center"/>
                </w:tcPr>
                <w:p w14:paraId="01AD27F3">
                  <w:pPr>
                    <w:rPr>
                      <w:rFonts w:hint="default" w:ascii="Times New Roman" w:hAnsi="Times New Roman" w:cs="Times New Roman"/>
                      <w:color w:val="auto"/>
                      <w:sz w:val="21"/>
                      <w:szCs w:val="21"/>
                    </w:rPr>
                  </w:pPr>
                </w:p>
              </w:tc>
              <w:tc>
                <w:tcPr>
                  <w:tcW w:w="653" w:type="dxa"/>
                  <w:vMerge w:val="continue"/>
                  <w:noWrap w:val="0"/>
                  <w:vAlign w:val="center"/>
                </w:tcPr>
                <w:p w14:paraId="4A395028">
                  <w:pPr>
                    <w:jc w:val="center"/>
                    <w:rPr>
                      <w:rFonts w:hint="default" w:ascii="Times New Roman" w:hAnsi="Times New Roman" w:cs="Times New Roman"/>
                      <w:color w:val="auto"/>
                      <w:sz w:val="21"/>
                      <w:szCs w:val="21"/>
                    </w:rPr>
                  </w:pPr>
                </w:p>
              </w:tc>
              <w:tc>
                <w:tcPr>
                  <w:tcW w:w="637" w:type="dxa"/>
                  <w:noWrap w:val="0"/>
                  <w:vAlign w:val="center"/>
                </w:tcPr>
                <w:p w14:paraId="50488C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w:t>
                  </w:r>
                </w:p>
              </w:tc>
              <w:tc>
                <w:tcPr>
                  <w:tcW w:w="1954" w:type="dxa"/>
                  <w:noWrap w:val="0"/>
                  <w:vAlign w:val="center"/>
                </w:tcPr>
                <w:p w14:paraId="5E1ED85D">
                  <w:pPr>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1.5</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eastAsia" w:ascii="Times New Roman" w:hAnsi="Times New Roman" w:cs="Times New Roman"/>
                      <w:bCs/>
                      <w:color w:val="auto"/>
                      <w:sz w:val="21"/>
                      <w:szCs w:val="21"/>
                      <w:vertAlign w:val="baseline"/>
                      <w:lang w:eastAsia="zh-CN"/>
                    </w:rPr>
                    <w:t>，</w:t>
                  </w:r>
                  <w:r>
                    <w:rPr>
                      <w:rFonts w:hint="eastAsia" w:ascii="Times New Roman" w:hAnsi="Times New Roman" w:cs="Times New Roman"/>
                      <w:bCs/>
                      <w:color w:val="auto"/>
                      <w:sz w:val="21"/>
                      <w:szCs w:val="21"/>
                      <w:vertAlign w:val="baseline"/>
                      <w:lang w:val="en-US" w:eastAsia="zh-CN"/>
                    </w:rPr>
                    <w:t>拆除。</w:t>
                  </w:r>
                </w:p>
              </w:tc>
              <w:tc>
                <w:tcPr>
                  <w:tcW w:w="3685" w:type="dxa"/>
                  <w:noWrap w:val="0"/>
                  <w:vAlign w:val="center"/>
                </w:tcPr>
                <w:p w14:paraId="48DB5A3C">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1个，容积为</w:t>
                  </w:r>
                  <w:r>
                    <w:rPr>
                      <w:rFonts w:hint="eastAsia" w:cs="Times New Roman"/>
                      <w:color w:val="auto"/>
                      <w:sz w:val="21"/>
                      <w:szCs w:val="21"/>
                      <w:lang w:val="en-US" w:eastAsia="zh-CN"/>
                    </w:rPr>
                    <w:t>11</w:t>
                  </w:r>
                  <w:r>
                    <w:rPr>
                      <w:rFonts w:hint="default" w:ascii="Times New Roman" w:hAnsi="Times New Roman" w:cs="Times New Roman"/>
                      <w:color w:val="auto"/>
                      <w:sz w:val="21"/>
                      <w:szCs w:val="21"/>
                    </w:rPr>
                    <w:t>m³，</w:t>
                  </w:r>
                  <w:r>
                    <w:rPr>
                      <w:rFonts w:hint="eastAsia" w:cs="Times New Roman"/>
                      <w:color w:val="auto"/>
                      <w:sz w:val="21"/>
                      <w:szCs w:val="21"/>
                      <w:lang w:eastAsia="zh-CN"/>
                    </w:rPr>
                    <w:t>位于</w:t>
                  </w:r>
                  <w:r>
                    <w:rPr>
                      <w:rFonts w:hint="eastAsia" w:cs="Times New Roman"/>
                      <w:color w:val="auto"/>
                      <w:sz w:val="21"/>
                      <w:szCs w:val="21"/>
                      <w:lang w:val="en-US" w:eastAsia="zh-CN"/>
                    </w:rPr>
                    <w:t>东南</w:t>
                  </w:r>
                  <w:r>
                    <w:rPr>
                      <w:rFonts w:hint="default" w:ascii="Times New Roman" w:hAnsi="Times New Roman" w:cs="Times New Roman"/>
                      <w:color w:val="auto"/>
                      <w:sz w:val="21"/>
                      <w:szCs w:val="21"/>
                      <w:lang w:val="en-US" w:eastAsia="zh-CN"/>
                    </w:rPr>
                    <w:t>侧</w:t>
                  </w:r>
                  <w:r>
                    <w:rPr>
                      <w:rFonts w:hint="eastAsia" w:cs="Times New Roman"/>
                      <w:color w:val="auto"/>
                      <w:sz w:val="21"/>
                      <w:szCs w:val="21"/>
                      <w:lang w:val="en-US" w:eastAsia="zh-CN"/>
                    </w:rPr>
                    <w:t>。</w:t>
                  </w:r>
                </w:p>
              </w:tc>
              <w:tc>
                <w:tcPr>
                  <w:tcW w:w="702" w:type="dxa"/>
                  <w:noWrap w:val="0"/>
                  <w:vAlign w:val="center"/>
                </w:tcPr>
                <w:p w14:paraId="13FC893B">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0C6C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71" w:type="dxa"/>
                  <w:vMerge w:val="continue"/>
                  <w:noWrap w:val="0"/>
                  <w:vAlign w:val="top"/>
                </w:tcPr>
                <w:p w14:paraId="15EBB85C">
                  <w:pPr>
                    <w:rPr>
                      <w:rFonts w:hint="default" w:ascii="Times New Roman" w:hAnsi="Times New Roman" w:cs="Times New Roman"/>
                      <w:color w:val="auto"/>
                      <w:sz w:val="21"/>
                      <w:szCs w:val="21"/>
                    </w:rPr>
                  </w:pPr>
                </w:p>
              </w:tc>
              <w:tc>
                <w:tcPr>
                  <w:tcW w:w="416" w:type="dxa"/>
                  <w:vMerge w:val="restart"/>
                  <w:noWrap w:val="0"/>
                  <w:vAlign w:val="center"/>
                </w:tcPr>
                <w:p w14:paraId="6B1EDAF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290" w:type="dxa"/>
                  <w:gridSpan w:val="2"/>
                  <w:noWrap w:val="0"/>
                  <w:vAlign w:val="center"/>
                </w:tcPr>
                <w:p w14:paraId="258D74D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w:t>
                  </w:r>
                </w:p>
                <w:p w14:paraId="7896B6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w:t>
                  </w:r>
                </w:p>
              </w:tc>
              <w:tc>
                <w:tcPr>
                  <w:tcW w:w="1954" w:type="dxa"/>
                  <w:noWrap w:val="0"/>
                  <w:vAlign w:val="center"/>
                </w:tcPr>
                <w:p w14:paraId="4D90E7AF">
                  <w:pPr>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2个垃圾桶，拆除。</w:t>
                  </w:r>
                </w:p>
              </w:tc>
              <w:tc>
                <w:tcPr>
                  <w:tcW w:w="3685" w:type="dxa"/>
                  <w:noWrap w:val="0"/>
                  <w:vAlign w:val="center"/>
                </w:tcPr>
                <w:p w14:paraId="4584319D">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加油站设置若干个生活垃圾收集桶，项目运营期间产生的生活垃圾经收集后交环卫部门定期清运处理。垃圾箱应加盖，做到防雨、防风</w:t>
                  </w:r>
                  <w:r>
                    <w:rPr>
                      <w:rFonts w:hint="default" w:ascii="Times New Roman" w:hAnsi="Times New Roman" w:cs="Times New Roman"/>
                      <w:color w:val="auto"/>
                      <w:sz w:val="21"/>
                      <w:szCs w:val="21"/>
                      <w:lang w:eastAsia="zh-CN"/>
                    </w:rPr>
                    <w:t>。</w:t>
                  </w:r>
                </w:p>
              </w:tc>
              <w:tc>
                <w:tcPr>
                  <w:tcW w:w="702" w:type="dxa"/>
                  <w:noWrap w:val="0"/>
                  <w:vAlign w:val="center"/>
                </w:tcPr>
                <w:p w14:paraId="604C8B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w:t>
                  </w:r>
                  <w:r>
                    <w:rPr>
                      <w:rFonts w:hint="default" w:ascii="Times New Roman" w:hAnsi="Times New Roman" w:cs="Times New Roman"/>
                      <w:color w:val="auto"/>
                      <w:sz w:val="21"/>
                      <w:szCs w:val="21"/>
                    </w:rPr>
                    <w:t>建</w:t>
                  </w:r>
                </w:p>
              </w:tc>
            </w:tr>
            <w:tr w14:paraId="7E30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71" w:type="dxa"/>
                  <w:vMerge w:val="continue"/>
                  <w:noWrap w:val="0"/>
                  <w:vAlign w:val="top"/>
                </w:tcPr>
                <w:p w14:paraId="2C07F9AF">
                  <w:pPr>
                    <w:rPr>
                      <w:rFonts w:hint="default" w:ascii="Times New Roman" w:hAnsi="Times New Roman" w:cs="Times New Roman"/>
                      <w:color w:val="auto"/>
                      <w:sz w:val="21"/>
                      <w:szCs w:val="21"/>
                    </w:rPr>
                  </w:pPr>
                </w:p>
              </w:tc>
              <w:tc>
                <w:tcPr>
                  <w:tcW w:w="416" w:type="dxa"/>
                  <w:vMerge w:val="continue"/>
                  <w:noWrap w:val="0"/>
                  <w:vAlign w:val="center"/>
                </w:tcPr>
                <w:p w14:paraId="64C05853">
                  <w:pPr>
                    <w:jc w:val="center"/>
                    <w:rPr>
                      <w:rFonts w:hint="default" w:ascii="Times New Roman" w:hAnsi="Times New Roman" w:cs="Times New Roman"/>
                      <w:color w:val="auto"/>
                      <w:sz w:val="21"/>
                      <w:szCs w:val="21"/>
                    </w:rPr>
                  </w:pPr>
                </w:p>
              </w:tc>
              <w:tc>
                <w:tcPr>
                  <w:tcW w:w="1290" w:type="dxa"/>
                  <w:gridSpan w:val="2"/>
                  <w:noWrap w:val="0"/>
                  <w:vAlign w:val="center"/>
                </w:tcPr>
                <w:p w14:paraId="6F63198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w:t>
                  </w:r>
                </w:p>
                <w:p w14:paraId="122951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w:t>
                  </w:r>
                </w:p>
              </w:tc>
              <w:tc>
                <w:tcPr>
                  <w:tcW w:w="1954" w:type="dxa"/>
                  <w:noWrap w:val="0"/>
                  <w:vAlign w:val="center"/>
                </w:tcPr>
                <w:p w14:paraId="7D961FF6">
                  <w:pPr>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设</w:t>
                  </w:r>
                  <w:r>
                    <w:rPr>
                      <w:rFonts w:hint="eastAsia" w:cs="Times New Roman"/>
                      <w:color w:val="auto"/>
                      <w:sz w:val="21"/>
                      <w:szCs w:val="21"/>
                      <w:lang w:val="en-US" w:eastAsia="zh-CN"/>
                    </w:rPr>
                    <w:t>有</w:t>
                  </w:r>
                  <w:r>
                    <w:rPr>
                      <w:rFonts w:hint="default" w:ascii="Times New Roman" w:hAnsi="Times New Roman" w:cs="Times New Roman"/>
                      <w:color w:val="auto"/>
                      <w:sz w:val="21"/>
                      <w:szCs w:val="21"/>
                    </w:rPr>
                    <w:t>1个</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kern w:val="1"/>
                      <w:sz w:val="21"/>
                      <w:szCs w:val="21"/>
                    </w:rPr>
                    <w:t>m</w:t>
                  </w:r>
                  <w:r>
                    <w:rPr>
                      <w:rFonts w:hint="default" w:ascii="Times New Roman" w:hAnsi="Times New Roman" w:cs="Times New Roman"/>
                      <w:color w:val="auto"/>
                      <w:kern w:val="1"/>
                      <w:sz w:val="21"/>
                      <w:szCs w:val="21"/>
                      <w:vertAlign w:val="superscript"/>
                    </w:rPr>
                    <w:t>2</w:t>
                  </w:r>
                  <w:r>
                    <w:rPr>
                      <w:rFonts w:hint="eastAsia" w:cs="Times New Roman"/>
                      <w:color w:val="auto"/>
                      <w:sz w:val="21"/>
                      <w:szCs w:val="21"/>
                      <w:lang w:eastAsia="zh-CN"/>
                    </w:rPr>
                    <w:t>危废暂存点，</w:t>
                  </w:r>
                  <w:r>
                    <w:rPr>
                      <w:rFonts w:hint="eastAsia" w:cs="Times New Roman"/>
                      <w:color w:val="auto"/>
                      <w:sz w:val="21"/>
                      <w:szCs w:val="21"/>
                      <w:lang w:val="en-US" w:eastAsia="zh-CN"/>
                    </w:rPr>
                    <w:t>拆除。</w:t>
                  </w:r>
                </w:p>
              </w:tc>
              <w:tc>
                <w:tcPr>
                  <w:tcW w:w="3685" w:type="dxa"/>
                  <w:noWrap w:val="0"/>
                  <w:vAlign w:val="center"/>
                </w:tcPr>
                <w:p w14:paraId="6FBFE4CA">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设置1个</w:t>
                  </w:r>
                  <w:r>
                    <w:rPr>
                      <w:rFonts w:hint="eastAsia" w:cs="Times New Roman"/>
                      <w:color w:val="auto"/>
                      <w:sz w:val="21"/>
                      <w:szCs w:val="21"/>
                      <w:lang w:eastAsia="zh-CN"/>
                    </w:rPr>
                    <w:t>危废暂存点</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占地</w:t>
                  </w:r>
                  <w:r>
                    <w:rPr>
                      <w:rFonts w:hint="default" w:ascii="Times New Roman" w:hAnsi="Times New Roman" w:cs="Times New Roman"/>
                      <w:color w:val="auto"/>
                      <w:sz w:val="21"/>
                      <w:szCs w:val="21"/>
                    </w:rPr>
                    <w:t>面积为</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kern w:val="1"/>
                      <w:sz w:val="21"/>
                      <w:szCs w:val="21"/>
                    </w:rPr>
                    <w:t>m</w:t>
                  </w:r>
                  <w:r>
                    <w:rPr>
                      <w:rFonts w:hint="default" w:ascii="Times New Roman" w:hAnsi="Times New Roman" w:cs="Times New Roman"/>
                      <w:color w:val="auto"/>
                      <w:kern w:val="1"/>
                      <w:sz w:val="21"/>
                      <w:szCs w:val="21"/>
                      <w:vertAlign w:val="superscript"/>
                    </w:rPr>
                    <w:t>2</w:t>
                  </w:r>
                  <w:r>
                    <w:rPr>
                      <w:rFonts w:hint="default" w:ascii="Times New Roman" w:hAnsi="Times New Roman" w:cs="Times New Roman"/>
                      <w:color w:val="auto"/>
                      <w:sz w:val="21"/>
                      <w:szCs w:val="21"/>
                    </w:rPr>
                    <w:t>，位于</w:t>
                  </w:r>
                  <w:r>
                    <w:rPr>
                      <w:rFonts w:hint="default" w:ascii="Times New Roman" w:hAnsi="Times New Roman" w:cs="Times New Roman"/>
                      <w:color w:val="auto"/>
                      <w:sz w:val="21"/>
                      <w:szCs w:val="21"/>
                      <w:lang w:val="en-US" w:eastAsia="zh-CN"/>
                    </w:rPr>
                    <w:t>东</w:t>
                  </w:r>
                  <w:r>
                    <w:rPr>
                      <w:rFonts w:hint="eastAsia" w:cs="Times New Roman"/>
                      <w:color w:val="auto"/>
                      <w:sz w:val="21"/>
                      <w:szCs w:val="21"/>
                      <w:lang w:val="en-US" w:eastAsia="zh-CN"/>
                    </w:rPr>
                    <w:t>北</w:t>
                  </w:r>
                  <w:r>
                    <w:rPr>
                      <w:rFonts w:hint="default" w:ascii="Times New Roman" w:hAnsi="Times New Roman" w:cs="Times New Roman"/>
                      <w:color w:val="auto"/>
                      <w:sz w:val="21"/>
                      <w:szCs w:val="21"/>
                      <w:lang w:val="en-US" w:eastAsia="zh-CN"/>
                    </w:rPr>
                    <w:t>侧</w:t>
                  </w:r>
                  <w:r>
                    <w:rPr>
                      <w:rFonts w:hint="default" w:ascii="Times New Roman" w:hAnsi="Times New Roman" w:cs="Times New Roman"/>
                      <w:color w:val="auto"/>
                      <w:sz w:val="21"/>
                      <w:szCs w:val="21"/>
                    </w:rPr>
                    <w:t>。</w:t>
                  </w: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rPr>
                    <w:t>的基础地面必须防渗，防渗层为至少1m厚粘土层（渗透系数≤10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cm/s），或2mm厚高密度聚乙烯，或至少2mm厚的其它人工材料，渗透系数≤10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default" w:ascii="Times New Roman" w:hAnsi="Times New Roman" w:cs="Times New Roman"/>
                      <w:color w:val="auto"/>
                      <w:sz w:val="21"/>
                      <w:szCs w:val="21"/>
                    </w:rPr>
                    <w:t>设置危险废物标识、台账、专用分类存放容器</w:t>
                  </w:r>
                  <w:r>
                    <w:rPr>
                      <w:rFonts w:hint="default" w:ascii="Times New Roman" w:hAnsi="Times New Roman" w:cs="Times New Roman"/>
                      <w:color w:val="auto"/>
                      <w:sz w:val="21"/>
                      <w:szCs w:val="21"/>
                      <w:lang w:eastAsia="zh-CN"/>
                    </w:rPr>
                    <w:t>。</w:t>
                  </w:r>
                </w:p>
              </w:tc>
              <w:tc>
                <w:tcPr>
                  <w:tcW w:w="702" w:type="dxa"/>
                  <w:noWrap w:val="0"/>
                  <w:vAlign w:val="center"/>
                </w:tcPr>
                <w:p w14:paraId="0CD20670">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新建</w:t>
                  </w:r>
                </w:p>
              </w:tc>
            </w:tr>
            <w:tr w14:paraId="1041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1" w:type="dxa"/>
                  <w:vMerge w:val="continue"/>
                  <w:noWrap w:val="0"/>
                  <w:vAlign w:val="top"/>
                </w:tcPr>
                <w:p w14:paraId="69F62A13">
                  <w:pPr>
                    <w:rPr>
                      <w:rFonts w:hint="default" w:ascii="Times New Roman" w:hAnsi="Times New Roman" w:cs="Times New Roman"/>
                      <w:color w:val="auto"/>
                      <w:sz w:val="21"/>
                      <w:szCs w:val="21"/>
                    </w:rPr>
                  </w:pPr>
                </w:p>
              </w:tc>
              <w:tc>
                <w:tcPr>
                  <w:tcW w:w="416" w:type="dxa"/>
                  <w:vMerge w:val="restart"/>
                  <w:noWrap w:val="0"/>
                  <w:vAlign w:val="center"/>
                </w:tcPr>
                <w:p w14:paraId="3553003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290" w:type="dxa"/>
                  <w:gridSpan w:val="2"/>
                  <w:noWrap w:val="0"/>
                  <w:vAlign w:val="center"/>
                </w:tcPr>
                <w:p w14:paraId="2B55A80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车辆噪声</w:t>
                  </w:r>
                </w:p>
              </w:tc>
              <w:tc>
                <w:tcPr>
                  <w:tcW w:w="5639" w:type="dxa"/>
                  <w:gridSpan w:val="2"/>
                  <w:noWrap w:val="0"/>
                  <w:vAlign w:val="center"/>
                </w:tcPr>
                <w:p w14:paraId="75A9B5EA">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站内设“限速”</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“禁鸣”标识</w:t>
                  </w:r>
                  <w:r>
                    <w:rPr>
                      <w:rFonts w:hint="default" w:ascii="Times New Roman" w:hAnsi="Times New Roman" w:cs="Times New Roman"/>
                      <w:color w:val="auto"/>
                      <w:sz w:val="21"/>
                      <w:szCs w:val="21"/>
                      <w:lang w:eastAsia="zh-CN"/>
                    </w:rPr>
                    <w:t>。</w:t>
                  </w:r>
                </w:p>
              </w:tc>
              <w:tc>
                <w:tcPr>
                  <w:tcW w:w="702" w:type="dxa"/>
                  <w:noWrap w:val="0"/>
                  <w:vAlign w:val="center"/>
                </w:tcPr>
                <w:p w14:paraId="51CB3625">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14:paraId="469E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1" w:type="dxa"/>
                  <w:vMerge w:val="continue"/>
                  <w:noWrap w:val="0"/>
                  <w:vAlign w:val="top"/>
                </w:tcPr>
                <w:p w14:paraId="74F2DD18">
                  <w:pPr>
                    <w:jc w:val="center"/>
                    <w:rPr>
                      <w:rFonts w:hint="default" w:ascii="Times New Roman" w:hAnsi="Times New Roman" w:cs="Times New Roman"/>
                      <w:color w:val="auto"/>
                      <w:sz w:val="21"/>
                      <w:szCs w:val="21"/>
                    </w:rPr>
                  </w:pPr>
                </w:p>
              </w:tc>
              <w:tc>
                <w:tcPr>
                  <w:tcW w:w="416" w:type="dxa"/>
                  <w:vMerge w:val="continue"/>
                  <w:noWrap w:val="0"/>
                  <w:vAlign w:val="center"/>
                </w:tcPr>
                <w:p w14:paraId="00AFD1EE">
                  <w:pPr>
                    <w:jc w:val="center"/>
                    <w:rPr>
                      <w:rFonts w:hint="default" w:ascii="Times New Roman" w:hAnsi="Times New Roman" w:cs="Times New Roman"/>
                      <w:color w:val="auto"/>
                      <w:sz w:val="21"/>
                      <w:szCs w:val="21"/>
                    </w:rPr>
                  </w:pPr>
                </w:p>
              </w:tc>
              <w:tc>
                <w:tcPr>
                  <w:tcW w:w="1290" w:type="dxa"/>
                  <w:gridSpan w:val="2"/>
                  <w:noWrap w:val="0"/>
                  <w:vAlign w:val="center"/>
                </w:tcPr>
                <w:p w14:paraId="7D49CDA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5639" w:type="dxa"/>
                  <w:gridSpan w:val="2"/>
                  <w:noWrap w:val="0"/>
                  <w:vAlign w:val="center"/>
                </w:tcPr>
                <w:p w14:paraId="07858FDF">
                  <w:pPr>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选用低噪声设备，加强对产噪设备的维修、保养</w:t>
                  </w:r>
                  <w:r>
                    <w:rPr>
                      <w:rFonts w:hint="default" w:ascii="Times New Roman" w:hAnsi="Times New Roman" w:cs="Times New Roman"/>
                      <w:color w:val="auto"/>
                      <w:sz w:val="21"/>
                      <w:szCs w:val="21"/>
                      <w:lang w:eastAsia="zh-CN"/>
                    </w:rPr>
                    <w:t>。</w:t>
                  </w:r>
                </w:p>
              </w:tc>
              <w:tc>
                <w:tcPr>
                  <w:tcW w:w="702" w:type="dxa"/>
                  <w:noWrap w:val="0"/>
                  <w:vAlign w:val="center"/>
                </w:tcPr>
                <w:p w14:paraId="1CF2F063">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新建</w:t>
                  </w:r>
                </w:p>
              </w:tc>
            </w:tr>
            <w:tr w14:paraId="306D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671" w:type="dxa"/>
                  <w:vMerge w:val="continue"/>
                  <w:noWrap w:val="0"/>
                  <w:vAlign w:val="top"/>
                </w:tcPr>
                <w:p w14:paraId="41B891ED">
                  <w:pPr>
                    <w:rPr>
                      <w:rFonts w:hint="default" w:ascii="Times New Roman" w:hAnsi="Times New Roman" w:cs="Times New Roman"/>
                      <w:color w:val="auto"/>
                      <w:sz w:val="21"/>
                      <w:szCs w:val="21"/>
                    </w:rPr>
                  </w:pPr>
                </w:p>
              </w:tc>
              <w:tc>
                <w:tcPr>
                  <w:tcW w:w="416" w:type="dxa"/>
                  <w:noWrap w:val="0"/>
                  <w:vAlign w:val="center"/>
                </w:tcPr>
                <w:p w14:paraId="134E32B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1290" w:type="dxa"/>
                  <w:gridSpan w:val="2"/>
                  <w:noWrap w:val="0"/>
                  <w:vAlign w:val="center"/>
                </w:tcPr>
                <w:p w14:paraId="3B5CDD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w:t>
                  </w:r>
                </w:p>
              </w:tc>
              <w:tc>
                <w:tcPr>
                  <w:tcW w:w="1954" w:type="dxa"/>
                  <w:noWrap w:val="0"/>
                  <w:vAlign w:val="center"/>
                </w:tcPr>
                <w:p w14:paraId="7AC5E2D9">
                  <w:pPr>
                    <w:jc w:val="both"/>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无</w:t>
                  </w:r>
                </w:p>
              </w:tc>
              <w:tc>
                <w:tcPr>
                  <w:tcW w:w="3685" w:type="dxa"/>
                  <w:noWrap w:val="0"/>
                  <w:vAlign w:val="center"/>
                </w:tcPr>
                <w:p w14:paraId="166529C8">
                  <w:pPr>
                    <w:jc w:val="both"/>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站内种植灌木及当地常见花、草（不得种植油性植物），绿化面积</w:t>
                  </w:r>
                  <w:r>
                    <w:rPr>
                      <w:rFonts w:hint="eastAsia" w:cs="Times New Roman"/>
                      <w:bCs/>
                      <w:color w:val="auto"/>
                      <w:sz w:val="21"/>
                      <w:szCs w:val="21"/>
                      <w:lang w:val="en-US" w:eastAsia="zh-CN"/>
                    </w:rPr>
                    <w:t>507.23</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vertAlign w:val="baseline"/>
                      <w:lang w:eastAsia="zh-CN"/>
                    </w:rPr>
                    <w:t>。</w:t>
                  </w:r>
                </w:p>
              </w:tc>
              <w:tc>
                <w:tcPr>
                  <w:tcW w:w="702" w:type="dxa"/>
                  <w:noWrap w:val="0"/>
                  <w:vAlign w:val="center"/>
                </w:tcPr>
                <w:p w14:paraId="4668A9A6">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14:paraId="5D62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Merge w:val="continue"/>
                  <w:noWrap w:val="0"/>
                  <w:vAlign w:val="top"/>
                </w:tcPr>
                <w:p w14:paraId="797E0F89">
                  <w:pPr>
                    <w:rPr>
                      <w:rFonts w:hint="default" w:ascii="Times New Roman" w:hAnsi="Times New Roman" w:cs="Times New Roman"/>
                      <w:color w:val="auto"/>
                      <w:sz w:val="21"/>
                      <w:szCs w:val="21"/>
                    </w:rPr>
                  </w:pPr>
                </w:p>
              </w:tc>
              <w:tc>
                <w:tcPr>
                  <w:tcW w:w="416" w:type="dxa"/>
                  <w:vMerge w:val="restart"/>
                  <w:noWrap w:val="0"/>
                  <w:vAlign w:val="center"/>
                </w:tcPr>
                <w:p w14:paraId="29BA675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地下水污染防治措施</w:t>
                  </w:r>
                </w:p>
              </w:tc>
              <w:tc>
                <w:tcPr>
                  <w:tcW w:w="1290" w:type="dxa"/>
                  <w:gridSpan w:val="2"/>
                  <w:noWrap w:val="0"/>
                  <w:vAlign w:val="center"/>
                </w:tcPr>
                <w:p w14:paraId="01A1AA96">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防渗</w:t>
                  </w:r>
                </w:p>
                <w:p w14:paraId="746EAED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工程</w:t>
                  </w:r>
                </w:p>
              </w:tc>
              <w:tc>
                <w:tcPr>
                  <w:tcW w:w="1954" w:type="dxa"/>
                  <w:noWrap w:val="0"/>
                  <w:vAlign w:val="center"/>
                </w:tcPr>
                <w:p w14:paraId="0F2CE185">
                  <w:pPr>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硬化。全部拆除。</w:t>
                  </w:r>
                </w:p>
              </w:tc>
              <w:tc>
                <w:tcPr>
                  <w:tcW w:w="3685" w:type="dxa"/>
                  <w:noWrap w:val="0"/>
                  <w:vAlign w:val="center"/>
                </w:tcPr>
                <w:p w14:paraId="6E776AE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重点防渗区：包含储油罐区、输油管线及</w:t>
                  </w: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三级油水分离池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储油罐区、输油管线要求防渗层防渗性能应达到等效黏土防渗层Mb≥6.0m，防渗系数K≤1.0×10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cm/s的防渗水平；</w:t>
                  </w: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rPr>
                    <w:t>的基础地面必须防渗，防渗层为至少1m厚粘土层（渗透系数≤10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cm/s），或2mm厚高密度聚乙烯，或至少2mm厚的其它人工材料，渗透系数≤10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p>
                <w:p w14:paraId="49CE5377">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一般防渗区：包含加油区、环保沟、卸油区、隔油池、化粪池等区域。防渗层防渗性能应达到等效黏土防渗层Mb≥1.5m，防渗系数K≤1.0×10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cm/s的防渗水平。</w:t>
                  </w:r>
                </w:p>
                <w:p w14:paraId="7B474CB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简单防渗区：主要为站房地面及场区除绿化用地外进行一般的地面硬化处理。</w:t>
                  </w:r>
                </w:p>
              </w:tc>
              <w:tc>
                <w:tcPr>
                  <w:tcW w:w="702" w:type="dxa"/>
                  <w:noWrap w:val="0"/>
                  <w:vAlign w:val="center"/>
                </w:tcPr>
                <w:p w14:paraId="4518FD91">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14:paraId="50A0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71" w:type="dxa"/>
                  <w:vMerge w:val="continue"/>
                  <w:noWrap w:val="0"/>
                  <w:vAlign w:val="top"/>
                </w:tcPr>
                <w:p w14:paraId="01F5A29B">
                  <w:pPr>
                    <w:rPr>
                      <w:rFonts w:hint="default" w:ascii="Times New Roman" w:hAnsi="Times New Roman" w:cs="Times New Roman"/>
                      <w:color w:val="auto"/>
                      <w:sz w:val="21"/>
                      <w:szCs w:val="21"/>
                    </w:rPr>
                  </w:pPr>
                </w:p>
              </w:tc>
              <w:tc>
                <w:tcPr>
                  <w:tcW w:w="416" w:type="dxa"/>
                  <w:vMerge w:val="continue"/>
                  <w:noWrap w:val="0"/>
                  <w:vAlign w:val="center"/>
                </w:tcPr>
                <w:p w14:paraId="148D6586">
                  <w:pPr>
                    <w:jc w:val="center"/>
                    <w:rPr>
                      <w:rFonts w:hint="default" w:ascii="Times New Roman" w:hAnsi="Times New Roman" w:cs="Times New Roman"/>
                      <w:color w:val="auto"/>
                      <w:sz w:val="21"/>
                      <w:szCs w:val="21"/>
                    </w:rPr>
                  </w:pPr>
                </w:p>
              </w:tc>
              <w:tc>
                <w:tcPr>
                  <w:tcW w:w="1290" w:type="dxa"/>
                  <w:gridSpan w:val="2"/>
                  <w:noWrap w:val="0"/>
                  <w:vAlign w:val="center"/>
                </w:tcPr>
                <w:p w14:paraId="0CA72EAA">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跟踪监测井</w:t>
                  </w:r>
                </w:p>
              </w:tc>
              <w:tc>
                <w:tcPr>
                  <w:tcW w:w="1954" w:type="dxa"/>
                  <w:noWrap w:val="0"/>
                  <w:vAlign w:val="center"/>
                </w:tcPr>
                <w:p w14:paraId="15FFE184">
                  <w:pPr>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设有</w:t>
                  </w:r>
                  <w:r>
                    <w:rPr>
                      <w:rFonts w:hint="default" w:ascii="Times New Roman" w:hAnsi="Times New Roman" w:eastAsia="宋体" w:cs="Times New Roman"/>
                      <w:color w:val="auto"/>
                      <w:sz w:val="21"/>
                      <w:szCs w:val="21"/>
                    </w:rPr>
                    <w:t>1口跟踪监测井</w:t>
                  </w:r>
                  <w:r>
                    <w:rPr>
                      <w:rFonts w:hint="default" w:ascii="Times New Roman" w:hAnsi="Times New Roman" w:cs="Times New Roman"/>
                      <w:color w:val="auto"/>
                      <w:sz w:val="21"/>
                      <w:szCs w:val="21"/>
                      <w:lang w:eastAsia="zh-CN"/>
                    </w:rPr>
                    <w:t>（103°15′35.074″</w:t>
                  </w:r>
                  <w:r>
                    <w:rPr>
                      <w:rFonts w:hint="eastAsia" w:cs="Times New Roman"/>
                      <w:color w:val="auto"/>
                      <w:sz w:val="21"/>
                      <w:szCs w:val="21"/>
                      <w:lang w:eastAsia="zh-CN"/>
                    </w:rPr>
                    <w:t>，</w:t>
                  </w:r>
                  <w:r>
                    <w:rPr>
                      <w:rFonts w:hint="default" w:ascii="Times New Roman" w:hAnsi="Times New Roman" w:cs="Times New Roman"/>
                      <w:color w:val="auto"/>
                      <w:sz w:val="21"/>
                      <w:szCs w:val="21"/>
                      <w:lang w:eastAsia="zh-CN"/>
                    </w:rPr>
                    <w:t>25°43′26.658″）</w:t>
                  </w:r>
                  <w:r>
                    <w:rPr>
                      <w:rFonts w:hint="eastAsia" w:cs="Times New Roman"/>
                      <w:color w:val="auto"/>
                      <w:sz w:val="21"/>
                      <w:szCs w:val="21"/>
                      <w:lang w:eastAsia="zh-CN"/>
                    </w:rPr>
                    <w:t>，</w:t>
                  </w:r>
                  <w:r>
                    <w:rPr>
                      <w:rFonts w:hint="eastAsia" w:cs="Times New Roman"/>
                      <w:color w:val="auto"/>
                      <w:sz w:val="21"/>
                      <w:szCs w:val="21"/>
                      <w:lang w:val="en-US" w:eastAsia="zh-CN"/>
                    </w:rPr>
                    <w:t>拆除。</w:t>
                  </w:r>
                </w:p>
              </w:tc>
              <w:tc>
                <w:tcPr>
                  <w:tcW w:w="3685" w:type="dxa"/>
                  <w:noWrap w:val="0"/>
                  <w:vAlign w:val="center"/>
                </w:tcPr>
                <w:p w14:paraId="0E88DF6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cs="Times New Roman"/>
                      <w:color w:val="auto"/>
                      <w:sz w:val="21"/>
                      <w:szCs w:val="21"/>
                      <w:lang w:eastAsia="zh-CN"/>
                    </w:rPr>
                    <w:t>设置1口跟踪监测井（</w:t>
                  </w:r>
                  <w:r>
                    <w:rPr>
                      <w:rFonts w:hint="eastAsia" w:ascii="Times New Roman" w:hAnsi="Times New Roman" w:cs="Times New Roman"/>
                      <w:color w:val="auto"/>
                      <w:sz w:val="21"/>
                      <w:szCs w:val="21"/>
                      <w:lang w:eastAsia="zh-CN"/>
                    </w:rPr>
                    <w:t>103</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15</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34.779</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25</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43</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26.131</w:t>
                  </w:r>
                  <w:r>
                    <w:rPr>
                      <w:rFonts w:hint="default" w:ascii="Times New Roman" w:hAnsi="Times New Roman" w:cs="Times New Roman"/>
                      <w:color w:val="auto"/>
                      <w:sz w:val="21"/>
                      <w:szCs w:val="21"/>
                      <w:lang w:eastAsia="zh-CN"/>
                    </w:rPr>
                    <w:t>″），要求定期开展监测工作，监测井要求设置于油罐区地下水流向的下</w:t>
                  </w:r>
                  <w:r>
                    <w:rPr>
                      <w:rFonts w:hint="default" w:ascii="Times New Roman" w:hAnsi="Times New Roman" w:eastAsia="宋体" w:cs="Times New Roman"/>
                      <w:color w:val="auto"/>
                      <w:sz w:val="21"/>
                      <w:szCs w:val="21"/>
                    </w:rPr>
                    <w:t>游，并在保证安全的情况下尽可能靠近油罐，监测井结构采用一孔成井工艺，并考虑区域10年内地下水水位变幅，滤水管长度和设置位置应覆盖水位变幅。</w:t>
                  </w:r>
                </w:p>
              </w:tc>
              <w:tc>
                <w:tcPr>
                  <w:tcW w:w="702" w:type="dxa"/>
                  <w:noWrap w:val="0"/>
                  <w:vAlign w:val="center"/>
                </w:tcPr>
                <w:p w14:paraId="6A5FE56F">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新建</w:t>
                  </w:r>
                </w:p>
              </w:tc>
            </w:tr>
            <w:tr w14:paraId="3447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71" w:type="dxa"/>
                  <w:noWrap w:val="0"/>
                  <w:vAlign w:val="top"/>
                </w:tcPr>
                <w:p w14:paraId="619DDB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风险事故预防</w:t>
                  </w:r>
                </w:p>
              </w:tc>
              <w:tc>
                <w:tcPr>
                  <w:tcW w:w="7345" w:type="dxa"/>
                  <w:gridSpan w:val="5"/>
                  <w:noWrap w:val="0"/>
                  <w:vAlign w:val="center"/>
                </w:tcPr>
                <w:p w14:paraId="7F34597B">
                  <w:pPr>
                    <w:jc w:val="both"/>
                    <w:rPr>
                      <w:rFonts w:hint="default" w:ascii="Times New Roman" w:hAnsi="Times New Roman" w:cs="Times New Roman"/>
                      <w:color w:val="auto"/>
                      <w:sz w:val="21"/>
                      <w:szCs w:val="21"/>
                    </w:rPr>
                  </w:pPr>
                  <w:r>
                    <w:rPr>
                      <w:rFonts w:hint="eastAsia" w:cs="Times New Roman"/>
                      <w:color w:val="auto"/>
                      <w:sz w:val="21"/>
                      <w:szCs w:val="21"/>
                      <w:lang w:val="en-US" w:eastAsia="zh-CN"/>
                    </w:rPr>
                    <w:t>进行分区防渗，</w:t>
                  </w:r>
                  <w:r>
                    <w:rPr>
                      <w:rFonts w:hint="default" w:ascii="Times New Roman" w:hAnsi="Times New Roman" w:eastAsia="宋体" w:cs="Times New Roman"/>
                      <w:color w:val="auto"/>
                      <w:sz w:val="21"/>
                      <w:szCs w:val="21"/>
                    </w:rPr>
                    <w:t>液位仪</w:t>
                  </w:r>
                  <w:r>
                    <w:rPr>
                      <w:rFonts w:hint="eastAsia" w:cs="Times New Roman"/>
                      <w:color w:val="auto"/>
                      <w:sz w:val="21"/>
                      <w:szCs w:val="21"/>
                      <w:lang w:val="en-US" w:eastAsia="zh-CN"/>
                    </w:rPr>
                    <w:t>监测</w:t>
                  </w:r>
                  <w:r>
                    <w:rPr>
                      <w:rFonts w:hint="default" w:ascii="Times New Roman" w:hAnsi="Times New Roman" w:eastAsia="宋体" w:cs="Times New Roman"/>
                      <w:color w:val="auto"/>
                      <w:sz w:val="21"/>
                      <w:szCs w:val="21"/>
                    </w:rPr>
                    <w:t>1套，按照《企业事业单位突发环境事件应急预案备案管理办法（试行）》要求编制企业突发环境事件应急预案，并到相关管理部门进行备案。</w:t>
                  </w:r>
                </w:p>
              </w:tc>
              <w:tc>
                <w:tcPr>
                  <w:tcW w:w="702" w:type="dxa"/>
                  <w:noWrap w:val="0"/>
                  <w:vAlign w:val="center"/>
                </w:tcPr>
                <w:p w14:paraId="40B83601">
                  <w:pPr>
                    <w:jc w:val="center"/>
                    <w:rPr>
                      <w:rFonts w:hint="default" w:ascii="Times New Roman" w:hAnsi="Times New Roman" w:cs="Times New Roman"/>
                      <w:color w:val="auto"/>
                      <w:kern w:val="1"/>
                      <w:sz w:val="21"/>
                      <w:szCs w:val="21"/>
                    </w:rPr>
                  </w:pPr>
                  <w:r>
                    <w:rPr>
                      <w:rFonts w:hint="default" w:ascii="Times New Roman" w:hAnsi="Times New Roman" w:cs="Times New Roman"/>
                      <w:bCs/>
                      <w:color w:val="auto"/>
                      <w:sz w:val="21"/>
                      <w:szCs w:val="21"/>
                    </w:rPr>
                    <w:t>新建</w:t>
                  </w:r>
                </w:p>
              </w:tc>
            </w:tr>
          </w:tbl>
          <w:p w14:paraId="193E224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bCs w:val="0"/>
                <w:color w:val="auto"/>
                <w:sz w:val="24"/>
                <w:szCs w:val="24"/>
                <w:lang w:val="en-US" w:eastAsia="zh-CN"/>
              </w:rPr>
              <w:t>2、</w:t>
            </w:r>
            <w:r>
              <w:rPr>
                <w:rFonts w:hint="default" w:ascii="Times New Roman" w:hAnsi="Times New Roman" w:cs="Times New Roman"/>
                <w:b/>
                <w:bCs w:val="0"/>
                <w:color w:val="auto"/>
                <w:spacing w:val="0"/>
                <w:kern w:val="21"/>
                <w:sz w:val="24"/>
                <w:szCs w:val="24"/>
              </w:rPr>
              <w:t>主要生产设施及设施参数</w:t>
            </w:r>
          </w:p>
          <w:p w14:paraId="2652D2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项目特征及运营方式，</w:t>
            </w:r>
            <w:r>
              <w:rPr>
                <w:rFonts w:hint="default" w:ascii="Times New Roman" w:hAnsi="Times New Roman" w:cs="Times New Roman"/>
                <w:color w:val="auto"/>
                <w:sz w:val="24"/>
                <w:szCs w:val="24"/>
                <w:lang w:eastAsia="zh-CN"/>
              </w:rPr>
              <w:t>建设方提供</w:t>
            </w:r>
            <w:r>
              <w:rPr>
                <w:rFonts w:hint="default" w:ascii="Times New Roman" w:hAnsi="Times New Roman" w:cs="Times New Roman"/>
                <w:bCs/>
                <w:color w:val="auto"/>
                <w:sz w:val="24"/>
                <w:szCs w:val="24"/>
              </w:rPr>
              <w:t>主要设备见表</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rPr>
              <w:t>。</w:t>
            </w:r>
          </w:p>
          <w:p w14:paraId="3AFAD7FA">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2-4</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eastAsia="zh-CN"/>
              </w:rPr>
              <w:t>本项目</w:t>
            </w:r>
            <w:r>
              <w:rPr>
                <w:rFonts w:hint="default" w:ascii="Times New Roman" w:hAnsi="Times New Roman" w:cs="Times New Roman"/>
                <w:b/>
                <w:color w:val="auto"/>
                <w:sz w:val="21"/>
                <w:szCs w:val="21"/>
              </w:rPr>
              <w:t>主要设备一览表</w:t>
            </w:r>
          </w:p>
          <w:tbl>
            <w:tblPr>
              <w:tblStyle w:val="27"/>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779"/>
              <w:gridCol w:w="594"/>
              <w:gridCol w:w="1673"/>
              <w:gridCol w:w="912"/>
              <w:gridCol w:w="877"/>
              <w:gridCol w:w="1581"/>
              <w:gridCol w:w="1767"/>
            </w:tblGrid>
            <w:tr w14:paraId="4F7C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54" w:type="dxa"/>
                  <w:noWrap w:val="0"/>
                  <w:vAlign w:val="center"/>
                </w:tcPr>
                <w:p w14:paraId="4EA519D0">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val="en-US" w:eastAsia="zh-CN"/>
                    </w:rPr>
                    <w:tab/>
                  </w:r>
                  <w:r>
                    <w:rPr>
                      <w:rFonts w:hint="default" w:ascii="Times New Roman" w:hAnsi="Times New Roman" w:cs="Times New Roman"/>
                      <w:b/>
                      <w:color w:val="auto"/>
                      <w:sz w:val="21"/>
                      <w:szCs w:val="21"/>
                    </w:rPr>
                    <w:t>序号</w:t>
                  </w:r>
                </w:p>
              </w:tc>
              <w:tc>
                <w:tcPr>
                  <w:tcW w:w="1373" w:type="dxa"/>
                  <w:gridSpan w:val="2"/>
                  <w:noWrap w:val="0"/>
                  <w:vAlign w:val="center"/>
                </w:tcPr>
                <w:p w14:paraId="7639EA13">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设备名称</w:t>
                  </w:r>
                </w:p>
              </w:tc>
              <w:tc>
                <w:tcPr>
                  <w:tcW w:w="1673" w:type="dxa"/>
                  <w:noWrap w:val="0"/>
                  <w:vAlign w:val="center"/>
                </w:tcPr>
                <w:p w14:paraId="0FEFCFC8">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规格型号</w:t>
                  </w:r>
                </w:p>
              </w:tc>
              <w:tc>
                <w:tcPr>
                  <w:tcW w:w="912" w:type="dxa"/>
                  <w:noWrap w:val="0"/>
                  <w:vAlign w:val="center"/>
                </w:tcPr>
                <w:p w14:paraId="6EE5E6E2">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877" w:type="dxa"/>
                  <w:noWrap w:val="0"/>
                  <w:vAlign w:val="center"/>
                </w:tcPr>
                <w:p w14:paraId="6DC28033">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数量</w:t>
                  </w:r>
                </w:p>
              </w:tc>
              <w:tc>
                <w:tcPr>
                  <w:tcW w:w="1581" w:type="dxa"/>
                  <w:noWrap w:val="0"/>
                  <w:vAlign w:val="center"/>
                </w:tcPr>
                <w:p w14:paraId="7DC8C697">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材质</w:t>
                  </w:r>
                </w:p>
              </w:tc>
              <w:tc>
                <w:tcPr>
                  <w:tcW w:w="1767" w:type="dxa"/>
                  <w:noWrap w:val="0"/>
                  <w:vAlign w:val="center"/>
                </w:tcPr>
                <w:p w14:paraId="3FB8D01B">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14:paraId="534C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54" w:type="dxa"/>
                  <w:noWrap w:val="0"/>
                  <w:vAlign w:val="center"/>
                </w:tcPr>
                <w:p w14:paraId="3A41D999">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1</w:t>
                  </w:r>
                </w:p>
              </w:tc>
              <w:tc>
                <w:tcPr>
                  <w:tcW w:w="1373" w:type="dxa"/>
                  <w:gridSpan w:val="2"/>
                  <w:noWrap w:val="0"/>
                  <w:vAlign w:val="center"/>
                </w:tcPr>
                <w:p w14:paraId="29C7EEFF">
                  <w:pPr>
                    <w:tabs>
                      <w:tab w:val="left" w:pos="420"/>
                    </w:tabs>
                    <w:adjustRightInd w:val="0"/>
                    <w:snapToGrid w:val="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柴油储罐</w:t>
                  </w:r>
                </w:p>
              </w:tc>
              <w:tc>
                <w:tcPr>
                  <w:tcW w:w="1673" w:type="dxa"/>
                  <w:noWrap w:val="0"/>
                  <w:vAlign w:val="center"/>
                </w:tcPr>
                <w:p w14:paraId="51E2137B">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 xml:space="preserve">0m³  </w:t>
                  </w:r>
                </w:p>
              </w:tc>
              <w:tc>
                <w:tcPr>
                  <w:tcW w:w="912" w:type="dxa"/>
                  <w:noWrap w:val="0"/>
                  <w:vAlign w:val="center"/>
                </w:tcPr>
                <w:p w14:paraId="4DC5329D">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个</w:t>
                  </w:r>
                </w:p>
              </w:tc>
              <w:tc>
                <w:tcPr>
                  <w:tcW w:w="877" w:type="dxa"/>
                  <w:noWrap w:val="0"/>
                  <w:vAlign w:val="center"/>
                </w:tcPr>
                <w:p w14:paraId="47D9BF9B">
                  <w:pPr>
                    <w:tabs>
                      <w:tab w:val="left" w:pos="4465"/>
                    </w:tabs>
                    <w:adjustRightInd w:val="0"/>
                    <w:snapToGrid w:val="0"/>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color w:val="auto"/>
                      <w:sz w:val="21"/>
                      <w:szCs w:val="21"/>
                      <w:lang w:val="en-US" w:eastAsia="zh-CN"/>
                    </w:rPr>
                    <w:t>1</w:t>
                  </w:r>
                </w:p>
              </w:tc>
              <w:tc>
                <w:tcPr>
                  <w:tcW w:w="1581" w:type="dxa"/>
                  <w:noWrap w:val="0"/>
                  <w:vAlign w:val="center"/>
                </w:tcPr>
                <w:p w14:paraId="33D536D8">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双层玻璃纤维</w:t>
                  </w:r>
                </w:p>
                <w:p w14:paraId="7BF49F28">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增强塑料油罐</w:t>
                  </w:r>
                </w:p>
              </w:tc>
              <w:tc>
                <w:tcPr>
                  <w:tcW w:w="1767" w:type="dxa"/>
                  <w:noWrap w:val="0"/>
                  <w:vAlign w:val="center"/>
                </w:tcPr>
                <w:p w14:paraId="25220E1D">
                  <w:pPr>
                    <w:tabs>
                      <w:tab w:val="left" w:pos="4465"/>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卧式</w:t>
                  </w:r>
                  <w:r>
                    <w:rPr>
                      <w:rFonts w:hint="eastAsia" w:cs="Times New Roman"/>
                      <w:color w:val="auto"/>
                      <w:sz w:val="21"/>
                      <w:szCs w:val="21"/>
                      <w:lang w:eastAsia="zh-CN"/>
                    </w:rPr>
                    <w:t>，</w:t>
                  </w:r>
                  <w:r>
                    <w:rPr>
                      <w:rFonts w:hint="eastAsia" w:cs="Times New Roman"/>
                      <w:color w:val="auto"/>
                      <w:sz w:val="21"/>
                      <w:szCs w:val="21"/>
                      <w:lang w:val="en-US" w:eastAsia="zh-CN"/>
                    </w:rPr>
                    <w:t>新增</w:t>
                  </w:r>
                </w:p>
              </w:tc>
            </w:tr>
            <w:tr w14:paraId="5734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54" w:type="dxa"/>
                  <w:noWrap w:val="0"/>
                  <w:vAlign w:val="center"/>
                </w:tcPr>
                <w:p w14:paraId="66B884BE">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2</w:t>
                  </w:r>
                </w:p>
              </w:tc>
              <w:tc>
                <w:tcPr>
                  <w:tcW w:w="1373" w:type="dxa"/>
                  <w:gridSpan w:val="2"/>
                  <w:noWrap w:val="0"/>
                  <w:vAlign w:val="center"/>
                </w:tcPr>
                <w:p w14:paraId="205F0BC7">
                  <w:pPr>
                    <w:tabs>
                      <w:tab w:val="left" w:pos="420"/>
                    </w:tabs>
                    <w:adjustRightInd w:val="0"/>
                    <w:snapToGrid w:val="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汽油储罐</w:t>
                  </w:r>
                </w:p>
              </w:tc>
              <w:tc>
                <w:tcPr>
                  <w:tcW w:w="1673" w:type="dxa"/>
                  <w:noWrap w:val="0"/>
                  <w:vAlign w:val="center"/>
                </w:tcPr>
                <w:p w14:paraId="2832F0D3">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 xml:space="preserve">0m³ </w:t>
                  </w:r>
                </w:p>
              </w:tc>
              <w:tc>
                <w:tcPr>
                  <w:tcW w:w="912" w:type="dxa"/>
                  <w:noWrap w:val="0"/>
                  <w:vAlign w:val="center"/>
                </w:tcPr>
                <w:p w14:paraId="052C7A79">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个</w:t>
                  </w:r>
                </w:p>
              </w:tc>
              <w:tc>
                <w:tcPr>
                  <w:tcW w:w="877" w:type="dxa"/>
                  <w:noWrap w:val="0"/>
                  <w:vAlign w:val="center"/>
                </w:tcPr>
                <w:p w14:paraId="4DF434FD">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1</w:t>
                  </w:r>
                </w:p>
              </w:tc>
              <w:tc>
                <w:tcPr>
                  <w:tcW w:w="1581" w:type="dxa"/>
                  <w:noWrap w:val="0"/>
                  <w:vAlign w:val="center"/>
                </w:tcPr>
                <w:p w14:paraId="08A53CA5">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双层玻璃纤维</w:t>
                  </w:r>
                </w:p>
                <w:p w14:paraId="6513D8E6">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增强塑料油罐</w:t>
                  </w:r>
                </w:p>
              </w:tc>
              <w:tc>
                <w:tcPr>
                  <w:tcW w:w="1767" w:type="dxa"/>
                  <w:noWrap w:val="0"/>
                  <w:vAlign w:val="center"/>
                </w:tcPr>
                <w:p w14:paraId="00DB249A">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卧式</w:t>
                  </w:r>
                  <w:r>
                    <w:rPr>
                      <w:rFonts w:hint="eastAsia" w:cs="Times New Roman"/>
                      <w:color w:val="auto"/>
                      <w:sz w:val="21"/>
                      <w:szCs w:val="21"/>
                      <w:lang w:eastAsia="zh-CN"/>
                    </w:rPr>
                    <w:t>，</w:t>
                  </w:r>
                  <w:r>
                    <w:rPr>
                      <w:rFonts w:hint="eastAsia" w:cs="Times New Roman"/>
                      <w:color w:val="auto"/>
                      <w:sz w:val="21"/>
                      <w:szCs w:val="21"/>
                      <w:lang w:val="en-US" w:eastAsia="zh-CN"/>
                    </w:rPr>
                    <w:t>新增</w:t>
                  </w:r>
                </w:p>
              </w:tc>
            </w:tr>
            <w:tr w14:paraId="31E0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54" w:type="dxa"/>
                  <w:noWrap w:val="0"/>
                  <w:vAlign w:val="center"/>
                </w:tcPr>
                <w:p w14:paraId="65127D2D">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3</w:t>
                  </w:r>
                </w:p>
              </w:tc>
              <w:tc>
                <w:tcPr>
                  <w:tcW w:w="1373" w:type="dxa"/>
                  <w:gridSpan w:val="2"/>
                  <w:noWrap w:val="0"/>
                  <w:vAlign w:val="center"/>
                </w:tcPr>
                <w:p w14:paraId="01F49CC9">
                  <w:pPr>
                    <w:tabs>
                      <w:tab w:val="left" w:pos="420"/>
                    </w:tabs>
                    <w:adjustRightInd w:val="0"/>
                    <w:snapToGrid w:val="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汽油储罐</w:t>
                  </w:r>
                </w:p>
              </w:tc>
              <w:tc>
                <w:tcPr>
                  <w:tcW w:w="1673" w:type="dxa"/>
                  <w:noWrap w:val="0"/>
                  <w:vAlign w:val="center"/>
                </w:tcPr>
                <w:p w14:paraId="42C2EE84">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 xml:space="preserve">0m³ </w:t>
                  </w:r>
                </w:p>
              </w:tc>
              <w:tc>
                <w:tcPr>
                  <w:tcW w:w="912" w:type="dxa"/>
                  <w:noWrap w:val="0"/>
                  <w:vAlign w:val="center"/>
                </w:tcPr>
                <w:p w14:paraId="3F6CB8A2">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个</w:t>
                  </w:r>
                </w:p>
              </w:tc>
              <w:tc>
                <w:tcPr>
                  <w:tcW w:w="877" w:type="dxa"/>
                  <w:noWrap w:val="0"/>
                  <w:vAlign w:val="center"/>
                </w:tcPr>
                <w:p w14:paraId="02DC2F55">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1</w:t>
                  </w:r>
                </w:p>
              </w:tc>
              <w:tc>
                <w:tcPr>
                  <w:tcW w:w="1581" w:type="dxa"/>
                  <w:noWrap w:val="0"/>
                  <w:vAlign w:val="center"/>
                </w:tcPr>
                <w:p w14:paraId="55148EFA">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双层玻璃纤维</w:t>
                  </w:r>
                </w:p>
                <w:p w14:paraId="4FEDF50F">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增强塑料油罐</w:t>
                  </w:r>
                </w:p>
              </w:tc>
              <w:tc>
                <w:tcPr>
                  <w:tcW w:w="1767" w:type="dxa"/>
                  <w:noWrap w:val="0"/>
                  <w:vAlign w:val="center"/>
                </w:tcPr>
                <w:p w14:paraId="0356C213">
                  <w:pPr>
                    <w:tabs>
                      <w:tab w:val="left" w:pos="4465"/>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卧式</w:t>
                  </w:r>
                  <w:r>
                    <w:rPr>
                      <w:rFonts w:hint="eastAsia" w:cs="Times New Roman"/>
                      <w:color w:val="auto"/>
                      <w:sz w:val="21"/>
                      <w:szCs w:val="21"/>
                      <w:lang w:eastAsia="zh-CN"/>
                    </w:rPr>
                    <w:t>，</w:t>
                  </w:r>
                  <w:r>
                    <w:rPr>
                      <w:rFonts w:hint="eastAsia" w:cs="Times New Roman"/>
                      <w:color w:val="auto"/>
                      <w:sz w:val="21"/>
                      <w:szCs w:val="21"/>
                      <w:lang w:val="en-US" w:eastAsia="zh-CN"/>
                    </w:rPr>
                    <w:t>新增</w:t>
                  </w:r>
                </w:p>
              </w:tc>
            </w:tr>
            <w:tr w14:paraId="1A1A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54" w:type="dxa"/>
                  <w:noWrap w:val="0"/>
                  <w:vAlign w:val="center"/>
                </w:tcPr>
                <w:p w14:paraId="7D344247">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373" w:type="dxa"/>
                  <w:gridSpan w:val="2"/>
                  <w:noWrap w:val="0"/>
                  <w:vAlign w:val="center"/>
                </w:tcPr>
                <w:p w14:paraId="511B54BF">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加油机</w:t>
                  </w:r>
                </w:p>
              </w:tc>
              <w:tc>
                <w:tcPr>
                  <w:tcW w:w="1673" w:type="dxa"/>
                  <w:noWrap w:val="0"/>
                  <w:vAlign w:val="center"/>
                </w:tcPr>
                <w:p w14:paraId="75497977">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四油品四枪</w:t>
                  </w:r>
                </w:p>
              </w:tc>
              <w:tc>
                <w:tcPr>
                  <w:tcW w:w="912" w:type="dxa"/>
                  <w:noWrap w:val="0"/>
                  <w:vAlign w:val="center"/>
                </w:tcPr>
                <w:p w14:paraId="742EB8B4">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77" w:type="dxa"/>
                  <w:noWrap w:val="0"/>
                  <w:vAlign w:val="center"/>
                </w:tcPr>
                <w:p w14:paraId="1862A41F">
                  <w:pPr>
                    <w:tabs>
                      <w:tab w:val="left" w:pos="4465"/>
                    </w:tabs>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1581" w:type="dxa"/>
                  <w:noWrap w:val="0"/>
                  <w:vAlign w:val="center"/>
                </w:tcPr>
                <w:p w14:paraId="5395A300">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防爆</w:t>
                  </w:r>
                </w:p>
              </w:tc>
              <w:tc>
                <w:tcPr>
                  <w:tcW w:w="1767" w:type="dxa"/>
                  <w:noWrap w:val="0"/>
                  <w:vAlign w:val="center"/>
                </w:tcPr>
                <w:p w14:paraId="12A1232F">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厂家配套</w:t>
                  </w:r>
                  <w:r>
                    <w:rPr>
                      <w:rFonts w:hint="eastAsia" w:cs="Times New Roman"/>
                      <w:color w:val="auto"/>
                      <w:sz w:val="21"/>
                      <w:szCs w:val="21"/>
                      <w:lang w:eastAsia="zh-CN"/>
                    </w:rPr>
                    <w:t>，</w:t>
                  </w:r>
                  <w:r>
                    <w:rPr>
                      <w:rFonts w:hint="eastAsia" w:cs="Times New Roman"/>
                      <w:color w:val="auto"/>
                      <w:sz w:val="21"/>
                      <w:szCs w:val="21"/>
                      <w:lang w:val="en-US" w:eastAsia="zh-CN"/>
                    </w:rPr>
                    <w:t>新增</w:t>
                  </w:r>
                </w:p>
              </w:tc>
            </w:tr>
            <w:tr w14:paraId="7866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54" w:type="dxa"/>
                  <w:vMerge w:val="restart"/>
                  <w:noWrap w:val="0"/>
                  <w:vAlign w:val="center"/>
                </w:tcPr>
                <w:p w14:paraId="0CA9D368">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779" w:type="dxa"/>
                  <w:vMerge w:val="restart"/>
                  <w:noWrap w:val="0"/>
                  <w:vAlign w:val="center"/>
                </w:tcPr>
                <w:p w14:paraId="2F6A2E71">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w:t>
                  </w:r>
                </w:p>
                <w:p w14:paraId="71C23E07">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w:t>
                  </w:r>
                </w:p>
                <w:p w14:paraId="3D130DD1">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枪</w:t>
                  </w:r>
                </w:p>
              </w:tc>
              <w:tc>
                <w:tcPr>
                  <w:tcW w:w="594" w:type="dxa"/>
                  <w:noWrap w:val="0"/>
                  <w:vAlign w:val="center"/>
                </w:tcPr>
                <w:p w14:paraId="04A39F9E">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汽油</w:t>
                  </w:r>
                </w:p>
              </w:tc>
              <w:tc>
                <w:tcPr>
                  <w:tcW w:w="1673" w:type="dxa"/>
                  <w:noWrap w:val="0"/>
                  <w:vAlign w:val="center"/>
                </w:tcPr>
                <w:p w14:paraId="0F4F1861">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5-50L/min</w:t>
                  </w:r>
                </w:p>
              </w:tc>
              <w:tc>
                <w:tcPr>
                  <w:tcW w:w="912" w:type="dxa"/>
                  <w:noWrap w:val="0"/>
                  <w:vAlign w:val="center"/>
                </w:tcPr>
                <w:p w14:paraId="45C47515">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支</w:t>
                  </w:r>
                </w:p>
              </w:tc>
              <w:tc>
                <w:tcPr>
                  <w:tcW w:w="877" w:type="dxa"/>
                  <w:noWrap w:val="0"/>
                  <w:vAlign w:val="center"/>
                </w:tcPr>
                <w:p w14:paraId="7FC4275C">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581" w:type="dxa"/>
                  <w:noWrap w:val="0"/>
                  <w:vAlign w:val="center"/>
                </w:tcPr>
                <w:p w14:paraId="6897D782">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铝制</w:t>
                  </w:r>
                </w:p>
              </w:tc>
              <w:tc>
                <w:tcPr>
                  <w:tcW w:w="1767" w:type="dxa"/>
                  <w:noWrap w:val="0"/>
                  <w:vAlign w:val="center"/>
                </w:tcPr>
                <w:p w14:paraId="7E5B303F">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带</w:t>
                  </w:r>
                  <w:r>
                    <w:rPr>
                      <w:rFonts w:hint="eastAsia" w:cs="Times New Roman"/>
                      <w:color w:val="auto"/>
                      <w:sz w:val="21"/>
                      <w:szCs w:val="21"/>
                      <w:lang w:eastAsia="zh-CN"/>
                    </w:rPr>
                    <w:t>油气回收系统，</w:t>
                  </w:r>
                  <w:r>
                    <w:rPr>
                      <w:rFonts w:hint="eastAsia" w:cs="Times New Roman"/>
                      <w:color w:val="auto"/>
                      <w:sz w:val="21"/>
                      <w:szCs w:val="21"/>
                      <w:lang w:val="en-US" w:eastAsia="zh-CN"/>
                    </w:rPr>
                    <w:t>新增</w:t>
                  </w:r>
                </w:p>
              </w:tc>
            </w:tr>
            <w:tr w14:paraId="79FA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54" w:type="dxa"/>
                  <w:vMerge w:val="continue"/>
                  <w:noWrap w:val="0"/>
                  <w:vAlign w:val="center"/>
                </w:tcPr>
                <w:p w14:paraId="7233462E">
                  <w:pPr>
                    <w:tabs>
                      <w:tab w:val="left" w:pos="4465"/>
                    </w:tabs>
                    <w:adjustRightInd w:val="0"/>
                    <w:snapToGrid w:val="0"/>
                    <w:jc w:val="center"/>
                    <w:rPr>
                      <w:rFonts w:hint="default" w:ascii="Times New Roman" w:hAnsi="Times New Roman" w:cs="Times New Roman"/>
                      <w:color w:val="auto"/>
                      <w:sz w:val="21"/>
                      <w:szCs w:val="21"/>
                    </w:rPr>
                  </w:pPr>
                </w:p>
              </w:tc>
              <w:tc>
                <w:tcPr>
                  <w:tcW w:w="779" w:type="dxa"/>
                  <w:vMerge w:val="continue"/>
                  <w:noWrap w:val="0"/>
                  <w:vAlign w:val="center"/>
                </w:tcPr>
                <w:p w14:paraId="44191F2B">
                  <w:pPr>
                    <w:tabs>
                      <w:tab w:val="left" w:pos="4465"/>
                    </w:tabs>
                    <w:adjustRightInd w:val="0"/>
                    <w:snapToGrid w:val="0"/>
                    <w:jc w:val="center"/>
                    <w:rPr>
                      <w:rFonts w:hint="default" w:ascii="Times New Roman" w:hAnsi="Times New Roman" w:cs="Times New Roman"/>
                      <w:color w:val="auto"/>
                      <w:sz w:val="21"/>
                      <w:szCs w:val="21"/>
                    </w:rPr>
                  </w:pPr>
                </w:p>
              </w:tc>
              <w:tc>
                <w:tcPr>
                  <w:tcW w:w="594" w:type="dxa"/>
                  <w:noWrap w:val="0"/>
                  <w:vAlign w:val="center"/>
                </w:tcPr>
                <w:p w14:paraId="7517A602">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w:t>
                  </w:r>
                </w:p>
              </w:tc>
              <w:tc>
                <w:tcPr>
                  <w:tcW w:w="1673" w:type="dxa"/>
                  <w:noWrap w:val="0"/>
                  <w:vAlign w:val="center"/>
                </w:tcPr>
                <w:p w14:paraId="14599F22">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5-50L/min</w:t>
                  </w:r>
                </w:p>
              </w:tc>
              <w:tc>
                <w:tcPr>
                  <w:tcW w:w="912" w:type="dxa"/>
                  <w:noWrap w:val="0"/>
                  <w:vAlign w:val="center"/>
                </w:tcPr>
                <w:p w14:paraId="573BD8C4">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支</w:t>
                  </w:r>
                </w:p>
              </w:tc>
              <w:tc>
                <w:tcPr>
                  <w:tcW w:w="877" w:type="dxa"/>
                  <w:noWrap w:val="0"/>
                  <w:vAlign w:val="center"/>
                </w:tcPr>
                <w:p w14:paraId="50C9671F">
                  <w:pPr>
                    <w:tabs>
                      <w:tab w:val="left" w:pos="4465"/>
                    </w:tabs>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1581" w:type="dxa"/>
                  <w:noWrap w:val="0"/>
                  <w:vAlign w:val="center"/>
                </w:tcPr>
                <w:p w14:paraId="5D7ACE40">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铝制</w:t>
                  </w:r>
                </w:p>
              </w:tc>
              <w:tc>
                <w:tcPr>
                  <w:tcW w:w="1767" w:type="dxa"/>
                  <w:noWrap w:val="0"/>
                  <w:vAlign w:val="center"/>
                </w:tcPr>
                <w:p w14:paraId="7E583EE2">
                  <w:pPr>
                    <w:tabs>
                      <w:tab w:val="left" w:pos="4465"/>
                    </w:tabs>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新增</w:t>
                  </w:r>
                </w:p>
              </w:tc>
            </w:tr>
            <w:tr w14:paraId="553C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54" w:type="dxa"/>
                  <w:noWrap w:val="0"/>
                  <w:vAlign w:val="center"/>
                </w:tcPr>
                <w:p w14:paraId="6979310D">
                  <w:pPr>
                    <w:tabs>
                      <w:tab w:val="left" w:pos="4465"/>
                    </w:tabs>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6</w:t>
                  </w:r>
                </w:p>
              </w:tc>
              <w:tc>
                <w:tcPr>
                  <w:tcW w:w="1373" w:type="dxa"/>
                  <w:gridSpan w:val="2"/>
                  <w:noWrap w:val="0"/>
                  <w:vAlign w:val="center"/>
                </w:tcPr>
                <w:p w14:paraId="294C78BC">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潜油泵</w:t>
                  </w:r>
                </w:p>
              </w:tc>
              <w:tc>
                <w:tcPr>
                  <w:tcW w:w="1673" w:type="dxa"/>
                  <w:noWrap w:val="0"/>
                  <w:vAlign w:val="center"/>
                </w:tcPr>
                <w:p w14:paraId="57485A88">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Q=380L/min</w:t>
                  </w:r>
                </w:p>
                <w:p w14:paraId="5B4786D5">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N=1.1KW</w:t>
                  </w:r>
                </w:p>
              </w:tc>
              <w:tc>
                <w:tcPr>
                  <w:tcW w:w="912" w:type="dxa"/>
                  <w:noWrap w:val="0"/>
                  <w:vAlign w:val="center"/>
                </w:tcPr>
                <w:p w14:paraId="1DA6109D">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877" w:type="dxa"/>
                  <w:noWrap w:val="0"/>
                  <w:vAlign w:val="center"/>
                </w:tcPr>
                <w:p w14:paraId="31919487">
                  <w:pPr>
                    <w:tabs>
                      <w:tab w:val="left" w:pos="4465"/>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1581" w:type="dxa"/>
                  <w:noWrap w:val="0"/>
                  <w:vAlign w:val="center"/>
                </w:tcPr>
                <w:p w14:paraId="1BAD8EAD">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67" w:type="dxa"/>
                  <w:noWrap w:val="0"/>
                  <w:vAlign w:val="center"/>
                </w:tcPr>
                <w:p w14:paraId="6666BC74">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厂家配套</w:t>
                  </w:r>
                  <w:r>
                    <w:rPr>
                      <w:rFonts w:hint="eastAsia" w:cs="Times New Roman"/>
                      <w:color w:val="auto"/>
                      <w:sz w:val="21"/>
                      <w:szCs w:val="21"/>
                      <w:lang w:eastAsia="zh-CN"/>
                    </w:rPr>
                    <w:t>，</w:t>
                  </w:r>
                  <w:r>
                    <w:rPr>
                      <w:rFonts w:hint="eastAsia" w:cs="Times New Roman"/>
                      <w:color w:val="auto"/>
                      <w:sz w:val="21"/>
                      <w:szCs w:val="21"/>
                      <w:lang w:val="en-US" w:eastAsia="zh-CN"/>
                    </w:rPr>
                    <w:t>新增</w:t>
                  </w:r>
                </w:p>
              </w:tc>
            </w:tr>
            <w:tr w14:paraId="7BD4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54" w:type="dxa"/>
                  <w:noWrap w:val="0"/>
                  <w:vAlign w:val="center"/>
                </w:tcPr>
                <w:p w14:paraId="2FAB45C0">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373" w:type="dxa"/>
                  <w:gridSpan w:val="2"/>
                  <w:noWrap w:val="0"/>
                  <w:vAlign w:val="center"/>
                </w:tcPr>
                <w:p w14:paraId="18F8E5B9">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液位计</w:t>
                  </w:r>
                </w:p>
              </w:tc>
              <w:tc>
                <w:tcPr>
                  <w:tcW w:w="1673" w:type="dxa"/>
                  <w:noWrap w:val="0"/>
                  <w:vAlign w:val="center"/>
                </w:tcPr>
                <w:p w14:paraId="6F7B5D8F">
                  <w:pPr>
                    <w:tabs>
                      <w:tab w:val="left" w:pos="4465"/>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12" w:type="dxa"/>
                  <w:noWrap w:val="0"/>
                  <w:vAlign w:val="center"/>
                </w:tcPr>
                <w:p w14:paraId="7E1E86B1">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877" w:type="dxa"/>
                  <w:noWrap w:val="0"/>
                  <w:vAlign w:val="center"/>
                </w:tcPr>
                <w:p w14:paraId="444CA2A1">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581" w:type="dxa"/>
                  <w:noWrap w:val="0"/>
                  <w:vAlign w:val="center"/>
                </w:tcPr>
                <w:p w14:paraId="108D6481">
                  <w:pPr>
                    <w:tabs>
                      <w:tab w:val="left" w:pos="4465"/>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767" w:type="dxa"/>
                  <w:noWrap w:val="0"/>
                  <w:vAlign w:val="center"/>
                </w:tcPr>
                <w:p w14:paraId="2F90695D">
                  <w:pPr>
                    <w:tabs>
                      <w:tab w:val="left" w:pos="4465"/>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厂家配套</w:t>
                  </w:r>
                  <w:r>
                    <w:rPr>
                      <w:rFonts w:hint="eastAsia" w:cs="Times New Roman"/>
                      <w:color w:val="auto"/>
                      <w:sz w:val="21"/>
                      <w:szCs w:val="21"/>
                      <w:lang w:eastAsia="zh-CN"/>
                    </w:rPr>
                    <w:t>，</w:t>
                  </w:r>
                  <w:r>
                    <w:rPr>
                      <w:rFonts w:hint="eastAsia" w:cs="Times New Roman"/>
                      <w:color w:val="auto"/>
                      <w:sz w:val="21"/>
                      <w:szCs w:val="21"/>
                      <w:lang w:val="en-US" w:eastAsia="zh-CN"/>
                    </w:rPr>
                    <w:t>新增</w:t>
                  </w:r>
                </w:p>
              </w:tc>
            </w:tr>
            <w:tr w14:paraId="533E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54" w:type="dxa"/>
                  <w:noWrap w:val="0"/>
                  <w:vAlign w:val="center"/>
                </w:tcPr>
                <w:p w14:paraId="0F44AB13">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373" w:type="dxa"/>
                  <w:gridSpan w:val="2"/>
                  <w:noWrap w:val="0"/>
                  <w:vAlign w:val="center"/>
                </w:tcPr>
                <w:p w14:paraId="003F64AA">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双层承重油罐在线渗漏检测系统</w:t>
                  </w:r>
                </w:p>
              </w:tc>
              <w:tc>
                <w:tcPr>
                  <w:tcW w:w="1673" w:type="dxa"/>
                  <w:noWrap w:val="0"/>
                  <w:vAlign w:val="center"/>
                </w:tcPr>
                <w:p w14:paraId="20419A18">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12" w:type="dxa"/>
                  <w:noWrap w:val="0"/>
                  <w:vAlign w:val="center"/>
                </w:tcPr>
                <w:p w14:paraId="1F6C1668">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877" w:type="dxa"/>
                  <w:noWrap w:val="0"/>
                  <w:vAlign w:val="center"/>
                </w:tcPr>
                <w:p w14:paraId="030CF712">
                  <w:pPr>
                    <w:tabs>
                      <w:tab w:val="left" w:pos="4465"/>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581" w:type="dxa"/>
                  <w:noWrap w:val="0"/>
                  <w:vAlign w:val="center"/>
                </w:tcPr>
                <w:p w14:paraId="1A9BF87E">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767" w:type="dxa"/>
                  <w:noWrap w:val="0"/>
                  <w:vAlign w:val="center"/>
                </w:tcPr>
                <w:p w14:paraId="44B360B5">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厂家配套</w:t>
                  </w:r>
                  <w:r>
                    <w:rPr>
                      <w:rFonts w:hint="eastAsia" w:cs="Times New Roman"/>
                      <w:color w:val="auto"/>
                      <w:sz w:val="21"/>
                      <w:szCs w:val="21"/>
                      <w:lang w:eastAsia="zh-CN"/>
                    </w:rPr>
                    <w:t>，</w:t>
                  </w:r>
                  <w:r>
                    <w:rPr>
                      <w:rFonts w:hint="eastAsia" w:cs="Times New Roman"/>
                      <w:color w:val="auto"/>
                      <w:sz w:val="21"/>
                      <w:szCs w:val="21"/>
                      <w:lang w:val="en-US" w:eastAsia="zh-CN"/>
                    </w:rPr>
                    <w:t>新增</w:t>
                  </w:r>
                </w:p>
              </w:tc>
            </w:tr>
            <w:tr w14:paraId="67FE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54" w:type="dxa"/>
                  <w:noWrap w:val="0"/>
                  <w:vAlign w:val="center"/>
                </w:tcPr>
                <w:p w14:paraId="2EEB4667">
                  <w:pPr>
                    <w:tabs>
                      <w:tab w:val="left" w:pos="4465"/>
                    </w:tabs>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9</w:t>
                  </w:r>
                </w:p>
              </w:tc>
              <w:tc>
                <w:tcPr>
                  <w:tcW w:w="1373" w:type="dxa"/>
                  <w:gridSpan w:val="2"/>
                  <w:noWrap w:val="0"/>
                  <w:vAlign w:val="center"/>
                </w:tcPr>
                <w:p w14:paraId="41B5B195">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配电箱</w:t>
                  </w:r>
                </w:p>
              </w:tc>
              <w:tc>
                <w:tcPr>
                  <w:tcW w:w="1673" w:type="dxa"/>
                  <w:noWrap w:val="0"/>
                  <w:vAlign w:val="center"/>
                </w:tcPr>
                <w:p w14:paraId="34F7392D">
                  <w:pPr>
                    <w:tabs>
                      <w:tab w:val="left" w:pos="4465"/>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912" w:type="dxa"/>
                  <w:noWrap w:val="0"/>
                  <w:vAlign w:val="center"/>
                </w:tcPr>
                <w:p w14:paraId="3D6EC9ED">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877" w:type="dxa"/>
                  <w:noWrap w:val="0"/>
                  <w:vAlign w:val="center"/>
                </w:tcPr>
                <w:p w14:paraId="4C1E462B">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81" w:type="dxa"/>
                  <w:noWrap w:val="0"/>
                  <w:vAlign w:val="center"/>
                </w:tcPr>
                <w:p w14:paraId="75AB93A3">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67" w:type="dxa"/>
                  <w:noWrap w:val="0"/>
                  <w:vAlign w:val="center"/>
                </w:tcPr>
                <w:p w14:paraId="2C4B6555">
                  <w:pPr>
                    <w:tabs>
                      <w:tab w:val="left" w:pos="4465"/>
                    </w:tabs>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新增</w:t>
                  </w:r>
                </w:p>
              </w:tc>
            </w:tr>
            <w:tr w14:paraId="2BDF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54" w:type="dxa"/>
                  <w:noWrap w:val="0"/>
                  <w:vAlign w:val="center"/>
                </w:tcPr>
                <w:p w14:paraId="1BEED688">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373" w:type="dxa"/>
                  <w:gridSpan w:val="2"/>
                  <w:noWrap w:val="0"/>
                  <w:vAlign w:val="center"/>
                </w:tcPr>
                <w:p w14:paraId="0578E22A">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发电机</w:t>
                  </w:r>
                </w:p>
              </w:tc>
              <w:tc>
                <w:tcPr>
                  <w:tcW w:w="1673" w:type="dxa"/>
                  <w:noWrap w:val="0"/>
                  <w:vAlign w:val="center"/>
                </w:tcPr>
                <w:p w14:paraId="290FBA42">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50kW</w:t>
                  </w:r>
                </w:p>
              </w:tc>
              <w:tc>
                <w:tcPr>
                  <w:tcW w:w="912" w:type="dxa"/>
                  <w:noWrap w:val="0"/>
                  <w:vAlign w:val="center"/>
                </w:tcPr>
                <w:p w14:paraId="4AAAF98B">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77" w:type="dxa"/>
                  <w:noWrap w:val="0"/>
                  <w:vAlign w:val="center"/>
                </w:tcPr>
                <w:p w14:paraId="5B14F2BB">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581" w:type="dxa"/>
                  <w:noWrap w:val="0"/>
                  <w:vAlign w:val="center"/>
                </w:tcPr>
                <w:p w14:paraId="42A82AAC">
                  <w:pPr>
                    <w:tabs>
                      <w:tab w:val="left" w:pos="4465"/>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767" w:type="dxa"/>
                  <w:noWrap w:val="0"/>
                  <w:vAlign w:val="center"/>
                </w:tcPr>
                <w:p w14:paraId="74CCBD63">
                  <w:pPr>
                    <w:tabs>
                      <w:tab w:val="left" w:pos="4465"/>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w:t>
                  </w:r>
                </w:p>
              </w:tc>
            </w:tr>
            <w:tr w14:paraId="1D7C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54" w:type="dxa"/>
                  <w:noWrap w:val="0"/>
                  <w:vAlign w:val="center"/>
                </w:tcPr>
                <w:p w14:paraId="43F353DB">
                  <w:pPr>
                    <w:tabs>
                      <w:tab w:val="left" w:pos="4465"/>
                    </w:tabs>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w:t>
                  </w:r>
                </w:p>
              </w:tc>
              <w:tc>
                <w:tcPr>
                  <w:tcW w:w="1373" w:type="dxa"/>
                  <w:gridSpan w:val="2"/>
                  <w:noWrap w:val="0"/>
                  <w:vAlign w:val="center"/>
                </w:tcPr>
                <w:p w14:paraId="22633A30">
                  <w:pPr>
                    <w:tabs>
                      <w:tab w:val="left" w:pos="4465"/>
                    </w:tabs>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油气回收系统</w:t>
                  </w:r>
                </w:p>
              </w:tc>
              <w:tc>
                <w:tcPr>
                  <w:tcW w:w="1673" w:type="dxa"/>
                  <w:noWrap w:val="0"/>
                  <w:vAlign w:val="center"/>
                </w:tcPr>
                <w:p w14:paraId="53FD4544">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2" w:type="dxa"/>
                  <w:noWrap w:val="0"/>
                  <w:vAlign w:val="center"/>
                </w:tcPr>
                <w:p w14:paraId="76039BBE">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877" w:type="dxa"/>
                  <w:noWrap w:val="0"/>
                  <w:vAlign w:val="center"/>
                </w:tcPr>
                <w:p w14:paraId="5D59EF00">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81" w:type="dxa"/>
                  <w:noWrap w:val="0"/>
                  <w:vAlign w:val="center"/>
                </w:tcPr>
                <w:p w14:paraId="4F02B2CE">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67" w:type="dxa"/>
                  <w:noWrap w:val="0"/>
                  <w:vAlign w:val="center"/>
                </w:tcPr>
                <w:p w14:paraId="39E06A72">
                  <w:pPr>
                    <w:tabs>
                      <w:tab w:val="left" w:pos="4465"/>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厂家配套</w:t>
                  </w:r>
                  <w:r>
                    <w:rPr>
                      <w:rFonts w:hint="eastAsia" w:cs="Times New Roman"/>
                      <w:color w:val="auto"/>
                      <w:sz w:val="21"/>
                      <w:szCs w:val="21"/>
                      <w:lang w:eastAsia="zh-CN"/>
                    </w:rPr>
                    <w:t>，</w:t>
                  </w:r>
                  <w:r>
                    <w:rPr>
                      <w:rFonts w:hint="eastAsia" w:cs="Times New Roman"/>
                      <w:color w:val="auto"/>
                      <w:sz w:val="21"/>
                      <w:szCs w:val="21"/>
                      <w:lang w:val="en-US" w:eastAsia="zh-CN"/>
                    </w:rPr>
                    <w:t>新增</w:t>
                  </w:r>
                </w:p>
              </w:tc>
            </w:tr>
          </w:tbl>
          <w:p w14:paraId="1F200A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按照本项目的消防等级及消防部门对项目设置消防器材的规定，本项目消防器材配备情况见表</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5</w:t>
            </w:r>
            <w:r>
              <w:rPr>
                <w:rFonts w:hint="default" w:ascii="Times New Roman" w:hAnsi="Times New Roman" w:cs="Times New Roman"/>
                <w:color w:val="auto"/>
                <w:sz w:val="24"/>
                <w:szCs w:val="22"/>
              </w:rPr>
              <w:t>。</w:t>
            </w:r>
          </w:p>
          <w:p w14:paraId="6148E5A5">
            <w:pPr>
              <w:spacing w:line="240" w:lineRule="auto"/>
              <w:jc w:val="center"/>
              <w:rPr>
                <w:rFonts w:hint="default" w:ascii="Times New Roman" w:hAnsi="Times New Roman" w:cs="Times New Roman"/>
                <w:b/>
                <w:color w:val="auto"/>
                <w:sz w:val="20"/>
                <w:szCs w:val="21"/>
              </w:rPr>
            </w:pPr>
            <w:r>
              <w:rPr>
                <w:rFonts w:hint="default" w:ascii="Times New Roman" w:hAnsi="Times New Roman" w:cs="Times New Roman"/>
                <w:b/>
                <w:color w:val="auto"/>
                <w:sz w:val="21"/>
                <w:szCs w:val="22"/>
              </w:rPr>
              <w:t>表</w:t>
            </w:r>
            <w:r>
              <w:rPr>
                <w:rFonts w:hint="default" w:ascii="Times New Roman" w:hAnsi="Times New Roman" w:cs="Times New Roman"/>
                <w:b/>
                <w:color w:val="auto"/>
                <w:sz w:val="21"/>
                <w:szCs w:val="22"/>
                <w:lang w:val="en-US" w:eastAsia="zh-CN"/>
              </w:rPr>
              <w:t>2</w:t>
            </w:r>
            <w:r>
              <w:rPr>
                <w:rFonts w:hint="default" w:ascii="Times New Roman" w:hAnsi="Times New Roman" w:cs="Times New Roman"/>
                <w:b/>
                <w:color w:val="auto"/>
                <w:sz w:val="21"/>
                <w:szCs w:val="22"/>
              </w:rPr>
              <w:t>-</w:t>
            </w:r>
            <w:r>
              <w:rPr>
                <w:rFonts w:hint="default" w:ascii="Times New Roman" w:hAnsi="Times New Roman" w:cs="Times New Roman"/>
                <w:b/>
                <w:color w:val="auto"/>
                <w:sz w:val="21"/>
                <w:szCs w:val="22"/>
                <w:lang w:val="en-US" w:eastAsia="zh-CN"/>
              </w:rPr>
              <w:t>5</w:t>
            </w:r>
            <w:r>
              <w:rPr>
                <w:rFonts w:hint="default" w:ascii="Times New Roman" w:hAnsi="Times New Roman" w:cs="Times New Roman"/>
                <w:b/>
                <w:color w:val="auto"/>
                <w:sz w:val="21"/>
                <w:szCs w:val="22"/>
              </w:rPr>
              <w:t xml:space="preserve">  消防器材配备情况表</w:t>
            </w:r>
          </w:p>
          <w:tbl>
            <w:tblPr>
              <w:tblStyle w:val="27"/>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5"/>
              <w:gridCol w:w="1620"/>
              <w:gridCol w:w="3903"/>
            </w:tblGrid>
            <w:tr w14:paraId="10A0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055" w:type="dxa"/>
                  <w:noWrap w:val="0"/>
                  <w:vAlign w:val="center"/>
                </w:tcPr>
                <w:p w14:paraId="6162A6F4">
                  <w:pPr>
                    <w:adjustRightInd w:val="0"/>
                    <w:snapToGrid w:val="0"/>
                    <w:spacing w:line="340" w:lineRule="exact"/>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器材设备名称</w:t>
                  </w:r>
                </w:p>
              </w:tc>
              <w:tc>
                <w:tcPr>
                  <w:tcW w:w="1620" w:type="dxa"/>
                  <w:noWrap w:val="0"/>
                  <w:vAlign w:val="center"/>
                </w:tcPr>
                <w:p w14:paraId="245BFDC3">
                  <w:pPr>
                    <w:adjustRightInd w:val="0"/>
                    <w:snapToGrid w:val="0"/>
                    <w:spacing w:line="340" w:lineRule="exact"/>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配备数量</w:t>
                  </w:r>
                </w:p>
              </w:tc>
              <w:tc>
                <w:tcPr>
                  <w:tcW w:w="3903" w:type="dxa"/>
                  <w:noWrap w:val="0"/>
                  <w:vAlign w:val="center"/>
                </w:tcPr>
                <w:p w14:paraId="1F87A257">
                  <w:pPr>
                    <w:adjustRightInd w:val="0"/>
                    <w:snapToGrid w:val="0"/>
                    <w:spacing w:line="340" w:lineRule="exact"/>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设置位置</w:t>
                  </w:r>
                </w:p>
              </w:tc>
            </w:tr>
            <w:tr w14:paraId="7C03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055" w:type="dxa"/>
                  <w:noWrap w:val="0"/>
                  <w:vAlign w:val="center"/>
                </w:tcPr>
                <w:p w14:paraId="5B8B3DEB">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5kg手提式干粉灭火器</w:t>
                  </w:r>
                </w:p>
              </w:tc>
              <w:tc>
                <w:tcPr>
                  <w:tcW w:w="1620" w:type="dxa"/>
                  <w:noWrap w:val="0"/>
                  <w:vAlign w:val="center"/>
                </w:tcPr>
                <w:p w14:paraId="3D0B4378">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8只</w:t>
                  </w:r>
                </w:p>
              </w:tc>
              <w:tc>
                <w:tcPr>
                  <w:tcW w:w="3903" w:type="dxa"/>
                  <w:noWrap w:val="0"/>
                  <w:vAlign w:val="center"/>
                </w:tcPr>
                <w:p w14:paraId="3FFC4547">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加油区</w:t>
                  </w:r>
                </w:p>
              </w:tc>
            </w:tr>
            <w:tr w14:paraId="1A86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055" w:type="dxa"/>
                  <w:noWrap w:val="0"/>
                  <w:vAlign w:val="center"/>
                </w:tcPr>
                <w:p w14:paraId="7A02838D">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5kg手提式干粉灭火器</w:t>
                  </w:r>
                </w:p>
              </w:tc>
              <w:tc>
                <w:tcPr>
                  <w:tcW w:w="1620" w:type="dxa"/>
                  <w:noWrap w:val="0"/>
                  <w:vAlign w:val="center"/>
                </w:tcPr>
                <w:p w14:paraId="5636FF22">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6只</w:t>
                  </w:r>
                </w:p>
              </w:tc>
              <w:tc>
                <w:tcPr>
                  <w:tcW w:w="3903" w:type="dxa"/>
                  <w:noWrap w:val="0"/>
                  <w:vAlign w:val="center"/>
                </w:tcPr>
                <w:p w14:paraId="25EB5DA9">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站房、附房</w:t>
                  </w:r>
                </w:p>
              </w:tc>
            </w:tr>
            <w:tr w14:paraId="4BB3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055" w:type="dxa"/>
                  <w:noWrap w:val="0"/>
                  <w:vAlign w:val="center"/>
                </w:tcPr>
                <w:p w14:paraId="407B7B75">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35kg推车式干粉灭火器</w:t>
                  </w:r>
                </w:p>
              </w:tc>
              <w:tc>
                <w:tcPr>
                  <w:tcW w:w="1620" w:type="dxa"/>
                  <w:noWrap w:val="0"/>
                  <w:vAlign w:val="center"/>
                </w:tcPr>
                <w:p w14:paraId="6738160E">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2具</w:t>
                  </w:r>
                </w:p>
              </w:tc>
              <w:tc>
                <w:tcPr>
                  <w:tcW w:w="3903" w:type="dxa"/>
                  <w:noWrap w:val="0"/>
                  <w:vAlign w:val="center"/>
                </w:tcPr>
                <w:p w14:paraId="46150D79">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油罐区</w:t>
                  </w:r>
                </w:p>
              </w:tc>
            </w:tr>
            <w:tr w14:paraId="0EC6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055" w:type="dxa"/>
                  <w:noWrap w:val="0"/>
                  <w:vAlign w:val="center"/>
                </w:tcPr>
                <w:p w14:paraId="61CECF4A">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灭火毯</w:t>
                  </w:r>
                </w:p>
              </w:tc>
              <w:tc>
                <w:tcPr>
                  <w:tcW w:w="1620" w:type="dxa"/>
                  <w:noWrap w:val="0"/>
                  <w:vAlign w:val="center"/>
                </w:tcPr>
                <w:p w14:paraId="079B73BC">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5块</w:t>
                  </w:r>
                </w:p>
              </w:tc>
              <w:tc>
                <w:tcPr>
                  <w:tcW w:w="3903" w:type="dxa"/>
                  <w:noWrap w:val="0"/>
                  <w:vAlign w:val="center"/>
                </w:tcPr>
                <w:p w14:paraId="68192729">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加油区、油罐区</w:t>
                  </w:r>
                </w:p>
              </w:tc>
            </w:tr>
            <w:tr w14:paraId="2F42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055" w:type="dxa"/>
                  <w:noWrap w:val="0"/>
                  <w:vAlign w:val="center"/>
                </w:tcPr>
                <w:p w14:paraId="174675F5">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消防沙池</w:t>
                  </w:r>
                </w:p>
              </w:tc>
              <w:tc>
                <w:tcPr>
                  <w:tcW w:w="1620" w:type="dxa"/>
                  <w:noWrap w:val="0"/>
                  <w:vAlign w:val="center"/>
                </w:tcPr>
                <w:p w14:paraId="63FA6DA0">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2m</w:t>
                  </w:r>
                  <w:r>
                    <w:rPr>
                      <w:rFonts w:hint="default" w:ascii="Times New Roman" w:hAnsi="Times New Roman" w:cs="Times New Roman"/>
                      <w:bCs/>
                      <w:color w:val="auto"/>
                      <w:sz w:val="21"/>
                      <w:szCs w:val="21"/>
                      <w:vertAlign w:val="superscript"/>
                    </w:rPr>
                    <w:t>3</w:t>
                  </w:r>
                </w:p>
              </w:tc>
              <w:tc>
                <w:tcPr>
                  <w:tcW w:w="3903" w:type="dxa"/>
                  <w:noWrap w:val="0"/>
                  <w:vAlign w:val="center"/>
                </w:tcPr>
                <w:p w14:paraId="7CAA157B">
                  <w:pPr>
                    <w:adjustRightInd w:val="0"/>
                    <w:snapToGrid w:val="0"/>
                    <w:spacing w:line="340" w:lineRule="exact"/>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卸油区</w:t>
                  </w:r>
                </w:p>
              </w:tc>
            </w:tr>
            <w:tr w14:paraId="250D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055" w:type="dxa"/>
                  <w:noWrap w:val="0"/>
                  <w:vAlign w:val="center"/>
                </w:tcPr>
                <w:p w14:paraId="35876BF2">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消防桶</w:t>
                  </w:r>
                </w:p>
              </w:tc>
              <w:tc>
                <w:tcPr>
                  <w:tcW w:w="1620" w:type="dxa"/>
                  <w:noWrap w:val="0"/>
                  <w:vAlign w:val="center"/>
                </w:tcPr>
                <w:p w14:paraId="4D0BE9DF">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3只</w:t>
                  </w:r>
                </w:p>
              </w:tc>
              <w:tc>
                <w:tcPr>
                  <w:tcW w:w="3903" w:type="dxa"/>
                  <w:noWrap w:val="0"/>
                  <w:vAlign w:val="center"/>
                </w:tcPr>
                <w:p w14:paraId="3952A877">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油罐区</w:t>
                  </w:r>
                </w:p>
              </w:tc>
            </w:tr>
            <w:tr w14:paraId="111C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055" w:type="dxa"/>
                  <w:noWrap w:val="0"/>
                  <w:vAlign w:val="center"/>
                </w:tcPr>
                <w:p w14:paraId="6D9E7EA0">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消防铲</w:t>
                  </w:r>
                </w:p>
              </w:tc>
              <w:tc>
                <w:tcPr>
                  <w:tcW w:w="1620" w:type="dxa"/>
                  <w:noWrap w:val="0"/>
                  <w:vAlign w:val="center"/>
                </w:tcPr>
                <w:p w14:paraId="6A39CD07">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3把</w:t>
                  </w:r>
                </w:p>
              </w:tc>
              <w:tc>
                <w:tcPr>
                  <w:tcW w:w="3903" w:type="dxa"/>
                  <w:noWrap w:val="0"/>
                  <w:vAlign w:val="center"/>
                </w:tcPr>
                <w:p w14:paraId="5DC24B4A">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油罐区</w:t>
                  </w:r>
                </w:p>
              </w:tc>
            </w:tr>
          </w:tbl>
          <w:p w14:paraId="4F3C6E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lang w:eastAsia="zh-CN"/>
              </w:rPr>
            </w:pP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主要</w:t>
            </w:r>
            <w:r>
              <w:rPr>
                <w:rFonts w:hint="default" w:ascii="Times New Roman" w:hAnsi="Times New Roman" w:cs="Times New Roman"/>
                <w:b/>
                <w:color w:val="auto"/>
                <w:sz w:val="24"/>
                <w:szCs w:val="24"/>
                <w:lang w:eastAsia="zh-CN"/>
              </w:rPr>
              <w:t>原辅材料</w:t>
            </w:r>
          </w:p>
          <w:p w14:paraId="2A9B13D1">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根据建设方提供，</w:t>
            </w: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原辅材料</w:t>
            </w:r>
            <w:r>
              <w:rPr>
                <w:rFonts w:hint="default" w:ascii="Times New Roman" w:hAnsi="Times New Roman" w:cs="Times New Roman"/>
                <w:color w:val="auto"/>
                <w:sz w:val="24"/>
                <w:szCs w:val="24"/>
              </w:rPr>
              <w:t>及能源消耗见表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p>
          <w:p w14:paraId="697CB828">
            <w:pPr>
              <w:ind w:firstLine="2271" w:firstLineChars="107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本项目</w:t>
            </w:r>
            <w:r>
              <w:rPr>
                <w:rFonts w:hint="default" w:ascii="Times New Roman" w:hAnsi="Times New Roman" w:cs="Times New Roman"/>
                <w:b/>
                <w:bCs/>
                <w:color w:val="auto"/>
                <w:sz w:val="21"/>
                <w:szCs w:val="21"/>
                <w:highlight w:val="none"/>
              </w:rPr>
              <w:t>主要原辅材料及能耗情况表</w:t>
            </w:r>
          </w:p>
          <w:tbl>
            <w:tblPr>
              <w:tblStyle w:val="27"/>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39"/>
              <w:gridCol w:w="832"/>
              <w:gridCol w:w="1064"/>
              <w:gridCol w:w="1315"/>
              <w:gridCol w:w="1316"/>
              <w:gridCol w:w="1934"/>
            </w:tblGrid>
            <w:tr w14:paraId="3175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77" w:type="dxa"/>
                  <w:noWrap w:val="0"/>
                  <w:vAlign w:val="center"/>
                </w:tcPr>
                <w:p w14:paraId="0DD9F9C8">
                  <w:pPr>
                    <w:pStyle w:val="21"/>
                    <w:spacing w:after="0"/>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序号</w:t>
                  </w:r>
                </w:p>
              </w:tc>
              <w:tc>
                <w:tcPr>
                  <w:tcW w:w="1339" w:type="dxa"/>
                  <w:noWrap w:val="0"/>
                  <w:vAlign w:val="center"/>
                </w:tcPr>
                <w:p w14:paraId="6AEDCFDA">
                  <w:pPr>
                    <w:pStyle w:val="21"/>
                    <w:spacing w:after="0"/>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油料及动力名称</w:t>
                  </w:r>
                </w:p>
              </w:tc>
              <w:tc>
                <w:tcPr>
                  <w:tcW w:w="832" w:type="dxa"/>
                  <w:noWrap w:val="0"/>
                  <w:vAlign w:val="center"/>
                </w:tcPr>
                <w:p w14:paraId="64E589F7">
                  <w:pPr>
                    <w:pStyle w:val="21"/>
                    <w:spacing w:after="0"/>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单位</w:t>
                  </w:r>
                </w:p>
              </w:tc>
              <w:tc>
                <w:tcPr>
                  <w:tcW w:w="1064" w:type="dxa"/>
                  <w:noWrap w:val="0"/>
                  <w:vAlign w:val="center"/>
                </w:tcPr>
                <w:p w14:paraId="0AE5CCA3">
                  <w:pPr>
                    <w:pStyle w:val="21"/>
                    <w:spacing w:after="0"/>
                    <w:ind w:left="0" w:leftChars="0" w:firstLine="207" w:firstLineChars="98"/>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规格</w:t>
                  </w:r>
                </w:p>
              </w:tc>
              <w:tc>
                <w:tcPr>
                  <w:tcW w:w="1315" w:type="dxa"/>
                  <w:noWrap w:val="0"/>
                  <w:vAlign w:val="center"/>
                </w:tcPr>
                <w:p w14:paraId="06946164">
                  <w:pPr>
                    <w:pStyle w:val="21"/>
                    <w:spacing w:after="0"/>
                    <w:ind w:left="0" w:leftChars="0"/>
                    <w:jc w:val="center"/>
                    <w:rPr>
                      <w:rFonts w:hint="default" w:ascii="Times New Roman" w:hAnsi="Times New Roman" w:cs="Times New Roman"/>
                      <w:b/>
                      <w:bCs w:val="0"/>
                      <w:color w:val="auto"/>
                      <w:sz w:val="21"/>
                      <w:szCs w:val="21"/>
                    </w:rPr>
                  </w:pPr>
                  <w:r>
                    <w:rPr>
                      <w:rFonts w:hint="eastAsia" w:cs="Times New Roman"/>
                      <w:b/>
                      <w:bCs w:val="0"/>
                      <w:color w:val="auto"/>
                      <w:sz w:val="21"/>
                      <w:szCs w:val="21"/>
                      <w:lang w:val="en-US" w:eastAsia="zh-CN"/>
                    </w:rPr>
                    <w:t>现有</w:t>
                  </w:r>
                  <w:r>
                    <w:rPr>
                      <w:rFonts w:hint="default" w:ascii="Times New Roman" w:hAnsi="Times New Roman" w:cs="Times New Roman"/>
                      <w:b/>
                      <w:bCs w:val="0"/>
                      <w:color w:val="auto"/>
                      <w:sz w:val="21"/>
                      <w:szCs w:val="21"/>
                    </w:rPr>
                    <w:t>数量</w:t>
                  </w:r>
                </w:p>
              </w:tc>
              <w:tc>
                <w:tcPr>
                  <w:tcW w:w="1316" w:type="dxa"/>
                  <w:noWrap w:val="0"/>
                  <w:vAlign w:val="center"/>
                </w:tcPr>
                <w:p w14:paraId="488856DB">
                  <w:pPr>
                    <w:pStyle w:val="21"/>
                    <w:spacing w:after="0"/>
                    <w:ind w:left="0" w:leftChars="0"/>
                    <w:jc w:val="center"/>
                    <w:rPr>
                      <w:rFonts w:hint="default" w:ascii="Times New Roman" w:hAnsi="Times New Roman" w:cs="Times New Roman"/>
                      <w:b/>
                      <w:bCs w:val="0"/>
                      <w:color w:val="auto"/>
                      <w:sz w:val="21"/>
                      <w:szCs w:val="21"/>
                    </w:rPr>
                  </w:pPr>
                  <w:r>
                    <w:rPr>
                      <w:rFonts w:hint="eastAsia" w:cs="Times New Roman"/>
                      <w:b/>
                      <w:bCs w:val="0"/>
                      <w:color w:val="auto"/>
                      <w:sz w:val="21"/>
                      <w:szCs w:val="21"/>
                      <w:lang w:val="en-US" w:eastAsia="zh-CN"/>
                    </w:rPr>
                    <w:t>技改后</w:t>
                  </w:r>
                  <w:r>
                    <w:rPr>
                      <w:rFonts w:hint="default" w:ascii="Times New Roman" w:hAnsi="Times New Roman" w:cs="Times New Roman"/>
                      <w:b/>
                      <w:bCs w:val="0"/>
                      <w:color w:val="auto"/>
                      <w:sz w:val="21"/>
                      <w:szCs w:val="21"/>
                    </w:rPr>
                    <w:t>数量</w:t>
                  </w:r>
                </w:p>
              </w:tc>
              <w:tc>
                <w:tcPr>
                  <w:tcW w:w="1934" w:type="dxa"/>
                  <w:noWrap w:val="0"/>
                  <w:vAlign w:val="center"/>
                </w:tcPr>
                <w:p w14:paraId="4F697607">
                  <w:pPr>
                    <w:pStyle w:val="21"/>
                    <w:spacing w:after="0"/>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备注</w:t>
                  </w:r>
                </w:p>
              </w:tc>
            </w:tr>
            <w:tr w14:paraId="416A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777" w:type="dxa"/>
                  <w:noWrap w:val="0"/>
                  <w:vAlign w:val="center"/>
                </w:tcPr>
                <w:p w14:paraId="54A5E73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39" w:type="dxa"/>
                  <w:noWrap w:val="0"/>
                  <w:vAlign w:val="center"/>
                </w:tcPr>
                <w:p w14:paraId="36E3CBE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w:t>
                  </w:r>
                </w:p>
              </w:tc>
              <w:tc>
                <w:tcPr>
                  <w:tcW w:w="832" w:type="dxa"/>
                  <w:noWrap w:val="0"/>
                  <w:vAlign w:val="center"/>
                </w:tcPr>
                <w:p w14:paraId="487924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064" w:type="dxa"/>
                  <w:noWrap w:val="0"/>
                  <w:vAlign w:val="center"/>
                </w:tcPr>
                <w:p w14:paraId="114239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vertAlign w:val="superscript"/>
                    </w:rPr>
                    <w:t>＃</w:t>
                  </w:r>
                </w:p>
              </w:tc>
              <w:tc>
                <w:tcPr>
                  <w:tcW w:w="1315" w:type="dxa"/>
                  <w:noWrap w:val="0"/>
                  <w:vAlign w:val="center"/>
                </w:tcPr>
                <w:p w14:paraId="41D064B5">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w:t>
                  </w:r>
                </w:p>
              </w:tc>
              <w:tc>
                <w:tcPr>
                  <w:tcW w:w="1316" w:type="dxa"/>
                  <w:noWrap w:val="0"/>
                  <w:vAlign w:val="center"/>
                </w:tcPr>
                <w:p w14:paraId="770948CF">
                  <w:pPr>
                    <w:jc w:val="center"/>
                    <w:rPr>
                      <w:rFonts w:hint="eastAsia" w:cs="Times New Roman"/>
                      <w:color w:val="auto"/>
                      <w:sz w:val="21"/>
                      <w:szCs w:val="21"/>
                      <w:lang w:val="en-US" w:eastAsia="zh-CN"/>
                    </w:rPr>
                  </w:pPr>
                  <w:r>
                    <w:rPr>
                      <w:rFonts w:hint="eastAsia" w:cs="Times New Roman"/>
                      <w:color w:val="auto"/>
                      <w:sz w:val="21"/>
                      <w:szCs w:val="21"/>
                      <w:lang w:val="en-US" w:eastAsia="zh-CN"/>
                    </w:rPr>
                    <w:t>946</w:t>
                  </w:r>
                </w:p>
              </w:tc>
              <w:tc>
                <w:tcPr>
                  <w:tcW w:w="1934" w:type="dxa"/>
                  <w:vMerge w:val="restart"/>
                  <w:noWrap w:val="0"/>
                  <w:vAlign w:val="center"/>
                </w:tcPr>
                <w:p w14:paraId="68FA880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外购中石</w:t>
                  </w:r>
                  <w:r>
                    <w:rPr>
                      <w:rFonts w:hint="default" w:ascii="Times New Roman" w:hAnsi="Times New Roman" w:cs="Times New Roman"/>
                      <w:color w:val="auto"/>
                      <w:sz w:val="21"/>
                      <w:szCs w:val="21"/>
                      <w:lang w:val="en-US" w:eastAsia="zh-CN"/>
                    </w:rPr>
                    <w:t>化</w:t>
                  </w:r>
                  <w:r>
                    <w:rPr>
                      <w:rFonts w:hint="default" w:ascii="Times New Roman" w:hAnsi="Times New Roman" w:cs="Times New Roman"/>
                      <w:color w:val="auto"/>
                      <w:sz w:val="21"/>
                      <w:szCs w:val="21"/>
                    </w:rPr>
                    <w:t>油库</w:t>
                  </w:r>
                </w:p>
              </w:tc>
            </w:tr>
            <w:tr w14:paraId="05CE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777" w:type="dxa"/>
                  <w:noWrap w:val="0"/>
                  <w:vAlign w:val="center"/>
                </w:tcPr>
                <w:p w14:paraId="49EF44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39" w:type="dxa"/>
                  <w:vMerge w:val="restart"/>
                  <w:noWrap w:val="0"/>
                  <w:vAlign w:val="center"/>
                </w:tcPr>
                <w:p w14:paraId="1AD7AEC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汽油</w:t>
                  </w:r>
                </w:p>
              </w:tc>
              <w:tc>
                <w:tcPr>
                  <w:tcW w:w="832" w:type="dxa"/>
                  <w:noWrap w:val="0"/>
                  <w:vAlign w:val="center"/>
                </w:tcPr>
                <w:p w14:paraId="3560AC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064" w:type="dxa"/>
                  <w:noWrap w:val="0"/>
                  <w:vAlign w:val="center"/>
                </w:tcPr>
                <w:p w14:paraId="76D3A6C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w:t>
                  </w:r>
                  <w:r>
                    <w:rPr>
                      <w:rFonts w:hint="default" w:ascii="Times New Roman" w:hAnsi="Times New Roman" w:cs="Times New Roman"/>
                      <w:color w:val="auto"/>
                      <w:sz w:val="21"/>
                      <w:szCs w:val="21"/>
                      <w:vertAlign w:val="superscript"/>
                    </w:rPr>
                    <w:t>＃</w:t>
                  </w:r>
                </w:p>
              </w:tc>
              <w:tc>
                <w:tcPr>
                  <w:tcW w:w="1315" w:type="dxa"/>
                  <w:vMerge w:val="restart"/>
                  <w:noWrap w:val="0"/>
                  <w:vAlign w:val="center"/>
                </w:tcPr>
                <w:p w14:paraId="781DD593">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750</w:t>
                  </w:r>
                </w:p>
              </w:tc>
              <w:tc>
                <w:tcPr>
                  <w:tcW w:w="1316" w:type="dxa"/>
                  <w:noWrap w:val="0"/>
                  <w:vAlign w:val="center"/>
                </w:tcPr>
                <w:p w14:paraId="51BADA02">
                  <w:pPr>
                    <w:jc w:val="center"/>
                    <w:rPr>
                      <w:rFonts w:hint="eastAsia" w:cs="Times New Roman"/>
                      <w:color w:val="auto"/>
                      <w:sz w:val="21"/>
                      <w:szCs w:val="21"/>
                      <w:lang w:val="en-US" w:eastAsia="zh-CN"/>
                    </w:rPr>
                  </w:pPr>
                  <w:r>
                    <w:rPr>
                      <w:rFonts w:hint="eastAsia" w:cs="Times New Roman"/>
                      <w:color w:val="auto"/>
                      <w:sz w:val="21"/>
                      <w:szCs w:val="21"/>
                      <w:lang w:val="en-US" w:eastAsia="zh-CN"/>
                    </w:rPr>
                    <w:t>1066</w:t>
                  </w:r>
                </w:p>
              </w:tc>
              <w:tc>
                <w:tcPr>
                  <w:tcW w:w="1934" w:type="dxa"/>
                  <w:vMerge w:val="continue"/>
                  <w:noWrap w:val="0"/>
                  <w:vAlign w:val="center"/>
                </w:tcPr>
                <w:p w14:paraId="147A53BA">
                  <w:pPr>
                    <w:jc w:val="center"/>
                    <w:rPr>
                      <w:rFonts w:hint="default" w:ascii="Times New Roman" w:hAnsi="Times New Roman" w:cs="Times New Roman"/>
                      <w:color w:val="auto"/>
                      <w:sz w:val="21"/>
                      <w:szCs w:val="21"/>
                    </w:rPr>
                  </w:pPr>
                </w:p>
              </w:tc>
            </w:tr>
            <w:tr w14:paraId="26EE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777" w:type="dxa"/>
                  <w:noWrap w:val="0"/>
                  <w:vAlign w:val="center"/>
                </w:tcPr>
                <w:p w14:paraId="113181B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39" w:type="dxa"/>
                  <w:vMerge w:val="continue"/>
                  <w:noWrap w:val="0"/>
                  <w:vAlign w:val="center"/>
                </w:tcPr>
                <w:p w14:paraId="01B49595">
                  <w:pPr>
                    <w:jc w:val="center"/>
                    <w:rPr>
                      <w:rFonts w:hint="default" w:ascii="Times New Roman" w:hAnsi="Times New Roman" w:cs="Times New Roman"/>
                      <w:color w:val="auto"/>
                      <w:sz w:val="21"/>
                      <w:szCs w:val="21"/>
                    </w:rPr>
                  </w:pPr>
                </w:p>
              </w:tc>
              <w:tc>
                <w:tcPr>
                  <w:tcW w:w="832" w:type="dxa"/>
                  <w:noWrap w:val="0"/>
                  <w:vAlign w:val="center"/>
                </w:tcPr>
                <w:p w14:paraId="3CD3D80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064" w:type="dxa"/>
                  <w:noWrap w:val="0"/>
                  <w:vAlign w:val="center"/>
                </w:tcPr>
                <w:p w14:paraId="6BA6178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r>
                    <w:rPr>
                      <w:rFonts w:hint="default" w:ascii="Times New Roman" w:hAnsi="Times New Roman" w:cs="Times New Roman"/>
                      <w:color w:val="auto"/>
                      <w:sz w:val="21"/>
                      <w:szCs w:val="21"/>
                      <w:vertAlign w:val="superscript"/>
                    </w:rPr>
                    <w:t>＃</w:t>
                  </w:r>
                </w:p>
              </w:tc>
              <w:tc>
                <w:tcPr>
                  <w:tcW w:w="1315" w:type="dxa"/>
                  <w:vMerge w:val="continue"/>
                  <w:noWrap w:val="0"/>
                  <w:vAlign w:val="center"/>
                </w:tcPr>
                <w:p w14:paraId="359B1895">
                  <w:pPr>
                    <w:jc w:val="center"/>
                    <w:rPr>
                      <w:rFonts w:hint="default" w:ascii="Times New Roman" w:hAnsi="Times New Roman" w:eastAsia="宋体" w:cs="Times New Roman"/>
                      <w:color w:val="auto"/>
                      <w:sz w:val="21"/>
                      <w:szCs w:val="21"/>
                      <w:lang w:val="en-US" w:eastAsia="zh-CN"/>
                    </w:rPr>
                  </w:pPr>
                </w:p>
              </w:tc>
              <w:tc>
                <w:tcPr>
                  <w:tcW w:w="1316" w:type="dxa"/>
                  <w:noWrap w:val="0"/>
                  <w:vAlign w:val="center"/>
                </w:tcPr>
                <w:p w14:paraId="7F0C9425">
                  <w:pPr>
                    <w:jc w:val="center"/>
                    <w:rPr>
                      <w:rFonts w:hint="eastAsia" w:cs="Times New Roman"/>
                      <w:color w:val="auto"/>
                      <w:sz w:val="21"/>
                      <w:szCs w:val="21"/>
                      <w:lang w:val="en-US" w:eastAsia="zh-CN"/>
                    </w:rPr>
                  </w:pPr>
                  <w:r>
                    <w:rPr>
                      <w:rFonts w:hint="eastAsia" w:cs="Times New Roman"/>
                      <w:color w:val="auto"/>
                      <w:sz w:val="21"/>
                      <w:szCs w:val="21"/>
                      <w:lang w:val="en-US" w:eastAsia="zh-CN"/>
                    </w:rPr>
                    <w:t>188</w:t>
                  </w:r>
                </w:p>
              </w:tc>
              <w:tc>
                <w:tcPr>
                  <w:tcW w:w="1934" w:type="dxa"/>
                  <w:vMerge w:val="continue"/>
                  <w:noWrap w:val="0"/>
                  <w:vAlign w:val="center"/>
                </w:tcPr>
                <w:p w14:paraId="725116E2">
                  <w:pPr>
                    <w:jc w:val="center"/>
                    <w:rPr>
                      <w:rFonts w:hint="default" w:ascii="Times New Roman" w:hAnsi="Times New Roman" w:cs="Times New Roman"/>
                      <w:color w:val="auto"/>
                      <w:sz w:val="21"/>
                      <w:szCs w:val="21"/>
                    </w:rPr>
                  </w:pPr>
                </w:p>
              </w:tc>
            </w:tr>
            <w:tr w14:paraId="4818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777" w:type="dxa"/>
                  <w:noWrap w:val="0"/>
                  <w:vAlign w:val="center"/>
                </w:tcPr>
                <w:p w14:paraId="2D2B1AF5">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4</w:t>
                  </w:r>
                </w:p>
              </w:tc>
              <w:tc>
                <w:tcPr>
                  <w:tcW w:w="1339" w:type="dxa"/>
                  <w:noWrap w:val="0"/>
                  <w:vAlign w:val="center"/>
                </w:tcPr>
                <w:p w14:paraId="46C4AA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w:t>
                  </w:r>
                </w:p>
              </w:tc>
              <w:tc>
                <w:tcPr>
                  <w:tcW w:w="832" w:type="dxa"/>
                  <w:noWrap w:val="0"/>
                  <w:vAlign w:val="center"/>
                </w:tcPr>
                <w:p w14:paraId="56B5EA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kwh/a</w:t>
                  </w:r>
                </w:p>
              </w:tc>
              <w:tc>
                <w:tcPr>
                  <w:tcW w:w="1064" w:type="dxa"/>
                  <w:noWrap w:val="0"/>
                  <w:vAlign w:val="center"/>
                </w:tcPr>
                <w:p w14:paraId="607A9D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15" w:type="dxa"/>
                  <w:noWrap w:val="0"/>
                  <w:vAlign w:val="center"/>
                </w:tcPr>
                <w:p w14:paraId="2CEECA58">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700</w:t>
                  </w:r>
                </w:p>
              </w:tc>
              <w:tc>
                <w:tcPr>
                  <w:tcW w:w="1316" w:type="dxa"/>
                  <w:noWrap w:val="0"/>
                  <w:vAlign w:val="center"/>
                </w:tcPr>
                <w:p w14:paraId="537BAC5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w:t>
                  </w:r>
                </w:p>
              </w:tc>
              <w:tc>
                <w:tcPr>
                  <w:tcW w:w="1934" w:type="dxa"/>
                  <w:noWrap w:val="0"/>
                  <w:vAlign w:val="center"/>
                </w:tcPr>
                <w:p w14:paraId="521FF83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接至</w:t>
                  </w:r>
                  <w:r>
                    <w:rPr>
                      <w:rFonts w:hint="eastAsia" w:cs="Times New Roman"/>
                      <w:color w:val="auto"/>
                      <w:sz w:val="21"/>
                      <w:szCs w:val="21"/>
                      <w:lang w:val="en-US" w:eastAsia="zh-CN"/>
                    </w:rPr>
                    <w:t>寻甸</w:t>
                  </w:r>
                  <w:r>
                    <w:rPr>
                      <w:rFonts w:hint="default" w:ascii="Times New Roman" w:hAnsi="Times New Roman" w:cs="Times New Roman"/>
                      <w:color w:val="auto"/>
                      <w:sz w:val="21"/>
                      <w:szCs w:val="21"/>
                      <w:lang w:val="en-US" w:eastAsia="zh-CN"/>
                    </w:rPr>
                    <w:t>电网</w:t>
                  </w:r>
                </w:p>
              </w:tc>
            </w:tr>
            <w:tr w14:paraId="400B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jc w:val="center"/>
              </w:trPr>
              <w:tc>
                <w:tcPr>
                  <w:tcW w:w="777" w:type="dxa"/>
                  <w:noWrap w:val="0"/>
                  <w:vAlign w:val="center"/>
                </w:tcPr>
                <w:p w14:paraId="09DAD54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339" w:type="dxa"/>
                  <w:noWrap w:val="0"/>
                  <w:vAlign w:val="center"/>
                </w:tcPr>
                <w:p w14:paraId="65F4007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水</w:t>
                  </w:r>
                </w:p>
              </w:tc>
              <w:tc>
                <w:tcPr>
                  <w:tcW w:w="832" w:type="dxa"/>
                  <w:noWrap w:val="0"/>
                  <w:vAlign w:val="center"/>
                </w:tcPr>
                <w:p w14:paraId="5549A6E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064" w:type="dxa"/>
                  <w:noWrap w:val="0"/>
                  <w:vAlign w:val="center"/>
                </w:tcPr>
                <w:p w14:paraId="4C2E736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15" w:type="dxa"/>
                  <w:noWrap w:val="0"/>
                  <w:vAlign w:val="center"/>
                </w:tcPr>
                <w:p w14:paraId="14C7CD9D">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650</w:t>
                  </w:r>
                </w:p>
              </w:tc>
              <w:tc>
                <w:tcPr>
                  <w:tcW w:w="1316" w:type="dxa"/>
                  <w:noWrap w:val="0"/>
                  <w:vAlign w:val="center"/>
                </w:tcPr>
                <w:p w14:paraId="45E7C3B5">
                  <w:pPr>
                    <w:jc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759.2</w:t>
                  </w:r>
                </w:p>
              </w:tc>
              <w:tc>
                <w:tcPr>
                  <w:tcW w:w="1934" w:type="dxa"/>
                  <w:noWrap w:val="0"/>
                  <w:vAlign w:val="center"/>
                </w:tcPr>
                <w:p w14:paraId="7BD0963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接至</w:t>
                  </w:r>
                  <w:r>
                    <w:rPr>
                      <w:rFonts w:hint="eastAsia" w:ascii="Times New Roman" w:hAnsi="Times New Roman" w:cs="Times New Roman"/>
                      <w:color w:val="auto"/>
                      <w:sz w:val="21"/>
                      <w:szCs w:val="21"/>
                      <w:lang w:val="en-US" w:eastAsia="zh-CN"/>
                    </w:rPr>
                    <w:t>当地</w:t>
                  </w:r>
                  <w:r>
                    <w:rPr>
                      <w:rFonts w:hint="default" w:ascii="Times New Roman" w:hAnsi="Times New Roman" w:cs="Times New Roman"/>
                      <w:color w:val="auto"/>
                      <w:sz w:val="21"/>
                      <w:szCs w:val="21"/>
                      <w:lang w:val="en-US" w:eastAsia="zh-CN"/>
                    </w:rPr>
                    <w:t>自来水厂</w:t>
                  </w:r>
                </w:p>
              </w:tc>
            </w:tr>
          </w:tbl>
          <w:p w14:paraId="14DCA6D6">
            <w:pPr>
              <w:widowControl/>
              <w:suppressLineNumbers/>
              <w:spacing w:line="360" w:lineRule="auto"/>
              <w:ind w:firstLine="482" w:firstLineChars="200"/>
              <w:outlineLvl w:val="0"/>
              <w:rPr>
                <w:rFonts w:hint="default" w:ascii="Times New Roman" w:hAnsi="Times New Roman" w:cs="Times New Roman"/>
                <w:b/>
                <w:bCs/>
                <w:color w:val="auto"/>
                <w:sz w:val="24"/>
                <w:szCs w:val="24"/>
                <w:lang w:val="en-US" w:eastAsia="zh-CN"/>
              </w:rPr>
            </w:pPr>
            <w:bookmarkStart w:id="11" w:name="_Toc7978"/>
            <w:bookmarkStart w:id="12" w:name="_Toc27620"/>
            <w:bookmarkStart w:id="13" w:name="_Toc532197023"/>
            <w:r>
              <w:rPr>
                <w:rFonts w:hint="default" w:ascii="Times New Roman" w:hAnsi="Times New Roman" w:cs="Times New Roman"/>
                <w:b/>
                <w:bCs/>
                <w:color w:val="auto"/>
                <w:sz w:val="24"/>
                <w:szCs w:val="24"/>
                <w:lang w:val="en-US" w:eastAsia="zh-CN"/>
              </w:rPr>
              <w:t>4、项目销售规模</w:t>
            </w:r>
            <w:bookmarkEnd w:id="11"/>
            <w:bookmarkEnd w:id="12"/>
          </w:p>
          <w:p w14:paraId="48F7E3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本项目建成后预计年销售油品</w:t>
            </w:r>
            <w:r>
              <w:rPr>
                <w:rFonts w:hint="eastAsia" w:cs="Times New Roman"/>
                <w:b w:val="0"/>
                <w:bCs/>
                <w:color w:val="auto"/>
                <w:sz w:val="24"/>
                <w:szCs w:val="24"/>
                <w:lang w:val="en-US" w:eastAsia="zh-CN"/>
              </w:rPr>
              <w:t>2200</w:t>
            </w:r>
            <w:r>
              <w:rPr>
                <w:rFonts w:hint="default" w:ascii="Times New Roman" w:hAnsi="Times New Roman" w:eastAsia="宋体" w:cs="Times New Roman"/>
                <w:b w:val="0"/>
                <w:bCs/>
                <w:color w:val="auto"/>
                <w:sz w:val="24"/>
                <w:szCs w:val="24"/>
                <w:lang w:val="en-US" w:eastAsia="zh-CN"/>
              </w:rPr>
              <w:t>，其中柴油年销售</w:t>
            </w:r>
            <w:r>
              <w:rPr>
                <w:rFonts w:hint="eastAsia" w:cs="Times New Roman"/>
                <w:b w:val="0"/>
                <w:bCs/>
                <w:color w:val="auto"/>
                <w:sz w:val="24"/>
                <w:szCs w:val="24"/>
                <w:lang w:val="en-US" w:eastAsia="zh-CN"/>
              </w:rPr>
              <w:t>946</w:t>
            </w:r>
            <w:r>
              <w:rPr>
                <w:rFonts w:hint="default" w:ascii="Times New Roman" w:hAnsi="Times New Roman" w:eastAsia="宋体" w:cs="Times New Roman"/>
                <w:b w:val="0"/>
                <w:bCs/>
                <w:color w:val="auto"/>
                <w:sz w:val="24"/>
                <w:szCs w:val="24"/>
                <w:lang w:val="en-US" w:eastAsia="zh-CN"/>
              </w:rPr>
              <w:t>t，汽油年销售</w:t>
            </w:r>
            <w:r>
              <w:rPr>
                <w:rFonts w:hint="default" w:ascii="Times New Roman" w:hAnsi="Times New Roman" w:cs="Times New Roman"/>
                <w:b w:val="0"/>
                <w:bCs/>
                <w:color w:val="auto"/>
                <w:sz w:val="24"/>
                <w:szCs w:val="24"/>
                <w:lang w:val="en-US" w:eastAsia="zh-CN"/>
              </w:rPr>
              <w:t>1</w:t>
            </w:r>
            <w:r>
              <w:rPr>
                <w:rFonts w:hint="eastAsia" w:cs="Times New Roman"/>
                <w:b w:val="0"/>
                <w:bCs/>
                <w:color w:val="auto"/>
                <w:sz w:val="24"/>
                <w:szCs w:val="24"/>
                <w:lang w:val="en-US" w:eastAsia="zh-CN"/>
              </w:rPr>
              <w:t>254</w:t>
            </w:r>
            <w:r>
              <w:rPr>
                <w:rFonts w:hint="default" w:ascii="Times New Roman" w:hAnsi="Times New Roman" w:eastAsia="宋体" w:cs="Times New Roman"/>
                <w:b w:val="0"/>
                <w:bCs/>
                <w:color w:val="auto"/>
                <w:sz w:val="24"/>
                <w:szCs w:val="24"/>
                <w:lang w:val="en-US" w:eastAsia="zh-CN"/>
              </w:rPr>
              <w:t>t。</w:t>
            </w:r>
            <w:r>
              <w:rPr>
                <w:rFonts w:hint="eastAsia" w:cs="Times New Roman"/>
                <w:b w:val="0"/>
                <w:bCs/>
                <w:color w:val="auto"/>
                <w:sz w:val="24"/>
                <w:szCs w:val="24"/>
                <w:lang w:val="en-US" w:eastAsia="zh-CN"/>
              </w:rPr>
              <w:t>柴油年销售量比现在增加46</w:t>
            </w:r>
            <w:r>
              <w:rPr>
                <w:rFonts w:hint="default" w:ascii="Times New Roman" w:hAnsi="Times New Roman" w:eastAsia="宋体" w:cs="Times New Roman"/>
                <w:b w:val="0"/>
                <w:bCs/>
                <w:color w:val="auto"/>
                <w:sz w:val="24"/>
                <w:szCs w:val="24"/>
                <w:lang w:val="en-US" w:eastAsia="zh-CN"/>
              </w:rPr>
              <w:t>t</w:t>
            </w:r>
            <w:r>
              <w:rPr>
                <w:rFonts w:hint="eastAsia" w:cs="Times New Roman"/>
                <w:b w:val="0"/>
                <w:bCs/>
                <w:color w:val="auto"/>
                <w:sz w:val="24"/>
                <w:szCs w:val="24"/>
                <w:lang w:val="en-US" w:eastAsia="zh-CN"/>
              </w:rPr>
              <w:t>，汽油年销售量比现在增加504</w:t>
            </w:r>
            <w:r>
              <w:rPr>
                <w:rFonts w:hint="default" w:ascii="Times New Roman" w:hAnsi="Times New Roman" w:eastAsia="宋体" w:cs="Times New Roman"/>
                <w:b w:val="0"/>
                <w:bCs/>
                <w:color w:val="auto"/>
                <w:sz w:val="24"/>
                <w:szCs w:val="24"/>
                <w:lang w:val="en-US" w:eastAsia="zh-CN"/>
              </w:rPr>
              <w:t>t</w:t>
            </w:r>
            <w:r>
              <w:rPr>
                <w:rFonts w:hint="eastAsia" w:cs="Times New Roman"/>
                <w:b w:val="0"/>
                <w:bCs/>
                <w:color w:val="auto"/>
                <w:sz w:val="24"/>
                <w:szCs w:val="24"/>
                <w:lang w:val="en-US" w:eastAsia="zh-CN"/>
              </w:rPr>
              <w:t>。</w:t>
            </w:r>
          </w:p>
          <w:p w14:paraId="36003778">
            <w:pPr>
              <w:widowControl/>
              <w:suppressLineNumbers/>
              <w:spacing w:line="360" w:lineRule="auto"/>
              <w:ind w:firstLine="482" w:firstLineChars="200"/>
              <w:outlineLvl w:val="0"/>
              <w:rPr>
                <w:rFonts w:hint="default" w:ascii="Times New Roman" w:hAnsi="Times New Roman" w:eastAsia="宋体" w:cs="Times New Roman"/>
                <w:b/>
                <w:bCs/>
                <w:color w:val="auto"/>
                <w:sz w:val="24"/>
                <w:szCs w:val="24"/>
                <w:lang w:val="en-US" w:eastAsia="zh-CN"/>
              </w:rPr>
            </w:pPr>
            <w:bookmarkStart w:id="14" w:name="_Toc20736"/>
            <w:bookmarkStart w:id="15" w:name="_Toc22624"/>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水量平衡</w:t>
            </w:r>
            <w:bookmarkEnd w:id="14"/>
            <w:bookmarkEnd w:id="15"/>
          </w:p>
          <w:p w14:paraId="3789F032">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（1）产排污环节及污染物排放量</w:t>
            </w:r>
          </w:p>
          <w:p w14:paraId="02FDAE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生活废水</w:t>
            </w:r>
          </w:p>
          <w:p w14:paraId="1C29EE13">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本项目运营期工作人员共</w:t>
            </w: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rPr>
              <w:t>人。每天</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班倒，年工作365天，均在加油站食宿。员工用水主要为厨房、</w:t>
            </w:r>
            <w:r>
              <w:rPr>
                <w:rFonts w:hint="default" w:ascii="Times New Roman" w:hAnsi="Times New Roman" w:cs="Times New Roman"/>
                <w:color w:val="auto"/>
                <w:sz w:val="24"/>
                <w:szCs w:val="22"/>
                <w:lang w:val="en-US" w:eastAsia="zh-CN"/>
              </w:rPr>
              <w:t>洗漱</w:t>
            </w:r>
            <w:r>
              <w:rPr>
                <w:rFonts w:hint="default" w:ascii="Times New Roman" w:hAnsi="Times New Roman" w:cs="Times New Roman"/>
                <w:color w:val="auto"/>
                <w:sz w:val="24"/>
                <w:szCs w:val="22"/>
              </w:rPr>
              <w:t>用水，根据《云南省地方标准用水定额》（DB53/7168-2019）用水定额以</w:t>
            </w:r>
            <w:r>
              <w:rPr>
                <w:rFonts w:hint="default" w:ascii="Times New Roman" w:hAnsi="Times New Roman" w:cs="Times New Roman"/>
                <w:color w:val="auto"/>
                <w:sz w:val="24"/>
                <w:szCs w:val="22"/>
                <w:lang w:val="en-US" w:eastAsia="zh-CN"/>
              </w:rPr>
              <w:t>100</w:t>
            </w:r>
            <w:r>
              <w:rPr>
                <w:rFonts w:hint="default" w:ascii="Times New Roman" w:hAnsi="Times New Roman" w:cs="Times New Roman"/>
                <w:color w:val="auto"/>
                <w:sz w:val="24"/>
                <w:szCs w:val="22"/>
              </w:rPr>
              <w:t>L(人•d)计，则员工生活用水量约为0.</w:t>
            </w: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rPr>
              <w:t>m³/d，</w:t>
            </w:r>
            <w:r>
              <w:rPr>
                <w:rFonts w:hint="default" w:ascii="Times New Roman" w:hAnsi="Times New Roman" w:cs="Times New Roman"/>
                <w:color w:val="auto"/>
                <w:sz w:val="24"/>
                <w:szCs w:val="22"/>
                <w:lang w:val="en-US" w:eastAsia="zh-CN"/>
              </w:rPr>
              <w:t>109.5</w:t>
            </w:r>
            <w:r>
              <w:rPr>
                <w:rFonts w:hint="default" w:ascii="Times New Roman" w:hAnsi="Times New Roman" w:cs="Times New Roman"/>
                <w:color w:val="auto"/>
                <w:sz w:val="24"/>
                <w:szCs w:val="22"/>
              </w:rPr>
              <w:t>m³/a，废水量按用水量的80%计，则员工生活废水量约为</w:t>
            </w:r>
            <w:r>
              <w:rPr>
                <w:rFonts w:hint="default" w:ascii="Times New Roman" w:hAnsi="Times New Roman" w:cs="Times New Roman"/>
                <w:color w:val="auto"/>
                <w:sz w:val="24"/>
                <w:szCs w:val="22"/>
                <w:lang w:val="en-US" w:eastAsia="zh-CN"/>
              </w:rPr>
              <w:t>0.24</w:t>
            </w:r>
            <w:r>
              <w:rPr>
                <w:rFonts w:hint="default" w:ascii="Times New Roman" w:hAnsi="Times New Roman" w:cs="Times New Roman"/>
                <w:color w:val="auto"/>
                <w:sz w:val="24"/>
                <w:szCs w:val="22"/>
              </w:rPr>
              <w:t>m³/d，</w:t>
            </w:r>
            <w:r>
              <w:rPr>
                <w:rFonts w:hint="default" w:ascii="Times New Roman" w:hAnsi="Times New Roman" w:cs="Times New Roman"/>
                <w:color w:val="auto"/>
                <w:sz w:val="24"/>
                <w:szCs w:val="22"/>
                <w:lang w:val="en-US" w:eastAsia="zh-CN"/>
              </w:rPr>
              <w:t>87.6</w:t>
            </w:r>
            <w:r>
              <w:rPr>
                <w:rFonts w:hint="default" w:ascii="Times New Roman" w:hAnsi="Times New Roman" w:cs="Times New Roman"/>
                <w:color w:val="auto"/>
                <w:sz w:val="24"/>
                <w:szCs w:val="22"/>
              </w:rPr>
              <w:t xml:space="preserve">m³/a。该废水中主要污染物为COD、氨氮、SS、动植物油等，其中厨房废水经隔油池处理后，汇同其他生活废水进入化粪池处理。 </w:t>
            </w:r>
          </w:p>
          <w:p w14:paraId="5D32583D">
            <w:pPr>
              <w:suppressLineNumbers/>
              <w:spacing w:line="360" w:lineRule="auto"/>
              <w:ind w:firstLine="435"/>
              <w:rPr>
                <w:rFonts w:hint="default" w:ascii="Times New Roman" w:hAnsi="Times New Roman" w:cs="Times New Roman"/>
                <w:color w:val="auto"/>
                <w:szCs w:val="20"/>
              </w:rPr>
            </w:pPr>
            <w:r>
              <w:rPr>
                <w:rFonts w:hint="default" w:ascii="Times New Roman" w:hAnsi="Times New Roman" w:cs="Times New Roman"/>
                <w:color w:val="auto"/>
                <w:sz w:val="24"/>
                <w:szCs w:val="22"/>
              </w:rPr>
              <w:t>其中厨房用水量约为20L/(人·d)，因此员工厨房用水量约为</w:t>
            </w:r>
            <w:r>
              <w:rPr>
                <w:rFonts w:hint="default" w:ascii="Times New Roman" w:hAnsi="Times New Roman" w:cs="Times New Roman"/>
                <w:color w:val="auto"/>
                <w:sz w:val="24"/>
                <w:szCs w:val="22"/>
                <w:lang w:val="en-US" w:eastAsia="zh-CN"/>
              </w:rPr>
              <w:t>0.06</w:t>
            </w:r>
            <w:r>
              <w:rPr>
                <w:rFonts w:hint="default" w:ascii="Times New Roman" w:hAnsi="Times New Roman" w:cs="Times New Roman"/>
                <w:color w:val="auto"/>
                <w:sz w:val="24"/>
                <w:szCs w:val="22"/>
              </w:rPr>
              <w:t>m³/d，</w:t>
            </w:r>
            <w:r>
              <w:rPr>
                <w:rFonts w:hint="default" w:ascii="Times New Roman" w:hAnsi="Times New Roman" w:cs="Times New Roman"/>
                <w:color w:val="auto"/>
                <w:sz w:val="24"/>
                <w:szCs w:val="22"/>
                <w:lang w:val="en-US" w:eastAsia="zh-CN"/>
              </w:rPr>
              <w:t>21.9</w:t>
            </w:r>
            <w:r>
              <w:rPr>
                <w:rFonts w:hint="default" w:ascii="Times New Roman" w:hAnsi="Times New Roman" w:cs="Times New Roman"/>
                <w:color w:val="auto"/>
                <w:sz w:val="24"/>
                <w:szCs w:val="22"/>
              </w:rPr>
              <w:t>m³/a，厨房含油废水产生量按80%计，则为</w:t>
            </w:r>
            <w:r>
              <w:rPr>
                <w:rFonts w:hint="default" w:ascii="Times New Roman" w:hAnsi="Times New Roman" w:cs="Times New Roman"/>
                <w:color w:val="auto"/>
                <w:sz w:val="24"/>
                <w:szCs w:val="22"/>
                <w:lang w:val="en-US" w:eastAsia="zh-CN"/>
              </w:rPr>
              <w:t>0.048</w:t>
            </w:r>
            <w:r>
              <w:rPr>
                <w:rFonts w:hint="default" w:ascii="Times New Roman" w:hAnsi="Times New Roman" w:cs="Times New Roman"/>
                <w:color w:val="auto"/>
                <w:sz w:val="24"/>
                <w:szCs w:val="22"/>
              </w:rPr>
              <w:t>m³/d，</w:t>
            </w:r>
            <w:r>
              <w:rPr>
                <w:rFonts w:hint="default" w:ascii="Times New Roman" w:hAnsi="Times New Roman" w:cs="Times New Roman"/>
                <w:color w:val="auto"/>
                <w:sz w:val="24"/>
                <w:szCs w:val="22"/>
                <w:lang w:val="en-US" w:eastAsia="zh-CN"/>
              </w:rPr>
              <w:t>17.52</w:t>
            </w:r>
            <w:r>
              <w:rPr>
                <w:rFonts w:hint="default" w:ascii="Times New Roman" w:hAnsi="Times New Roman" w:cs="Times New Roman"/>
                <w:color w:val="auto"/>
                <w:sz w:val="24"/>
                <w:szCs w:val="22"/>
              </w:rPr>
              <w:t>m³ /a。厨房用水经隔油池和化粪池处理后</w:t>
            </w:r>
            <w:r>
              <w:rPr>
                <w:rFonts w:hint="eastAsia" w:cs="Times New Roman"/>
                <w:color w:val="auto"/>
                <w:sz w:val="24"/>
                <w:szCs w:val="22"/>
                <w:lang w:val="en-US" w:eastAsia="zh-CN"/>
              </w:rPr>
              <w:t>，委托绿运垃圾清运有限公司清运处置</w:t>
            </w:r>
            <w:r>
              <w:rPr>
                <w:rFonts w:hint="default" w:ascii="Times New Roman" w:hAnsi="Times New Roman" w:cs="Times New Roman"/>
                <w:color w:val="auto"/>
                <w:sz w:val="24"/>
                <w:szCs w:val="22"/>
              </w:rPr>
              <w:t>。</w:t>
            </w:r>
          </w:p>
          <w:p w14:paraId="68DCDBDD">
            <w:pPr>
              <w:suppressLineNumbers/>
              <w:spacing w:line="360" w:lineRule="auto"/>
              <w:ind w:firstLine="43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（2）外来人员冲厕废水</w:t>
            </w:r>
          </w:p>
          <w:p w14:paraId="3E56A3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根据建设单位提供的资料，项目建成后车流量约为</w:t>
            </w:r>
            <w:r>
              <w:rPr>
                <w:rFonts w:hint="default" w:ascii="Times New Roman" w:hAnsi="Times New Roman" w:cs="Times New Roman"/>
                <w:color w:val="auto"/>
                <w:sz w:val="24"/>
                <w:szCs w:val="24"/>
                <w:lang w:val="en-US" w:eastAsia="zh-CN"/>
              </w:rPr>
              <w:t>80</w:t>
            </w:r>
            <w:r>
              <w:rPr>
                <w:rFonts w:hint="default" w:ascii="Times New Roman" w:hAnsi="Times New Roman" w:cs="Times New Roman"/>
                <w:color w:val="auto"/>
                <w:sz w:val="24"/>
                <w:szCs w:val="24"/>
              </w:rPr>
              <w:t>辆/d。平均每辆车乘车人数按</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人核算，总人数的50%使用加油站内厕所，则入厕人数约</w:t>
            </w:r>
            <w:r>
              <w:rPr>
                <w:rFonts w:hint="default" w:ascii="Times New Roman" w:hAnsi="Times New Roman" w:cs="Times New Roman"/>
                <w:color w:val="auto"/>
                <w:sz w:val="24"/>
                <w:szCs w:val="24"/>
                <w:lang w:val="en-US" w:eastAsia="zh-CN"/>
              </w:rPr>
              <w:t>160</w:t>
            </w:r>
            <w:r>
              <w:rPr>
                <w:rFonts w:hint="default" w:ascii="Times New Roman" w:hAnsi="Times New Roman" w:cs="Times New Roman"/>
                <w:color w:val="auto"/>
                <w:sz w:val="24"/>
                <w:szCs w:val="24"/>
              </w:rPr>
              <w:t>人次/d。用水量按DB53/T168-2019《云南省地方标准用水定额》中公厕用水量0.007m³/(人•次)计，则卫生间冲洗用水量约为</w:t>
            </w:r>
            <w:r>
              <w:rPr>
                <w:rFonts w:hint="default" w:ascii="Times New Roman" w:hAnsi="Times New Roman" w:cs="Times New Roman"/>
                <w:color w:val="auto"/>
                <w:sz w:val="24"/>
                <w:szCs w:val="24"/>
                <w:lang w:val="en-US" w:eastAsia="zh-CN"/>
              </w:rPr>
              <w:t>1.12</w:t>
            </w:r>
            <w:r>
              <w:rPr>
                <w:rFonts w:hint="default" w:ascii="Times New Roman" w:hAnsi="Times New Roman" w:cs="Times New Roman"/>
                <w:color w:val="auto"/>
                <w:sz w:val="24"/>
                <w:szCs w:val="24"/>
              </w:rPr>
              <w:t>m³/d，</w:t>
            </w:r>
            <w:r>
              <w:rPr>
                <w:rFonts w:hint="default" w:ascii="Times New Roman" w:hAnsi="Times New Roman" w:cs="Times New Roman"/>
                <w:color w:val="auto"/>
                <w:sz w:val="24"/>
                <w:szCs w:val="24"/>
                <w:lang w:val="en-US" w:eastAsia="zh-CN"/>
              </w:rPr>
              <w:t>408.8</w:t>
            </w:r>
            <w:r>
              <w:rPr>
                <w:rFonts w:hint="default" w:ascii="Times New Roman" w:hAnsi="Times New Roman" w:cs="Times New Roman"/>
                <w:color w:val="auto"/>
                <w:sz w:val="24"/>
                <w:szCs w:val="24"/>
              </w:rPr>
              <w:t>m³/d。废水产生率按</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%计，则卫生间冲洗废水产生量为</w:t>
            </w:r>
            <w:r>
              <w:rPr>
                <w:rFonts w:hint="default" w:ascii="Times New Roman" w:hAnsi="Times New Roman" w:cs="Times New Roman"/>
                <w:color w:val="auto"/>
                <w:sz w:val="24"/>
                <w:szCs w:val="24"/>
                <w:lang w:val="en-US" w:eastAsia="zh-CN"/>
              </w:rPr>
              <w:t>1.008</w:t>
            </w:r>
            <w:r>
              <w:rPr>
                <w:rFonts w:hint="default" w:ascii="Times New Roman" w:hAnsi="Times New Roman" w:cs="Times New Roman"/>
                <w:color w:val="auto"/>
                <w:sz w:val="24"/>
                <w:szCs w:val="24"/>
              </w:rPr>
              <w:t>m³/d，</w:t>
            </w:r>
            <w:r>
              <w:rPr>
                <w:rFonts w:hint="default" w:ascii="Times New Roman" w:hAnsi="Times New Roman" w:cs="Times New Roman"/>
                <w:color w:val="auto"/>
                <w:sz w:val="24"/>
                <w:szCs w:val="24"/>
                <w:lang w:val="en-US" w:eastAsia="zh-CN"/>
              </w:rPr>
              <w:t>367.92</w:t>
            </w:r>
            <w:r>
              <w:rPr>
                <w:rFonts w:hint="default" w:ascii="Times New Roman" w:hAnsi="Times New Roman" w:cs="Times New Roman"/>
                <w:color w:val="auto"/>
                <w:sz w:val="24"/>
                <w:szCs w:val="24"/>
              </w:rPr>
              <w:t>m³/a。</w:t>
            </w:r>
          </w:p>
          <w:p w14:paraId="3B6F0B4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（3）地坪冲洗水</w:t>
            </w:r>
          </w:p>
          <w:p w14:paraId="2EEACE6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加油区地面需清洁的面积约为298.77m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，采用拖把清洁，根据《云南省地方标准用水定额》（DB53/T168-2019），场地清洗用水量为2L/（㎡·d），项目每周对地面进行一次清洗，每次用水量为</w:t>
            </w:r>
            <w:r>
              <w:rPr>
                <w:rFonts w:hint="default" w:ascii="Times New Roman" w:hAnsi="Times New Roman" w:cs="Times New Roman"/>
                <w:color w:val="auto"/>
                <w:sz w:val="24"/>
                <w:szCs w:val="24"/>
                <w:lang w:val="en-US" w:eastAsia="zh-CN"/>
              </w:rPr>
              <w:t>0.</w:t>
            </w:r>
            <w:r>
              <w:rPr>
                <w:rFonts w:hint="eastAsia" w:cs="Times New Roman"/>
                <w:color w:val="auto"/>
                <w:sz w:val="24"/>
                <w:szCs w:val="24"/>
                <w:lang w:val="en-US" w:eastAsia="zh-CN"/>
              </w:rPr>
              <w:t>60</w:t>
            </w:r>
            <w:r>
              <w:rPr>
                <w:rFonts w:hint="default" w:ascii="Times New Roman" w:hAnsi="Times New Roman" w:eastAsia="宋体" w:cs="Times New Roman"/>
                <w:color w:val="auto"/>
                <w:sz w:val="24"/>
                <w:szCs w:val="24"/>
              </w:rPr>
              <w:t>m³，</w:t>
            </w:r>
            <w:r>
              <w:rPr>
                <w:rFonts w:hint="eastAsia" w:cs="Times New Roman"/>
                <w:color w:val="auto"/>
                <w:sz w:val="24"/>
                <w:szCs w:val="24"/>
                <w:lang w:val="en-US" w:eastAsia="zh-CN"/>
              </w:rPr>
              <w:t>19.8</w:t>
            </w:r>
            <w:r>
              <w:rPr>
                <w:rFonts w:hint="default" w:ascii="Times New Roman" w:hAnsi="Times New Roman" w:eastAsia="宋体" w:cs="Times New Roman"/>
                <w:color w:val="auto"/>
                <w:sz w:val="24"/>
                <w:szCs w:val="24"/>
              </w:rPr>
              <w:t>m³/a。污水产生系数按0.8计，则废水产生量为</w:t>
            </w:r>
            <w:r>
              <w:rPr>
                <w:rFonts w:hint="eastAsia" w:cs="Times New Roman"/>
                <w:color w:val="auto"/>
                <w:sz w:val="24"/>
                <w:szCs w:val="24"/>
                <w:lang w:val="en-US" w:eastAsia="zh-CN"/>
              </w:rPr>
              <w:t>0.48</w:t>
            </w:r>
            <w:r>
              <w:rPr>
                <w:rFonts w:hint="default" w:ascii="Times New Roman" w:hAnsi="Times New Roman" w:eastAsia="宋体" w:cs="Times New Roman"/>
                <w:color w:val="auto"/>
                <w:sz w:val="24"/>
                <w:szCs w:val="24"/>
              </w:rPr>
              <w:t>m³/次，</w:t>
            </w:r>
            <w:r>
              <w:rPr>
                <w:rFonts w:hint="eastAsia" w:cs="Times New Roman"/>
                <w:color w:val="auto"/>
                <w:sz w:val="24"/>
                <w:szCs w:val="24"/>
                <w:lang w:val="en-US" w:eastAsia="zh-CN"/>
              </w:rPr>
              <w:t>15.84</w:t>
            </w:r>
            <w:r>
              <w:rPr>
                <w:rFonts w:hint="default" w:ascii="Times New Roman" w:hAnsi="Times New Roman" w:eastAsia="宋体" w:cs="Times New Roman"/>
                <w:color w:val="auto"/>
                <w:sz w:val="24"/>
                <w:szCs w:val="24"/>
              </w:rPr>
              <w:t>m³/a。主要污染物为COD、BOD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、SS、石油类等。</w:t>
            </w:r>
            <w:r>
              <w:rPr>
                <w:rFonts w:hint="default" w:ascii="Times New Roman" w:hAnsi="Times New Roman" w:cs="Times New Roman"/>
                <w:color w:val="auto"/>
                <w:sz w:val="24"/>
              </w:rPr>
              <w:t>地坪冲洗</w:t>
            </w:r>
            <w:r>
              <w:rPr>
                <w:rFonts w:hint="default" w:ascii="Times New Roman" w:hAnsi="Times New Roman" w:eastAsia="宋体" w:cs="Times New Roman"/>
                <w:color w:val="auto"/>
                <w:sz w:val="24"/>
                <w:szCs w:val="24"/>
              </w:rPr>
              <w:t>废水经三级油水分离池分离后，</w:t>
            </w:r>
            <w:r>
              <w:rPr>
                <w:rFonts w:hint="eastAsia" w:cs="Times New Roman"/>
                <w:color w:val="auto"/>
                <w:sz w:val="24"/>
                <w:szCs w:val="24"/>
                <w:lang w:val="en-US" w:eastAsia="zh-CN"/>
              </w:rPr>
              <w:t>委托绿运垃圾清运有限公司清运处置</w:t>
            </w:r>
            <w:r>
              <w:rPr>
                <w:rFonts w:hint="default" w:ascii="Times New Roman" w:hAnsi="Times New Roman" w:eastAsia="宋体" w:cs="Times New Roman"/>
                <w:color w:val="auto"/>
                <w:sz w:val="24"/>
                <w:szCs w:val="24"/>
              </w:rPr>
              <w:t>。</w:t>
            </w:r>
          </w:p>
          <w:p w14:paraId="2B6CA474">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初期</w:t>
            </w:r>
            <w:r>
              <w:rPr>
                <w:rFonts w:hint="default" w:ascii="Times New Roman" w:hAnsi="Times New Roman" w:eastAsia="宋体" w:cs="Times New Roman"/>
                <w:color w:val="auto"/>
                <w:sz w:val="24"/>
                <w:szCs w:val="24"/>
                <w:lang w:val="en-US" w:eastAsia="zh-CN"/>
              </w:rPr>
              <w:t>雨水</w:t>
            </w:r>
          </w:p>
          <w:p w14:paraId="49C61DD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rPr>
              <w:t>雨天，项目区地坪将被雨水冲刷，加油车辆会带入加油区泥土，所以雨水中还有较多泥沙和污染物，在雨水冲刷作用下，随雨水直接进入地表水体，将一定程度对水体造成污染。</w:t>
            </w:r>
            <w:r>
              <w:rPr>
                <w:rFonts w:hint="default" w:ascii="Times New Roman" w:hAnsi="Times New Roman" w:eastAsia="宋体" w:cs="Times New Roman"/>
                <w:color w:val="auto"/>
                <w:kern w:val="0"/>
                <w:sz w:val="24"/>
                <w:szCs w:val="24"/>
                <w:lang w:val="en-US" w:eastAsia="zh-CN" w:bidi="ar"/>
              </w:rPr>
              <w:t>根据项目区平面布置，</w:t>
            </w:r>
            <w:r>
              <w:rPr>
                <w:rFonts w:hint="default" w:ascii="Times New Roman" w:hAnsi="Times New Roman" w:cs="Times New Roman"/>
                <w:color w:val="auto"/>
                <w:kern w:val="0"/>
                <w:sz w:val="24"/>
                <w:szCs w:val="24"/>
                <w:lang w:val="en-US" w:eastAsia="zh-CN" w:bidi="ar"/>
              </w:rPr>
              <w:t>罩棚</w:t>
            </w:r>
            <w:r>
              <w:rPr>
                <w:rFonts w:hint="default" w:ascii="Times New Roman" w:hAnsi="Times New Roman" w:eastAsia="宋体" w:cs="Times New Roman"/>
                <w:color w:val="auto"/>
                <w:kern w:val="0"/>
                <w:sz w:val="24"/>
                <w:szCs w:val="24"/>
                <w:lang w:val="en-US" w:eastAsia="zh-CN" w:bidi="ar"/>
              </w:rPr>
              <w:t>建设</w:t>
            </w:r>
            <w:r>
              <w:rPr>
                <w:rFonts w:hint="default" w:ascii="Times New Roman" w:hAnsi="Times New Roman" w:cs="Times New Roman"/>
                <w:color w:val="auto"/>
                <w:kern w:val="0"/>
                <w:sz w:val="24"/>
                <w:szCs w:val="24"/>
                <w:lang w:val="en-US" w:eastAsia="zh-CN" w:bidi="ar"/>
              </w:rPr>
              <w:t>环保</w:t>
            </w:r>
            <w:r>
              <w:rPr>
                <w:rFonts w:hint="default" w:ascii="Times New Roman" w:hAnsi="Times New Roman" w:eastAsia="宋体" w:cs="Times New Roman"/>
                <w:color w:val="auto"/>
                <w:kern w:val="0"/>
                <w:sz w:val="24"/>
                <w:szCs w:val="24"/>
                <w:lang w:val="en-US" w:eastAsia="zh-CN" w:bidi="ar"/>
              </w:rPr>
              <w:t>沟对产生的初期雨水进行收集，初期雨水收集面积约为</w:t>
            </w:r>
            <w:r>
              <w:rPr>
                <w:rFonts w:hint="eastAsia" w:cs="Times New Roman"/>
                <w:color w:val="auto"/>
                <w:kern w:val="0"/>
                <w:sz w:val="24"/>
                <w:szCs w:val="24"/>
                <w:lang w:val="en-US" w:eastAsia="zh-CN" w:bidi="ar"/>
              </w:rPr>
              <w:t>298.77</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rPr>
              <w:t>项目需建设三级油水分离池对降雨时前15分钟内产生的初期雨水进行预处理。</w:t>
            </w:r>
          </w:p>
          <w:p w14:paraId="042FD02F">
            <w:pPr>
              <w:pStyle w:val="49"/>
              <w:spacing w:line="360" w:lineRule="auto"/>
              <w:ind w:left="108" w:right="96" w:firstLine="567"/>
              <w:jc w:val="both"/>
              <w:rPr>
                <w:rFonts w:hint="default" w:ascii="Times New Roman" w:hAnsi="Times New Roman" w:eastAsia="宋体" w:cs="Times New Roman"/>
                <w:caps w:val="0"/>
                <w:snapToGrid w:val="0"/>
                <w:color w:val="auto"/>
                <w:spacing w:val="0"/>
                <w:w w:val="100"/>
                <w:kern w:val="2"/>
                <w:position w:val="0"/>
                <w:sz w:val="24"/>
                <w:szCs w:val="24"/>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 xml:space="preserve">暴雨强度公式参照昆明市暴雨强度公式进行计算： </w:t>
            </w:r>
          </w:p>
          <w:p w14:paraId="45FA49F8">
            <w:pPr>
              <w:pStyle w:val="49"/>
              <w:spacing w:line="360" w:lineRule="auto"/>
              <w:ind w:left="108" w:right="96" w:firstLine="567"/>
              <w:jc w:val="center"/>
              <w:rPr>
                <w:color w:val="auto"/>
              </w:rPr>
            </w:pPr>
            <w:r>
              <w:rPr>
                <w:color w:val="auto"/>
              </w:rPr>
              <w:drawing>
                <wp:inline distT="0" distB="0" distL="114300" distR="114300">
                  <wp:extent cx="2433955" cy="537210"/>
                  <wp:effectExtent l="0" t="0" r="444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clrChange>
                              <a:clrFrom>
                                <a:srgbClr val="F0F0F0">
                                  <a:alpha val="100000"/>
                                </a:srgbClr>
                              </a:clrFrom>
                              <a:clrTo>
                                <a:srgbClr val="F0F0F0">
                                  <a:alpha val="100000"/>
                                  <a:alpha val="0"/>
                                </a:srgbClr>
                              </a:clrTo>
                            </a:clrChange>
                          </a:blip>
                          <a:stretch>
                            <a:fillRect/>
                          </a:stretch>
                        </pic:blipFill>
                        <pic:spPr>
                          <a:xfrm>
                            <a:off x="0" y="0"/>
                            <a:ext cx="2433955" cy="537210"/>
                          </a:xfrm>
                          <a:prstGeom prst="rect">
                            <a:avLst/>
                          </a:prstGeom>
                          <a:noFill/>
                          <a:ln>
                            <a:noFill/>
                          </a:ln>
                        </pic:spPr>
                      </pic:pic>
                    </a:graphicData>
                  </a:graphic>
                </wp:inline>
              </w:drawing>
            </w:r>
          </w:p>
          <w:p w14:paraId="0BCA5525">
            <w:pPr>
              <w:pStyle w:val="49"/>
              <w:spacing w:line="360" w:lineRule="auto"/>
              <w:ind w:left="108" w:right="96" w:firstLine="567"/>
              <w:jc w:val="both"/>
              <w:rPr>
                <w:rFonts w:hint="default" w:ascii="Times New Roman" w:hAnsi="Times New Roman" w:eastAsia="宋体" w:cs="Times New Roman"/>
                <w:caps w:val="0"/>
                <w:snapToGrid w:val="0"/>
                <w:color w:val="auto"/>
                <w:spacing w:val="0"/>
                <w:w w:val="100"/>
                <w:kern w:val="2"/>
                <w:position w:val="0"/>
                <w:sz w:val="24"/>
                <w:szCs w:val="24"/>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式中：t—降雨历时（以15min计）；</w:t>
            </w:r>
          </w:p>
          <w:p w14:paraId="3E5A150B">
            <w:pPr>
              <w:pStyle w:val="49"/>
              <w:spacing w:line="360" w:lineRule="auto"/>
              <w:ind w:right="96" w:firstLine="1440" w:firstLineChars="600"/>
              <w:jc w:val="both"/>
              <w:rPr>
                <w:rFonts w:hint="default" w:ascii="Times New Roman" w:hAnsi="Times New Roman" w:eastAsia="宋体" w:cs="Times New Roman"/>
                <w:caps w:val="0"/>
                <w:snapToGrid w:val="0"/>
                <w:color w:val="auto"/>
                <w:spacing w:val="0"/>
                <w:w w:val="100"/>
                <w:kern w:val="2"/>
                <w:position w:val="0"/>
                <w:sz w:val="24"/>
                <w:szCs w:val="24"/>
                <w:lang w:val="en-US" w:eastAsia="zh-CN" w:bidi="ar-SA"/>
              </w:rPr>
            </w:pPr>
            <w:r>
              <w:rPr>
                <w:rFonts w:hint="eastAsia" w:cs="Times New Roman"/>
                <w:caps w:val="0"/>
                <w:snapToGrid w:val="0"/>
                <w:color w:val="auto"/>
                <w:spacing w:val="0"/>
                <w:w w:val="100"/>
                <w:kern w:val="2"/>
                <w:position w:val="0"/>
                <w:sz w:val="24"/>
                <w:szCs w:val="24"/>
                <w:lang w:val="en-US" w:eastAsia="zh-CN" w:bidi="ar-SA"/>
              </w:rPr>
              <w:t>i</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—暴雨强度，L/s•hm</w:t>
            </w:r>
            <w:r>
              <w:rPr>
                <w:rFonts w:hint="default" w:ascii="Times New Roman" w:hAnsi="Times New Roman" w:eastAsia="宋体" w:cs="Times New Roman"/>
                <w:caps w:val="0"/>
                <w:snapToGrid w:val="0"/>
                <w:color w:val="auto"/>
                <w:spacing w:val="0"/>
                <w:w w:val="100"/>
                <w:kern w:val="2"/>
                <w:position w:val="0"/>
                <w:sz w:val="24"/>
                <w:szCs w:val="24"/>
                <w:vertAlign w:val="superscript"/>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w:t>
            </w:r>
          </w:p>
          <w:p w14:paraId="079C0038">
            <w:pPr>
              <w:pStyle w:val="49"/>
              <w:spacing w:line="360" w:lineRule="auto"/>
              <w:ind w:left="108" w:right="96" w:firstLine="567"/>
              <w:jc w:val="both"/>
              <w:rPr>
                <w:rFonts w:hint="default" w:ascii="Times New Roman" w:hAnsi="Times New Roman" w:eastAsia="宋体" w:cs="Times New Roman"/>
                <w:caps w:val="0"/>
                <w:snapToGrid w:val="0"/>
                <w:color w:val="auto"/>
                <w:spacing w:val="0"/>
                <w:w w:val="100"/>
                <w:kern w:val="2"/>
                <w:position w:val="0"/>
                <w:sz w:val="24"/>
                <w:szCs w:val="24"/>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经计算，</w:t>
            </w:r>
            <w:r>
              <w:rPr>
                <w:rFonts w:hint="eastAsia" w:cs="Times New Roman"/>
                <w:caps w:val="0"/>
                <w:snapToGrid w:val="0"/>
                <w:color w:val="auto"/>
                <w:spacing w:val="0"/>
                <w:w w:val="100"/>
                <w:kern w:val="2"/>
                <w:position w:val="0"/>
                <w:sz w:val="24"/>
                <w:szCs w:val="24"/>
                <w:lang w:val="en-US" w:eastAsia="zh-CN" w:bidi="ar-SA"/>
              </w:rPr>
              <w:t>i</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w:t>
            </w:r>
            <w:r>
              <w:rPr>
                <w:rFonts w:hint="eastAsia" w:cs="Times New Roman"/>
                <w:caps w:val="0"/>
                <w:snapToGrid w:val="0"/>
                <w:color w:val="auto"/>
                <w:spacing w:val="0"/>
                <w:w w:val="100"/>
                <w:kern w:val="2"/>
                <w:position w:val="0"/>
                <w:sz w:val="24"/>
                <w:szCs w:val="24"/>
                <w:lang w:val="en-US" w:eastAsia="zh-CN" w:bidi="ar-SA"/>
              </w:rPr>
              <w:t>221.01</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L/s•hm</w:t>
            </w:r>
            <w:r>
              <w:rPr>
                <w:rFonts w:hint="default" w:ascii="Times New Roman" w:hAnsi="Times New Roman" w:eastAsia="宋体" w:cs="Times New Roman"/>
                <w:caps w:val="0"/>
                <w:snapToGrid w:val="0"/>
                <w:color w:val="auto"/>
                <w:spacing w:val="0"/>
                <w:w w:val="100"/>
                <w:kern w:val="2"/>
                <w:position w:val="0"/>
                <w:sz w:val="24"/>
                <w:szCs w:val="24"/>
                <w:vertAlign w:val="superscript"/>
                <w:lang w:val="en-US" w:eastAsia="zh-CN" w:bidi="ar-SA"/>
              </w:rPr>
              <w:t>2</w:t>
            </w:r>
          </w:p>
          <w:p w14:paraId="6E0CC8B4">
            <w:pPr>
              <w:pStyle w:val="49"/>
              <w:spacing w:line="360" w:lineRule="auto"/>
              <w:ind w:left="108" w:right="96" w:firstLine="567"/>
              <w:jc w:val="both"/>
              <w:rPr>
                <w:rFonts w:hint="default" w:ascii="Times New Roman" w:hAnsi="Times New Roman" w:eastAsia="宋体" w:cs="Times New Roman"/>
                <w:caps w:val="0"/>
                <w:snapToGrid w:val="0"/>
                <w:color w:val="auto"/>
                <w:spacing w:val="0"/>
                <w:w w:val="100"/>
                <w:kern w:val="2"/>
                <w:position w:val="0"/>
                <w:sz w:val="24"/>
                <w:szCs w:val="24"/>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雨水流量按下式计算：</w:t>
            </w:r>
          </w:p>
          <w:p w14:paraId="0D655746">
            <w:pPr>
              <w:widowControl/>
              <w:suppressLineNumbers/>
              <w:spacing w:line="360" w:lineRule="auto"/>
              <w:ind w:firstLine="435"/>
              <w:jc w:val="center"/>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 xml:space="preserve"> Q=qψF</w:t>
            </w:r>
          </w:p>
          <w:p w14:paraId="0A8B99D8">
            <w:pPr>
              <w:widowControl/>
              <w:suppressLineNumbers/>
              <w:spacing w:line="360" w:lineRule="auto"/>
              <w:ind w:firstLine="43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其中：Q——</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雨水设计流量（升/秒）；</w:t>
            </w:r>
          </w:p>
          <w:p w14:paraId="1CF9F6B9">
            <w:pPr>
              <w:widowControl/>
              <w:suppressLineNumbers/>
              <w:spacing w:line="360" w:lineRule="auto"/>
              <w:ind w:firstLine="1212" w:firstLineChars="50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暴雨强度（L/s•hm</w:t>
            </w:r>
            <w:r>
              <w:rPr>
                <w:rFonts w:hint="default" w:ascii="Times New Roman" w:hAnsi="Times New Roman" w:eastAsia="宋体" w:cs="Times New Roman"/>
                <w:caps w:val="0"/>
                <w:snapToGrid w:val="0"/>
                <w:color w:val="auto"/>
                <w:spacing w:val="0"/>
                <w:w w:val="100"/>
                <w:kern w:val="2"/>
                <w:position w:val="0"/>
                <w:sz w:val="24"/>
                <w:szCs w:val="24"/>
                <w:vertAlign w:val="superscript"/>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w:t>
            </w:r>
            <w:r>
              <w:rPr>
                <w:rFonts w:hint="eastAsia" w:cs="Times New Roman"/>
                <w:caps w:val="0"/>
                <w:snapToGrid w:val="0"/>
                <w:color w:val="auto"/>
                <w:spacing w:val="0"/>
                <w:w w:val="100"/>
                <w:kern w:val="2"/>
                <w:position w:val="0"/>
                <w:sz w:val="24"/>
                <w:szCs w:val="24"/>
                <w:lang w:val="en-US" w:eastAsia="zh-CN" w:bidi="ar-SA"/>
              </w:rPr>
              <w:t>221.01</w:t>
            </w:r>
            <w:r>
              <w:rPr>
                <w:rFonts w:hint="default" w:ascii="Times New Roman" w:hAnsi="Times New Roman" w:eastAsia="宋体" w:cs="Times New Roman"/>
                <w:caps w:val="0"/>
                <w:snapToGrid w:val="0"/>
                <w:color w:val="auto"/>
                <w:spacing w:val="0"/>
                <w:w w:val="100"/>
                <w:kern w:val="2"/>
                <w:position w:val="0"/>
                <w:sz w:val="24"/>
                <w:szCs w:val="24"/>
                <w:lang w:val="en-US" w:eastAsia="zh-CN" w:bidi="ar-SA"/>
              </w:rPr>
              <w:t>L/s•hm</w:t>
            </w:r>
            <w:r>
              <w:rPr>
                <w:rFonts w:hint="default" w:ascii="Times New Roman" w:hAnsi="Times New Roman" w:eastAsia="宋体" w:cs="Times New Roman"/>
                <w:caps w:val="0"/>
                <w:snapToGrid w:val="0"/>
                <w:color w:val="auto"/>
                <w:spacing w:val="0"/>
                <w:w w:val="100"/>
                <w:kern w:val="2"/>
                <w:position w:val="0"/>
                <w:sz w:val="24"/>
                <w:szCs w:val="24"/>
                <w:vertAlign w:val="superscript"/>
                <w:lang w:val="en-US" w:eastAsia="zh-CN" w:bidi="ar-SA"/>
              </w:rPr>
              <w:t>2</w:t>
            </w:r>
            <w:r>
              <w:rPr>
                <w:rFonts w:hint="default" w:ascii="Times New Roman" w:hAnsi="Times New Roman" w:eastAsia="宋体" w:cs="Times New Roman"/>
                <w:color w:val="auto"/>
                <w:sz w:val="24"/>
                <w:szCs w:val="24"/>
              </w:rPr>
              <w:t>；</w:t>
            </w:r>
          </w:p>
          <w:p w14:paraId="60DDBECD">
            <w:pPr>
              <w:widowControl/>
              <w:suppressLineNumbers/>
              <w:spacing w:line="360" w:lineRule="auto"/>
              <w:ind w:firstLine="1212" w:firstLineChars="50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ψ——径流系数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（一般为0.15-0.9，本项目地面全部进行硬化</w:t>
            </w:r>
            <w:r>
              <w:rPr>
                <w:rFonts w:hint="default" w:ascii="Times New Roman" w:hAnsi="Times New Roman" w:eastAsia="宋体" w:cs="Times New Roman"/>
                <w:snapToGrid w:val="0"/>
                <w:color w:val="auto"/>
                <w:kern w:val="0"/>
                <w:sz w:val="24"/>
                <w:szCs w:val="24"/>
              </w:rPr>
              <w:t>取0.</w:t>
            </w:r>
            <w:r>
              <w:rPr>
                <w:rFonts w:hint="default" w:ascii="Times New Roman" w:hAnsi="Times New Roman" w:eastAsia="宋体" w:cs="Times New Roman"/>
                <w:snapToGrid w:val="0"/>
                <w:color w:val="auto"/>
                <w:kern w:val="0"/>
                <w:sz w:val="24"/>
                <w:szCs w:val="24"/>
                <w:lang w:val="en-US" w:eastAsia="zh-CN"/>
              </w:rPr>
              <w:t>9</w:t>
            </w:r>
            <w:r>
              <w:rPr>
                <w:rFonts w:hint="default" w:ascii="Times New Roman" w:hAnsi="Times New Roman" w:eastAsia="宋体" w:cs="Times New Roman"/>
                <w:snapToGrid w:val="0"/>
                <w:color w:val="auto"/>
                <w:kern w:val="0"/>
                <w:sz w:val="24"/>
                <w:szCs w:val="24"/>
              </w:rPr>
              <w:t>）</w:t>
            </w:r>
            <w:r>
              <w:rPr>
                <w:rFonts w:hint="default" w:ascii="Times New Roman" w:hAnsi="Times New Roman" w:eastAsia="宋体" w:cs="Times New Roman"/>
                <w:color w:val="auto"/>
                <w:sz w:val="24"/>
                <w:szCs w:val="24"/>
                <w:lang w:eastAsia="zh-CN"/>
              </w:rPr>
              <w:t>；</w:t>
            </w:r>
          </w:p>
          <w:p w14:paraId="06094305">
            <w:pPr>
              <w:widowControl/>
              <w:suppressLineNumbers/>
              <w:spacing w:line="360" w:lineRule="auto"/>
              <w:ind w:firstLine="1212" w:firstLineChars="505"/>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rPr>
              <w:t>F——汇水面积</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公顷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取</w:t>
            </w:r>
            <w:r>
              <w:rPr>
                <w:rFonts w:hint="eastAsia" w:cs="Times New Roman"/>
                <w:color w:val="auto"/>
                <w:kern w:val="0"/>
                <w:sz w:val="24"/>
                <w:szCs w:val="24"/>
                <w:lang w:val="en-US" w:eastAsia="zh-CN" w:bidi="ar"/>
              </w:rPr>
              <w:t>298.77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vertAlign w:val="baseline"/>
                <w:lang w:eastAsia="zh-CN"/>
              </w:rPr>
              <w:t>。</w:t>
            </w:r>
          </w:p>
          <w:p w14:paraId="3B39969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由上述公式计算可得，本项目最大雨水量为</w:t>
            </w:r>
            <w:r>
              <w:rPr>
                <w:rFonts w:hint="eastAsia" w:cs="Times New Roman"/>
                <w:color w:val="auto"/>
                <w:sz w:val="24"/>
                <w:szCs w:val="24"/>
                <w:lang w:val="en-US" w:eastAsia="zh-CN"/>
              </w:rPr>
              <w:t>5.94</w:t>
            </w:r>
            <w:r>
              <w:rPr>
                <w:rFonts w:hint="default" w:ascii="Times New Roman" w:hAnsi="Times New Roman" w:eastAsia="宋体" w:cs="Times New Roman"/>
                <w:color w:val="auto"/>
                <w:sz w:val="24"/>
                <w:szCs w:val="24"/>
                <w:lang w:val="en-US" w:eastAsia="zh-CN"/>
              </w:rPr>
              <w:t>L/s</w:t>
            </w:r>
            <w:r>
              <w:rPr>
                <w:rFonts w:hint="default" w:ascii="Times New Roman" w:hAnsi="Times New Roman" w:eastAsia="宋体" w:cs="Times New Roman"/>
                <w:color w:val="auto"/>
                <w:sz w:val="24"/>
                <w:szCs w:val="24"/>
              </w:rPr>
              <w:t>，项目考虑收集前15min的雨水，则初期雨水产生量为</w:t>
            </w:r>
            <w:r>
              <w:rPr>
                <w:rFonts w:hint="eastAsia" w:cs="Times New Roman"/>
                <w:color w:val="auto"/>
                <w:sz w:val="24"/>
                <w:szCs w:val="24"/>
                <w:lang w:val="en-US" w:eastAsia="zh-CN"/>
              </w:rPr>
              <w:t>5.346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/次</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根据气象资料，</w:t>
            </w:r>
            <w:r>
              <w:rPr>
                <w:rFonts w:hint="default" w:ascii="Times New Roman" w:hAnsi="Times New Roman" w:eastAsia="宋体" w:cs="Times New Roman"/>
                <w:color w:val="auto"/>
                <w:sz w:val="24"/>
                <w:szCs w:val="24"/>
              </w:rPr>
              <w:t>非降雨天约为</w:t>
            </w:r>
            <w:r>
              <w:rPr>
                <w:rFonts w:hint="default" w:ascii="Times New Roman" w:hAnsi="Times New Roman" w:cs="Times New Roman"/>
                <w:color w:val="auto"/>
                <w:sz w:val="24"/>
                <w:szCs w:val="24"/>
                <w:lang w:val="en-US" w:eastAsia="zh-CN"/>
              </w:rPr>
              <w:t>231</w:t>
            </w:r>
            <w:r>
              <w:rPr>
                <w:rFonts w:hint="default" w:ascii="Times New Roman" w:hAnsi="Times New Roman" w:eastAsia="宋体" w:cs="Times New Roman"/>
                <w:color w:val="auto"/>
                <w:sz w:val="24"/>
                <w:szCs w:val="24"/>
              </w:rPr>
              <w:t>天，则雨天以</w:t>
            </w:r>
            <w:r>
              <w:rPr>
                <w:rFonts w:hint="default" w:ascii="Times New Roman" w:hAnsi="Times New Roman" w:eastAsia="宋体" w:cs="Times New Roman"/>
                <w:color w:val="auto"/>
                <w:sz w:val="24"/>
                <w:szCs w:val="24"/>
                <w:lang w:val="en-US" w:eastAsia="zh-CN"/>
              </w:rPr>
              <w:t>134</w:t>
            </w:r>
            <w:r>
              <w:rPr>
                <w:rFonts w:hint="default" w:ascii="Times New Roman" w:hAnsi="Times New Roman" w:eastAsia="宋体" w:cs="Times New Roman"/>
                <w:color w:val="auto"/>
                <w:sz w:val="24"/>
                <w:szCs w:val="24"/>
              </w:rPr>
              <w:t>天计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初期雨水产生量为</w:t>
            </w:r>
            <w:r>
              <w:rPr>
                <w:rFonts w:hint="eastAsia" w:cs="Times New Roman"/>
                <w:color w:val="auto"/>
                <w:sz w:val="24"/>
                <w:szCs w:val="24"/>
                <w:lang w:val="en-US" w:eastAsia="zh-CN"/>
              </w:rPr>
              <w:t>716.364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项目建设</w:t>
            </w:r>
            <w:r>
              <w:rPr>
                <w:rFonts w:hint="default" w:ascii="Times New Roman" w:hAnsi="Times New Roman" w:eastAsia="宋体" w:cs="Times New Roman"/>
                <w:color w:val="auto"/>
                <w:sz w:val="24"/>
                <w:szCs w:val="24"/>
              </w:rPr>
              <w:t>三级油水分离池对初期雨水进行预处理后，</w:t>
            </w:r>
            <w:r>
              <w:rPr>
                <w:rFonts w:hint="eastAsia" w:cs="Times New Roman"/>
                <w:color w:val="auto"/>
                <w:sz w:val="24"/>
                <w:szCs w:val="24"/>
                <w:lang w:val="en-US" w:eastAsia="zh-CN"/>
              </w:rPr>
              <w:t>委托绿运垃圾清运有限公司清运处置。</w:t>
            </w:r>
          </w:p>
          <w:p w14:paraId="73D3F6D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）绿化用水 </w:t>
            </w:r>
          </w:p>
          <w:p w14:paraId="3B1824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根据《云南省地方标准用水定额》（DB53T 168-2019），晴天绿化用水按3L/（m</w:t>
            </w:r>
            <w:r>
              <w:rPr>
                <w:rFonts w:hint="default" w:ascii="Times New Roman" w:hAnsi="Times New Roman" w:cs="Times New Roman"/>
                <w:b/>
                <w:color w:val="auto"/>
                <w:sz w:val="24"/>
                <w:szCs w:val="24"/>
                <w:vertAlign w:val="superscript"/>
              </w:rPr>
              <w:t>2</w:t>
            </w:r>
            <w:r>
              <w:rPr>
                <w:rFonts w:hint="default" w:ascii="Times New Roman" w:hAnsi="Times New Roman" w:cs="Times New Roman"/>
                <w:color w:val="auto"/>
                <w:sz w:val="24"/>
                <w:szCs w:val="24"/>
              </w:rPr>
              <w:t>.次）计。加油站绿化面积约</w:t>
            </w:r>
            <w:r>
              <w:rPr>
                <w:rFonts w:hint="eastAsia" w:cs="Times New Roman"/>
                <w:color w:val="auto"/>
                <w:sz w:val="24"/>
                <w:szCs w:val="24"/>
                <w:lang w:val="en-US" w:eastAsia="zh-CN"/>
              </w:rPr>
              <w:t>507.23</w:t>
            </w:r>
            <w:r>
              <w:rPr>
                <w:rFonts w:hint="default" w:ascii="Times New Roman" w:hAnsi="Times New Roman" w:cs="Times New Roman"/>
                <w:color w:val="auto"/>
                <w:sz w:val="24"/>
                <w:szCs w:val="24"/>
              </w:rPr>
              <w:t>m</w:t>
            </w:r>
            <w:r>
              <w:rPr>
                <w:rFonts w:hint="default" w:ascii="Times New Roman" w:hAnsi="Times New Roman" w:cs="Times New Roman"/>
                <w:b/>
                <w:color w:val="auto"/>
                <w:sz w:val="24"/>
                <w:szCs w:val="24"/>
                <w:vertAlign w:val="superscript"/>
              </w:rPr>
              <w:t>2</w:t>
            </w:r>
            <w:r>
              <w:rPr>
                <w:rFonts w:hint="default" w:ascii="Times New Roman" w:hAnsi="Times New Roman" w:cs="Times New Roman"/>
                <w:color w:val="auto"/>
                <w:sz w:val="24"/>
                <w:szCs w:val="24"/>
              </w:rPr>
              <w:t>，晴天每天浇灌</w:t>
            </w:r>
            <w:r>
              <w:rPr>
                <w:rFonts w:hint="eastAsia" w:cs="Times New Roman"/>
                <w:color w:val="auto"/>
                <w:sz w:val="24"/>
                <w:szCs w:val="24"/>
                <w:lang w:val="en-US" w:eastAsia="zh-CN"/>
              </w:rPr>
              <w:t>1</w:t>
            </w:r>
            <w:r>
              <w:rPr>
                <w:rFonts w:hint="default" w:ascii="Times New Roman" w:hAnsi="Times New Roman" w:cs="Times New Roman"/>
                <w:color w:val="auto"/>
                <w:sz w:val="24"/>
                <w:szCs w:val="24"/>
              </w:rPr>
              <w:t>次，雨天不浇灌。</w:t>
            </w:r>
            <w:r>
              <w:rPr>
                <w:rFonts w:hint="default" w:ascii="Times New Roman" w:hAnsi="Times New Roman" w:cs="Times New Roman"/>
                <w:color w:val="auto"/>
                <w:sz w:val="24"/>
                <w:szCs w:val="24"/>
                <w:lang w:bidi="ar"/>
              </w:rPr>
              <w:t>根据当地气象资料，非降雨天约为</w:t>
            </w:r>
            <w:r>
              <w:rPr>
                <w:rFonts w:hint="default" w:ascii="Times New Roman" w:hAnsi="Times New Roman" w:cs="Times New Roman"/>
                <w:color w:val="auto"/>
                <w:sz w:val="24"/>
                <w:szCs w:val="24"/>
                <w:lang w:val="en-US" w:eastAsia="zh-CN" w:bidi="ar"/>
              </w:rPr>
              <w:t>231</w:t>
            </w:r>
            <w:r>
              <w:rPr>
                <w:rFonts w:hint="default" w:ascii="Times New Roman" w:hAnsi="Times New Roman" w:cs="Times New Roman"/>
                <w:color w:val="auto"/>
                <w:sz w:val="24"/>
                <w:szCs w:val="24"/>
                <w:lang w:bidi="ar"/>
              </w:rPr>
              <w:t>天</w:t>
            </w:r>
            <w:r>
              <w:rPr>
                <w:rFonts w:hint="default" w:ascii="Times New Roman" w:hAnsi="Times New Roman" w:cs="Times New Roman"/>
                <w:color w:val="auto"/>
                <w:sz w:val="24"/>
                <w:szCs w:val="24"/>
              </w:rPr>
              <w:t>，本项目绿化用水为</w:t>
            </w:r>
            <w:r>
              <w:rPr>
                <w:rFonts w:hint="eastAsia" w:cs="Times New Roman"/>
                <w:color w:val="auto"/>
                <w:sz w:val="24"/>
                <w:szCs w:val="24"/>
                <w:lang w:val="en-US" w:eastAsia="zh-CN"/>
              </w:rPr>
              <w:t>1.01</w:t>
            </w:r>
            <w:r>
              <w:rPr>
                <w:rFonts w:hint="default" w:ascii="Times New Roman" w:hAnsi="Times New Roman" w:cs="Times New Roman"/>
                <w:color w:val="auto"/>
                <w:sz w:val="24"/>
                <w:szCs w:val="24"/>
              </w:rPr>
              <w:t>m³/ d，</w:t>
            </w:r>
            <w:r>
              <w:rPr>
                <w:rFonts w:hint="eastAsia" w:cs="Times New Roman"/>
                <w:color w:val="auto"/>
                <w:sz w:val="24"/>
                <w:szCs w:val="24"/>
                <w:lang w:val="en-US" w:eastAsia="zh-CN"/>
              </w:rPr>
              <w:t>233.31</w:t>
            </w:r>
            <w:r>
              <w:rPr>
                <w:rFonts w:hint="default" w:ascii="Times New Roman" w:hAnsi="Times New Roman" w:cs="Times New Roman"/>
                <w:color w:val="auto"/>
                <w:sz w:val="24"/>
                <w:szCs w:val="24"/>
              </w:rPr>
              <w:t>m³/a</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全部使用中水</w:t>
            </w:r>
            <w:r>
              <w:rPr>
                <w:rFonts w:hint="default" w:ascii="Times New Roman" w:hAnsi="Times New Roman" w:cs="Times New Roman"/>
                <w:color w:val="auto"/>
                <w:sz w:val="24"/>
                <w:szCs w:val="24"/>
                <w:lang w:eastAsia="zh-CN"/>
              </w:rPr>
              <w:t>。</w:t>
            </w:r>
          </w:p>
          <w:p w14:paraId="5E593530">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运营期的用排水情况见表</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p>
          <w:p w14:paraId="2D5D32D0">
            <w:pPr>
              <w:adjustRightInd w:val="0"/>
              <w:snapToGrid w:val="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7</w:t>
            </w:r>
            <w:r>
              <w:rPr>
                <w:rFonts w:hint="default" w:ascii="Times New Roman" w:hAnsi="Times New Roman" w:cs="Times New Roman"/>
                <w:b/>
                <w:color w:val="auto"/>
                <w:szCs w:val="21"/>
              </w:rPr>
              <w:t xml:space="preserve">  项目运营期用排水情况一览表</w:t>
            </w:r>
          </w:p>
          <w:tbl>
            <w:tblPr>
              <w:tblStyle w:val="27"/>
              <w:tblW w:w="8513"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977"/>
              <w:gridCol w:w="978"/>
              <w:gridCol w:w="1193"/>
              <w:gridCol w:w="1118"/>
              <w:gridCol w:w="1241"/>
              <w:gridCol w:w="914"/>
              <w:gridCol w:w="941"/>
              <w:gridCol w:w="1151"/>
            </w:tblGrid>
            <w:tr w14:paraId="2F38E80B">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53" w:hRule="exact"/>
                <w:jc w:val="center"/>
              </w:trPr>
              <w:tc>
                <w:tcPr>
                  <w:tcW w:w="1955" w:type="dxa"/>
                  <w:gridSpan w:val="2"/>
                  <w:vMerge w:val="restart"/>
                  <w:noWrap w:val="0"/>
                  <w:vAlign w:val="center"/>
                </w:tcPr>
                <w:p w14:paraId="28F9FDB5">
                  <w:pPr>
                    <w:pStyle w:val="38"/>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用水类别</w:t>
                  </w:r>
                </w:p>
              </w:tc>
              <w:tc>
                <w:tcPr>
                  <w:tcW w:w="1193" w:type="dxa"/>
                  <w:vMerge w:val="restart"/>
                  <w:noWrap w:val="0"/>
                  <w:vAlign w:val="center"/>
                </w:tcPr>
                <w:p w14:paraId="4AFADFC5">
                  <w:pPr>
                    <w:pStyle w:val="38"/>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水源</w:t>
                  </w:r>
                </w:p>
              </w:tc>
              <w:tc>
                <w:tcPr>
                  <w:tcW w:w="2359" w:type="dxa"/>
                  <w:gridSpan w:val="2"/>
                  <w:noWrap w:val="0"/>
                  <w:vAlign w:val="center"/>
                </w:tcPr>
                <w:p w14:paraId="7FE754BA">
                  <w:pPr>
                    <w:pStyle w:val="38"/>
                    <w:ind w:firstLine="422" w:firstLineChars="200"/>
                    <w:jc w:val="both"/>
                    <w:rPr>
                      <w:rFonts w:hint="default" w:ascii="Times New Roman" w:hAnsi="Times New Roman" w:cs="Times New Roman"/>
                      <w:b/>
                      <w:bCs/>
                      <w:color w:val="auto"/>
                      <w:szCs w:val="21"/>
                    </w:rPr>
                  </w:pPr>
                  <w:r>
                    <w:rPr>
                      <w:rFonts w:hint="default" w:ascii="Times New Roman" w:hAnsi="Times New Roman" w:cs="Times New Roman"/>
                      <w:b/>
                      <w:bCs/>
                      <w:color w:val="auto"/>
                      <w:szCs w:val="21"/>
                    </w:rPr>
                    <w:t>用水量</w:t>
                  </w:r>
                </w:p>
              </w:tc>
              <w:tc>
                <w:tcPr>
                  <w:tcW w:w="914" w:type="dxa"/>
                  <w:vMerge w:val="restart"/>
                  <w:noWrap w:val="0"/>
                  <w:vAlign w:val="center"/>
                </w:tcPr>
                <w:p w14:paraId="6D3215B9">
                  <w:pPr>
                    <w:pStyle w:val="38"/>
                    <w:jc w:val="center"/>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产污</w:t>
                  </w:r>
                </w:p>
                <w:p w14:paraId="0E6DFF8A">
                  <w:pPr>
                    <w:pStyle w:val="38"/>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系数</w:t>
                  </w:r>
                </w:p>
              </w:tc>
              <w:tc>
                <w:tcPr>
                  <w:tcW w:w="2092" w:type="dxa"/>
                  <w:gridSpan w:val="2"/>
                  <w:noWrap w:val="0"/>
                  <w:vAlign w:val="center"/>
                </w:tcPr>
                <w:p w14:paraId="220A7086">
                  <w:pPr>
                    <w:pStyle w:val="38"/>
                    <w:ind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废水量</w:t>
                  </w:r>
                </w:p>
              </w:tc>
            </w:tr>
            <w:tr w14:paraId="7B83E1E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2" w:hRule="exact"/>
                <w:jc w:val="center"/>
              </w:trPr>
              <w:tc>
                <w:tcPr>
                  <w:tcW w:w="1955" w:type="dxa"/>
                  <w:gridSpan w:val="2"/>
                  <w:vMerge w:val="continue"/>
                  <w:noWrap w:val="0"/>
                  <w:vAlign w:val="center"/>
                </w:tcPr>
                <w:p w14:paraId="6F44EC16">
                  <w:pPr>
                    <w:pStyle w:val="38"/>
                    <w:ind w:firstLine="422" w:firstLineChars="200"/>
                    <w:jc w:val="center"/>
                    <w:rPr>
                      <w:rFonts w:hint="default" w:ascii="Times New Roman" w:hAnsi="Times New Roman" w:cs="Times New Roman"/>
                      <w:b/>
                      <w:bCs/>
                      <w:color w:val="auto"/>
                      <w:szCs w:val="21"/>
                    </w:rPr>
                  </w:pPr>
                </w:p>
              </w:tc>
              <w:tc>
                <w:tcPr>
                  <w:tcW w:w="1193" w:type="dxa"/>
                  <w:vMerge w:val="continue"/>
                  <w:noWrap w:val="0"/>
                  <w:vAlign w:val="center"/>
                </w:tcPr>
                <w:p w14:paraId="529E001E">
                  <w:pPr>
                    <w:pStyle w:val="38"/>
                    <w:jc w:val="center"/>
                    <w:rPr>
                      <w:rFonts w:hint="default" w:ascii="Times New Roman" w:hAnsi="Times New Roman" w:cs="Times New Roman"/>
                      <w:b/>
                      <w:bCs/>
                      <w:color w:val="auto"/>
                      <w:szCs w:val="21"/>
                    </w:rPr>
                  </w:pPr>
                </w:p>
              </w:tc>
              <w:tc>
                <w:tcPr>
                  <w:tcW w:w="1118" w:type="dxa"/>
                  <w:tcBorders>
                    <w:right w:val="single" w:color="auto" w:sz="4" w:space="0"/>
                  </w:tcBorders>
                  <w:noWrap w:val="0"/>
                  <w:vAlign w:val="center"/>
                </w:tcPr>
                <w:p w14:paraId="18B112EC">
                  <w:pPr>
                    <w:pStyle w:val="38"/>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m³/d</w:t>
                  </w:r>
                </w:p>
              </w:tc>
              <w:tc>
                <w:tcPr>
                  <w:tcW w:w="1241" w:type="dxa"/>
                  <w:tcBorders>
                    <w:left w:val="single" w:color="auto" w:sz="4" w:space="0"/>
                  </w:tcBorders>
                  <w:noWrap w:val="0"/>
                  <w:vAlign w:val="center"/>
                </w:tcPr>
                <w:p w14:paraId="06827CA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m³/a</w:t>
                  </w:r>
                </w:p>
              </w:tc>
              <w:tc>
                <w:tcPr>
                  <w:tcW w:w="914" w:type="dxa"/>
                  <w:vMerge w:val="continue"/>
                  <w:noWrap w:val="0"/>
                  <w:vAlign w:val="center"/>
                </w:tcPr>
                <w:p w14:paraId="535C6C69">
                  <w:pPr>
                    <w:jc w:val="center"/>
                    <w:rPr>
                      <w:rFonts w:hint="default" w:ascii="Times New Roman" w:hAnsi="Times New Roman" w:cs="Times New Roman"/>
                      <w:b/>
                      <w:bCs/>
                      <w:color w:val="auto"/>
                      <w:szCs w:val="21"/>
                    </w:rPr>
                  </w:pPr>
                </w:p>
              </w:tc>
              <w:tc>
                <w:tcPr>
                  <w:tcW w:w="941" w:type="dxa"/>
                  <w:tcBorders>
                    <w:right w:val="single" w:color="auto" w:sz="4" w:space="0"/>
                  </w:tcBorders>
                  <w:noWrap w:val="0"/>
                  <w:vAlign w:val="center"/>
                </w:tcPr>
                <w:p w14:paraId="7A2BE63C">
                  <w:pPr>
                    <w:pStyle w:val="38"/>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m³/d</w:t>
                  </w:r>
                </w:p>
              </w:tc>
              <w:tc>
                <w:tcPr>
                  <w:tcW w:w="1151" w:type="dxa"/>
                  <w:tcBorders>
                    <w:left w:val="single" w:color="auto" w:sz="4" w:space="0"/>
                  </w:tcBorders>
                  <w:noWrap w:val="0"/>
                  <w:vAlign w:val="center"/>
                </w:tcPr>
                <w:p w14:paraId="19F868D5">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m³/a</w:t>
                  </w:r>
                </w:p>
              </w:tc>
            </w:tr>
            <w:tr w14:paraId="1F9D364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1955" w:type="dxa"/>
                  <w:gridSpan w:val="2"/>
                  <w:noWrap w:val="0"/>
                  <w:vAlign w:val="center"/>
                </w:tcPr>
                <w:p w14:paraId="21DADD7C">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生活用水</w:t>
                  </w:r>
                </w:p>
                <w:p w14:paraId="1D6F06D5">
                  <w:pPr>
                    <w:pStyle w:val="38"/>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（除厨房用水）</w:t>
                  </w:r>
                </w:p>
              </w:tc>
              <w:tc>
                <w:tcPr>
                  <w:tcW w:w="1193" w:type="dxa"/>
                  <w:tcBorders>
                    <w:right w:val="single" w:color="auto" w:sz="4" w:space="0"/>
                  </w:tcBorders>
                  <w:noWrap w:val="0"/>
                  <w:vAlign w:val="center"/>
                </w:tcPr>
                <w:p w14:paraId="1C078C5D">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18AEAD60">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241" w:type="dxa"/>
                  <w:tcBorders>
                    <w:left w:val="single" w:color="auto" w:sz="4" w:space="0"/>
                    <w:right w:val="single" w:color="auto" w:sz="4" w:space="0"/>
                  </w:tcBorders>
                  <w:noWrap w:val="0"/>
                  <w:vAlign w:val="center"/>
                </w:tcPr>
                <w:p w14:paraId="5FB292AE">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109.5</w:t>
                  </w:r>
                </w:p>
              </w:tc>
              <w:tc>
                <w:tcPr>
                  <w:tcW w:w="914" w:type="dxa"/>
                  <w:tcBorders>
                    <w:left w:val="single" w:color="auto" w:sz="4" w:space="0"/>
                  </w:tcBorders>
                  <w:noWrap w:val="0"/>
                  <w:vAlign w:val="center"/>
                </w:tcPr>
                <w:p w14:paraId="15F4A54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941" w:type="dxa"/>
                  <w:tcBorders>
                    <w:left w:val="single" w:color="auto" w:sz="4" w:space="0"/>
                  </w:tcBorders>
                  <w:noWrap w:val="0"/>
                  <w:vAlign w:val="center"/>
                </w:tcPr>
                <w:p w14:paraId="1FAF6514">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1151" w:type="dxa"/>
                  <w:tcBorders>
                    <w:left w:val="single" w:color="auto" w:sz="4" w:space="0"/>
                  </w:tcBorders>
                  <w:noWrap w:val="0"/>
                  <w:vAlign w:val="center"/>
                </w:tcPr>
                <w:p w14:paraId="5E5FE4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w:t>
                  </w:r>
                </w:p>
              </w:tc>
            </w:tr>
            <w:tr w14:paraId="4340A83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955" w:type="dxa"/>
                  <w:gridSpan w:val="2"/>
                  <w:noWrap w:val="0"/>
                  <w:vAlign w:val="center"/>
                </w:tcPr>
                <w:p w14:paraId="42874CCE">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厨房用水</w:t>
                  </w:r>
                </w:p>
              </w:tc>
              <w:tc>
                <w:tcPr>
                  <w:tcW w:w="1193" w:type="dxa"/>
                  <w:tcBorders>
                    <w:right w:val="single" w:color="auto" w:sz="4" w:space="0"/>
                  </w:tcBorders>
                  <w:noWrap w:val="0"/>
                  <w:vAlign w:val="center"/>
                </w:tcPr>
                <w:p w14:paraId="2167ACC1">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2F1673F0">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241" w:type="dxa"/>
                  <w:tcBorders>
                    <w:left w:val="single" w:color="auto" w:sz="4" w:space="0"/>
                    <w:right w:val="single" w:color="auto" w:sz="4" w:space="0"/>
                  </w:tcBorders>
                  <w:noWrap w:val="0"/>
                  <w:vAlign w:val="center"/>
                </w:tcPr>
                <w:p w14:paraId="77F6CF66">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914" w:type="dxa"/>
                  <w:tcBorders>
                    <w:left w:val="single" w:color="auto" w:sz="4" w:space="0"/>
                  </w:tcBorders>
                  <w:noWrap w:val="0"/>
                  <w:vAlign w:val="center"/>
                </w:tcPr>
                <w:p w14:paraId="1889EB42">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941" w:type="dxa"/>
                  <w:tcBorders>
                    <w:left w:val="single" w:color="auto" w:sz="4" w:space="0"/>
                  </w:tcBorders>
                  <w:noWrap w:val="0"/>
                  <w:vAlign w:val="center"/>
                </w:tcPr>
                <w:p w14:paraId="6096AA26">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0.048</w:t>
                  </w:r>
                </w:p>
              </w:tc>
              <w:tc>
                <w:tcPr>
                  <w:tcW w:w="1151" w:type="dxa"/>
                  <w:tcBorders>
                    <w:left w:val="single" w:color="auto" w:sz="4" w:space="0"/>
                  </w:tcBorders>
                  <w:noWrap w:val="0"/>
                  <w:vAlign w:val="center"/>
                </w:tcPr>
                <w:p w14:paraId="7950AC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17.52</w:t>
                  </w:r>
                </w:p>
              </w:tc>
            </w:tr>
            <w:tr w14:paraId="1B7E9C1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955" w:type="dxa"/>
                  <w:gridSpan w:val="2"/>
                  <w:noWrap w:val="0"/>
                  <w:vAlign w:val="center"/>
                </w:tcPr>
                <w:p w14:paraId="1C8FFA45">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外来人员冲厕</w:t>
                  </w:r>
                </w:p>
              </w:tc>
              <w:tc>
                <w:tcPr>
                  <w:tcW w:w="1193" w:type="dxa"/>
                  <w:tcBorders>
                    <w:right w:val="single" w:color="auto" w:sz="4" w:space="0"/>
                  </w:tcBorders>
                  <w:noWrap w:val="0"/>
                  <w:vAlign w:val="center"/>
                </w:tcPr>
                <w:p w14:paraId="447625A4">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4B77C043">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241" w:type="dxa"/>
                  <w:tcBorders>
                    <w:left w:val="single" w:color="auto" w:sz="4" w:space="0"/>
                    <w:right w:val="single" w:color="auto" w:sz="4" w:space="0"/>
                  </w:tcBorders>
                  <w:noWrap w:val="0"/>
                  <w:vAlign w:val="center"/>
                </w:tcPr>
                <w:p w14:paraId="13E9FEC3">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408.8</w:t>
                  </w:r>
                </w:p>
              </w:tc>
              <w:tc>
                <w:tcPr>
                  <w:tcW w:w="914" w:type="dxa"/>
                  <w:tcBorders>
                    <w:left w:val="single" w:color="auto" w:sz="4" w:space="0"/>
                  </w:tcBorders>
                  <w:noWrap w:val="0"/>
                  <w:vAlign w:val="center"/>
                </w:tcPr>
                <w:p w14:paraId="5AE566CE">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941" w:type="dxa"/>
                  <w:tcBorders>
                    <w:left w:val="single" w:color="auto" w:sz="4" w:space="0"/>
                  </w:tcBorders>
                  <w:noWrap w:val="0"/>
                  <w:vAlign w:val="center"/>
                </w:tcPr>
                <w:p w14:paraId="436D745F">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1.008</w:t>
                  </w:r>
                </w:p>
              </w:tc>
              <w:tc>
                <w:tcPr>
                  <w:tcW w:w="1151" w:type="dxa"/>
                  <w:tcBorders>
                    <w:left w:val="single" w:color="auto" w:sz="4" w:space="0"/>
                  </w:tcBorders>
                  <w:noWrap w:val="0"/>
                  <w:vAlign w:val="center"/>
                </w:tcPr>
                <w:p w14:paraId="136A38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367.92</w:t>
                  </w:r>
                </w:p>
              </w:tc>
            </w:tr>
            <w:tr w14:paraId="5448B46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955" w:type="dxa"/>
                  <w:gridSpan w:val="2"/>
                  <w:noWrap w:val="0"/>
                  <w:vAlign w:val="center"/>
                </w:tcPr>
                <w:p w14:paraId="7D70447F">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地坪冲洗水</w:t>
                  </w:r>
                </w:p>
              </w:tc>
              <w:tc>
                <w:tcPr>
                  <w:tcW w:w="1193" w:type="dxa"/>
                  <w:tcBorders>
                    <w:right w:val="single" w:color="auto" w:sz="4" w:space="0"/>
                  </w:tcBorders>
                  <w:noWrap w:val="0"/>
                  <w:vAlign w:val="center"/>
                </w:tcPr>
                <w:p w14:paraId="2C87B1A2">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2D6A1694">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241" w:type="dxa"/>
                  <w:tcBorders>
                    <w:left w:val="single" w:color="auto" w:sz="4" w:space="0"/>
                    <w:right w:val="single" w:color="auto" w:sz="4" w:space="0"/>
                  </w:tcBorders>
                  <w:noWrap w:val="0"/>
                  <w:vAlign w:val="center"/>
                </w:tcPr>
                <w:p w14:paraId="151022A0">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19.8</w:t>
                  </w:r>
                </w:p>
              </w:tc>
              <w:tc>
                <w:tcPr>
                  <w:tcW w:w="914" w:type="dxa"/>
                  <w:tcBorders>
                    <w:left w:val="single" w:color="auto" w:sz="4" w:space="0"/>
                  </w:tcBorders>
                  <w:noWrap w:val="0"/>
                  <w:vAlign w:val="center"/>
                </w:tcPr>
                <w:p w14:paraId="345C065D">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941" w:type="dxa"/>
                  <w:tcBorders>
                    <w:left w:val="single" w:color="auto" w:sz="4" w:space="0"/>
                  </w:tcBorders>
                  <w:noWrap w:val="0"/>
                  <w:vAlign w:val="center"/>
                </w:tcPr>
                <w:p w14:paraId="36595066">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1151" w:type="dxa"/>
                  <w:tcBorders>
                    <w:left w:val="single" w:color="auto" w:sz="4" w:space="0"/>
                  </w:tcBorders>
                  <w:noWrap w:val="0"/>
                  <w:vAlign w:val="center"/>
                </w:tcPr>
                <w:p w14:paraId="26E472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15.84</w:t>
                  </w:r>
                </w:p>
              </w:tc>
            </w:tr>
            <w:tr w14:paraId="0CD5243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1955" w:type="dxa"/>
                  <w:gridSpan w:val="2"/>
                  <w:noWrap w:val="0"/>
                  <w:vAlign w:val="center"/>
                </w:tcPr>
                <w:p w14:paraId="38C8A41B">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绿化用水</w:t>
                  </w:r>
                </w:p>
              </w:tc>
              <w:tc>
                <w:tcPr>
                  <w:tcW w:w="1193" w:type="dxa"/>
                  <w:tcBorders>
                    <w:right w:val="single" w:color="auto" w:sz="4" w:space="0"/>
                  </w:tcBorders>
                  <w:noWrap w:val="0"/>
                  <w:vAlign w:val="center"/>
                </w:tcPr>
                <w:p w14:paraId="60125958">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55237C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1.01</w:t>
                  </w:r>
                </w:p>
              </w:tc>
              <w:tc>
                <w:tcPr>
                  <w:tcW w:w="1241" w:type="dxa"/>
                  <w:tcBorders>
                    <w:left w:val="single" w:color="auto" w:sz="4" w:space="0"/>
                    <w:right w:val="single" w:color="auto" w:sz="4" w:space="0"/>
                  </w:tcBorders>
                  <w:noWrap w:val="0"/>
                  <w:vAlign w:val="center"/>
                </w:tcPr>
                <w:p w14:paraId="64D27C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233.31</w:t>
                  </w:r>
                </w:p>
              </w:tc>
              <w:tc>
                <w:tcPr>
                  <w:tcW w:w="914" w:type="dxa"/>
                  <w:tcBorders>
                    <w:left w:val="single" w:color="auto" w:sz="4" w:space="0"/>
                  </w:tcBorders>
                  <w:noWrap w:val="0"/>
                  <w:vAlign w:val="center"/>
                </w:tcPr>
                <w:p w14:paraId="19455930">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941" w:type="dxa"/>
                  <w:tcBorders>
                    <w:left w:val="single" w:color="auto" w:sz="4" w:space="0"/>
                  </w:tcBorders>
                  <w:noWrap w:val="0"/>
                  <w:vAlign w:val="center"/>
                </w:tcPr>
                <w:p w14:paraId="3F03BED5">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51" w:type="dxa"/>
                  <w:tcBorders>
                    <w:left w:val="single" w:color="auto" w:sz="4" w:space="0"/>
                  </w:tcBorders>
                  <w:noWrap w:val="0"/>
                  <w:vAlign w:val="center"/>
                </w:tcPr>
                <w:p w14:paraId="06D39E22">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5D8B9B5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955" w:type="dxa"/>
                  <w:gridSpan w:val="2"/>
                  <w:noWrap w:val="0"/>
                  <w:vAlign w:val="center"/>
                </w:tcPr>
                <w:p w14:paraId="0185ADA6">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初期雨水</w:t>
                  </w:r>
                </w:p>
              </w:tc>
              <w:tc>
                <w:tcPr>
                  <w:tcW w:w="1193" w:type="dxa"/>
                  <w:tcBorders>
                    <w:right w:val="single" w:color="auto" w:sz="4" w:space="0"/>
                  </w:tcBorders>
                  <w:noWrap w:val="0"/>
                  <w:vAlign w:val="center"/>
                </w:tcPr>
                <w:p w14:paraId="4EB3D930">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118" w:type="dxa"/>
                  <w:tcBorders>
                    <w:right w:val="single" w:color="auto" w:sz="4" w:space="0"/>
                  </w:tcBorders>
                  <w:noWrap w:val="0"/>
                  <w:vAlign w:val="center"/>
                </w:tcPr>
                <w:p w14:paraId="08087A4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41" w:type="dxa"/>
                  <w:tcBorders>
                    <w:left w:val="single" w:color="auto" w:sz="4" w:space="0"/>
                    <w:right w:val="single" w:color="auto" w:sz="4" w:space="0"/>
                  </w:tcBorders>
                  <w:noWrap w:val="0"/>
                  <w:vAlign w:val="center"/>
                </w:tcPr>
                <w:p w14:paraId="172890C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914" w:type="dxa"/>
                  <w:tcBorders>
                    <w:left w:val="single" w:color="auto" w:sz="4" w:space="0"/>
                  </w:tcBorders>
                  <w:noWrap w:val="0"/>
                  <w:vAlign w:val="center"/>
                </w:tcPr>
                <w:p w14:paraId="7CE4DF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941" w:type="dxa"/>
                  <w:tcBorders>
                    <w:left w:val="single" w:color="auto" w:sz="4" w:space="0"/>
                  </w:tcBorders>
                  <w:noWrap w:val="0"/>
                  <w:vAlign w:val="center"/>
                </w:tcPr>
                <w:p w14:paraId="0BE2FF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5.346</w:t>
                  </w:r>
                </w:p>
              </w:tc>
              <w:tc>
                <w:tcPr>
                  <w:tcW w:w="1151" w:type="dxa"/>
                  <w:tcBorders>
                    <w:left w:val="single" w:color="auto" w:sz="4" w:space="0"/>
                  </w:tcBorders>
                  <w:noWrap w:val="0"/>
                  <w:vAlign w:val="center"/>
                </w:tcPr>
                <w:p w14:paraId="31ED76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716.364</w:t>
                  </w:r>
                </w:p>
              </w:tc>
            </w:tr>
            <w:tr w14:paraId="5F23537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24" w:hRule="atLeast"/>
                <w:jc w:val="center"/>
              </w:trPr>
              <w:tc>
                <w:tcPr>
                  <w:tcW w:w="977" w:type="dxa"/>
                  <w:vMerge w:val="restart"/>
                  <w:noWrap w:val="0"/>
                  <w:vAlign w:val="center"/>
                </w:tcPr>
                <w:p w14:paraId="5708321E">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合计</w:t>
                  </w:r>
                </w:p>
              </w:tc>
              <w:tc>
                <w:tcPr>
                  <w:tcW w:w="978" w:type="dxa"/>
                  <w:noWrap w:val="0"/>
                  <w:vAlign w:val="center"/>
                </w:tcPr>
                <w:p w14:paraId="21FDA07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雨天</w:t>
                  </w:r>
                </w:p>
              </w:tc>
              <w:tc>
                <w:tcPr>
                  <w:tcW w:w="2311" w:type="dxa"/>
                  <w:gridSpan w:val="2"/>
                  <w:noWrap w:val="0"/>
                  <w:vAlign w:val="center"/>
                </w:tcPr>
                <w:p w14:paraId="2C97335E">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auto"/>
                      <w:kern w:val="0"/>
                      <w:sz w:val="21"/>
                      <w:szCs w:val="21"/>
                      <w:u w:val="none"/>
                      <w:lang w:val="en-US" w:eastAsia="zh-CN" w:bidi="ar"/>
                    </w:rPr>
                    <w:t>2.08</w:t>
                  </w:r>
                  <w:r>
                    <w:rPr>
                      <w:rFonts w:hint="default" w:ascii="Times New Roman" w:hAnsi="Times New Roman" w:eastAsia="宋体" w:cs="Times New Roman"/>
                      <w:i w:val="0"/>
                      <w:iCs w:val="0"/>
                      <w:color w:val="auto"/>
                      <w:kern w:val="0"/>
                      <w:sz w:val="21"/>
                      <w:szCs w:val="21"/>
                      <w:u w:val="none"/>
                      <w:lang w:val="en-US" w:eastAsia="zh-CN" w:bidi="ar"/>
                    </w:rPr>
                    <w:t>（自来水）</w:t>
                  </w:r>
                </w:p>
              </w:tc>
              <w:tc>
                <w:tcPr>
                  <w:tcW w:w="1241" w:type="dxa"/>
                  <w:vMerge w:val="restart"/>
                  <w:noWrap w:val="0"/>
                  <w:vAlign w:val="center"/>
                </w:tcPr>
                <w:p w14:paraId="0347C4B9">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i w:val="0"/>
                      <w:iCs w:val="0"/>
                      <w:color w:val="auto"/>
                      <w:kern w:val="0"/>
                      <w:sz w:val="21"/>
                      <w:szCs w:val="21"/>
                      <w:u w:val="none"/>
                      <w:lang w:val="en-US" w:eastAsia="zh-CN" w:bidi="ar"/>
                    </w:rPr>
                    <w:t>793.31（自来水）</w:t>
                  </w:r>
                </w:p>
              </w:tc>
              <w:tc>
                <w:tcPr>
                  <w:tcW w:w="914" w:type="dxa"/>
                  <w:noWrap w:val="0"/>
                  <w:vAlign w:val="center"/>
                </w:tcPr>
                <w:p w14:paraId="00E74D09">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941" w:type="dxa"/>
                  <w:noWrap w:val="0"/>
                  <w:vAlign w:val="center"/>
                </w:tcPr>
                <w:p w14:paraId="20F974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7.122</w:t>
                  </w:r>
                </w:p>
              </w:tc>
              <w:tc>
                <w:tcPr>
                  <w:tcW w:w="1151" w:type="dxa"/>
                  <w:vMerge w:val="restart"/>
                  <w:noWrap w:val="0"/>
                  <w:vAlign w:val="center"/>
                </w:tcPr>
                <w:p w14:paraId="01E52C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1205.244</w:t>
                  </w:r>
                </w:p>
              </w:tc>
            </w:tr>
            <w:tr w14:paraId="3F3A7E55">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24" w:hRule="atLeast"/>
                <w:jc w:val="center"/>
              </w:trPr>
              <w:tc>
                <w:tcPr>
                  <w:tcW w:w="977" w:type="dxa"/>
                  <w:vMerge w:val="continue"/>
                  <w:noWrap w:val="0"/>
                  <w:vAlign w:val="center"/>
                </w:tcPr>
                <w:p w14:paraId="542F42C1">
                  <w:pPr>
                    <w:jc w:val="center"/>
                    <w:rPr>
                      <w:rFonts w:hint="default" w:ascii="Times New Roman" w:hAnsi="Times New Roman" w:cs="Times New Roman"/>
                      <w:color w:val="auto"/>
                      <w:sz w:val="21"/>
                      <w:szCs w:val="21"/>
                    </w:rPr>
                  </w:pPr>
                </w:p>
              </w:tc>
              <w:tc>
                <w:tcPr>
                  <w:tcW w:w="978" w:type="dxa"/>
                  <w:noWrap w:val="0"/>
                  <w:vAlign w:val="center"/>
                </w:tcPr>
                <w:p w14:paraId="308D620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晴天</w:t>
                  </w:r>
                </w:p>
              </w:tc>
              <w:tc>
                <w:tcPr>
                  <w:tcW w:w="2311" w:type="dxa"/>
                  <w:gridSpan w:val="2"/>
                  <w:noWrap w:val="0"/>
                  <w:vAlign w:val="center"/>
                </w:tcPr>
                <w:p w14:paraId="793187DE">
                  <w:pPr>
                    <w:keepNext w:val="0"/>
                    <w:keepLines w:val="0"/>
                    <w:widowControl/>
                    <w:suppressLineNumbers w:val="0"/>
                    <w:jc w:val="center"/>
                    <w:textAlignment w:val="center"/>
                    <w:rPr>
                      <w:rFonts w:hint="eastAsia" w:cs="Times New Roman"/>
                      <w:color w:val="auto"/>
                      <w:szCs w:val="21"/>
                      <w:lang w:val="en-US" w:eastAsia="zh-CN"/>
                    </w:rPr>
                  </w:pPr>
                  <w:r>
                    <w:rPr>
                      <w:rFonts w:hint="eastAsia" w:cs="Times New Roman"/>
                      <w:i w:val="0"/>
                      <w:iCs w:val="0"/>
                      <w:color w:val="auto"/>
                      <w:kern w:val="0"/>
                      <w:sz w:val="21"/>
                      <w:szCs w:val="21"/>
                      <w:u w:val="none"/>
                      <w:lang w:val="en-US" w:eastAsia="zh-CN" w:bidi="ar"/>
                    </w:rPr>
                    <w:t>3.09</w:t>
                  </w:r>
                  <w:r>
                    <w:rPr>
                      <w:rFonts w:hint="default" w:ascii="Times New Roman" w:hAnsi="Times New Roman" w:eastAsia="宋体" w:cs="Times New Roman"/>
                      <w:i w:val="0"/>
                      <w:iCs w:val="0"/>
                      <w:color w:val="auto"/>
                      <w:kern w:val="0"/>
                      <w:sz w:val="21"/>
                      <w:szCs w:val="21"/>
                      <w:u w:val="none"/>
                      <w:lang w:val="en-US" w:eastAsia="zh-CN" w:bidi="ar"/>
                    </w:rPr>
                    <w:t>（自来水）</w:t>
                  </w:r>
                </w:p>
              </w:tc>
              <w:tc>
                <w:tcPr>
                  <w:tcW w:w="1241" w:type="dxa"/>
                  <w:vMerge w:val="continue"/>
                  <w:noWrap w:val="0"/>
                  <w:vAlign w:val="center"/>
                </w:tcPr>
                <w:p w14:paraId="31CAD1B5">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14" w:type="dxa"/>
                  <w:noWrap w:val="0"/>
                  <w:vAlign w:val="center"/>
                </w:tcPr>
                <w:p w14:paraId="59321E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41" w:type="dxa"/>
                  <w:noWrap w:val="0"/>
                  <w:vAlign w:val="center"/>
                </w:tcPr>
                <w:p w14:paraId="37DF6600">
                  <w:pPr>
                    <w:keepNext w:val="0"/>
                    <w:keepLines w:val="0"/>
                    <w:widowControl/>
                    <w:suppressLineNumbers w:val="0"/>
                    <w:jc w:val="center"/>
                    <w:textAlignment w:val="center"/>
                    <w:rPr>
                      <w:rFonts w:hint="default" w:cs="Times New Roman"/>
                      <w:color w:val="auto"/>
                      <w:szCs w:val="21"/>
                      <w:lang w:val="en-US" w:eastAsia="zh-CN"/>
                    </w:rPr>
                  </w:pPr>
                  <w:r>
                    <w:rPr>
                      <w:rFonts w:hint="eastAsia" w:cs="Times New Roman"/>
                      <w:color w:val="auto"/>
                      <w:szCs w:val="21"/>
                      <w:lang w:val="en-US" w:eastAsia="zh-CN"/>
                    </w:rPr>
                    <w:t>1.776</w:t>
                  </w:r>
                </w:p>
              </w:tc>
              <w:tc>
                <w:tcPr>
                  <w:tcW w:w="1151" w:type="dxa"/>
                  <w:vMerge w:val="continue"/>
                  <w:noWrap w:val="0"/>
                  <w:vAlign w:val="center"/>
                </w:tcPr>
                <w:p w14:paraId="14A43CDB">
                  <w:pPr>
                    <w:keepNext w:val="0"/>
                    <w:keepLines w:val="0"/>
                    <w:widowControl/>
                    <w:suppressLineNumbers w:val="0"/>
                    <w:jc w:val="center"/>
                    <w:textAlignment w:val="center"/>
                    <w:rPr>
                      <w:rFonts w:hint="eastAsia" w:cs="Times New Roman"/>
                      <w:color w:val="auto"/>
                      <w:szCs w:val="21"/>
                      <w:lang w:val="en-US" w:eastAsia="zh-CN"/>
                    </w:rPr>
                  </w:pPr>
                </w:p>
              </w:tc>
            </w:tr>
          </w:tbl>
          <w:p w14:paraId="0471C56B">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综上，本项目运营期间</w:t>
            </w:r>
            <w:r>
              <w:rPr>
                <w:rFonts w:hint="default" w:ascii="Times New Roman" w:hAnsi="Times New Roman" w:eastAsia="宋体" w:cs="Times New Roman"/>
                <w:color w:val="auto"/>
                <w:sz w:val="24"/>
                <w:szCs w:val="24"/>
                <w:lang w:val="en-US" w:eastAsia="zh-CN"/>
              </w:rPr>
              <w:t>新鲜水</w:t>
            </w:r>
            <w:r>
              <w:rPr>
                <w:rFonts w:hint="default" w:ascii="Times New Roman" w:hAnsi="Times New Roman" w:eastAsia="宋体" w:cs="Times New Roman"/>
                <w:color w:val="auto"/>
                <w:sz w:val="24"/>
                <w:szCs w:val="24"/>
              </w:rPr>
              <w:t>用量为</w:t>
            </w:r>
            <w:r>
              <w:rPr>
                <w:rFonts w:hint="eastAsia" w:cs="Times New Roman"/>
                <w:color w:val="auto"/>
                <w:sz w:val="24"/>
                <w:szCs w:val="24"/>
                <w:lang w:val="en-US" w:eastAsia="zh-CN"/>
              </w:rPr>
              <w:t>793.31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cs="Times New Roman"/>
                <w:color w:val="auto"/>
                <w:sz w:val="24"/>
                <w:szCs w:val="24"/>
                <w:lang w:val="en-US" w:eastAsia="zh-CN"/>
              </w:rPr>
              <w:t>废水产生量为1205.244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区排水采用“雨污分流”排水制度，</w:t>
            </w:r>
            <w:r>
              <w:rPr>
                <w:rFonts w:hint="default" w:ascii="Times New Roman" w:hAnsi="Times New Roman" w:eastAsia="宋体" w:cs="Times New Roman"/>
                <w:color w:val="auto"/>
                <w:kern w:val="2"/>
                <w:sz w:val="24"/>
                <w:szCs w:val="24"/>
                <w:lang w:val="en-US" w:eastAsia="zh-CN" w:bidi="ar-SA"/>
              </w:rPr>
              <w:t>食堂含油废水经隔油池预处理后与其余办公生活废水及外来人员冲厕废水一同进入化粪池处理，地面冲洗废水</w:t>
            </w:r>
            <w:r>
              <w:rPr>
                <w:rFonts w:hint="eastAsia" w:cs="Times New Roman"/>
                <w:color w:val="auto"/>
                <w:kern w:val="2"/>
                <w:sz w:val="24"/>
                <w:szCs w:val="24"/>
                <w:lang w:val="en-US" w:eastAsia="zh-CN" w:bidi="ar-SA"/>
              </w:rPr>
              <w:t>、初期雨水</w:t>
            </w:r>
            <w:r>
              <w:rPr>
                <w:rFonts w:hint="default" w:ascii="Times New Roman" w:hAnsi="Times New Roman" w:eastAsia="宋体" w:cs="Times New Roman"/>
                <w:color w:val="auto"/>
                <w:kern w:val="2"/>
                <w:sz w:val="24"/>
                <w:szCs w:val="24"/>
                <w:lang w:val="en-US" w:eastAsia="zh-CN" w:bidi="ar-SA"/>
              </w:rPr>
              <w:t>经三级油水分离池处理，上述所有废水</w:t>
            </w:r>
            <w:r>
              <w:rPr>
                <w:rFonts w:hint="eastAsia" w:cs="Times New Roman"/>
                <w:color w:val="auto"/>
                <w:kern w:val="2"/>
                <w:sz w:val="24"/>
                <w:szCs w:val="24"/>
                <w:lang w:val="en-US" w:eastAsia="zh-CN" w:bidi="ar-SA"/>
              </w:rPr>
              <w:t>委托寻甸绿运垃圾清运有限公司清运，</w:t>
            </w:r>
            <w:r>
              <w:rPr>
                <w:rFonts w:hint="default" w:ascii="Times New Roman" w:hAnsi="Times New Roman" w:eastAsia="宋体" w:cs="Times New Roman"/>
                <w:color w:val="auto"/>
                <w:kern w:val="2"/>
                <w:sz w:val="24"/>
                <w:szCs w:val="24"/>
                <w:lang w:val="en-US" w:eastAsia="zh-CN" w:bidi="ar-SA"/>
              </w:rPr>
              <w:t>不外排。</w:t>
            </w:r>
            <w:r>
              <w:rPr>
                <w:rFonts w:hint="default" w:ascii="Times New Roman" w:hAnsi="Times New Roman" w:cs="Times New Roman"/>
                <w:color w:val="auto"/>
                <w:sz w:val="24"/>
              </w:rPr>
              <w:t>项目区废水产排量及走向详见图</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14:paraId="52A0BA52">
            <w:pPr>
              <w:spacing w:line="360" w:lineRule="auto"/>
              <w:jc w:val="center"/>
              <w:rPr>
                <w:rFonts w:hint="default" w:ascii="Times New Roman" w:hAnsi="Times New Roman" w:cs="Times New Roman"/>
                <w:color w:val="auto"/>
                <w:sz w:val="24"/>
              </w:rPr>
            </w:pPr>
            <w:r>
              <w:rPr>
                <w:color w:val="auto"/>
              </w:rPr>
              <w:drawing>
                <wp:inline distT="0" distB="0" distL="114300" distR="114300">
                  <wp:extent cx="5443220" cy="4194810"/>
                  <wp:effectExtent l="0" t="0" r="5080"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443220" cy="4194810"/>
                          </a:xfrm>
                          <a:prstGeom prst="rect">
                            <a:avLst/>
                          </a:prstGeom>
                          <a:noFill/>
                          <a:ln>
                            <a:noFill/>
                          </a:ln>
                        </pic:spPr>
                      </pic:pic>
                    </a:graphicData>
                  </a:graphic>
                </wp:inline>
              </w:drawing>
            </w:r>
          </w:p>
          <w:p w14:paraId="1281FE76">
            <w:pPr>
              <w:spacing w:line="360" w:lineRule="auto"/>
              <w:ind w:firstLine="422" w:firstLineChars="20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w:t>
            </w:r>
            <w:r>
              <w:rPr>
                <w:rFonts w:hint="default"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项目区</w:t>
            </w:r>
            <w:r>
              <w:rPr>
                <w:rFonts w:hint="eastAsia" w:cs="Times New Roman"/>
                <w:b/>
                <w:color w:val="auto"/>
                <w:sz w:val="21"/>
                <w:szCs w:val="21"/>
                <w:lang w:val="en-US" w:eastAsia="zh-CN"/>
              </w:rPr>
              <w:t>晴天</w:t>
            </w:r>
            <w:r>
              <w:rPr>
                <w:rFonts w:hint="default" w:ascii="Times New Roman" w:hAnsi="Times New Roman" w:cs="Times New Roman"/>
                <w:b/>
                <w:color w:val="auto"/>
                <w:sz w:val="21"/>
                <w:szCs w:val="21"/>
              </w:rPr>
              <w:t>水平衡图（单位：m³/d）</w:t>
            </w:r>
          </w:p>
          <w:bookmarkEnd w:id="13"/>
          <w:p w14:paraId="31CF3A2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highlight w:val="none"/>
                <w:lang w:val="en-US"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3755390</wp:posOffset>
                      </wp:positionH>
                      <wp:positionV relativeFrom="paragraph">
                        <wp:posOffset>2681605</wp:posOffset>
                      </wp:positionV>
                      <wp:extent cx="647700" cy="2667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69D9B2">
                                  <w:pPr>
                                    <w:rPr>
                                      <w:rFonts w:hint="default"/>
                                      <w:color w:val="auto"/>
                                      <w:lang w:val="en-US"/>
                                    </w:rPr>
                                  </w:pPr>
                                  <w:r>
                                    <w:rPr>
                                      <w:rFonts w:hint="eastAsia" w:cs="Times New Roman"/>
                                      <w:i w:val="0"/>
                                      <w:iCs w:val="0"/>
                                      <w:color w:val="auto"/>
                                      <w:kern w:val="0"/>
                                      <w:sz w:val="21"/>
                                      <w:szCs w:val="21"/>
                                      <w:u w:val="none"/>
                                      <w:lang w:val="en-US" w:eastAsia="zh-CN" w:bidi="ar"/>
                                    </w:rPr>
                                    <w:t>7.122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7pt;margin-top:211.15pt;height:21pt;width:51pt;z-index:251660288;mso-width-relative:page;mso-height-relative:page;" fillcolor="#FFFFFF [3201]" filled="t" stroked="f" coordsize="21600,21600" o:gfxdata="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Jow9tUAAAALAQAADwAAAAAAAAAB&#10;ACAAAAAiAAAAZHJzL2Rvd25yZXYueG1sUEsBAhQAFAAAAAgAh07iQFAY4ARMAgAAkAQAAA4AAAAA&#10;AAAAAQAgAAAAJAEAAGRycy9lMm9Eb2MueG1sUEsFBgAAAAAGAAYAWQEAAOIFAAAAAA==&#10;">
                      <v:fill on="t" focussize="0,0"/>
                      <v:stroke on="f" weight="0.5pt"/>
                      <v:imagedata o:title=""/>
                      <o:lock v:ext="edit" aspectratio="f"/>
                      <v:textbox>
                        <w:txbxContent>
                          <w:p w14:paraId="3A69D9B2">
                            <w:pPr>
                              <w:rPr>
                                <w:rFonts w:hint="default"/>
                                <w:color w:val="auto"/>
                                <w:lang w:val="en-US"/>
                              </w:rPr>
                            </w:pPr>
                            <w:r>
                              <w:rPr>
                                <w:rFonts w:hint="eastAsia" w:cs="Times New Roman"/>
                                <w:i w:val="0"/>
                                <w:iCs w:val="0"/>
                                <w:color w:val="auto"/>
                                <w:kern w:val="0"/>
                                <w:sz w:val="21"/>
                                <w:szCs w:val="21"/>
                                <w:u w:val="none"/>
                                <w:lang w:val="en-US" w:eastAsia="zh-CN" w:bidi="ar"/>
                              </w:rPr>
                              <w:t>7.122</w:t>
                            </w:r>
                          </w:p>
                        </w:txbxContent>
                      </v:textbox>
                    </v:shape>
                  </w:pict>
                </mc:Fallback>
              </mc:AlternateContent>
            </w:r>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2355215</wp:posOffset>
                      </wp:positionH>
                      <wp:positionV relativeFrom="paragraph">
                        <wp:posOffset>3357880</wp:posOffset>
                      </wp:positionV>
                      <wp:extent cx="647700" cy="266700"/>
                      <wp:effectExtent l="0" t="0" r="0" b="0"/>
                      <wp:wrapNone/>
                      <wp:docPr id="10" name="文本框 10"/>
                      <wp:cNvGraphicFramePr/>
                      <a:graphic xmlns:a="http://schemas.openxmlformats.org/drawingml/2006/main">
                        <a:graphicData uri="http://schemas.microsoft.com/office/word/2010/wordprocessingShape">
                          <wps:wsp>
                            <wps:cNvSpPr txBox="1"/>
                            <wps:spPr>
                              <a:xfrm>
                                <a:off x="3670935" y="8947785"/>
                                <a:ext cx="6477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1AC04E">
                                  <w:pPr>
                                    <w:rPr>
                                      <w:color w:val="auto"/>
                                    </w:rPr>
                                  </w:pPr>
                                  <w:r>
                                    <w:rPr>
                                      <w:rFonts w:hint="eastAsia" w:ascii="Times New Roman" w:hAnsi="Times New Roman" w:eastAsia="宋体" w:cs="Times New Roman"/>
                                      <w:i w:val="0"/>
                                      <w:iCs w:val="0"/>
                                      <w:color w:val="auto"/>
                                      <w:kern w:val="0"/>
                                      <w:sz w:val="21"/>
                                      <w:szCs w:val="21"/>
                                      <w:u w:val="none"/>
                                      <w:lang w:val="en-US" w:eastAsia="zh-CN" w:bidi="ar"/>
                                    </w:rPr>
                                    <w:t>5.346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45pt;margin-top:264.4pt;height:21pt;width:51pt;z-index:251659264;mso-width-relative:page;mso-height-relative:page;" fillcolor="#FFFFFF [3201]" filled="t" stroked="f" coordsize="21600,21600" o:gfxdata="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3tKVdQA&#10;AAALAQAADwAAAAAAAAABACAAAAAiAAAAZHJzL2Rvd25yZXYueG1sUEsBAhQAFAAAAAgAh07iQDSg&#10;fJhcAgAAnAQAAA4AAAAAAAAAAQAgAAAAIwEAAGRycy9lMm9Eb2MueG1sUEsFBgAAAAAGAAYAWQEA&#10;APEFAAAAAA==&#10;">
                      <v:fill on="t" focussize="0,0"/>
                      <v:stroke on="f" weight="0.5pt"/>
                      <v:imagedata o:title=""/>
                      <o:lock v:ext="edit" aspectratio="f"/>
                      <v:textbox>
                        <w:txbxContent>
                          <w:p w14:paraId="0C1AC04E">
                            <w:pPr>
                              <w:rPr>
                                <w:color w:val="auto"/>
                              </w:rPr>
                            </w:pPr>
                            <w:r>
                              <w:rPr>
                                <w:rFonts w:hint="eastAsia" w:ascii="Times New Roman" w:hAnsi="Times New Roman" w:eastAsia="宋体" w:cs="Times New Roman"/>
                                <w:i w:val="0"/>
                                <w:iCs w:val="0"/>
                                <w:color w:val="auto"/>
                                <w:kern w:val="0"/>
                                <w:sz w:val="21"/>
                                <w:szCs w:val="21"/>
                                <w:u w:val="none"/>
                                <w:lang w:val="en-US" w:eastAsia="zh-CN" w:bidi="ar"/>
                              </w:rPr>
                              <w:t>5.346</w:t>
                            </w:r>
                          </w:p>
                        </w:txbxContent>
                      </v:textbox>
                    </v:shape>
                  </w:pict>
                </mc:Fallback>
              </mc:AlternateContent>
            </w:r>
            <w:r>
              <w:rPr>
                <w:color w:val="auto"/>
              </w:rPr>
              <w:drawing>
                <wp:inline distT="0" distB="0" distL="114300" distR="114300">
                  <wp:extent cx="5440045" cy="3809365"/>
                  <wp:effectExtent l="0" t="0" r="825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440045" cy="3809365"/>
                          </a:xfrm>
                          <a:prstGeom prst="rect">
                            <a:avLst/>
                          </a:prstGeom>
                          <a:noFill/>
                          <a:ln>
                            <a:noFill/>
                          </a:ln>
                        </pic:spPr>
                      </pic:pic>
                    </a:graphicData>
                  </a:graphic>
                </wp:inline>
              </w:drawing>
            </w:r>
          </w:p>
          <w:p w14:paraId="32DEDF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1"/>
                <w:szCs w:val="21"/>
              </w:rPr>
              <w:t>图</w:t>
            </w:r>
            <w:r>
              <w:rPr>
                <w:rFonts w:hint="default"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项目区</w:t>
            </w:r>
            <w:r>
              <w:rPr>
                <w:rFonts w:hint="eastAsia" w:cs="Times New Roman"/>
                <w:b/>
                <w:color w:val="auto"/>
                <w:sz w:val="21"/>
                <w:szCs w:val="21"/>
                <w:lang w:val="en-US" w:eastAsia="zh-CN"/>
              </w:rPr>
              <w:t>雨天</w:t>
            </w:r>
            <w:r>
              <w:rPr>
                <w:rFonts w:hint="default" w:ascii="Times New Roman" w:hAnsi="Times New Roman" w:cs="Times New Roman"/>
                <w:b/>
                <w:color w:val="auto"/>
                <w:sz w:val="21"/>
                <w:szCs w:val="21"/>
              </w:rPr>
              <w:t>水平衡图（单位：m³/d）</w:t>
            </w:r>
          </w:p>
          <w:p w14:paraId="100363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劳动定员及工作制度</w:t>
            </w:r>
          </w:p>
          <w:p w14:paraId="1AE68846">
            <w:pPr>
              <w:spacing w:line="360" w:lineRule="auto"/>
              <w:ind w:firstLine="482"/>
              <w:rPr>
                <w:rFonts w:hint="default" w:ascii="Times New Roman" w:hAnsi="Times New Roman" w:cs="Times New Roman"/>
                <w:color w:val="auto"/>
                <w:spacing w:val="-6"/>
                <w:sz w:val="24"/>
                <w:szCs w:val="22"/>
              </w:rPr>
            </w:pPr>
            <w:r>
              <w:rPr>
                <w:rFonts w:hint="default" w:ascii="Times New Roman" w:hAnsi="Times New Roman" w:cs="Times New Roman"/>
                <w:color w:val="auto"/>
                <w:sz w:val="24"/>
                <w:szCs w:val="22"/>
              </w:rPr>
              <w:t>本项目</w:t>
            </w:r>
            <w:r>
              <w:rPr>
                <w:rFonts w:hint="default" w:ascii="Times New Roman" w:hAnsi="Times New Roman" w:cs="Times New Roman"/>
                <w:color w:val="auto"/>
                <w:sz w:val="24"/>
              </w:rPr>
              <w:t>运营期</w:t>
            </w:r>
            <w:r>
              <w:rPr>
                <w:rFonts w:hint="default" w:ascii="Times New Roman" w:hAnsi="Times New Roman" w:cs="Times New Roman"/>
                <w:color w:val="auto"/>
                <w:sz w:val="24"/>
                <w:szCs w:val="22"/>
              </w:rPr>
              <w:t>员工劳动定员</w:t>
            </w: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rPr>
              <w:t>人，其中</w:t>
            </w:r>
            <w:r>
              <w:rPr>
                <w:rFonts w:hint="default" w:ascii="Times New Roman" w:hAnsi="Times New Roman" w:cs="Times New Roman"/>
                <w:color w:val="auto"/>
                <w:sz w:val="24"/>
                <w:szCs w:val="22"/>
                <w:lang w:val="en-US" w:eastAsia="zh-CN"/>
              </w:rPr>
              <w:t>站长</w:t>
            </w:r>
            <w:r>
              <w:rPr>
                <w:rFonts w:hint="default" w:ascii="Times New Roman" w:hAnsi="Times New Roman" w:cs="Times New Roman"/>
                <w:color w:val="auto"/>
                <w:sz w:val="24"/>
                <w:szCs w:val="22"/>
              </w:rPr>
              <w:t>1人</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项目员工均在站内食宿。制度：本项目</w:t>
            </w:r>
            <w:r>
              <w:rPr>
                <w:rFonts w:hint="default" w:ascii="Times New Roman" w:hAnsi="Times New Roman" w:cs="Times New Roman"/>
                <w:color w:val="auto"/>
                <w:spacing w:val="-6"/>
                <w:sz w:val="24"/>
                <w:szCs w:val="22"/>
              </w:rPr>
              <w:t>实行</w:t>
            </w:r>
            <w:r>
              <w:rPr>
                <w:rFonts w:hint="default" w:ascii="Times New Roman" w:hAnsi="Times New Roman" w:cs="Times New Roman"/>
                <w:color w:val="auto"/>
                <w:spacing w:val="-6"/>
                <w:sz w:val="24"/>
                <w:szCs w:val="22"/>
                <w:lang w:val="en-US" w:eastAsia="zh-CN"/>
              </w:rPr>
              <w:t>2</w:t>
            </w:r>
            <w:r>
              <w:rPr>
                <w:rFonts w:hint="default" w:ascii="Times New Roman" w:hAnsi="Times New Roman" w:cs="Times New Roman"/>
                <w:color w:val="auto"/>
                <w:spacing w:val="-6"/>
                <w:sz w:val="24"/>
                <w:szCs w:val="22"/>
              </w:rPr>
              <w:t>班制工作制度，一年工作365天，营业时间24小时。</w:t>
            </w:r>
          </w:p>
          <w:p w14:paraId="54BD41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7、</w:t>
            </w:r>
            <w:r>
              <w:rPr>
                <w:rFonts w:hint="default" w:ascii="Times New Roman" w:hAnsi="Times New Roman" w:cs="Times New Roman"/>
                <w:b/>
                <w:color w:val="auto"/>
                <w:sz w:val="24"/>
              </w:rPr>
              <w:t>项目建设进度计划</w:t>
            </w:r>
          </w:p>
          <w:p w14:paraId="7249819D">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本项目计划于202</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12</w:t>
            </w:r>
            <w:r>
              <w:rPr>
                <w:rFonts w:hint="default" w:ascii="Times New Roman" w:hAnsi="Times New Roman" w:cs="Times New Roman"/>
                <w:color w:val="auto"/>
                <w:sz w:val="24"/>
              </w:rPr>
              <w:t>月开工建设，预计202</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年</w:t>
            </w:r>
            <w:r>
              <w:rPr>
                <w:rFonts w:hint="eastAsia" w:cs="Times New Roman"/>
                <w:color w:val="auto"/>
                <w:sz w:val="24"/>
                <w:lang w:val="en-US" w:eastAsia="zh-CN"/>
              </w:rPr>
              <w:t>2</w:t>
            </w:r>
            <w:r>
              <w:rPr>
                <w:rFonts w:hint="default" w:ascii="Times New Roman" w:hAnsi="Times New Roman" w:cs="Times New Roman"/>
                <w:color w:val="auto"/>
                <w:sz w:val="24"/>
              </w:rPr>
              <w:t>月底竣工，项目施工期约为</w:t>
            </w:r>
            <w:r>
              <w:rPr>
                <w:rFonts w:hint="eastAsia" w:cs="Times New Roman"/>
                <w:color w:val="auto"/>
                <w:sz w:val="24"/>
                <w:lang w:val="en-US" w:eastAsia="zh-CN"/>
              </w:rPr>
              <w:t>3</w:t>
            </w:r>
            <w:r>
              <w:rPr>
                <w:rFonts w:hint="default" w:ascii="Times New Roman" w:hAnsi="Times New Roman" w:cs="Times New Roman"/>
                <w:color w:val="auto"/>
                <w:sz w:val="24"/>
              </w:rPr>
              <w:t>个月，</w:t>
            </w:r>
            <w:r>
              <w:rPr>
                <w:rFonts w:hint="eastAsia" w:cs="Times New Roman"/>
                <w:color w:val="auto"/>
                <w:sz w:val="24"/>
                <w:lang w:eastAsia="zh-CN"/>
              </w:rPr>
              <w:t>主要</w:t>
            </w:r>
            <w:r>
              <w:rPr>
                <w:rFonts w:hint="default" w:ascii="Times New Roman" w:hAnsi="Times New Roman" w:cs="Times New Roman"/>
                <w:color w:val="auto"/>
                <w:sz w:val="24"/>
              </w:rPr>
              <w:t>为</w:t>
            </w:r>
            <w:r>
              <w:rPr>
                <w:rFonts w:hint="eastAsia" w:cs="Times New Roman"/>
                <w:color w:val="auto"/>
                <w:sz w:val="24"/>
                <w:lang w:val="en-US" w:eastAsia="zh-CN"/>
              </w:rPr>
              <w:t>现有构筑物拆除、</w:t>
            </w:r>
            <w:r>
              <w:rPr>
                <w:rFonts w:hint="default" w:ascii="Times New Roman" w:hAnsi="Times New Roman" w:cs="Times New Roman"/>
                <w:color w:val="auto"/>
                <w:sz w:val="24"/>
              </w:rPr>
              <w:t>场地平整、基础开挖、主体建筑工程建设、装修、场地绿化、竣工验收等</w:t>
            </w:r>
            <w:r>
              <w:rPr>
                <w:rFonts w:hint="default" w:ascii="Times New Roman" w:hAnsi="Times New Roman" w:cs="Times New Roman"/>
                <w:color w:val="auto"/>
                <w:sz w:val="24"/>
                <w:lang w:val="en-US" w:eastAsia="zh-CN"/>
              </w:rPr>
              <w:t>。施工</w:t>
            </w:r>
            <w:r>
              <w:rPr>
                <w:rFonts w:hint="default" w:ascii="Times New Roman" w:hAnsi="Times New Roman" w:cs="Times New Roman"/>
                <w:color w:val="auto"/>
                <w:sz w:val="24"/>
              </w:rPr>
              <w:t>期施工人员约</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人/d，工作实行一班制，每天工作8小时，施工人员不在工地食宿。</w:t>
            </w:r>
          </w:p>
          <w:p w14:paraId="27E2030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8、项目平面布置</w:t>
            </w:r>
          </w:p>
          <w:p w14:paraId="4F3FEF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rPr>
              <w:t>加油站整体呈</w:t>
            </w:r>
            <w:r>
              <w:rPr>
                <w:rFonts w:hint="eastAsia" w:cs="Times New Roman"/>
                <w:color w:val="auto"/>
                <w:sz w:val="24"/>
                <w:lang w:val="en-US" w:eastAsia="zh-CN"/>
              </w:rPr>
              <w:t>不规则梯形</w:t>
            </w:r>
            <w:r>
              <w:rPr>
                <w:rFonts w:hint="default" w:ascii="Times New Roman" w:hAnsi="Times New Roman" w:cs="Times New Roman"/>
                <w:color w:val="auto"/>
                <w:sz w:val="24"/>
              </w:rPr>
              <w:t>，出入口分别设置于项目区的</w:t>
            </w:r>
            <w:r>
              <w:rPr>
                <w:rFonts w:hint="eastAsia" w:cs="Times New Roman"/>
                <w:color w:val="auto"/>
                <w:sz w:val="24"/>
                <w:lang w:val="en-US" w:eastAsia="zh-CN"/>
              </w:rPr>
              <w:t>西北</w:t>
            </w:r>
            <w:r>
              <w:rPr>
                <w:rFonts w:hint="default" w:ascii="Times New Roman" w:hAnsi="Times New Roman" w:cs="Times New Roman"/>
                <w:color w:val="auto"/>
                <w:sz w:val="24"/>
              </w:rPr>
              <w:t>和</w:t>
            </w:r>
            <w:r>
              <w:rPr>
                <w:rFonts w:hint="eastAsia" w:cs="Times New Roman"/>
                <w:color w:val="auto"/>
                <w:sz w:val="24"/>
                <w:lang w:val="en-US" w:eastAsia="zh-CN"/>
              </w:rPr>
              <w:t>西南</w:t>
            </w:r>
            <w:r>
              <w:rPr>
                <w:rFonts w:hint="default" w:ascii="Times New Roman" w:hAnsi="Times New Roman" w:cs="Times New Roman"/>
                <w:color w:val="auto"/>
                <w:sz w:val="24"/>
                <w:lang w:val="en-US" w:eastAsia="zh-CN"/>
              </w:rPr>
              <w:t>侧</w:t>
            </w:r>
            <w:r>
              <w:rPr>
                <w:rFonts w:hint="default" w:ascii="Times New Roman" w:hAnsi="Times New Roman" w:cs="Times New Roman"/>
                <w:color w:val="auto"/>
                <w:sz w:val="24"/>
              </w:rPr>
              <w:t>。加油区罩棚设置于加油站中央，罩棚下设</w:t>
            </w:r>
            <w:r>
              <w:rPr>
                <w:rFonts w:hint="default" w:ascii="Times New Roman" w:hAnsi="Times New Roman" w:cs="Times New Roman"/>
                <w:color w:val="auto"/>
                <w:sz w:val="24"/>
                <w:lang w:eastAsia="zh-CN"/>
              </w:rPr>
              <w:t>2台4枪加油机共</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lang w:eastAsia="zh-CN"/>
              </w:rPr>
              <w:t>枪</w:t>
            </w:r>
            <w:r>
              <w:rPr>
                <w:rFonts w:hint="eastAsia" w:cs="Times New Roman"/>
                <w:color w:val="auto"/>
                <w:sz w:val="24"/>
                <w:lang w:eastAsia="zh-CN"/>
              </w:rPr>
              <w:t>，</w:t>
            </w:r>
            <w:r>
              <w:rPr>
                <w:rFonts w:hint="default" w:ascii="Times New Roman" w:hAnsi="Times New Roman" w:cs="Times New Roman"/>
                <w:color w:val="auto"/>
                <w:sz w:val="24"/>
                <w:lang w:eastAsia="zh-CN"/>
              </w:rPr>
              <w:t>设置常规地下水监测井</w:t>
            </w:r>
            <w:r>
              <w:rPr>
                <w:rFonts w:hint="eastAsia" w:cs="Times New Roman"/>
                <w:color w:val="auto"/>
                <w:sz w:val="24"/>
                <w:lang w:eastAsia="zh-CN"/>
              </w:rPr>
              <w:t>（103°15′34.779″,25°43′26.131″）</w:t>
            </w:r>
            <w:r>
              <w:rPr>
                <w:rFonts w:hint="default" w:ascii="Times New Roman" w:hAnsi="Times New Roman" w:cs="Times New Roman"/>
                <w:color w:val="auto"/>
                <w:sz w:val="24"/>
              </w:rPr>
              <w:t>。罩棚</w:t>
            </w:r>
            <w:r>
              <w:rPr>
                <w:rFonts w:hint="eastAsia" w:cs="Times New Roman"/>
                <w:color w:val="auto"/>
                <w:sz w:val="24"/>
                <w:lang w:val="en-US" w:eastAsia="zh-CN"/>
              </w:rPr>
              <w:t>东</w:t>
            </w:r>
            <w:r>
              <w:rPr>
                <w:rFonts w:hint="default" w:ascii="Times New Roman" w:hAnsi="Times New Roman" w:cs="Times New Roman"/>
                <w:color w:val="auto"/>
                <w:sz w:val="24"/>
                <w:lang w:val="en-US" w:eastAsia="zh-CN"/>
              </w:rPr>
              <w:t>侧</w:t>
            </w:r>
            <w:r>
              <w:rPr>
                <w:rFonts w:hint="default" w:ascii="Times New Roman" w:hAnsi="Times New Roman" w:cs="Times New Roman"/>
                <w:color w:val="auto"/>
                <w:sz w:val="24"/>
              </w:rPr>
              <w:t>紧邻站房，设置</w:t>
            </w:r>
            <w:r>
              <w:rPr>
                <w:rFonts w:hint="default" w:ascii="Times New Roman" w:hAnsi="Times New Roman" w:cs="Times New Roman"/>
                <w:color w:val="auto"/>
                <w:sz w:val="24"/>
                <w:lang w:val="en-US" w:eastAsia="zh-CN"/>
              </w:rPr>
              <w:t>便利店</w:t>
            </w:r>
            <w:r>
              <w:rPr>
                <w:rFonts w:hint="eastAsia" w:cs="Times New Roman"/>
                <w:color w:val="auto"/>
                <w:sz w:val="24"/>
                <w:lang w:val="en-US" w:eastAsia="zh-CN"/>
              </w:rPr>
              <w:t>、站长室</w:t>
            </w:r>
            <w:r>
              <w:rPr>
                <w:rFonts w:hint="default" w:ascii="Times New Roman" w:hAnsi="Times New Roman" w:cs="Times New Roman"/>
                <w:color w:val="auto"/>
                <w:sz w:val="24"/>
              </w:rPr>
              <w:t>。油罐区位于</w:t>
            </w:r>
            <w:r>
              <w:rPr>
                <w:rFonts w:hint="default" w:ascii="Times New Roman" w:hAnsi="Times New Roman" w:cs="Times New Roman"/>
                <w:color w:val="auto"/>
                <w:sz w:val="24"/>
                <w:lang w:val="en-US" w:eastAsia="zh-CN"/>
              </w:rPr>
              <w:t>罩棚</w:t>
            </w:r>
            <w:r>
              <w:rPr>
                <w:rFonts w:hint="eastAsia" w:cs="Times New Roman"/>
                <w:color w:val="auto"/>
                <w:sz w:val="24"/>
                <w:lang w:val="en-US" w:eastAsia="zh-CN"/>
              </w:rPr>
              <w:t>正下方</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为埋地式，设有1个30m³柴油罐、1个30m³92#汽油罐、1个30m³95#汽油罐。</w:t>
            </w:r>
            <w:r>
              <w:rPr>
                <w:rFonts w:hint="default" w:ascii="Times New Roman" w:hAnsi="Times New Roman" w:cs="Times New Roman"/>
                <w:color w:val="auto"/>
                <w:sz w:val="24"/>
              </w:rPr>
              <w:t>密闭卸油点位于</w:t>
            </w:r>
            <w:r>
              <w:rPr>
                <w:rFonts w:hint="default" w:ascii="Times New Roman" w:hAnsi="Times New Roman" w:cs="Times New Roman"/>
                <w:color w:val="auto"/>
                <w:sz w:val="24"/>
                <w:lang w:val="en-US" w:eastAsia="zh-CN"/>
              </w:rPr>
              <w:t>油罐区</w:t>
            </w:r>
            <w:r>
              <w:rPr>
                <w:rFonts w:hint="eastAsia" w:cs="Times New Roman"/>
                <w:color w:val="auto"/>
                <w:sz w:val="24"/>
                <w:lang w:val="en-US" w:eastAsia="zh-CN"/>
              </w:rPr>
              <w:t>东北</w:t>
            </w:r>
            <w:r>
              <w:rPr>
                <w:rFonts w:hint="default" w:ascii="Times New Roman" w:hAnsi="Times New Roman" w:cs="Times New Roman"/>
                <w:color w:val="auto"/>
                <w:sz w:val="24"/>
              </w:rPr>
              <w:t>侧。</w:t>
            </w:r>
            <w:r>
              <w:rPr>
                <w:rFonts w:hint="default" w:ascii="Times New Roman" w:hAnsi="Times New Roman" w:cs="Times New Roman"/>
                <w:color w:val="auto"/>
                <w:sz w:val="24"/>
                <w:szCs w:val="22"/>
              </w:rPr>
              <w:t>消防沙箱和消防器材箱位于卸油区旁。</w:t>
            </w:r>
            <w:r>
              <w:rPr>
                <w:rFonts w:hint="eastAsia" w:cs="Times New Roman"/>
                <w:color w:val="auto"/>
                <w:sz w:val="24"/>
                <w:szCs w:val="22"/>
                <w:lang w:eastAsia="zh-CN"/>
              </w:rPr>
              <w:t>危废暂存点</w:t>
            </w:r>
            <w:r>
              <w:rPr>
                <w:rFonts w:hint="default" w:ascii="Times New Roman" w:hAnsi="Times New Roman" w:cs="Times New Roman"/>
                <w:color w:val="auto"/>
                <w:sz w:val="24"/>
                <w:szCs w:val="22"/>
              </w:rPr>
              <w:t>位于</w:t>
            </w:r>
            <w:r>
              <w:rPr>
                <w:rFonts w:hint="eastAsia" w:cs="Times New Roman"/>
                <w:color w:val="auto"/>
                <w:sz w:val="24"/>
                <w:szCs w:val="22"/>
                <w:lang w:val="en-US" w:eastAsia="zh-CN"/>
              </w:rPr>
              <w:t>加油站东北角</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项目区</w:t>
            </w:r>
            <w:r>
              <w:rPr>
                <w:rFonts w:hint="eastAsia" w:cs="Times New Roman"/>
                <w:color w:val="auto"/>
                <w:sz w:val="24"/>
                <w:szCs w:val="22"/>
                <w:lang w:val="en-US" w:eastAsia="zh-CN"/>
              </w:rPr>
              <w:t>南</w:t>
            </w:r>
            <w:r>
              <w:rPr>
                <w:rFonts w:hint="default" w:ascii="Times New Roman" w:hAnsi="Times New Roman" w:cs="Times New Roman"/>
                <w:color w:val="auto"/>
                <w:sz w:val="24"/>
                <w:szCs w:val="22"/>
                <w:lang w:val="en-US" w:eastAsia="zh-CN"/>
              </w:rPr>
              <w:t>侧设置</w:t>
            </w:r>
            <w:r>
              <w:rPr>
                <w:rFonts w:hint="eastAsia" w:cs="Times New Roman"/>
                <w:color w:val="auto"/>
                <w:sz w:val="24"/>
                <w:szCs w:val="22"/>
                <w:lang w:val="en-US" w:eastAsia="zh-CN"/>
              </w:rPr>
              <w:t>4</w:t>
            </w:r>
            <w:r>
              <w:rPr>
                <w:rFonts w:hint="default" w:ascii="Times New Roman" w:hAnsi="Times New Roman" w:cs="Times New Roman"/>
                <w:color w:val="auto"/>
                <w:sz w:val="24"/>
                <w:szCs w:val="22"/>
                <w:lang w:val="en-US" w:eastAsia="zh-CN"/>
              </w:rPr>
              <w:t>个充电</w:t>
            </w:r>
            <w:r>
              <w:rPr>
                <w:rFonts w:hint="eastAsia" w:cs="Times New Roman"/>
                <w:color w:val="auto"/>
                <w:sz w:val="24"/>
                <w:szCs w:val="22"/>
                <w:lang w:val="en-US" w:eastAsia="zh-CN"/>
              </w:rPr>
              <w:t>车位，附房1#位于西南侧，设置配电间、员工值班室、备餐间、餐厅等</w:t>
            </w:r>
            <w:r>
              <w:rPr>
                <w:rFonts w:hint="default" w:ascii="Times New Roman" w:hAnsi="Times New Roman" w:cs="Times New Roman"/>
                <w:color w:val="auto"/>
                <w:sz w:val="24"/>
                <w:szCs w:val="22"/>
              </w:rPr>
              <w:t>。</w:t>
            </w:r>
            <w:r>
              <w:rPr>
                <w:rFonts w:hint="eastAsia" w:cs="Times New Roman"/>
                <w:color w:val="auto"/>
                <w:sz w:val="24"/>
                <w:szCs w:val="22"/>
                <w:lang w:val="en-US" w:eastAsia="zh-CN"/>
              </w:rPr>
              <w:t>东南侧设置卫生间。加油站东侧、南侧、北侧</w:t>
            </w:r>
            <w:r>
              <w:rPr>
                <w:rFonts w:hint="default" w:ascii="Times New Roman" w:hAnsi="Times New Roman" w:cs="Times New Roman"/>
                <w:color w:val="auto"/>
                <w:sz w:val="24"/>
                <w:szCs w:val="22"/>
              </w:rPr>
              <w:t>设置绿化带。罩棚</w:t>
            </w:r>
            <w:r>
              <w:rPr>
                <w:rFonts w:hint="eastAsia" w:cs="Times New Roman"/>
                <w:color w:val="auto"/>
                <w:sz w:val="24"/>
                <w:szCs w:val="22"/>
                <w:lang w:val="en-US" w:eastAsia="zh-CN"/>
              </w:rPr>
              <w:t>下</w:t>
            </w:r>
            <w:r>
              <w:rPr>
                <w:rFonts w:hint="default" w:ascii="Times New Roman" w:hAnsi="Times New Roman" w:cs="Times New Roman"/>
                <w:color w:val="auto"/>
                <w:sz w:val="24"/>
                <w:szCs w:val="22"/>
              </w:rPr>
              <w:t>加油区四周设有环保沟，环保沟连通项目区</w:t>
            </w:r>
            <w:r>
              <w:rPr>
                <w:rFonts w:hint="eastAsia" w:cs="Times New Roman"/>
                <w:color w:val="auto"/>
                <w:sz w:val="24"/>
                <w:szCs w:val="22"/>
                <w:lang w:val="en-US" w:eastAsia="zh-CN"/>
              </w:rPr>
              <w:t>西</w:t>
            </w:r>
            <w:r>
              <w:rPr>
                <w:rFonts w:hint="default" w:ascii="Times New Roman" w:hAnsi="Times New Roman" w:cs="Times New Roman"/>
                <w:color w:val="auto"/>
                <w:sz w:val="24"/>
                <w:szCs w:val="22"/>
                <w:lang w:val="en-US" w:eastAsia="zh-CN"/>
              </w:rPr>
              <w:t>侧三级</w:t>
            </w:r>
            <w:r>
              <w:rPr>
                <w:rFonts w:hint="default" w:ascii="Times New Roman" w:hAnsi="Times New Roman" w:cs="Times New Roman"/>
                <w:color w:val="auto"/>
                <w:sz w:val="24"/>
                <w:szCs w:val="22"/>
              </w:rPr>
              <w:t>油水分离池。化粪池</w:t>
            </w:r>
            <w:r>
              <w:rPr>
                <w:rFonts w:hint="eastAsia" w:cs="Times New Roman"/>
                <w:color w:val="auto"/>
                <w:sz w:val="24"/>
                <w:szCs w:val="22"/>
                <w:lang w:eastAsia="zh-CN"/>
              </w:rPr>
              <w:t>、</w:t>
            </w:r>
            <w:r>
              <w:rPr>
                <w:rFonts w:hint="eastAsia" w:cs="Times New Roman"/>
                <w:color w:val="auto"/>
                <w:sz w:val="24"/>
                <w:szCs w:val="22"/>
                <w:lang w:val="en-US" w:eastAsia="zh-CN"/>
              </w:rPr>
              <w:t>隔油池位于</w:t>
            </w:r>
            <w:r>
              <w:rPr>
                <w:rFonts w:hint="default" w:ascii="Times New Roman" w:hAnsi="Times New Roman" w:cs="Times New Roman"/>
                <w:color w:val="auto"/>
                <w:sz w:val="24"/>
                <w:szCs w:val="22"/>
                <w:lang w:val="en-US" w:eastAsia="zh-CN"/>
              </w:rPr>
              <w:t>项目区</w:t>
            </w:r>
            <w:r>
              <w:rPr>
                <w:rFonts w:hint="eastAsia" w:cs="Times New Roman"/>
                <w:color w:val="auto"/>
                <w:sz w:val="24"/>
                <w:szCs w:val="22"/>
                <w:lang w:val="en-US" w:eastAsia="zh-CN"/>
              </w:rPr>
              <w:t>东南</w:t>
            </w:r>
            <w:r>
              <w:rPr>
                <w:rFonts w:hint="default" w:ascii="Times New Roman" w:hAnsi="Times New Roman" w:cs="Times New Roman"/>
                <w:color w:val="auto"/>
                <w:sz w:val="24"/>
                <w:szCs w:val="22"/>
                <w:lang w:val="en-US" w:eastAsia="zh-CN"/>
              </w:rPr>
              <w:t>侧</w:t>
            </w:r>
            <w:r>
              <w:rPr>
                <w:rFonts w:hint="default" w:ascii="Times New Roman" w:hAnsi="Times New Roman" w:cs="Times New Roman"/>
                <w:color w:val="auto"/>
                <w:sz w:val="24"/>
                <w:szCs w:val="22"/>
              </w:rPr>
              <w:t>。本项目总平面布置图见附图。</w:t>
            </w:r>
          </w:p>
          <w:p w14:paraId="21BD2114">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9、</w:t>
            </w:r>
            <w:r>
              <w:rPr>
                <w:rFonts w:hint="default" w:ascii="Times New Roman" w:hAnsi="Times New Roman" w:cs="Times New Roman"/>
                <w:b/>
                <w:color w:val="auto"/>
                <w:sz w:val="24"/>
                <w:szCs w:val="24"/>
              </w:rPr>
              <w:t>环保投资</w:t>
            </w:r>
          </w:p>
          <w:p w14:paraId="47451F7F">
            <w:pPr>
              <w:tabs>
                <w:tab w:val="left" w:pos="3150"/>
              </w:tabs>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项目总投资</w:t>
            </w:r>
            <w:r>
              <w:rPr>
                <w:rFonts w:hint="eastAsia" w:cs="Times New Roman"/>
                <w:color w:val="auto"/>
                <w:sz w:val="24"/>
                <w:szCs w:val="24"/>
                <w:lang w:val="en-US" w:eastAsia="zh-CN"/>
              </w:rPr>
              <w:t>1500</w:t>
            </w:r>
            <w:r>
              <w:rPr>
                <w:rFonts w:hint="default" w:ascii="Times New Roman" w:hAnsi="Times New Roman" w:cs="Times New Roman"/>
                <w:color w:val="auto"/>
                <w:sz w:val="24"/>
                <w:szCs w:val="24"/>
              </w:rPr>
              <w:t>万元，其中环保投资</w:t>
            </w:r>
            <w:r>
              <w:rPr>
                <w:rFonts w:hint="eastAsia" w:cs="Times New Roman"/>
                <w:color w:val="auto"/>
                <w:sz w:val="24"/>
                <w:szCs w:val="24"/>
                <w:lang w:val="en-US" w:eastAsia="zh-CN"/>
              </w:rPr>
              <w:t>104.75</w:t>
            </w:r>
            <w:r>
              <w:rPr>
                <w:rFonts w:hint="default" w:ascii="Times New Roman" w:hAnsi="Times New Roman" w:cs="Times New Roman"/>
                <w:color w:val="auto"/>
                <w:sz w:val="24"/>
                <w:szCs w:val="24"/>
              </w:rPr>
              <w:t>万元，占总投资的</w:t>
            </w:r>
            <w:r>
              <w:rPr>
                <w:rFonts w:hint="eastAsia" w:cs="Times New Roman"/>
                <w:color w:val="auto"/>
                <w:sz w:val="24"/>
                <w:szCs w:val="24"/>
                <w:lang w:val="en-US" w:eastAsia="zh-CN"/>
              </w:rPr>
              <w:t>6.98</w:t>
            </w:r>
            <w:r>
              <w:rPr>
                <w:rFonts w:hint="default" w:ascii="Times New Roman" w:hAnsi="Times New Roman" w:cs="Times New Roman"/>
                <w:color w:val="auto"/>
                <w:sz w:val="24"/>
                <w:szCs w:val="24"/>
              </w:rPr>
              <w:t>%。环保投资情况见表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p>
          <w:p w14:paraId="1295AC20">
            <w:pPr>
              <w:tabs>
                <w:tab w:val="left" w:pos="3165"/>
                <w:tab w:val="center" w:pos="4349"/>
              </w:tabs>
              <w:jc w:val="lef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1"/>
                <w:szCs w:val="21"/>
                <w:highlight w:val="none"/>
                <w:lang w:eastAsia="zh-CN"/>
              </w:rPr>
              <w:tab/>
            </w:r>
            <w:r>
              <w:rPr>
                <w:rFonts w:hint="default" w:ascii="Times New Roman" w:hAnsi="Times New Roman" w:cs="Times New Roman"/>
                <w:b/>
                <w:color w:val="auto"/>
                <w:sz w:val="21"/>
                <w:szCs w:val="21"/>
                <w:highlight w:val="none"/>
                <w:lang w:eastAsia="zh-CN"/>
              </w:rPr>
              <w:tab/>
            </w: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 xml:space="preserve">8 </w:t>
            </w:r>
            <w:r>
              <w:rPr>
                <w:rFonts w:hint="default" w:ascii="Times New Roman" w:hAnsi="Times New Roman" w:cs="Times New Roman"/>
                <w:b/>
                <w:color w:val="auto"/>
                <w:sz w:val="21"/>
                <w:szCs w:val="21"/>
                <w:highlight w:val="none"/>
              </w:rPr>
              <w:t xml:space="preserve"> 环保投资情况</w:t>
            </w:r>
          </w:p>
          <w:tbl>
            <w:tblPr>
              <w:tblStyle w:val="27"/>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331"/>
              <w:gridCol w:w="2412"/>
              <w:gridCol w:w="2233"/>
              <w:gridCol w:w="1420"/>
            </w:tblGrid>
            <w:tr w14:paraId="55C6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981" w:type="dxa"/>
                  <w:tcBorders>
                    <w:left w:val="single" w:color="auto" w:sz="4" w:space="0"/>
                    <w:right w:val="single" w:color="auto" w:sz="4" w:space="0"/>
                  </w:tcBorders>
                  <w:noWrap w:val="0"/>
                  <w:vAlign w:val="center"/>
                </w:tcPr>
                <w:p w14:paraId="58EC6F11">
                  <w:pPr>
                    <w:pStyle w:val="41"/>
                    <w:tabs>
                      <w:tab w:val="left" w:pos="1257"/>
                    </w:tabs>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阶段</w:t>
                  </w:r>
                </w:p>
              </w:tc>
              <w:tc>
                <w:tcPr>
                  <w:tcW w:w="1331" w:type="dxa"/>
                  <w:tcBorders>
                    <w:left w:val="single" w:color="auto" w:sz="4" w:space="0"/>
                    <w:right w:val="single" w:color="auto" w:sz="4" w:space="0"/>
                  </w:tcBorders>
                  <w:noWrap w:val="0"/>
                  <w:vAlign w:val="center"/>
                </w:tcPr>
                <w:p w14:paraId="639C0842">
                  <w:pPr>
                    <w:pStyle w:val="41"/>
                    <w:tabs>
                      <w:tab w:val="left" w:pos="1257"/>
                    </w:tabs>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防治对象</w:t>
                  </w:r>
                </w:p>
              </w:tc>
              <w:tc>
                <w:tcPr>
                  <w:tcW w:w="2412" w:type="dxa"/>
                  <w:tcBorders>
                    <w:left w:val="single" w:color="auto" w:sz="4" w:space="0"/>
                    <w:right w:val="single" w:color="auto" w:sz="4" w:space="0"/>
                  </w:tcBorders>
                  <w:noWrap w:val="0"/>
                  <w:vAlign w:val="center"/>
                </w:tcPr>
                <w:p w14:paraId="3D62A5B2">
                  <w:pPr>
                    <w:pStyle w:val="41"/>
                    <w:tabs>
                      <w:tab w:val="left" w:pos="1257"/>
                    </w:tabs>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环保设施</w:t>
                  </w:r>
                </w:p>
              </w:tc>
              <w:tc>
                <w:tcPr>
                  <w:tcW w:w="2233" w:type="dxa"/>
                  <w:tcBorders>
                    <w:left w:val="single" w:color="auto" w:sz="4" w:space="0"/>
                    <w:right w:val="single" w:color="auto" w:sz="4" w:space="0"/>
                  </w:tcBorders>
                  <w:noWrap w:val="0"/>
                  <w:vAlign w:val="center"/>
                </w:tcPr>
                <w:p w14:paraId="50681A5F">
                  <w:pPr>
                    <w:pStyle w:val="41"/>
                    <w:tabs>
                      <w:tab w:val="left" w:pos="1257"/>
                    </w:tabs>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数量和规模</w:t>
                  </w:r>
                </w:p>
              </w:tc>
              <w:tc>
                <w:tcPr>
                  <w:tcW w:w="1420" w:type="dxa"/>
                  <w:tcBorders>
                    <w:left w:val="single" w:color="auto" w:sz="4" w:space="0"/>
                  </w:tcBorders>
                  <w:noWrap w:val="0"/>
                  <w:vAlign w:val="center"/>
                </w:tcPr>
                <w:p w14:paraId="566251A5">
                  <w:pPr>
                    <w:pStyle w:val="41"/>
                    <w:tabs>
                      <w:tab w:val="left" w:pos="1257"/>
                    </w:tabs>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金额（万元）</w:t>
                  </w:r>
                </w:p>
              </w:tc>
            </w:tr>
            <w:tr w14:paraId="16DD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981" w:type="dxa"/>
                  <w:vMerge w:val="restart"/>
                  <w:tcBorders>
                    <w:left w:val="single" w:color="auto" w:sz="4" w:space="0"/>
                    <w:right w:val="single" w:color="auto" w:sz="4" w:space="0"/>
                  </w:tcBorders>
                  <w:noWrap w:val="0"/>
                  <w:vAlign w:val="center"/>
                </w:tcPr>
                <w:p w14:paraId="32F77F18">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施</w:t>
                  </w:r>
                </w:p>
                <w:p w14:paraId="6C0552B0">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工</w:t>
                  </w:r>
                </w:p>
                <w:p w14:paraId="5494082C">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期</w:t>
                  </w:r>
                </w:p>
              </w:tc>
              <w:tc>
                <w:tcPr>
                  <w:tcW w:w="1331" w:type="dxa"/>
                  <w:vMerge w:val="restart"/>
                  <w:tcBorders>
                    <w:left w:val="single" w:color="auto" w:sz="4" w:space="0"/>
                    <w:right w:val="single" w:color="auto" w:sz="4" w:space="0"/>
                  </w:tcBorders>
                  <w:noWrap w:val="0"/>
                  <w:vAlign w:val="center"/>
                </w:tcPr>
                <w:p w14:paraId="4DCADF7F">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扬尘</w:t>
                  </w:r>
                </w:p>
              </w:tc>
              <w:tc>
                <w:tcPr>
                  <w:tcW w:w="2412" w:type="dxa"/>
                  <w:tcBorders>
                    <w:left w:val="single" w:color="auto" w:sz="4" w:space="0"/>
                    <w:right w:val="single" w:color="auto" w:sz="4" w:space="0"/>
                  </w:tcBorders>
                  <w:noWrap w:val="0"/>
                  <w:vAlign w:val="center"/>
                </w:tcPr>
                <w:p w14:paraId="771B1454">
                  <w:pPr>
                    <w:adjustRightInd w:val="0"/>
                    <w:snapToGrid w:val="0"/>
                    <w:jc w:val="center"/>
                    <w:rPr>
                      <w:rFonts w:hint="default" w:ascii="Times New Roman" w:hAnsi="Times New Roman" w:cs="Times New Roman"/>
                      <w:bCs/>
                      <w:color w:val="auto"/>
                      <w:kern w:val="0"/>
                      <w:szCs w:val="21"/>
                    </w:rPr>
                  </w:pPr>
                  <w:r>
                    <w:rPr>
                      <w:rStyle w:val="42"/>
                      <w:rFonts w:hint="default" w:ascii="Times New Roman" w:hAnsi="Times New Roman" w:cs="Times New Roman"/>
                      <w:color w:val="auto"/>
                      <w:sz w:val="21"/>
                      <w:szCs w:val="21"/>
                    </w:rPr>
                    <w:t>易产尘区域</w:t>
                  </w:r>
                  <w:r>
                    <w:rPr>
                      <w:rFonts w:hint="default" w:ascii="Times New Roman" w:hAnsi="Times New Roman" w:cs="Times New Roman"/>
                      <w:color w:val="auto"/>
                      <w:szCs w:val="21"/>
                    </w:rPr>
                    <w:t>抑尘网</w:t>
                  </w:r>
                </w:p>
              </w:tc>
              <w:tc>
                <w:tcPr>
                  <w:tcW w:w="2233" w:type="dxa"/>
                  <w:tcBorders>
                    <w:left w:val="single" w:color="auto" w:sz="4" w:space="0"/>
                    <w:right w:val="single" w:color="auto" w:sz="4" w:space="0"/>
                  </w:tcBorders>
                  <w:noWrap w:val="0"/>
                  <w:vAlign w:val="center"/>
                </w:tcPr>
                <w:p w14:paraId="22020045">
                  <w:pPr>
                    <w:pStyle w:val="41"/>
                    <w:tabs>
                      <w:tab w:val="left" w:pos="1257"/>
                    </w:tabs>
                    <w:rPr>
                      <w:rFonts w:hint="default" w:ascii="Times New Roman" w:hAnsi="Times New Roman" w:eastAsia="宋体" w:cs="Times New Roman"/>
                      <w:bCs/>
                      <w:color w:val="auto"/>
                      <w:kern w:val="0"/>
                      <w:sz w:val="21"/>
                      <w:szCs w:val="21"/>
                    </w:rPr>
                  </w:pPr>
                  <w:r>
                    <w:rPr>
                      <w:rFonts w:hint="eastAsia" w:ascii="Times New Roman" w:cs="Times New Roman"/>
                      <w:bCs/>
                      <w:color w:val="auto"/>
                      <w:kern w:val="0"/>
                      <w:sz w:val="21"/>
                      <w:szCs w:val="21"/>
                      <w:lang w:val="en-US" w:eastAsia="zh-CN"/>
                    </w:rPr>
                    <w:t>200</w:t>
                  </w:r>
                  <w:r>
                    <w:rPr>
                      <w:rFonts w:hint="default" w:ascii="Times New Roman" w:hAnsi="Times New Roman" w:eastAsia="宋体" w:cs="Times New Roman"/>
                      <w:bCs/>
                      <w:color w:val="auto"/>
                      <w:kern w:val="0"/>
                      <w:sz w:val="21"/>
                      <w:szCs w:val="21"/>
                    </w:rPr>
                    <w:t>m</w:t>
                  </w:r>
                  <w:r>
                    <w:rPr>
                      <w:rFonts w:hint="default" w:ascii="Times New Roman" w:hAnsi="Times New Roman" w:eastAsia="宋体" w:cs="Times New Roman"/>
                      <w:bCs/>
                      <w:color w:val="auto"/>
                      <w:kern w:val="0"/>
                      <w:sz w:val="21"/>
                      <w:szCs w:val="21"/>
                      <w:vertAlign w:val="superscript"/>
                    </w:rPr>
                    <w:t>2</w:t>
                  </w:r>
                </w:p>
              </w:tc>
              <w:tc>
                <w:tcPr>
                  <w:tcW w:w="1420" w:type="dxa"/>
                  <w:tcBorders>
                    <w:left w:val="single" w:color="auto" w:sz="4" w:space="0"/>
                  </w:tcBorders>
                  <w:noWrap w:val="0"/>
                  <w:vAlign w:val="center"/>
                </w:tcPr>
                <w:p w14:paraId="21C8BDC6">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0.5</w:t>
                  </w:r>
                  <w:r>
                    <w:rPr>
                      <w:rFonts w:hint="default" w:ascii="Times New Roman" w:hAnsi="Times New Roman" w:eastAsia="宋体" w:cs="Times New Roman"/>
                      <w:bCs/>
                      <w:color w:val="auto"/>
                      <w:kern w:val="0"/>
                      <w:sz w:val="21"/>
                      <w:szCs w:val="21"/>
                    </w:rPr>
                    <w:t>万元</w:t>
                  </w:r>
                </w:p>
              </w:tc>
            </w:tr>
            <w:tr w14:paraId="1B34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981" w:type="dxa"/>
                  <w:vMerge w:val="continue"/>
                  <w:tcBorders>
                    <w:left w:val="single" w:color="auto" w:sz="4" w:space="0"/>
                    <w:right w:val="single" w:color="auto" w:sz="4" w:space="0"/>
                  </w:tcBorders>
                  <w:noWrap w:val="0"/>
                  <w:vAlign w:val="center"/>
                </w:tcPr>
                <w:p w14:paraId="76D95E2F">
                  <w:pPr>
                    <w:pStyle w:val="41"/>
                    <w:tabs>
                      <w:tab w:val="left" w:pos="1257"/>
                    </w:tabs>
                    <w:rPr>
                      <w:rFonts w:hint="default" w:ascii="Times New Roman" w:hAnsi="Times New Roman" w:eastAsia="宋体" w:cs="Times New Roman"/>
                      <w:bCs/>
                      <w:color w:val="auto"/>
                      <w:kern w:val="0"/>
                      <w:sz w:val="21"/>
                      <w:szCs w:val="21"/>
                    </w:rPr>
                  </w:pPr>
                </w:p>
              </w:tc>
              <w:tc>
                <w:tcPr>
                  <w:tcW w:w="1331" w:type="dxa"/>
                  <w:vMerge w:val="continue"/>
                  <w:tcBorders>
                    <w:left w:val="single" w:color="auto" w:sz="4" w:space="0"/>
                    <w:right w:val="single" w:color="auto" w:sz="4" w:space="0"/>
                  </w:tcBorders>
                  <w:noWrap w:val="0"/>
                  <w:vAlign w:val="center"/>
                </w:tcPr>
                <w:p w14:paraId="0436287D">
                  <w:pPr>
                    <w:pStyle w:val="41"/>
                    <w:tabs>
                      <w:tab w:val="left" w:pos="1257"/>
                    </w:tabs>
                    <w:rPr>
                      <w:rFonts w:hint="default" w:ascii="Times New Roman" w:hAnsi="Times New Roman" w:eastAsia="宋体" w:cs="Times New Roman"/>
                      <w:bCs/>
                      <w:color w:val="auto"/>
                      <w:kern w:val="0"/>
                      <w:sz w:val="21"/>
                      <w:szCs w:val="21"/>
                    </w:rPr>
                  </w:pPr>
                </w:p>
              </w:tc>
              <w:tc>
                <w:tcPr>
                  <w:tcW w:w="2412" w:type="dxa"/>
                  <w:tcBorders>
                    <w:left w:val="single" w:color="auto" w:sz="4" w:space="0"/>
                    <w:right w:val="single" w:color="auto" w:sz="4" w:space="0"/>
                  </w:tcBorders>
                  <w:noWrap w:val="0"/>
                  <w:vAlign w:val="center"/>
                </w:tcPr>
                <w:p w14:paraId="6E1020EF">
                  <w:pPr>
                    <w:adjustRightInd w:val="0"/>
                    <w:snapToGrid w:val="0"/>
                    <w:jc w:val="center"/>
                    <w:rPr>
                      <w:rFonts w:hint="default" w:ascii="Times New Roman" w:hAnsi="Times New Roman" w:cs="Times New Roman"/>
                      <w:bCs/>
                      <w:color w:val="auto"/>
                      <w:kern w:val="0"/>
                      <w:szCs w:val="21"/>
                    </w:rPr>
                  </w:pPr>
                  <w:r>
                    <w:rPr>
                      <w:rStyle w:val="42"/>
                      <w:rFonts w:hint="default" w:ascii="Times New Roman" w:hAnsi="Times New Roman" w:cs="Times New Roman"/>
                      <w:color w:val="auto"/>
                      <w:sz w:val="21"/>
                      <w:szCs w:val="21"/>
                    </w:rPr>
                    <w:t>洒水降尘水管</w:t>
                  </w:r>
                </w:p>
              </w:tc>
              <w:tc>
                <w:tcPr>
                  <w:tcW w:w="2233" w:type="dxa"/>
                  <w:tcBorders>
                    <w:left w:val="single" w:color="auto" w:sz="4" w:space="0"/>
                    <w:right w:val="single" w:color="auto" w:sz="4" w:space="0"/>
                  </w:tcBorders>
                  <w:noWrap w:val="0"/>
                  <w:vAlign w:val="center"/>
                </w:tcPr>
                <w:p w14:paraId="03DC7A42">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100m</w:t>
                  </w:r>
                </w:p>
              </w:tc>
              <w:tc>
                <w:tcPr>
                  <w:tcW w:w="1420" w:type="dxa"/>
                  <w:tcBorders>
                    <w:left w:val="single" w:color="auto" w:sz="4" w:space="0"/>
                  </w:tcBorders>
                  <w:noWrap w:val="0"/>
                  <w:vAlign w:val="center"/>
                </w:tcPr>
                <w:p w14:paraId="1BABAECB">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0.1万元</w:t>
                  </w:r>
                </w:p>
              </w:tc>
            </w:tr>
            <w:tr w14:paraId="2B07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981" w:type="dxa"/>
                  <w:vMerge w:val="continue"/>
                  <w:tcBorders>
                    <w:left w:val="single" w:color="auto" w:sz="4" w:space="0"/>
                    <w:right w:val="single" w:color="auto" w:sz="4" w:space="0"/>
                  </w:tcBorders>
                  <w:noWrap w:val="0"/>
                  <w:vAlign w:val="center"/>
                </w:tcPr>
                <w:p w14:paraId="6DA1FB95">
                  <w:pPr>
                    <w:pStyle w:val="41"/>
                    <w:tabs>
                      <w:tab w:val="left" w:pos="1257"/>
                    </w:tabs>
                    <w:rPr>
                      <w:rFonts w:hint="default" w:ascii="Times New Roman" w:hAnsi="Times New Roman" w:eastAsia="宋体" w:cs="Times New Roman"/>
                      <w:bCs/>
                      <w:color w:val="auto"/>
                      <w:kern w:val="0"/>
                      <w:sz w:val="21"/>
                      <w:szCs w:val="21"/>
                    </w:rPr>
                  </w:pPr>
                </w:p>
              </w:tc>
              <w:tc>
                <w:tcPr>
                  <w:tcW w:w="1331" w:type="dxa"/>
                  <w:vMerge w:val="restart"/>
                  <w:tcBorders>
                    <w:left w:val="single" w:color="auto" w:sz="4" w:space="0"/>
                    <w:right w:val="single" w:color="auto" w:sz="4" w:space="0"/>
                  </w:tcBorders>
                  <w:noWrap w:val="0"/>
                  <w:vAlign w:val="center"/>
                </w:tcPr>
                <w:p w14:paraId="03BCCC74">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废水</w:t>
                  </w:r>
                </w:p>
              </w:tc>
              <w:tc>
                <w:tcPr>
                  <w:tcW w:w="2412" w:type="dxa"/>
                  <w:vMerge w:val="restart"/>
                  <w:tcBorders>
                    <w:left w:val="single" w:color="auto" w:sz="4" w:space="0"/>
                    <w:right w:val="single" w:color="auto" w:sz="4" w:space="0"/>
                  </w:tcBorders>
                  <w:noWrap w:val="0"/>
                  <w:vAlign w:val="center"/>
                </w:tcPr>
                <w:p w14:paraId="0E696F53">
                  <w:pPr>
                    <w:adjustRightInd w:val="0"/>
                    <w:snapToGrid w:val="0"/>
                    <w:jc w:val="center"/>
                    <w:rPr>
                      <w:rFonts w:hint="default" w:ascii="Times New Roman" w:hAnsi="Times New Roman" w:cs="Times New Roman"/>
                      <w:bCs/>
                      <w:color w:val="auto"/>
                      <w:kern w:val="0"/>
                      <w:szCs w:val="21"/>
                    </w:rPr>
                  </w:pPr>
                  <w:r>
                    <w:rPr>
                      <w:rStyle w:val="42"/>
                      <w:rFonts w:hint="default" w:ascii="Times New Roman" w:hAnsi="Times New Roman" w:cs="Times New Roman"/>
                      <w:color w:val="auto"/>
                      <w:sz w:val="21"/>
                      <w:szCs w:val="21"/>
                    </w:rPr>
                    <w:t>临时沉淀池</w:t>
                  </w:r>
                </w:p>
              </w:tc>
              <w:tc>
                <w:tcPr>
                  <w:tcW w:w="2233" w:type="dxa"/>
                  <w:tcBorders>
                    <w:left w:val="single" w:color="auto" w:sz="4" w:space="0"/>
                    <w:right w:val="single" w:color="auto" w:sz="4" w:space="0"/>
                  </w:tcBorders>
                  <w:noWrap w:val="0"/>
                  <w:vAlign w:val="center"/>
                </w:tcPr>
                <w:p w14:paraId="2018A473">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1个，容积</w:t>
                  </w:r>
                  <w:r>
                    <w:rPr>
                      <w:rFonts w:hint="default" w:ascii="Times New Roman" w:hAnsi="Times New Roman" w:eastAsia="宋体" w:cs="Times New Roman"/>
                      <w:bCs/>
                      <w:color w:val="auto"/>
                      <w:kern w:val="0"/>
                      <w:sz w:val="21"/>
                      <w:szCs w:val="21"/>
                      <w:lang w:val="en-US" w:eastAsia="zh-CN"/>
                    </w:rPr>
                    <w:t>5</w:t>
                  </w:r>
                  <w:r>
                    <w:rPr>
                      <w:rFonts w:hint="default" w:ascii="Times New Roman" w:hAnsi="Times New Roman" w:eastAsia="宋体" w:cs="Times New Roman"/>
                      <w:bCs/>
                      <w:color w:val="auto"/>
                      <w:kern w:val="0"/>
                      <w:sz w:val="21"/>
                      <w:szCs w:val="21"/>
                    </w:rPr>
                    <w:t>m</w:t>
                  </w:r>
                  <w:r>
                    <w:rPr>
                      <w:rFonts w:hint="default" w:ascii="Times New Roman" w:hAnsi="Times New Roman" w:eastAsia="宋体" w:cs="Times New Roman"/>
                      <w:bCs/>
                      <w:color w:val="auto"/>
                      <w:kern w:val="0"/>
                      <w:sz w:val="21"/>
                      <w:szCs w:val="21"/>
                      <w:vertAlign w:val="superscript"/>
                    </w:rPr>
                    <w:t>3</w:t>
                  </w:r>
                </w:p>
              </w:tc>
              <w:tc>
                <w:tcPr>
                  <w:tcW w:w="1420" w:type="dxa"/>
                  <w:tcBorders>
                    <w:left w:val="single" w:color="auto" w:sz="4" w:space="0"/>
                  </w:tcBorders>
                  <w:noWrap w:val="0"/>
                  <w:vAlign w:val="center"/>
                </w:tcPr>
                <w:p w14:paraId="55C646E2">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w:t>
                  </w:r>
                  <w:r>
                    <w:rPr>
                      <w:rFonts w:hint="default" w:ascii="Times New Roman" w:hAnsi="Times New Roman" w:eastAsia="宋体" w:cs="Times New Roman"/>
                      <w:bCs/>
                      <w:color w:val="auto"/>
                      <w:kern w:val="0"/>
                      <w:sz w:val="21"/>
                      <w:szCs w:val="21"/>
                      <w:lang w:val="en-US" w:eastAsia="zh-CN"/>
                    </w:rPr>
                    <w:t>3</w:t>
                  </w:r>
                  <w:r>
                    <w:rPr>
                      <w:rFonts w:hint="default" w:ascii="Times New Roman" w:hAnsi="Times New Roman" w:eastAsia="宋体" w:cs="Times New Roman"/>
                      <w:bCs/>
                      <w:color w:val="auto"/>
                      <w:kern w:val="0"/>
                      <w:sz w:val="21"/>
                      <w:szCs w:val="21"/>
                    </w:rPr>
                    <w:t>万元</w:t>
                  </w:r>
                </w:p>
              </w:tc>
            </w:tr>
            <w:tr w14:paraId="743B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981" w:type="dxa"/>
                  <w:vMerge w:val="continue"/>
                  <w:tcBorders>
                    <w:left w:val="single" w:color="auto" w:sz="4" w:space="0"/>
                    <w:right w:val="single" w:color="auto" w:sz="4" w:space="0"/>
                  </w:tcBorders>
                  <w:noWrap w:val="0"/>
                  <w:vAlign w:val="center"/>
                </w:tcPr>
                <w:p w14:paraId="42C2EF8B">
                  <w:pPr>
                    <w:pStyle w:val="41"/>
                    <w:tabs>
                      <w:tab w:val="left" w:pos="1257"/>
                    </w:tabs>
                    <w:rPr>
                      <w:rFonts w:hint="default" w:ascii="Times New Roman" w:hAnsi="Times New Roman" w:eastAsia="宋体" w:cs="Times New Roman"/>
                      <w:bCs/>
                      <w:color w:val="auto"/>
                      <w:kern w:val="0"/>
                      <w:sz w:val="21"/>
                      <w:szCs w:val="21"/>
                    </w:rPr>
                  </w:pPr>
                </w:p>
              </w:tc>
              <w:tc>
                <w:tcPr>
                  <w:tcW w:w="1331" w:type="dxa"/>
                  <w:vMerge w:val="continue"/>
                  <w:tcBorders>
                    <w:left w:val="single" w:color="auto" w:sz="4" w:space="0"/>
                    <w:right w:val="single" w:color="auto" w:sz="4" w:space="0"/>
                  </w:tcBorders>
                  <w:noWrap w:val="0"/>
                  <w:vAlign w:val="center"/>
                </w:tcPr>
                <w:p w14:paraId="0495722B">
                  <w:pPr>
                    <w:pStyle w:val="41"/>
                    <w:tabs>
                      <w:tab w:val="left" w:pos="1257"/>
                    </w:tabs>
                    <w:rPr>
                      <w:rFonts w:hint="default" w:ascii="Times New Roman" w:hAnsi="Times New Roman" w:eastAsia="宋体" w:cs="Times New Roman"/>
                      <w:bCs/>
                      <w:color w:val="auto"/>
                      <w:kern w:val="0"/>
                      <w:sz w:val="21"/>
                      <w:szCs w:val="21"/>
                    </w:rPr>
                  </w:pPr>
                </w:p>
              </w:tc>
              <w:tc>
                <w:tcPr>
                  <w:tcW w:w="2412" w:type="dxa"/>
                  <w:vMerge w:val="continue"/>
                  <w:tcBorders>
                    <w:left w:val="single" w:color="auto" w:sz="4" w:space="0"/>
                    <w:right w:val="single" w:color="auto" w:sz="4" w:space="0"/>
                  </w:tcBorders>
                  <w:noWrap w:val="0"/>
                  <w:vAlign w:val="center"/>
                </w:tcPr>
                <w:p w14:paraId="718F791D">
                  <w:pPr>
                    <w:adjustRightInd w:val="0"/>
                    <w:snapToGrid w:val="0"/>
                    <w:jc w:val="center"/>
                    <w:rPr>
                      <w:rStyle w:val="42"/>
                      <w:rFonts w:hint="default" w:ascii="Times New Roman" w:hAnsi="Times New Roman" w:cs="Times New Roman"/>
                      <w:color w:val="auto"/>
                      <w:sz w:val="21"/>
                      <w:szCs w:val="21"/>
                    </w:rPr>
                  </w:pPr>
                </w:p>
              </w:tc>
              <w:tc>
                <w:tcPr>
                  <w:tcW w:w="2233" w:type="dxa"/>
                  <w:tcBorders>
                    <w:left w:val="single" w:color="auto" w:sz="4" w:space="0"/>
                    <w:right w:val="single" w:color="auto" w:sz="4" w:space="0"/>
                  </w:tcBorders>
                  <w:noWrap w:val="0"/>
                  <w:vAlign w:val="center"/>
                </w:tcPr>
                <w:p w14:paraId="176C221B">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1个，容积</w:t>
                  </w:r>
                  <w:r>
                    <w:rPr>
                      <w:rFonts w:hint="eastAsia" w:ascii="Times New Roman" w:hAnsi="Times New Roman" w:cs="Times New Roman"/>
                      <w:bCs/>
                      <w:color w:val="auto"/>
                      <w:kern w:val="0"/>
                      <w:sz w:val="21"/>
                      <w:szCs w:val="21"/>
                      <w:lang w:val="en-US" w:eastAsia="zh-CN"/>
                    </w:rPr>
                    <w:t>4</w:t>
                  </w:r>
                  <w:r>
                    <w:rPr>
                      <w:rFonts w:hint="default" w:ascii="Times New Roman" w:hAnsi="Times New Roman" w:eastAsia="宋体" w:cs="Times New Roman"/>
                      <w:bCs/>
                      <w:color w:val="auto"/>
                      <w:kern w:val="0"/>
                      <w:sz w:val="21"/>
                      <w:szCs w:val="21"/>
                    </w:rPr>
                    <w:t>m</w:t>
                  </w:r>
                  <w:r>
                    <w:rPr>
                      <w:rFonts w:hint="default" w:ascii="Times New Roman" w:hAnsi="Times New Roman" w:eastAsia="宋体" w:cs="Times New Roman"/>
                      <w:bCs/>
                      <w:color w:val="auto"/>
                      <w:kern w:val="0"/>
                      <w:sz w:val="21"/>
                      <w:szCs w:val="21"/>
                      <w:vertAlign w:val="superscript"/>
                    </w:rPr>
                    <w:t>3</w:t>
                  </w:r>
                </w:p>
              </w:tc>
              <w:tc>
                <w:tcPr>
                  <w:tcW w:w="1420" w:type="dxa"/>
                  <w:tcBorders>
                    <w:left w:val="single" w:color="auto" w:sz="4" w:space="0"/>
                  </w:tcBorders>
                  <w:noWrap w:val="0"/>
                  <w:vAlign w:val="center"/>
                </w:tcPr>
                <w:p w14:paraId="3B6D6C68">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0.</w:t>
                  </w:r>
                  <w:r>
                    <w:rPr>
                      <w:rFonts w:hint="eastAsia" w:ascii="Times New Roman" w:hAnsi="Times New Roman" w:cs="Times New Roman"/>
                      <w:bCs/>
                      <w:color w:val="auto"/>
                      <w:kern w:val="0"/>
                      <w:sz w:val="21"/>
                      <w:szCs w:val="21"/>
                      <w:lang w:val="en-US" w:eastAsia="zh-CN"/>
                    </w:rPr>
                    <w:t>25</w:t>
                  </w:r>
                  <w:r>
                    <w:rPr>
                      <w:rFonts w:hint="default" w:ascii="Times New Roman" w:hAnsi="Times New Roman" w:eastAsia="宋体" w:cs="Times New Roman"/>
                      <w:bCs/>
                      <w:color w:val="auto"/>
                      <w:kern w:val="0"/>
                      <w:sz w:val="21"/>
                      <w:szCs w:val="21"/>
                    </w:rPr>
                    <w:t>万元</w:t>
                  </w:r>
                </w:p>
              </w:tc>
            </w:tr>
            <w:tr w14:paraId="23D5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981" w:type="dxa"/>
                  <w:vMerge w:val="continue"/>
                  <w:tcBorders>
                    <w:left w:val="single" w:color="auto" w:sz="4" w:space="0"/>
                    <w:right w:val="single" w:color="auto" w:sz="4" w:space="0"/>
                  </w:tcBorders>
                  <w:noWrap w:val="0"/>
                  <w:vAlign w:val="center"/>
                </w:tcPr>
                <w:p w14:paraId="669706F7">
                  <w:pPr>
                    <w:pStyle w:val="41"/>
                    <w:tabs>
                      <w:tab w:val="left" w:pos="1257"/>
                    </w:tabs>
                    <w:rPr>
                      <w:rFonts w:hint="default" w:ascii="Times New Roman" w:hAnsi="Times New Roman" w:eastAsia="宋体" w:cs="Times New Roman"/>
                      <w:bCs/>
                      <w:color w:val="auto"/>
                      <w:kern w:val="0"/>
                      <w:sz w:val="21"/>
                      <w:szCs w:val="21"/>
                    </w:rPr>
                  </w:pPr>
                </w:p>
              </w:tc>
              <w:tc>
                <w:tcPr>
                  <w:tcW w:w="1331" w:type="dxa"/>
                  <w:tcBorders>
                    <w:left w:val="single" w:color="auto" w:sz="4" w:space="0"/>
                    <w:right w:val="single" w:color="auto" w:sz="4" w:space="0"/>
                  </w:tcBorders>
                  <w:noWrap w:val="0"/>
                  <w:vAlign w:val="center"/>
                </w:tcPr>
                <w:p w14:paraId="703A4C78">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固体废物</w:t>
                  </w:r>
                </w:p>
              </w:tc>
              <w:tc>
                <w:tcPr>
                  <w:tcW w:w="2412" w:type="dxa"/>
                  <w:tcBorders>
                    <w:left w:val="single" w:color="auto" w:sz="4" w:space="0"/>
                    <w:right w:val="single" w:color="auto" w:sz="4" w:space="0"/>
                  </w:tcBorders>
                  <w:noWrap w:val="0"/>
                  <w:vAlign w:val="center"/>
                </w:tcPr>
                <w:p w14:paraId="4A0CE3DB">
                  <w:pPr>
                    <w:adjustRightInd w:val="0"/>
                    <w:snapToGrid w:val="0"/>
                    <w:jc w:val="center"/>
                    <w:rPr>
                      <w:rStyle w:val="42"/>
                      <w:rFonts w:hint="default" w:ascii="Times New Roman" w:hAnsi="Times New Roman" w:cs="Times New Roman"/>
                      <w:color w:val="auto"/>
                      <w:sz w:val="21"/>
                      <w:szCs w:val="21"/>
                    </w:rPr>
                  </w:pPr>
                  <w:r>
                    <w:rPr>
                      <w:rStyle w:val="42"/>
                      <w:rFonts w:hint="default" w:ascii="Times New Roman" w:hAnsi="Times New Roman" w:cs="Times New Roman"/>
                      <w:color w:val="auto"/>
                      <w:sz w:val="21"/>
                      <w:szCs w:val="21"/>
                    </w:rPr>
                    <w:t>生活垃圾、建筑垃圾的处理、处置</w:t>
                  </w:r>
                </w:p>
              </w:tc>
              <w:tc>
                <w:tcPr>
                  <w:tcW w:w="2233" w:type="dxa"/>
                  <w:tcBorders>
                    <w:left w:val="single" w:color="auto" w:sz="4" w:space="0"/>
                    <w:right w:val="single" w:color="auto" w:sz="4" w:space="0"/>
                  </w:tcBorders>
                  <w:noWrap w:val="0"/>
                  <w:vAlign w:val="center"/>
                </w:tcPr>
                <w:p w14:paraId="0C9A21CA">
                  <w:pPr>
                    <w:adjustRightInd w:val="0"/>
                    <w:snapToGrid w:val="0"/>
                    <w:jc w:val="center"/>
                    <w:rPr>
                      <w:rStyle w:val="42"/>
                      <w:rFonts w:hint="default" w:ascii="Times New Roman" w:hAnsi="Times New Roman" w:cs="Times New Roman"/>
                      <w:color w:val="auto"/>
                      <w:sz w:val="21"/>
                      <w:szCs w:val="21"/>
                    </w:rPr>
                  </w:pPr>
                  <w:r>
                    <w:rPr>
                      <w:rStyle w:val="42"/>
                      <w:rFonts w:hint="default" w:ascii="Times New Roman" w:hAnsi="Times New Roman" w:cs="Times New Roman"/>
                      <w:color w:val="auto"/>
                      <w:sz w:val="21"/>
                      <w:szCs w:val="21"/>
                    </w:rPr>
                    <w:t>——</w:t>
                  </w:r>
                </w:p>
              </w:tc>
              <w:tc>
                <w:tcPr>
                  <w:tcW w:w="1420" w:type="dxa"/>
                  <w:tcBorders>
                    <w:left w:val="single" w:color="auto" w:sz="4" w:space="0"/>
                  </w:tcBorders>
                  <w:noWrap w:val="0"/>
                  <w:vAlign w:val="center"/>
                </w:tcPr>
                <w:p w14:paraId="324F8CCB">
                  <w:pPr>
                    <w:pStyle w:val="41"/>
                    <w:tabs>
                      <w:tab w:val="left" w:pos="1257"/>
                    </w:tabs>
                    <w:rPr>
                      <w:rFonts w:hint="default" w:ascii="Times New Roman" w:hAnsi="Times New Roman" w:eastAsia="宋体" w:cs="Times New Roman"/>
                      <w:bCs/>
                      <w:color w:val="auto"/>
                      <w:kern w:val="0"/>
                      <w:sz w:val="21"/>
                      <w:szCs w:val="21"/>
                    </w:rPr>
                  </w:pPr>
                  <w:r>
                    <w:rPr>
                      <w:rFonts w:hint="eastAsia" w:ascii="Times New Roman" w:cs="Times New Roman"/>
                      <w:bCs/>
                      <w:color w:val="auto"/>
                      <w:kern w:val="0"/>
                      <w:sz w:val="21"/>
                      <w:szCs w:val="21"/>
                      <w:lang w:val="en-US" w:eastAsia="zh-CN"/>
                    </w:rPr>
                    <w:t>8</w:t>
                  </w:r>
                  <w:r>
                    <w:rPr>
                      <w:rFonts w:hint="default" w:ascii="Times New Roman" w:hAnsi="Times New Roman" w:eastAsia="宋体" w:cs="Times New Roman"/>
                      <w:bCs/>
                      <w:color w:val="auto"/>
                      <w:kern w:val="0"/>
                      <w:sz w:val="21"/>
                      <w:szCs w:val="21"/>
                    </w:rPr>
                    <w:t>万元</w:t>
                  </w:r>
                </w:p>
              </w:tc>
            </w:tr>
            <w:tr w14:paraId="03D8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exact"/>
                <w:jc w:val="center"/>
              </w:trPr>
              <w:tc>
                <w:tcPr>
                  <w:tcW w:w="981" w:type="dxa"/>
                  <w:vMerge w:val="continue"/>
                  <w:tcBorders>
                    <w:left w:val="single" w:color="auto" w:sz="4" w:space="0"/>
                    <w:right w:val="single" w:color="auto" w:sz="4" w:space="0"/>
                  </w:tcBorders>
                  <w:noWrap w:val="0"/>
                  <w:vAlign w:val="center"/>
                </w:tcPr>
                <w:p w14:paraId="37143EFA">
                  <w:pPr>
                    <w:pStyle w:val="41"/>
                    <w:tabs>
                      <w:tab w:val="left" w:pos="1257"/>
                    </w:tabs>
                    <w:rPr>
                      <w:rFonts w:hint="default" w:ascii="Times New Roman" w:hAnsi="Times New Roman" w:eastAsia="宋体" w:cs="Times New Roman"/>
                      <w:bCs/>
                      <w:color w:val="auto"/>
                      <w:kern w:val="0"/>
                      <w:sz w:val="21"/>
                      <w:szCs w:val="21"/>
                    </w:rPr>
                  </w:pPr>
                </w:p>
              </w:tc>
              <w:tc>
                <w:tcPr>
                  <w:tcW w:w="5976" w:type="dxa"/>
                  <w:gridSpan w:val="3"/>
                  <w:tcBorders>
                    <w:left w:val="single" w:color="auto" w:sz="4" w:space="0"/>
                    <w:right w:val="single" w:color="auto" w:sz="4" w:space="0"/>
                  </w:tcBorders>
                  <w:noWrap w:val="0"/>
                  <w:vAlign w:val="center"/>
                </w:tcPr>
                <w:p w14:paraId="2003E33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小计</w:t>
                  </w:r>
                </w:p>
              </w:tc>
              <w:tc>
                <w:tcPr>
                  <w:tcW w:w="1420" w:type="dxa"/>
                  <w:tcBorders>
                    <w:left w:val="single" w:color="auto" w:sz="4" w:space="0"/>
                  </w:tcBorders>
                  <w:noWrap w:val="0"/>
                  <w:vAlign w:val="center"/>
                </w:tcPr>
                <w:p w14:paraId="5BA13ACA">
                  <w:pPr>
                    <w:pStyle w:val="41"/>
                    <w:tabs>
                      <w:tab w:val="left" w:pos="1257"/>
                    </w:tabs>
                    <w:rPr>
                      <w:rFonts w:hint="default" w:ascii="Times New Roman" w:hAnsi="Times New Roman" w:eastAsia="宋体" w:cs="Times New Roman"/>
                      <w:bCs/>
                      <w:color w:val="auto"/>
                      <w:kern w:val="0"/>
                      <w:sz w:val="21"/>
                      <w:szCs w:val="21"/>
                    </w:rPr>
                  </w:pPr>
                  <w:r>
                    <w:rPr>
                      <w:rFonts w:hint="eastAsia" w:ascii="Times New Roman" w:cs="Times New Roman"/>
                      <w:bCs/>
                      <w:color w:val="auto"/>
                      <w:kern w:val="0"/>
                      <w:sz w:val="21"/>
                      <w:szCs w:val="21"/>
                      <w:lang w:val="en-US" w:eastAsia="zh-CN"/>
                    </w:rPr>
                    <w:t>9.15</w:t>
                  </w:r>
                  <w:r>
                    <w:rPr>
                      <w:rFonts w:hint="default" w:ascii="Times New Roman" w:hAnsi="Times New Roman" w:eastAsia="宋体" w:cs="Times New Roman"/>
                      <w:bCs/>
                      <w:color w:val="auto"/>
                      <w:kern w:val="0"/>
                      <w:sz w:val="21"/>
                      <w:szCs w:val="21"/>
                    </w:rPr>
                    <w:t>元</w:t>
                  </w:r>
                </w:p>
              </w:tc>
            </w:tr>
            <w:tr w14:paraId="3587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981" w:type="dxa"/>
                  <w:vMerge w:val="restart"/>
                  <w:tcBorders>
                    <w:left w:val="single" w:color="auto" w:sz="4" w:space="0"/>
                    <w:right w:val="single" w:color="auto" w:sz="4" w:space="0"/>
                  </w:tcBorders>
                  <w:noWrap w:val="0"/>
                  <w:vAlign w:val="center"/>
                </w:tcPr>
                <w:p w14:paraId="7270CF67">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运</w:t>
                  </w:r>
                </w:p>
                <w:p w14:paraId="3DB312F1">
                  <w:pPr>
                    <w:pStyle w:val="41"/>
                    <w:tabs>
                      <w:tab w:val="left" w:pos="1257"/>
                    </w:tabs>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营</w:t>
                  </w:r>
                </w:p>
                <w:p w14:paraId="409172BC">
                  <w:pPr>
                    <w:pStyle w:val="41"/>
                    <w:tabs>
                      <w:tab w:val="left" w:pos="1257"/>
                    </w:tabs>
                    <w:rPr>
                      <w:rFonts w:hint="default" w:ascii="Times New Roman" w:hAnsi="Times New Roman" w:cs="Times New Roman"/>
                      <w:b/>
                      <w:color w:val="auto"/>
                      <w:kern w:val="0"/>
                      <w:sz w:val="21"/>
                      <w:szCs w:val="21"/>
                    </w:rPr>
                  </w:pPr>
                  <w:r>
                    <w:rPr>
                      <w:rFonts w:hint="default" w:ascii="Times New Roman" w:hAnsi="Times New Roman" w:eastAsia="宋体" w:cs="Times New Roman"/>
                      <w:bCs/>
                      <w:color w:val="auto"/>
                      <w:kern w:val="0"/>
                      <w:sz w:val="21"/>
                      <w:szCs w:val="21"/>
                    </w:rPr>
                    <w:t>期</w:t>
                  </w:r>
                </w:p>
              </w:tc>
              <w:tc>
                <w:tcPr>
                  <w:tcW w:w="1331" w:type="dxa"/>
                  <w:vMerge w:val="restart"/>
                  <w:tcBorders>
                    <w:left w:val="single" w:color="auto" w:sz="4" w:space="0"/>
                    <w:right w:val="single" w:color="auto" w:sz="4" w:space="0"/>
                  </w:tcBorders>
                  <w:noWrap w:val="0"/>
                  <w:vAlign w:val="center"/>
                </w:tcPr>
                <w:p w14:paraId="6DA202C1">
                  <w:pPr>
                    <w:jc w:val="center"/>
                    <w:rPr>
                      <w:rFonts w:hint="default" w:ascii="Times New Roman" w:hAnsi="Times New Roman" w:cs="Times New Roman"/>
                      <w:color w:val="auto"/>
                      <w:szCs w:val="21"/>
                    </w:rPr>
                  </w:pPr>
                  <w:r>
                    <w:rPr>
                      <w:rFonts w:hint="default" w:ascii="Times New Roman" w:hAnsi="Times New Roman" w:cs="Times New Roman"/>
                      <w:color w:val="auto"/>
                      <w:szCs w:val="21"/>
                    </w:rPr>
                    <w:t>油气</w:t>
                  </w:r>
                </w:p>
              </w:tc>
              <w:tc>
                <w:tcPr>
                  <w:tcW w:w="2412" w:type="dxa"/>
                  <w:tcBorders>
                    <w:left w:val="single" w:color="auto" w:sz="4" w:space="0"/>
                    <w:right w:val="single" w:color="auto" w:sz="4" w:space="0"/>
                  </w:tcBorders>
                  <w:noWrap w:val="0"/>
                  <w:vAlign w:val="center"/>
                </w:tcPr>
                <w:p w14:paraId="29655E0D">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汽油加油</w:t>
                  </w:r>
                  <w:r>
                    <w:rPr>
                      <w:rFonts w:hint="eastAsia" w:cs="Times New Roman"/>
                      <w:color w:val="auto"/>
                      <w:szCs w:val="21"/>
                      <w:lang w:eastAsia="zh-CN"/>
                    </w:rPr>
                    <w:t>油气回收系统</w:t>
                  </w:r>
                </w:p>
              </w:tc>
              <w:tc>
                <w:tcPr>
                  <w:tcW w:w="2233" w:type="dxa"/>
                  <w:tcBorders>
                    <w:left w:val="single" w:color="auto" w:sz="4" w:space="0"/>
                    <w:right w:val="single" w:color="auto" w:sz="4" w:space="0"/>
                  </w:tcBorders>
                  <w:noWrap w:val="0"/>
                  <w:vAlign w:val="center"/>
                </w:tcPr>
                <w:p w14:paraId="07A97351">
                  <w:pPr>
                    <w:jc w:val="center"/>
                    <w:rPr>
                      <w:rFonts w:hint="default" w:ascii="Times New Roman" w:hAnsi="Times New Roman" w:cs="Times New Roman"/>
                      <w:color w:val="auto"/>
                    </w:rPr>
                  </w:pPr>
                  <w:r>
                    <w:rPr>
                      <w:rFonts w:hint="default" w:ascii="Times New Roman" w:hAnsi="Times New Roman" w:cs="Times New Roman"/>
                      <w:color w:val="auto"/>
                    </w:rPr>
                    <w:t>加油枪加油油气回收</w:t>
                  </w:r>
                  <w:r>
                    <w:rPr>
                      <w:rFonts w:hint="eastAsia" w:cs="Times New Roman"/>
                      <w:color w:val="auto"/>
                      <w:lang w:val="en-US" w:eastAsia="zh-CN"/>
                    </w:rPr>
                    <w:t>系统</w:t>
                  </w:r>
                  <w:r>
                    <w:rPr>
                      <w:rFonts w:hint="default" w:ascii="Times New Roman" w:hAnsi="Times New Roman" w:cs="Times New Roman"/>
                      <w:color w:val="auto"/>
                    </w:rPr>
                    <w:t>1套，（油气回收型加油枪</w:t>
                  </w:r>
                  <w:r>
                    <w:rPr>
                      <w:rFonts w:hint="eastAsia" w:ascii="Times New Roman" w:hAnsi="Times New Roman" w:cs="Times New Roman"/>
                      <w:color w:val="auto"/>
                      <w:lang w:val="en-US" w:eastAsia="zh-CN"/>
                    </w:rPr>
                    <w:t>5</w:t>
                  </w:r>
                  <w:r>
                    <w:rPr>
                      <w:rFonts w:hint="default" w:ascii="Times New Roman" w:hAnsi="Times New Roman" w:cs="Times New Roman"/>
                      <w:color w:val="auto"/>
                    </w:rPr>
                    <w:t>支）</w:t>
                  </w:r>
                </w:p>
              </w:tc>
              <w:tc>
                <w:tcPr>
                  <w:tcW w:w="1420" w:type="dxa"/>
                  <w:vMerge w:val="restart"/>
                  <w:tcBorders>
                    <w:left w:val="single" w:color="auto" w:sz="4" w:space="0"/>
                  </w:tcBorders>
                  <w:noWrap w:val="0"/>
                  <w:vAlign w:val="center"/>
                </w:tcPr>
                <w:p w14:paraId="66DFC5D0">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0</w:t>
                  </w:r>
                  <w:r>
                    <w:rPr>
                      <w:rFonts w:hint="default" w:ascii="Times New Roman" w:hAnsi="Times New Roman" w:cs="Times New Roman"/>
                      <w:bCs/>
                      <w:color w:val="auto"/>
                      <w:kern w:val="0"/>
                      <w:szCs w:val="21"/>
                    </w:rPr>
                    <w:t>万元</w:t>
                  </w:r>
                </w:p>
              </w:tc>
            </w:tr>
            <w:tr w14:paraId="7329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81" w:type="dxa"/>
                  <w:vMerge w:val="continue"/>
                  <w:tcBorders>
                    <w:left w:val="single" w:color="auto" w:sz="4" w:space="0"/>
                    <w:right w:val="single" w:color="auto" w:sz="4" w:space="0"/>
                  </w:tcBorders>
                  <w:noWrap w:val="0"/>
                  <w:vAlign w:val="center"/>
                </w:tcPr>
                <w:p w14:paraId="5AAADD91">
                  <w:pPr>
                    <w:pStyle w:val="41"/>
                    <w:tabs>
                      <w:tab w:val="left" w:pos="1257"/>
                    </w:tabs>
                    <w:rPr>
                      <w:rFonts w:hint="default" w:ascii="Times New Roman" w:hAnsi="Times New Roman" w:eastAsia="宋体" w:cs="Times New Roman"/>
                      <w:bCs/>
                      <w:color w:val="auto"/>
                      <w:kern w:val="0"/>
                      <w:sz w:val="21"/>
                      <w:szCs w:val="21"/>
                    </w:rPr>
                  </w:pPr>
                </w:p>
              </w:tc>
              <w:tc>
                <w:tcPr>
                  <w:tcW w:w="1331" w:type="dxa"/>
                  <w:vMerge w:val="continue"/>
                  <w:tcBorders>
                    <w:left w:val="single" w:color="auto" w:sz="4" w:space="0"/>
                    <w:right w:val="single" w:color="auto" w:sz="4" w:space="0"/>
                  </w:tcBorders>
                  <w:noWrap w:val="0"/>
                  <w:vAlign w:val="center"/>
                </w:tcPr>
                <w:p w14:paraId="4CFB00A8">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1B7C306B">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汽油卸油</w:t>
                  </w:r>
                  <w:r>
                    <w:rPr>
                      <w:rFonts w:hint="eastAsia" w:cs="Times New Roman"/>
                      <w:color w:val="auto"/>
                      <w:szCs w:val="21"/>
                      <w:lang w:eastAsia="zh-CN"/>
                    </w:rPr>
                    <w:t>油气回收系统</w:t>
                  </w:r>
                </w:p>
              </w:tc>
              <w:tc>
                <w:tcPr>
                  <w:tcW w:w="2233" w:type="dxa"/>
                  <w:tcBorders>
                    <w:left w:val="single" w:color="auto" w:sz="4" w:space="0"/>
                    <w:right w:val="single" w:color="auto" w:sz="4" w:space="0"/>
                  </w:tcBorders>
                  <w:noWrap w:val="0"/>
                  <w:vAlign w:val="center"/>
                </w:tcPr>
                <w:p w14:paraId="463CFBF4">
                  <w:pPr>
                    <w:jc w:val="center"/>
                    <w:rPr>
                      <w:rFonts w:hint="default" w:ascii="Times New Roman" w:hAnsi="Times New Roman" w:cs="Times New Roman"/>
                      <w:color w:val="auto"/>
                      <w:szCs w:val="21"/>
                    </w:rPr>
                  </w:pPr>
                  <w:r>
                    <w:rPr>
                      <w:rFonts w:hint="default" w:ascii="Times New Roman" w:hAnsi="Times New Roman" w:cs="Times New Roman"/>
                      <w:color w:val="auto"/>
                      <w:szCs w:val="21"/>
                    </w:rPr>
                    <w:t>汽油卸油区设置油气回收</w:t>
                  </w:r>
                  <w:r>
                    <w:rPr>
                      <w:rFonts w:hint="eastAsia" w:cs="Times New Roman"/>
                      <w:color w:val="auto"/>
                      <w:szCs w:val="21"/>
                      <w:lang w:val="en-US" w:eastAsia="zh-CN"/>
                    </w:rPr>
                    <w:t>系统</w:t>
                  </w:r>
                  <w:r>
                    <w:rPr>
                      <w:rFonts w:hint="default" w:ascii="Times New Roman" w:hAnsi="Times New Roman" w:cs="Times New Roman"/>
                      <w:color w:val="auto"/>
                      <w:szCs w:val="21"/>
                    </w:rPr>
                    <w:t>1套</w:t>
                  </w:r>
                </w:p>
              </w:tc>
              <w:tc>
                <w:tcPr>
                  <w:tcW w:w="1420" w:type="dxa"/>
                  <w:vMerge w:val="continue"/>
                  <w:tcBorders>
                    <w:left w:val="single" w:color="auto" w:sz="4" w:space="0"/>
                  </w:tcBorders>
                  <w:noWrap w:val="0"/>
                  <w:vAlign w:val="center"/>
                </w:tcPr>
                <w:p w14:paraId="38FDFD7D">
                  <w:pPr>
                    <w:jc w:val="center"/>
                    <w:rPr>
                      <w:rFonts w:hint="default" w:ascii="Times New Roman" w:hAnsi="Times New Roman" w:cs="Times New Roman"/>
                      <w:color w:val="auto"/>
                      <w:szCs w:val="21"/>
                    </w:rPr>
                  </w:pPr>
                </w:p>
              </w:tc>
            </w:tr>
            <w:tr w14:paraId="6022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81" w:type="dxa"/>
                  <w:vMerge w:val="continue"/>
                  <w:tcBorders>
                    <w:left w:val="single" w:color="auto" w:sz="4" w:space="0"/>
                    <w:right w:val="single" w:color="auto" w:sz="4" w:space="0"/>
                  </w:tcBorders>
                  <w:noWrap w:val="0"/>
                  <w:vAlign w:val="center"/>
                </w:tcPr>
                <w:p w14:paraId="5383104E">
                  <w:pPr>
                    <w:pStyle w:val="41"/>
                    <w:tabs>
                      <w:tab w:val="left" w:pos="1257"/>
                    </w:tabs>
                    <w:rPr>
                      <w:rFonts w:hint="default" w:ascii="Times New Roman" w:hAnsi="Times New Roman" w:eastAsia="宋体" w:cs="Times New Roman"/>
                      <w:bCs/>
                      <w:color w:val="auto"/>
                      <w:kern w:val="0"/>
                      <w:sz w:val="21"/>
                      <w:szCs w:val="21"/>
                    </w:rPr>
                  </w:pPr>
                </w:p>
              </w:tc>
              <w:tc>
                <w:tcPr>
                  <w:tcW w:w="1331" w:type="dxa"/>
                  <w:tcBorders>
                    <w:left w:val="single" w:color="auto" w:sz="4" w:space="0"/>
                    <w:right w:val="single" w:color="auto" w:sz="4" w:space="0"/>
                  </w:tcBorders>
                  <w:noWrap w:val="0"/>
                  <w:vAlign w:val="center"/>
                </w:tcPr>
                <w:p w14:paraId="7061470F">
                  <w:pPr>
                    <w:jc w:val="center"/>
                    <w:rPr>
                      <w:rFonts w:hint="default" w:ascii="Times New Roman" w:hAnsi="Times New Roman" w:cs="Times New Roman"/>
                      <w:color w:val="auto"/>
                      <w:szCs w:val="21"/>
                    </w:rPr>
                  </w:pPr>
                  <w:r>
                    <w:rPr>
                      <w:rFonts w:hint="default" w:ascii="Times New Roman" w:hAnsi="Times New Roman" w:cs="Times New Roman"/>
                      <w:color w:val="auto"/>
                      <w:szCs w:val="21"/>
                    </w:rPr>
                    <w:t>油烟</w:t>
                  </w:r>
                </w:p>
              </w:tc>
              <w:tc>
                <w:tcPr>
                  <w:tcW w:w="2412" w:type="dxa"/>
                  <w:tcBorders>
                    <w:left w:val="single" w:color="auto" w:sz="4" w:space="0"/>
                    <w:right w:val="single" w:color="auto" w:sz="4" w:space="0"/>
                  </w:tcBorders>
                  <w:noWrap w:val="0"/>
                  <w:vAlign w:val="center"/>
                </w:tcPr>
                <w:p w14:paraId="3CA9D389">
                  <w:pPr>
                    <w:jc w:val="center"/>
                    <w:rPr>
                      <w:rFonts w:hint="default" w:ascii="Times New Roman" w:hAnsi="Times New Roman" w:cs="Times New Roman"/>
                      <w:color w:val="auto"/>
                      <w:szCs w:val="21"/>
                    </w:rPr>
                  </w:pPr>
                  <w:r>
                    <w:rPr>
                      <w:rFonts w:hint="default" w:ascii="Times New Roman" w:hAnsi="Times New Roman" w:cs="Times New Roman"/>
                      <w:color w:val="auto"/>
                      <w:szCs w:val="21"/>
                    </w:rPr>
                    <w:t>油烟净化器</w:t>
                  </w:r>
                </w:p>
              </w:tc>
              <w:tc>
                <w:tcPr>
                  <w:tcW w:w="2233" w:type="dxa"/>
                  <w:tcBorders>
                    <w:left w:val="single" w:color="auto" w:sz="4" w:space="0"/>
                    <w:right w:val="single" w:color="auto" w:sz="4" w:space="0"/>
                  </w:tcBorders>
                  <w:noWrap w:val="0"/>
                  <w:vAlign w:val="center"/>
                </w:tcPr>
                <w:p w14:paraId="18870A93">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420" w:type="dxa"/>
                  <w:tcBorders>
                    <w:left w:val="single" w:color="auto" w:sz="4" w:space="0"/>
                  </w:tcBorders>
                  <w:noWrap w:val="0"/>
                  <w:vAlign w:val="center"/>
                </w:tcPr>
                <w:p w14:paraId="5BB638E8">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万元</w:t>
                  </w:r>
                </w:p>
              </w:tc>
            </w:tr>
            <w:tr w14:paraId="7C8D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81" w:type="dxa"/>
                  <w:vMerge w:val="continue"/>
                  <w:tcBorders>
                    <w:left w:val="single" w:color="auto" w:sz="4" w:space="0"/>
                    <w:right w:val="single" w:color="auto" w:sz="4" w:space="0"/>
                  </w:tcBorders>
                  <w:noWrap w:val="0"/>
                  <w:vAlign w:val="center"/>
                </w:tcPr>
                <w:p w14:paraId="2D1CF693">
                  <w:pPr>
                    <w:pStyle w:val="41"/>
                    <w:tabs>
                      <w:tab w:val="left" w:pos="1257"/>
                    </w:tabs>
                    <w:rPr>
                      <w:rFonts w:hint="default" w:ascii="Times New Roman" w:hAnsi="Times New Roman" w:cs="Times New Roman"/>
                      <w:b/>
                      <w:color w:val="auto"/>
                      <w:kern w:val="0"/>
                      <w:sz w:val="21"/>
                      <w:szCs w:val="21"/>
                    </w:rPr>
                  </w:pPr>
                </w:p>
              </w:tc>
              <w:tc>
                <w:tcPr>
                  <w:tcW w:w="1331" w:type="dxa"/>
                  <w:vMerge w:val="restart"/>
                  <w:tcBorders>
                    <w:left w:val="single" w:color="auto" w:sz="4" w:space="0"/>
                    <w:right w:val="single" w:color="auto" w:sz="4" w:space="0"/>
                  </w:tcBorders>
                  <w:noWrap w:val="0"/>
                  <w:vAlign w:val="center"/>
                </w:tcPr>
                <w:p w14:paraId="1DEA4258">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2412" w:type="dxa"/>
                  <w:tcBorders>
                    <w:left w:val="single" w:color="auto" w:sz="4" w:space="0"/>
                    <w:right w:val="single" w:color="auto" w:sz="4" w:space="0"/>
                  </w:tcBorders>
                  <w:noWrap w:val="0"/>
                  <w:vAlign w:val="center"/>
                </w:tcPr>
                <w:p w14:paraId="31054A3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环保</w:t>
                  </w:r>
                  <w:r>
                    <w:rPr>
                      <w:rFonts w:hint="default" w:ascii="Times New Roman" w:hAnsi="Times New Roman" w:cs="Times New Roman"/>
                      <w:color w:val="auto"/>
                      <w:szCs w:val="21"/>
                    </w:rPr>
                    <w:t>沟</w:t>
                  </w:r>
                </w:p>
              </w:tc>
              <w:tc>
                <w:tcPr>
                  <w:tcW w:w="2233" w:type="dxa"/>
                  <w:tcBorders>
                    <w:left w:val="single" w:color="auto" w:sz="4" w:space="0"/>
                    <w:right w:val="single" w:color="auto" w:sz="4" w:space="0"/>
                  </w:tcBorders>
                  <w:noWrap w:val="0"/>
                  <w:vAlign w:val="center"/>
                </w:tcPr>
                <w:p w14:paraId="0A5C7AF0">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长约</w:t>
                  </w:r>
                  <w:r>
                    <w:rPr>
                      <w:rFonts w:hint="eastAsia" w:cs="Times New Roman"/>
                      <w:color w:val="auto"/>
                      <w:szCs w:val="21"/>
                      <w:lang w:val="en-US" w:eastAsia="zh-CN"/>
                    </w:rPr>
                    <w:t>100</w:t>
                  </w:r>
                  <w:r>
                    <w:rPr>
                      <w:rFonts w:hint="default" w:ascii="Times New Roman" w:hAnsi="Times New Roman" w:cs="Times New Roman"/>
                      <w:color w:val="auto"/>
                      <w:szCs w:val="21"/>
                    </w:rPr>
                    <w:t>m</w:t>
                  </w:r>
                </w:p>
              </w:tc>
              <w:tc>
                <w:tcPr>
                  <w:tcW w:w="1420" w:type="dxa"/>
                  <w:tcBorders>
                    <w:left w:val="single" w:color="auto" w:sz="4" w:space="0"/>
                  </w:tcBorders>
                  <w:noWrap w:val="0"/>
                  <w:vAlign w:val="center"/>
                </w:tcPr>
                <w:p w14:paraId="2EF9BEBC">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w:t>
                  </w:r>
                  <w:r>
                    <w:rPr>
                      <w:rFonts w:hint="default" w:ascii="Times New Roman" w:hAnsi="Times New Roman" w:cs="Times New Roman"/>
                      <w:color w:val="auto"/>
                      <w:szCs w:val="21"/>
                    </w:rPr>
                    <w:t>万元</w:t>
                  </w:r>
                </w:p>
              </w:tc>
            </w:tr>
            <w:tr w14:paraId="5C87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1" w:type="dxa"/>
                  <w:vMerge w:val="continue"/>
                  <w:tcBorders>
                    <w:left w:val="single" w:color="auto" w:sz="4" w:space="0"/>
                    <w:right w:val="single" w:color="auto" w:sz="4" w:space="0"/>
                  </w:tcBorders>
                  <w:noWrap w:val="0"/>
                  <w:vAlign w:val="center"/>
                </w:tcPr>
                <w:p w14:paraId="41EA3380">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76F7022C">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74437214">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三级油水分离池</w:t>
                  </w:r>
                </w:p>
              </w:tc>
              <w:tc>
                <w:tcPr>
                  <w:tcW w:w="2233" w:type="dxa"/>
                  <w:tcBorders>
                    <w:left w:val="single" w:color="auto" w:sz="4" w:space="0"/>
                    <w:right w:val="single" w:color="auto" w:sz="4" w:space="0"/>
                  </w:tcBorders>
                  <w:noWrap w:val="0"/>
                  <w:vAlign w:val="center"/>
                </w:tcPr>
                <w:p w14:paraId="7D80FD50">
                  <w:pPr>
                    <w:jc w:val="center"/>
                    <w:rPr>
                      <w:rFonts w:hint="default" w:ascii="Times New Roman" w:hAnsi="Times New Roman" w:cs="Times New Roman"/>
                      <w:color w:val="auto"/>
                      <w:szCs w:val="21"/>
                    </w:rPr>
                  </w:pPr>
                  <w:r>
                    <w:rPr>
                      <w:rFonts w:hint="default" w:ascii="Times New Roman" w:hAnsi="Times New Roman" w:cs="Times New Roman"/>
                      <w:color w:val="auto"/>
                      <w:szCs w:val="21"/>
                    </w:rPr>
                    <w:t>1个，</w:t>
                  </w:r>
                  <w:r>
                    <w:rPr>
                      <w:rFonts w:hint="default" w:ascii="Times New Roman" w:hAnsi="Times New Roman" w:cs="Times New Roman"/>
                      <w:color w:val="auto"/>
                      <w:szCs w:val="21"/>
                      <w:lang w:val="en-US" w:eastAsia="zh-CN"/>
                    </w:rPr>
                    <w:t>有效</w:t>
                  </w:r>
                  <w:r>
                    <w:rPr>
                      <w:rFonts w:hint="default" w:ascii="Times New Roman" w:hAnsi="Times New Roman" w:cs="Times New Roman"/>
                      <w:color w:val="auto"/>
                      <w:szCs w:val="21"/>
                    </w:rPr>
                    <w:t>容积</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8.5</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p>
              </w:tc>
              <w:tc>
                <w:tcPr>
                  <w:tcW w:w="1420" w:type="dxa"/>
                  <w:tcBorders>
                    <w:left w:val="single" w:color="auto" w:sz="4" w:space="0"/>
                  </w:tcBorders>
                  <w:noWrap w:val="0"/>
                  <w:vAlign w:val="center"/>
                </w:tcPr>
                <w:p w14:paraId="68A89048">
                  <w:pPr>
                    <w:jc w:val="center"/>
                    <w:rPr>
                      <w:rFonts w:hint="default" w:ascii="Times New Roman" w:hAnsi="Times New Roman" w:cs="Times New Roman"/>
                      <w:color w:val="auto"/>
                      <w:szCs w:val="21"/>
                    </w:rPr>
                  </w:pPr>
                  <w:r>
                    <w:rPr>
                      <w:rFonts w:hint="eastAsia" w:cs="Times New Roman"/>
                      <w:color w:val="auto"/>
                      <w:szCs w:val="21"/>
                      <w:lang w:val="en-US" w:eastAsia="zh-CN"/>
                    </w:rPr>
                    <w:t>4</w:t>
                  </w:r>
                  <w:r>
                    <w:rPr>
                      <w:rFonts w:hint="default" w:ascii="Times New Roman" w:hAnsi="Times New Roman" w:cs="Times New Roman"/>
                      <w:bCs/>
                      <w:color w:val="auto"/>
                      <w:kern w:val="0"/>
                      <w:szCs w:val="21"/>
                    </w:rPr>
                    <w:t>万元</w:t>
                  </w:r>
                </w:p>
              </w:tc>
            </w:tr>
            <w:tr w14:paraId="662E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81" w:type="dxa"/>
                  <w:vMerge w:val="continue"/>
                  <w:tcBorders>
                    <w:left w:val="single" w:color="auto" w:sz="4" w:space="0"/>
                    <w:right w:val="single" w:color="auto" w:sz="4" w:space="0"/>
                  </w:tcBorders>
                  <w:noWrap w:val="0"/>
                  <w:vAlign w:val="center"/>
                </w:tcPr>
                <w:p w14:paraId="6D57B5C2">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6013CB65">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27E19D20">
                  <w:pPr>
                    <w:jc w:val="center"/>
                    <w:rPr>
                      <w:rFonts w:hint="default" w:ascii="Times New Roman" w:hAnsi="Times New Roman" w:cs="Times New Roman"/>
                      <w:color w:val="auto"/>
                      <w:szCs w:val="21"/>
                    </w:rPr>
                  </w:pPr>
                  <w:r>
                    <w:rPr>
                      <w:rFonts w:hint="default" w:ascii="Times New Roman" w:hAnsi="Times New Roman" w:cs="Times New Roman"/>
                      <w:color w:val="auto"/>
                      <w:szCs w:val="21"/>
                    </w:rPr>
                    <w:t>化粪池</w:t>
                  </w:r>
                </w:p>
              </w:tc>
              <w:tc>
                <w:tcPr>
                  <w:tcW w:w="2233" w:type="dxa"/>
                  <w:tcBorders>
                    <w:left w:val="single" w:color="auto" w:sz="4" w:space="0"/>
                    <w:right w:val="single" w:color="auto" w:sz="4" w:space="0"/>
                  </w:tcBorders>
                  <w:noWrap w:val="0"/>
                  <w:vAlign w:val="center"/>
                </w:tcPr>
                <w:p w14:paraId="36D7C1F7">
                  <w:pPr>
                    <w:jc w:val="center"/>
                    <w:rPr>
                      <w:rFonts w:hint="default" w:ascii="Times New Roman" w:hAnsi="Times New Roman" w:cs="Times New Roman"/>
                      <w:color w:val="auto"/>
                      <w:szCs w:val="21"/>
                    </w:rPr>
                  </w:pPr>
                  <w:r>
                    <w:rPr>
                      <w:rFonts w:hint="default" w:ascii="Times New Roman" w:hAnsi="Times New Roman" w:cs="Times New Roman"/>
                      <w:color w:val="auto"/>
                      <w:szCs w:val="21"/>
                    </w:rPr>
                    <w:t>1个，</w:t>
                  </w:r>
                  <w:r>
                    <w:rPr>
                      <w:rFonts w:hint="default" w:ascii="Times New Roman" w:hAnsi="Times New Roman" w:cs="Times New Roman"/>
                      <w:color w:val="auto"/>
                      <w:szCs w:val="21"/>
                      <w:lang w:val="en-US" w:eastAsia="zh-CN"/>
                    </w:rPr>
                    <w:t>有效</w:t>
                  </w:r>
                  <w:r>
                    <w:rPr>
                      <w:rFonts w:hint="default" w:ascii="Times New Roman" w:hAnsi="Times New Roman" w:cs="Times New Roman"/>
                      <w:color w:val="auto"/>
                      <w:szCs w:val="21"/>
                    </w:rPr>
                    <w:t>容积</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11</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p>
              </w:tc>
              <w:tc>
                <w:tcPr>
                  <w:tcW w:w="1420" w:type="dxa"/>
                  <w:tcBorders>
                    <w:left w:val="single" w:color="auto" w:sz="4" w:space="0"/>
                  </w:tcBorders>
                  <w:noWrap w:val="0"/>
                  <w:vAlign w:val="center"/>
                </w:tcPr>
                <w:p w14:paraId="490DBE95">
                  <w:pPr>
                    <w:jc w:val="center"/>
                    <w:rPr>
                      <w:rFonts w:hint="default" w:ascii="Times New Roman" w:hAnsi="Times New Roman" w:cs="Times New Roman"/>
                      <w:color w:val="auto"/>
                      <w:szCs w:val="21"/>
                    </w:rPr>
                  </w:pPr>
                  <w:r>
                    <w:rPr>
                      <w:rFonts w:hint="eastAsia" w:cs="Times New Roman"/>
                      <w:color w:val="auto"/>
                      <w:szCs w:val="21"/>
                      <w:lang w:val="en-US" w:eastAsia="zh-CN"/>
                    </w:rPr>
                    <w:t>3.0</w:t>
                  </w:r>
                  <w:r>
                    <w:rPr>
                      <w:rFonts w:hint="default" w:ascii="Times New Roman" w:hAnsi="Times New Roman" w:eastAsia="宋体" w:cs="Times New Roman"/>
                      <w:bCs/>
                      <w:color w:val="auto"/>
                      <w:kern w:val="0"/>
                      <w:sz w:val="21"/>
                      <w:szCs w:val="21"/>
                    </w:rPr>
                    <w:t>万元</w:t>
                  </w:r>
                </w:p>
              </w:tc>
            </w:tr>
            <w:tr w14:paraId="76F4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81" w:type="dxa"/>
                  <w:vMerge w:val="continue"/>
                  <w:tcBorders>
                    <w:left w:val="single" w:color="auto" w:sz="4" w:space="0"/>
                    <w:right w:val="single" w:color="auto" w:sz="4" w:space="0"/>
                  </w:tcBorders>
                  <w:noWrap w:val="0"/>
                  <w:vAlign w:val="center"/>
                </w:tcPr>
                <w:p w14:paraId="08B8A817">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57B9141C">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68B986F1">
                  <w:pPr>
                    <w:jc w:val="center"/>
                    <w:rPr>
                      <w:rFonts w:hint="default" w:ascii="Times New Roman" w:hAnsi="Times New Roman" w:cs="Times New Roman"/>
                      <w:color w:val="auto"/>
                      <w:szCs w:val="21"/>
                    </w:rPr>
                  </w:pPr>
                  <w:r>
                    <w:rPr>
                      <w:rFonts w:hint="default" w:ascii="Times New Roman" w:hAnsi="Times New Roman" w:cs="Times New Roman"/>
                      <w:color w:val="auto"/>
                      <w:szCs w:val="21"/>
                    </w:rPr>
                    <w:t>隔油池</w:t>
                  </w:r>
                </w:p>
              </w:tc>
              <w:tc>
                <w:tcPr>
                  <w:tcW w:w="2233" w:type="dxa"/>
                  <w:tcBorders>
                    <w:left w:val="single" w:color="auto" w:sz="4" w:space="0"/>
                    <w:right w:val="single" w:color="auto" w:sz="4" w:space="0"/>
                  </w:tcBorders>
                  <w:noWrap w:val="0"/>
                  <w:vAlign w:val="center"/>
                </w:tcPr>
                <w:p w14:paraId="4B16F6E8">
                  <w:pPr>
                    <w:jc w:val="center"/>
                    <w:rPr>
                      <w:rFonts w:hint="default" w:ascii="Times New Roman" w:hAnsi="Times New Roman" w:cs="Times New Roman"/>
                      <w:color w:val="auto"/>
                      <w:szCs w:val="21"/>
                    </w:rPr>
                  </w:pPr>
                  <w:r>
                    <w:rPr>
                      <w:rFonts w:hint="default" w:ascii="Times New Roman" w:hAnsi="Times New Roman" w:cs="Times New Roman"/>
                      <w:color w:val="auto"/>
                      <w:szCs w:val="21"/>
                    </w:rPr>
                    <w:t>1个，</w:t>
                  </w:r>
                  <w:r>
                    <w:rPr>
                      <w:rFonts w:hint="default" w:ascii="Times New Roman" w:hAnsi="Times New Roman" w:cs="Times New Roman"/>
                      <w:color w:val="auto"/>
                      <w:szCs w:val="21"/>
                      <w:lang w:val="en-US" w:eastAsia="zh-CN"/>
                    </w:rPr>
                    <w:t>有效</w:t>
                  </w:r>
                  <w:r>
                    <w:rPr>
                      <w:rFonts w:hint="default" w:ascii="Times New Roman" w:hAnsi="Times New Roman" w:cs="Times New Roman"/>
                      <w:color w:val="auto"/>
                      <w:szCs w:val="21"/>
                    </w:rPr>
                    <w:t>容积</w:t>
                  </w:r>
                  <w:r>
                    <w:rPr>
                      <w:rFonts w:hint="default" w:ascii="Times New Roman" w:hAnsi="Times New Roman" w:cs="Times New Roman"/>
                      <w:color w:val="auto"/>
                      <w:szCs w:val="21"/>
                      <w:lang w:val="en-US" w:eastAsia="zh-CN"/>
                    </w:rPr>
                    <w:t>≥0.</w:t>
                  </w:r>
                  <w:r>
                    <w:rPr>
                      <w:rFonts w:hint="eastAsia" w:ascii="Times New Roman" w:hAnsi="Times New Roman" w:cs="Times New Roman"/>
                      <w:color w:val="auto"/>
                      <w:szCs w:val="21"/>
                      <w:lang w:val="en-US" w:eastAsia="zh-CN"/>
                    </w:rPr>
                    <w:t>2</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p>
              </w:tc>
              <w:tc>
                <w:tcPr>
                  <w:tcW w:w="1420" w:type="dxa"/>
                  <w:tcBorders>
                    <w:left w:val="single" w:color="auto" w:sz="4" w:space="0"/>
                  </w:tcBorders>
                  <w:noWrap w:val="0"/>
                  <w:vAlign w:val="center"/>
                </w:tcPr>
                <w:p w14:paraId="50BB2F7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0.5</w:t>
                  </w:r>
                  <w:r>
                    <w:rPr>
                      <w:rFonts w:hint="default" w:ascii="Times New Roman" w:hAnsi="Times New Roman" w:eastAsia="宋体" w:cs="Times New Roman"/>
                      <w:bCs/>
                      <w:color w:val="auto"/>
                      <w:kern w:val="0"/>
                      <w:sz w:val="21"/>
                      <w:szCs w:val="21"/>
                    </w:rPr>
                    <w:t>万元</w:t>
                  </w:r>
                </w:p>
              </w:tc>
            </w:tr>
            <w:tr w14:paraId="5372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81" w:type="dxa"/>
                  <w:vMerge w:val="continue"/>
                  <w:tcBorders>
                    <w:left w:val="single" w:color="auto" w:sz="4" w:space="0"/>
                    <w:right w:val="single" w:color="auto" w:sz="4" w:space="0"/>
                  </w:tcBorders>
                  <w:noWrap w:val="0"/>
                  <w:vAlign w:val="center"/>
                </w:tcPr>
                <w:p w14:paraId="40121654">
                  <w:pPr>
                    <w:pStyle w:val="41"/>
                    <w:tabs>
                      <w:tab w:val="left" w:pos="1257"/>
                    </w:tabs>
                    <w:rPr>
                      <w:rFonts w:hint="default" w:ascii="Times New Roman" w:hAnsi="Times New Roman" w:cs="Times New Roman"/>
                      <w:b/>
                      <w:color w:val="auto"/>
                      <w:kern w:val="0"/>
                      <w:sz w:val="21"/>
                      <w:szCs w:val="21"/>
                    </w:rPr>
                  </w:pPr>
                </w:p>
              </w:tc>
              <w:tc>
                <w:tcPr>
                  <w:tcW w:w="1331" w:type="dxa"/>
                  <w:vMerge w:val="restart"/>
                  <w:tcBorders>
                    <w:left w:val="single" w:color="auto" w:sz="4" w:space="0"/>
                    <w:right w:val="single" w:color="auto" w:sz="4" w:space="0"/>
                  </w:tcBorders>
                  <w:noWrap w:val="0"/>
                  <w:vAlign w:val="center"/>
                </w:tcPr>
                <w:p w14:paraId="4F417206">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2412" w:type="dxa"/>
                  <w:tcBorders>
                    <w:left w:val="single" w:color="auto" w:sz="4" w:space="0"/>
                    <w:right w:val="single" w:color="auto" w:sz="4" w:space="0"/>
                  </w:tcBorders>
                  <w:noWrap w:val="0"/>
                  <w:vAlign w:val="center"/>
                </w:tcPr>
                <w:p w14:paraId="733473F9">
                  <w:pPr>
                    <w:jc w:val="center"/>
                    <w:rPr>
                      <w:rFonts w:hint="default" w:ascii="Times New Roman" w:hAnsi="Times New Roman" w:cs="Times New Roman"/>
                      <w:color w:val="auto"/>
                      <w:szCs w:val="21"/>
                    </w:rPr>
                  </w:pPr>
                  <w:r>
                    <w:rPr>
                      <w:rFonts w:hint="default" w:ascii="Times New Roman" w:hAnsi="Times New Roman" w:cs="Times New Roman"/>
                      <w:color w:val="auto"/>
                      <w:szCs w:val="21"/>
                    </w:rPr>
                    <w:t>站内分区防渗</w:t>
                  </w:r>
                </w:p>
              </w:tc>
              <w:tc>
                <w:tcPr>
                  <w:tcW w:w="2233" w:type="dxa"/>
                  <w:tcBorders>
                    <w:left w:val="single" w:color="auto" w:sz="4" w:space="0"/>
                    <w:right w:val="single" w:color="auto" w:sz="4" w:space="0"/>
                  </w:tcBorders>
                  <w:noWrap w:val="0"/>
                  <w:vAlign w:val="center"/>
                </w:tcPr>
                <w:p w14:paraId="68160E95">
                  <w:pPr>
                    <w:jc w:val="center"/>
                    <w:rPr>
                      <w:rFonts w:hint="default" w:ascii="Times New Roman" w:hAnsi="Times New Roman" w:cs="Times New Roman"/>
                      <w:color w:val="auto"/>
                      <w:szCs w:val="21"/>
                    </w:rPr>
                  </w:pPr>
                  <w:r>
                    <w:rPr>
                      <w:rFonts w:hint="default" w:ascii="Times New Roman" w:hAnsi="Times New Roman" w:cs="Times New Roman"/>
                      <w:color w:val="auto"/>
                      <w:spacing w:val="-3"/>
                    </w:rPr>
                    <w:t>符合各区防渗要求</w:t>
                  </w:r>
                </w:p>
              </w:tc>
              <w:tc>
                <w:tcPr>
                  <w:tcW w:w="1420" w:type="dxa"/>
                  <w:tcBorders>
                    <w:left w:val="single" w:color="auto" w:sz="4" w:space="0"/>
                  </w:tcBorders>
                  <w:noWrap w:val="0"/>
                  <w:vAlign w:val="center"/>
                </w:tcPr>
                <w:p w14:paraId="66EFEED3">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w:t>
                  </w:r>
                  <w:r>
                    <w:rPr>
                      <w:rFonts w:hint="default" w:ascii="Times New Roman" w:hAnsi="Times New Roman" w:eastAsia="宋体" w:cs="Times New Roman"/>
                      <w:bCs/>
                      <w:color w:val="auto"/>
                      <w:kern w:val="0"/>
                      <w:sz w:val="21"/>
                      <w:szCs w:val="21"/>
                    </w:rPr>
                    <w:t>万元</w:t>
                  </w:r>
                </w:p>
              </w:tc>
            </w:tr>
            <w:tr w14:paraId="57D3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81" w:type="dxa"/>
                  <w:vMerge w:val="continue"/>
                  <w:tcBorders>
                    <w:left w:val="single" w:color="auto" w:sz="4" w:space="0"/>
                    <w:right w:val="single" w:color="auto" w:sz="4" w:space="0"/>
                  </w:tcBorders>
                  <w:noWrap w:val="0"/>
                  <w:vAlign w:val="center"/>
                </w:tcPr>
                <w:p w14:paraId="50CBA755">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309EC066">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5C7DE1CE">
                  <w:pPr>
                    <w:jc w:val="center"/>
                    <w:rPr>
                      <w:rFonts w:hint="default" w:ascii="Times New Roman" w:hAnsi="Times New Roman" w:cs="Times New Roman"/>
                      <w:color w:val="auto"/>
                      <w:szCs w:val="21"/>
                    </w:rPr>
                  </w:pPr>
                  <w:r>
                    <w:rPr>
                      <w:rFonts w:hint="default" w:ascii="Times New Roman" w:hAnsi="Times New Roman" w:cs="Times New Roman"/>
                      <w:color w:val="auto"/>
                      <w:szCs w:val="21"/>
                    </w:rPr>
                    <w:t>罐区基底防渗</w:t>
                  </w:r>
                </w:p>
              </w:tc>
              <w:tc>
                <w:tcPr>
                  <w:tcW w:w="2233" w:type="dxa"/>
                  <w:tcBorders>
                    <w:left w:val="single" w:color="auto" w:sz="4" w:space="0"/>
                    <w:right w:val="single" w:color="auto" w:sz="4" w:space="0"/>
                  </w:tcBorders>
                  <w:noWrap w:val="0"/>
                  <w:vAlign w:val="center"/>
                </w:tcPr>
                <w:p w14:paraId="67F0626F">
                  <w:pPr>
                    <w:jc w:val="center"/>
                    <w:rPr>
                      <w:rFonts w:hint="default" w:ascii="Times New Roman" w:hAnsi="Times New Roman" w:cs="Times New Roman"/>
                      <w:color w:val="auto"/>
                      <w:spacing w:val="-3"/>
                    </w:rPr>
                  </w:pPr>
                  <w:r>
                    <w:rPr>
                      <w:rFonts w:hint="default" w:ascii="Times New Roman" w:hAnsi="Times New Roman" w:cs="Times New Roman"/>
                      <w:color w:val="auto"/>
                      <w:spacing w:val="-3"/>
                    </w:rPr>
                    <w:t>——</w:t>
                  </w:r>
                </w:p>
              </w:tc>
              <w:tc>
                <w:tcPr>
                  <w:tcW w:w="1420" w:type="dxa"/>
                  <w:tcBorders>
                    <w:left w:val="single" w:color="auto" w:sz="4" w:space="0"/>
                  </w:tcBorders>
                  <w:noWrap w:val="0"/>
                  <w:vAlign w:val="center"/>
                </w:tcPr>
                <w:p w14:paraId="11BC6C12">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25</w:t>
                  </w:r>
                  <w:r>
                    <w:rPr>
                      <w:rFonts w:hint="default" w:ascii="Times New Roman" w:hAnsi="Times New Roman" w:eastAsia="宋体" w:cs="Times New Roman"/>
                      <w:bCs/>
                      <w:color w:val="auto"/>
                      <w:kern w:val="0"/>
                      <w:sz w:val="21"/>
                      <w:szCs w:val="21"/>
                    </w:rPr>
                    <w:t>万元</w:t>
                  </w:r>
                </w:p>
              </w:tc>
            </w:tr>
            <w:tr w14:paraId="2182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81" w:type="dxa"/>
                  <w:vMerge w:val="continue"/>
                  <w:tcBorders>
                    <w:left w:val="single" w:color="auto" w:sz="4" w:space="0"/>
                    <w:right w:val="single" w:color="auto" w:sz="4" w:space="0"/>
                  </w:tcBorders>
                  <w:noWrap w:val="0"/>
                  <w:vAlign w:val="center"/>
                </w:tcPr>
                <w:p w14:paraId="13550050">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28E7E9ED">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4609FE4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地下水监测井</w:t>
                  </w:r>
                </w:p>
              </w:tc>
              <w:tc>
                <w:tcPr>
                  <w:tcW w:w="2233" w:type="dxa"/>
                  <w:tcBorders>
                    <w:left w:val="single" w:color="auto" w:sz="4" w:space="0"/>
                    <w:right w:val="single" w:color="auto" w:sz="4" w:space="0"/>
                  </w:tcBorders>
                  <w:noWrap w:val="0"/>
                  <w:vAlign w:val="center"/>
                </w:tcPr>
                <w:p w14:paraId="57A235DE">
                  <w:pPr>
                    <w:jc w:val="center"/>
                    <w:rPr>
                      <w:rFonts w:hint="default" w:ascii="Times New Roman" w:hAnsi="Times New Roman" w:eastAsia="宋体" w:cs="Times New Roman"/>
                      <w:color w:val="auto"/>
                      <w:spacing w:val="-3"/>
                      <w:lang w:val="en-US" w:eastAsia="zh-CN"/>
                    </w:rPr>
                  </w:pPr>
                  <w:r>
                    <w:rPr>
                      <w:rFonts w:hint="default" w:ascii="Times New Roman" w:hAnsi="Times New Roman" w:cs="Times New Roman"/>
                      <w:color w:val="auto"/>
                      <w:spacing w:val="-3"/>
                      <w:lang w:val="en-US" w:eastAsia="zh-CN"/>
                    </w:rPr>
                    <w:t>1个</w:t>
                  </w:r>
                </w:p>
              </w:tc>
              <w:tc>
                <w:tcPr>
                  <w:tcW w:w="1420" w:type="dxa"/>
                  <w:tcBorders>
                    <w:left w:val="single" w:color="auto" w:sz="4" w:space="0"/>
                  </w:tcBorders>
                  <w:noWrap w:val="0"/>
                  <w:vAlign w:val="center"/>
                </w:tcPr>
                <w:p w14:paraId="07265E3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5万元</w:t>
                  </w:r>
                </w:p>
              </w:tc>
            </w:tr>
            <w:tr w14:paraId="4E6C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81" w:type="dxa"/>
                  <w:vMerge w:val="continue"/>
                  <w:tcBorders>
                    <w:left w:val="single" w:color="auto" w:sz="4" w:space="0"/>
                    <w:right w:val="single" w:color="auto" w:sz="4" w:space="0"/>
                  </w:tcBorders>
                  <w:noWrap w:val="0"/>
                  <w:vAlign w:val="center"/>
                </w:tcPr>
                <w:p w14:paraId="65339F1F">
                  <w:pPr>
                    <w:pStyle w:val="41"/>
                    <w:tabs>
                      <w:tab w:val="left" w:pos="1257"/>
                    </w:tabs>
                    <w:rPr>
                      <w:rFonts w:hint="default" w:ascii="Times New Roman" w:hAnsi="Times New Roman" w:cs="Times New Roman"/>
                      <w:b/>
                      <w:color w:val="auto"/>
                      <w:kern w:val="0"/>
                      <w:sz w:val="21"/>
                      <w:szCs w:val="21"/>
                    </w:rPr>
                  </w:pPr>
                </w:p>
              </w:tc>
              <w:tc>
                <w:tcPr>
                  <w:tcW w:w="1331" w:type="dxa"/>
                  <w:tcBorders>
                    <w:left w:val="single" w:color="auto" w:sz="4" w:space="0"/>
                    <w:right w:val="single" w:color="auto" w:sz="4" w:space="0"/>
                  </w:tcBorders>
                  <w:noWrap w:val="0"/>
                  <w:vAlign w:val="center"/>
                </w:tcPr>
                <w:p w14:paraId="4A2AECA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噪声</w:t>
                  </w:r>
                </w:p>
              </w:tc>
              <w:tc>
                <w:tcPr>
                  <w:tcW w:w="2412" w:type="dxa"/>
                  <w:tcBorders>
                    <w:left w:val="single" w:color="auto" w:sz="4" w:space="0"/>
                    <w:right w:val="single" w:color="auto" w:sz="4" w:space="0"/>
                  </w:tcBorders>
                  <w:noWrap w:val="0"/>
                  <w:vAlign w:val="center"/>
                </w:tcPr>
                <w:p w14:paraId="335220AB">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发电机房及站区</w:t>
                  </w:r>
                </w:p>
              </w:tc>
              <w:tc>
                <w:tcPr>
                  <w:tcW w:w="2233" w:type="dxa"/>
                  <w:tcBorders>
                    <w:left w:val="single" w:color="auto" w:sz="4" w:space="0"/>
                    <w:right w:val="single" w:color="auto" w:sz="4" w:space="0"/>
                  </w:tcBorders>
                  <w:noWrap w:val="0"/>
                  <w:vAlign w:val="center"/>
                </w:tcPr>
                <w:p w14:paraId="6AE309C0">
                  <w:pPr>
                    <w:jc w:val="center"/>
                    <w:rPr>
                      <w:rFonts w:hint="default" w:ascii="Times New Roman" w:hAnsi="Times New Roman" w:eastAsia="宋体" w:cs="Times New Roman"/>
                      <w:color w:val="auto"/>
                      <w:spacing w:val="-3"/>
                      <w:lang w:val="en-US" w:eastAsia="zh-CN"/>
                    </w:rPr>
                  </w:pPr>
                  <w:r>
                    <w:rPr>
                      <w:rFonts w:hint="default" w:ascii="Times New Roman" w:hAnsi="Times New Roman" w:eastAsia="宋体" w:cs="Times New Roman"/>
                      <w:color w:val="auto"/>
                      <w:sz w:val="21"/>
                      <w:szCs w:val="21"/>
                    </w:rPr>
                    <w:t>基础减震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设置围挡</w:t>
                  </w:r>
                </w:p>
              </w:tc>
              <w:tc>
                <w:tcPr>
                  <w:tcW w:w="1420" w:type="dxa"/>
                  <w:tcBorders>
                    <w:left w:val="single" w:color="auto" w:sz="4" w:space="0"/>
                  </w:tcBorders>
                  <w:noWrap w:val="0"/>
                  <w:vAlign w:val="center"/>
                </w:tcPr>
                <w:p w14:paraId="330E3A0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5万元</w:t>
                  </w:r>
                </w:p>
              </w:tc>
            </w:tr>
            <w:tr w14:paraId="34BE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81" w:type="dxa"/>
                  <w:vMerge w:val="continue"/>
                  <w:tcBorders>
                    <w:left w:val="single" w:color="auto" w:sz="4" w:space="0"/>
                    <w:right w:val="single" w:color="auto" w:sz="4" w:space="0"/>
                  </w:tcBorders>
                  <w:noWrap w:val="0"/>
                  <w:vAlign w:val="center"/>
                </w:tcPr>
                <w:p w14:paraId="29374901">
                  <w:pPr>
                    <w:pStyle w:val="41"/>
                    <w:tabs>
                      <w:tab w:val="left" w:pos="1257"/>
                    </w:tabs>
                    <w:rPr>
                      <w:rFonts w:hint="default" w:ascii="Times New Roman" w:hAnsi="Times New Roman" w:cs="Times New Roman"/>
                      <w:b/>
                      <w:color w:val="auto"/>
                      <w:kern w:val="0"/>
                      <w:sz w:val="21"/>
                      <w:szCs w:val="21"/>
                    </w:rPr>
                  </w:pPr>
                </w:p>
              </w:tc>
              <w:tc>
                <w:tcPr>
                  <w:tcW w:w="1331" w:type="dxa"/>
                  <w:vMerge w:val="restart"/>
                  <w:tcBorders>
                    <w:left w:val="single" w:color="auto" w:sz="4" w:space="0"/>
                    <w:right w:val="single" w:color="auto" w:sz="4" w:space="0"/>
                  </w:tcBorders>
                  <w:noWrap w:val="0"/>
                  <w:vAlign w:val="center"/>
                </w:tcPr>
                <w:p w14:paraId="5769738B">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2412" w:type="dxa"/>
                  <w:tcBorders>
                    <w:left w:val="single" w:color="auto" w:sz="4" w:space="0"/>
                    <w:right w:val="single" w:color="auto" w:sz="4" w:space="0"/>
                  </w:tcBorders>
                  <w:noWrap w:val="0"/>
                  <w:vAlign w:val="center"/>
                </w:tcPr>
                <w:p w14:paraId="13993E93">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生活垃圾收集桶</w:t>
                  </w:r>
                </w:p>
              </w:tc>
              <w:tc>
                <w:tcPr>
                  <w:tcW w:w="2233" w:type="dxa"/>
                  <w:tcBorders>
                    <w:left w:val="single" w:color="auto" w:sz="4" w:space="0"/>
                    <w:right w:val="single" w:color="auto" w:sz="4" w:space="0"/>
                  </w:tcBorders>
                  <w:noWrap w:val="0"/>
                  <w:vAlign w:val="center"/>
                </w:tcPr>
                <w:p w14:paraId="01017C7F">
                  <w:pPr>
                    <w:jc w:val="center"/>
                    <w:rPr>
                      <w:rFonts w:hint="default" w:ascii="Times New Roman" w:hAnsi="Times New Roman" w:cs="Times New Roman"/>
                      <w:color w:val="auto"/>
                      <w:szCs w:val="21"/>
                    </w:rPr>
                  </w:pPr>
                  <w:r>
                    <w:rPr>
                      <w:rFonts w:hint="default" w:ascii="Times New Roman" w:hAnsi="Times New Roman" w:cs="Times New Roman"/>
                      <w:color w:val="auto"/>
                      <w:szCs w:val="21"/>
                    </w:rPr>
                    <w:t>若干个</w:t>
                  </w:r>
                </w:p>
              </w:tc>
              <w:tc>
                <w:tcPr>
                  <w:tcW w:w="1420" w:type="dxa"/>
                  <w:tcBorders>
                    <w:left w:val="single" w:color="auto" w:sz="4" w:space="0"/>
                  </w:tcBorders>
                  <w:noWrap w:val="0"/>
                  <w:vAlign w:val="center"/>
                </w:tcPr>
                <w:p w14:paraId="76929E98">
                  <w:pPr>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r>
                    <w:rPr>
                      <w:rFonts w:hint="default" w:ascii="Times New Roman" w:hAnsi="Times New Roman" w:cs="Times New Roman"/>
                      <w:bCs/>
                      <w:color w:val="auto"/>
                      <w:kern w:val="0"/>
                      <w:szCs w:val="21"/>
                    </w:rPr>
                    <w:t>万元</w:t>
                  </w:r>
                </w:p>
              </w:tc>
            </w:tr>
            <w:tr w14:paraId="34ED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981" w:type="dxa"/>
                  <w:vMerge w:val="continue"/>
                  <w:tcBorders>
                    <w:left w:val="single" w:color="auto" w:sz="4" w:space="0"/>
                    <w:right w:val="single" w:color="auto" w:sz="4" w:space="0"/>
                  </w:tcBorders>
                  <w:noWrap w:val="0"/>
                  <w:vAlign w:val="center"/>
                </w:tcPr>
                <w:p w14:paraId="74739038">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358C3091">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1DC21AC5">
                  <w:pPr>
                    <w:jc w:val="center"/>
                    <w:rPr>
                      <w:rFonts w:hint="default" w:ascii="Times New Roman" w:hAnsi="Times New Roman" w:cs="Times New Roman"/>
                      <w:color w:val="auto"/>
                      <w:szCs w:val="21"/>
                    </w:rPr>
                  </w:pPr>
                  <w:r>
                    <w:rPr>
                      <w:rFonts w:hint="default" w:ascii="Times New Roman" w:hAnsi="Times New Roman" w:cs="Times New Roman"/>
                      <w:color w:val="auto"/>
                      <w:szCs w:val="21"/>
                    </w:rPr>
                    <w:t>垃圾收集箱</w:t>
                  </w:r>
                </w:p>
              </w:tc>
              <w:tc>
                <w:tcPr>
                  <w:tcW w:w="2233" w:type="dxa"/>
                  <w:tcBorders>
                    <w:left w:val="single" w:color="auto" w:sz="4" w:space="0"/>
                    <w:right w:val="single" w:color="auto" w:sz="4" w:space="0"/>
                  </w:tcBorders>
                  <w:noWrap w:val="0"/>
                  <w:vAlign w:val="center"/>
                </w:tcPr>
                <w:p w14:paraId="5F67CA82">
                  <w:pPr>
                    <w:jc w:val="center"/>
                    <w:rPr>
                      <w:rFonts w:hint="default" w:ascii="Times New Roman" w:hAnsi="Times New Roman" w:cs="Times New Roman"/>
                      <w:color w:val="auto"/>
                      <w:szCs w:val="21"/>
                    </w:rPr>
                  </w:pPr>
                  <w:r>
                    <w:rPr>
                      <w:rFonts w:hint="default" w:ascii="Times New Roman" w:hAnsi="Times New Roman" w:cs="Times New Roman"/>
                      <w:color w:val="auto"/>
                      <w:szCs w:val="21"/>
                    </w:rPr>
                    <w:t>1个</w:t>
                  </w:r>
                </w:p>
              </w:tc>
              <w:tc>
                <w:tcPr>
                  <w:tcW w:w="1420" w:type="dxa"/>
                  <w:tcBorders>
                    <w:left w:val="single" w:color="auto" w:sz="4" w:space="0"/>
                  </w:tcBorders>
                  <w:noWrap w:val="0"/>
                  <w:vAlign w:val="center"/>
                </w:tcPr>
                <w:p w14:paraId="7B63C577">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1</w:t>
                  </w:r>
                  <w:r>
                    <w:rPr>
                      <w:rFonts w:hint="default" w:ascii="Times New Roman" w:hAnsi="Times New Roman" w:cs="Times New Roman"/>
                      <w:bCs/>
                      <w:color w:val="auto"/>
                      <w:kern w:val="0"/>
                      <w:szCs w:val="21"/>
                    </w:rPr>
                    <w:t>万元</w:t>
                  </w:r>
                </w:p>
              </w:tc>
            </w:tr>
            <w:tr w14:paraId="5149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81" w:type="dxa"/>
                  <w:vMerge w:val="continue"/>
                  <w:tcBorders>
                    <w:left w:val="single" w:color="auto" w:sz="4" w:space="0"/>
                    <w:right w:val="single" w:color="auto" w:sz="4" w:space="0"/>
                  </w:tcBorders>
                  <w:noWrap w:val="0"/>
                  <w:vAlign w:val="center"/>
                </w:tcPr>
                <w:p w14:paraId="75580B97">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61DB2EF4">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332DB1B1">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危废收集桶</w:t>
                  </w:r>
                </w:p>
              </w:tc>
              <w:tc>
                <w:tcPr>
                  <w:tcW w:w="2233" w:type="dxa"/>
                  <w:tcBorders>
                    <w:left w:val="single" w:color="auto" w:sz="4" w:space="0"/>
                    <w:right w:val="single" w:color="auto" w:sz="4" w:space="0"/>
                  </w:tcBorders>
                  <w:noWrap w:val="0"/>
                  <w:vAlign w:val="center"/>
                </w:tcPr>
                <w:p w14:paraId="6620A2B8">
                  <w:pPr>
                    <w:jc w:val="center"/>
                    <w:rPr>
                      <w:rFonts w:hint="default" w:ascii="Times New Roman" w:hAnsi="Times New Roman" w:cs="Times New Roman"/>
                      <w:color w:val="auto"/>
                      <w:szCs w:val="21"/>
                    </w:rPr>
                  </w:pPr>
                  <w:r>
                    <w:rPr>
                      <w:rFonts w:hint="eastAsia" w:cs="Times New Roman"/>
                      <w:color w:val="auto"/>
                      <w:szCs w:val="21"/>
                      <w:lang w:val="en-US" w:eastAsia="zh-CN"/>
                    </w:rPr>
                    <w:t>3</w:t>
                  </w:r>
                  <w:r>
                    <w:rPr>
                      <w:rFonts w:hint="default" w:ascii="Times New Roman" w:hAnsi="Times New Roman" w:cs="Times New Roman"/>
                      <w:color w:val="auto"/>
                      <w:szCs w:val="21"/>
                    </w:rPr>
                    <w:t>个</w:t>
                  </w:r>
                </w:p>
              </w:tc>
              <w:tc>
                <w:tcPr>
                  <w:tcW w:w="1420" w:type="dxa"/>
                  <w:tcBorders>
                    <w:left w:val="single" w:color="auto" w:sz="4" w:space="0"/>
                  </w:tcBorders>
                  <w:noWrap w:val="0"/>
                  <w:vAlign w:val="center"/>
                </w:tcPr>
                <w:p w14:paraId="4849E293">
                  <w:pPr>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r>
                    <w:rPr>
                      <w:rFonts w:hint="default" w:ascii="Times New Roman" w:hAnsi="Times New Roman" w:cs="Times New Roman"/>
                      <w:bCs/>
                      <w:color w:val="auto"/>
                      <w:kern w:val="0"/>
                      <w:szCs w:val="21"/>
                    </w:rPr>
                    <w:t>万元</w:t>
                  </w:r>
                </w:p>
              </w:tc>
            </w:tr>
            <w:tr w14:paraId="67CF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81" w:type="dxa"/>
                  <w:vMerge w:val="continue"/>
                  <w:tcBorders>
                    <w:left w:val="single" w:color="auto" w:sz="4" w:space="0"/>
                    <w:right w:val="single" w:color="auto" w:sz="4" w:space="0"/>
                  </w:tcBorders>
                  <w:noWrap w:val="0"/>
                  <w:vAlign w:val="center"/>
                </w:tcPr>
                <w:p w14:paraId="19EEE234">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252FD783">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1BDAC648">
                  <w:pPr>
                    <w:jc w:val="center"/>
                    <w:rPr>
                      <w:rFonts w:hint="default" w:ascii="Times New Roman" w:hAnsi="Times New Roman" w:cs="Times New Roman"/>
                      <w:color w:val="auto"/>
                    </w:rPr>
                  </w:pPr>
                  <w:r>
                    <w:rPr>
                      <w:rFonts w:hint="eastAsia" w:cs="Times New Roman"/>
                      <w:color w:val="auto"/>
                      <w:lang w:eastAsia="zh-CN"/>
                    </w:rPr>
                    <w:t>危废暂存点</w:t>
                  </w:r>
                  <w:r>
                    <w:rPr>
                      <w:rFonts w:hint="default" w:ascii="Times New Roman" w:hAnsi="Times New Roman" w:cs="Times New Roman"/>
                      <w:color w:val="auto"/>
                    </w:rPr>
                    <w:t>并设标识牌、做好“三防等措施”</w:t>
                  </w:r>
                </w:p>
              </w:tc>
              <w:tc>
                <w:tcPr>
                  <w:tcW w:w="2233" w:type="dxa"/>
                  <w:tcBorders>
                    <w:left w:val="single" w:color="auto" w:sz="4" w:space="0"/>
                    <w:right w:val="single" w:color="auto" w:sz="4" w:space="0"/>
                  </w:tcBorders>
                  <w:noWrap w:val="0"/>
                  <w:vAlign w:val="center"/>
                </w:tcPr>
                <w:p w14:paraId="0DD08AB4">
                  <w:pPr>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m</w:t>
                  </w:r>
                  <w:r>
                    <w:rPr>
                      <w:rFonts w:hint="eastAsia" w:cs="Times New Roman"/>
                      <w:color w:val="auto"/>
                      <w:szCs w:val="21"/>
                      <w:vertAlign w:val="superscript"/>
                      <w:lang w:val="en-US" w:eastAsia="zh-CN"/>
                    </w:rPr>
                    <w:t>2</w:t>
                  </w:r>
                </w:p>
              </w:tc>
              <w:tc>
                <w:tcPr>
                  <w:tcW w:w="1420" w:type="dxa"/>
                  <w:tcBorders>
                    <w:left w:val="single" w:color="auto" w:sz="4" w:space="0"/>
                  </w:tcBorders>
                  <w:noWrap w:val="0"/>
                  <w:vAlign w:val="center"/>
                </w:tcPr>
                <w:p w14:paraId="257D2C6B">
                  <w:pPr>
                    <w:jc w:val="center"/>
                    <w:rPr>
                      <w:rFonts w:hint="default" w:ascii="Times New Roman" w:hAnsi="Times New Roman" w:cs="Times New Roman"/>
                      <w:color w:val="auto"/>
                      <w:szCs w:val="21"/>
                    </w:rPr>
                  </w:pPr>
                  <w:r>
                    <w:rPr>
                      <w:rFonts w:hint="default" w:ascii="Times New Roman" w:hAnsi="Times New Roman" w:cs="Times New Roman"/>
                      <w:color w:val="auto"/>
                      <w:szCs w:val="21"/>
                    </w:rPr>
                    <w:t>1万元</w:t>
                  </w:r>
                </w:p>
              </w:tc>
            </w:tr>
            <w:tr w14:paraId="0B7F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81" w:type="dxa"/>
                  <w:vMerge w:val="continue"/>
                  <w:tcBorders>
                    <w:left w:val="single" w:color="auto" w:sz="4" w:space="0"/>
                    <w:right w:val="single" w:color="auto" w:sz="4" w:space="0"/>
                  </w:tcBorders>
                  <w:noWrap w:val="0"/>
                  <w:vAlign w:val="center"/>
                </w:tcPr>
                <w:p w14:paraId="36663BF2">
                  <w:pPr>
                    <w:pStyle w:val="41"/>
                    <w:tabs>
                      <w:tab w:val="left" w:pos="1257"/>
                    </w:tabs>
                    <w:rPr>
                      <w:rFonts w:hint="default" w:ascii="Times New Roman" w:hAnsi="Times New Roman" w:cs="Times New Roman"/>
                      <w:b/>
                      <w:color w:val="auto"/>
                      <w:kern w:val="0"/>
                      <w:sz w:val="21"/>
                      <w:szCs w:val="21"/>
                    </w:rPr>
                  </w:pPr>
                </w:p>
              </w:tc>
              <w:tc>
                <w:tcPr>
                  <w:tcW w:w="1331" w:type="dxa"/>
                  <w:vMerge w:val="restart"/>
                  <w:tcBorders>
                    <w:left w:val="single" w:color="auto" w:sz="4" w:space="0"/>
                    <w:right w:val="single" w:color="auto" w:sz="4" w:space="0"/>
                  </w:tcBorders>
                  <w:noWrap w:val="0"/>
                  <w:vAlign w:val="center"/>
                </w:tcPr>
                <w:p w14:paraId="53C55B89">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2412" w:type="dxa"/>
                  <w:tcBorders>
                    <w:left w:val="single" w:color="auto" w:sz="4" w:space="0"/>
                    <w:right w:val="single" w:color="auto" w:sz="4" w:space="0"/>
                  </w:tcBorders>
                  <w:noWrap w:val="0"/>
                  <w:vAlign w:val="center"/>
                </w:tcPr>
                <w:p w14:paraId="55280F79">
                  <w:pPr>
                    <w:jc w:val="center"/>
                    <w:rPr>
                      <w:rFonts w:hint="default" w:ascii="Times New Roman" w:hAnsi="Times New Roman" w:cs="Times New Roman"/>
                      <w:color w:val="auto"/>
                      <w:szCs w:val="21"/>
                    </w:rPr>
                  </w:pPr>
                  <w:r>
                    <w:rPr>
                      <w:rFonts w:hint="default" w:ascii="Times New Roman" w:hAnsi="Times New Roman" w:cs="Times New Roman"/>
                      <w:color w:val="auto"/>
                      <w:szCs w:val="21"/>
                    </w:rPr>
                    <w:t>液位仪</w:t>
                  </w:r>
                </w:p>
              </w:tc>
              <w:tc>
                <w:tcPr>
                  <w:tcW w:w="2233" w:type="dxa"/>
                  <w:tcBorders>
                    <w:left w:val="single" w:color="auto" w:sz="4" w:space="0"/>
                    <w:right w:val="single" w:color="auto" w:sz="4" w:space="0"/>
                  </w:tcBorders>
                  <w:noWrap w:val="0"/>
                  <w:vAlign w:val="center"/>
                </w:tcPr>
                <w:p w14:paraId="3C56346B">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420" w:type="dxa"/>
                  <w:tcBorders>
                    <w:left w:val="single" w:color="auto" w:sz="4" w:space="0"/>
                  </w:tcBorders>
                  <w:noWrap w:val="0"/>
                  <w:vAlign w:val="center"/>
                </w:tcPr>
                <w:p w14:paraId="2B520594">
                  <w:pPr>
                    <w:ind w:firstLine="210" w:firstLineChars="100"/>
                    <w:jc w:val="center"/>
                    <w:rPr>
                      <w:rFonts w:hint="default" w:ascii="Times New Roman" w:hAnsi="Times New Roman" w:cs="Times New Roman"/>
                      <w:color w:val="auto"/>
                      <w:szCs w:val="21"/>
                    </w:rPr>
                  </w:pPr>
                  <w:r>
                    <w:rPr>
                      <w:rFonts w:hint="default" w:ascii="Times New Roman" w:hAnsi="Times New Roman" w:cs="Times New Roman"/>
                      <w:color w:val="auto"/>
                      <w:szCs w:val="21"/>
                    </w:rPr>
                    <w:t>8万元</w:t>
                  </w:r>
                </w:p>
              </w:tc>
            </w:tr>
            <w:tr w14:paraId="01D7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981" w:type="dxa"/>
                  <w:vMerge w:val="continue"/>
                  <w:tcBorders>
                    <w:left w:val="single" w:color="auto" w:sz="4" w:space="0"/>
                    <w:right w:val="single" w:color="auto" w:sz="4" w:space="0"/>
                  </w:tcBorders>
                  <w:noWrap w:val="0"/>
                  <w:vAlign w:val="center"/>
                </w:tcPr>
                <w:p w14:paraId="4B4A6C1A">
                  <w:pPr>
                    <w:pStyle w:val="41"/>
                    <w:tabs>
                      <w:tab w:val="left" w:pos="1257"/>
                    </w:tabs>
                    <w:rPr>
                      <w:rFonts w:hint="default" w:ascii="Times New Roman" w:hAnsi="Times New Roman" w:cs="Times New Roman"/>
                      <w:b/>
                      <w:color w:val="auto"/>
                      <w:kern w:val="0"/>
                      <w:sz w:val="21"/>
                      <w:szCs w:val="21"/>
                    </w:rPr>
                  </w:pPr>
                </w:p>
              </w:tc>
              <w:tc>
                <w:tcPr>
                  <w:tcW w:w="1331" w:type="dxa"/>
                  <w:vMerge w:val="continue"/>
                  <w:tcBorders>
                    <w:left w:val="single" w:color="auto" w:sz="4" w:space="0"/>
                    <w:right w:val="single" w:color="auto" w:sz="4" w:space="0"/>
                  </w:tcBorders>
                  <w:noWrap w:val="0"/>
                  <w:vAlign w:val="center"/>
                </w:tcPr>
                <w:p w14:paraId="54AB979D">
                  <w:pPr>
                    <w:jc w:val="center"/>
                    <w:rPr>
                      <w:rFonts w:hint="default" w:ascii="Times New Roman" w:hAnsi="Times New Roman" w:cs="Times New Roman"/>
                      <w:color w:val="auto"/>
                      <w:szCs w:val="21"/>
                    </w:rPr>
                  </w:pPr>
                </w:p>
              </w:tc>
              <w:tc>
                <w:tcPr>
                  <w:tcW w:w="2412" w:type="dxa"/>
                  <w:tcBorders>
                    <w:left w:val="single" w:color="auto" w:sz="4" w:space="0"/>
                    <w:right w:val="single" w:color="auto" w:sz="4" w:space="0"/>
                  </w:tcBorders>
                  <w:noWrap w:val="0"/>
                  <w:vAlign w:val="center"/>
                </w:tcPr>
                <w:p w14:paraId="38792BC1">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环境应急预案</w:t>
                  </w:r>
                </w:p>
              </w:tc>
              <w:tc>
                <w:tcPr>
                  <w:tcW w:w="2233" w:type="dxa"/>
                  <w:tcBorders>
                    <w:left w:val="single" w:color="auto" w:sz="4" w:space="0"/>
                    <w:right w:val="single" w:color="auto" w:sz="4" w:space="0"/>
                  </w:tcBorders>
                  <w:noWrap w:val="0"/>
                  <w:vAlign w:val="center"/>
                </w:tcPr>
                <w:p w14:paraId="467C9B7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pacing w:val="-3"/>
                    </w:rPr>
                    <w:t>——</w:t>
                  </w:r>
                </w:p>
              </w:tc>
              <w:tc>
                <w:tcPr>
                  <w:tcW w:w="1420" w:type="dxa"/>
                  <w:tcBorders>
                    <w:left w:val="single" w:color="auto" w:sz="4" w:space="0"/>
                  </w:tcBorders>
                  <w:noWrap w:val="0"/>
                  <w:vAlign w:val="center"/>
                </w:tcPr>
                <w:p w14:paraId="22F21D22">
                  <w:pPr>
                    <w:ind w:firstLine="210" w:firstLineChars="10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r>
                    <w:rPr>
                      <w:rFonts w:hint="default" w:ascii="Times New Roman" w:hAnsi="Times New Roman" w:cs="Times New Roman"/>
                      <w:color w:val="auto"/>
                      <w:szCs w:val="21"/>
                    </w:rPr>
                    <w:t>万元</w:t>
                  </w:r>
                </w:p>
              </w:tc>
            </w:tr>
            <w:tr w14:paraId="326B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81" w:type="dxa"/>
                  <w:vMerge w:val="continue"/>
                  <w:tcBorders>
                    <w:left w:val="single" w:color="auto" w:sz="4" w:space="0"/>
                    <w:right w:val="single" w:color="auto" w:sz="4" w:space="0"/>
                  </w:tcBorders>
                  <w:noWrap w:val="0"/>
                  <w:vAlign w:val="center"/>
                </w:tcPr>
                <w:p w14:paraId="2A752C33">
                  <w:pPr>
                    <w:pStyle w:val="41"/>
                    <w:tabs>
                      <w:tab w:val="left" w:pos="1257"/>
                    </w:tabs>
                    <w:rPr>
                      <w:rFonts w:hint="default" w:ascii="Times New Roman" w:hAnsi="Times New Roman" w:cs="Times New Roman"/>
                      <w:b/>
                      <w:color w:val="auto"/>
                      <w:kern w:val="0"/>
                      <w:sz w:val="21"/>
                      <w:szCs w:val="21"/>
                    </w:rPr>
                  </w:pPr>
                </w:p>
              </w:tc>
              <w:tc>
                <w:tcPr>
                  <w:tcW w:w="5976" w:type="dxa"/>
                  <w:gridSpan w:val="3"/>
                  <w:tcBorders>
                    <w:left w:val="single" w:color="auto" w:sz="4" w:space="0"/>
                    <w:right w:val="single" w:color="auto" w:sz="4" w:space="0"/>
                  </w:tcBorders>
                  <w:noWrap w:val="0"/>
                  <w:vAlign w:val="center"/>
                </w:tcPr>
                <w:p w14:paraId="5E42822E">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环境管理及监测费</w:t>
                  </w:r>
                </w:p>
              </w:tc>
              <w:tc>
                <w:tcPr>
                  <w:tcW w:w="1420" w:type="dxa"/>
                  <w:tcBorders>
                    <w:left w:val="single" w:color="auto" w:sz="4" w:space="0"/>
                  </w:tcBorders>
                  <w:noWrap w:val="0"/>
                  <w:vAlign w:val="center"/>
                </w:tcPr>
                <w:p w14:paraId="2E64FE4B">
                  <w:pPr>
                    <w:ind w:firstLine="210" w:firstLineChars="10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万元</w:t>
                  </w:r>
                </w:p>
              </w:tc>
            </w:tr>
            <w:tr w14:paraId="1B8F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1" w:type="dxa"/>
                  <w:vMerge w:val="continue"/>
                  <w:tcBorders>
                    <w:left w:val="single" w:color="auto" w:sz="4" w:space="0"/>
                    <w:right w:val="single" w:color="auto" w:sz="4" w:space="0"/>
                  </w:tcBorders>
                  <w:noWrap w:val="0"/>
                  <w:vAlign w:val="center"/>
                </w:tcPr>
                <w:p w14:paraId="6C04E22C">
                  <w:pPr>
                    <w:pStyle w:val="41"/>
                    <w:tabs>
                      <w:tab w:val="left" w:pos="1257"/>
                    </w:tabs>
                    <w:rPr>
                      <w:rFonts w:hint="default" w:ascii="Times New Roman" w:hAnsi="Times New Roman" w:cs="Times New Roman"/>
                      <w:b/>
                      <w:color w:val="auto"/>
                      <w:kern w:val="0"/>
                      <w:sz w:val="21"/>
                      <w:szCs w:val="21"/>
                    </w:rPr>
                  </w:pPr>
                </w:p>
              </w:tc>
              <w:tc>
                <w:tcPr>
                  <w:tcW w:w="5976" w:type="dxa"/>
                  <w:gridSpan w:val="3"/>
                  <w:tcBorders>
                    <w:left w:val="single" w:color="auto" w:sz="4" w:space="0"/>
                    <w:right w:val="single" w:color="auto" w:sz="4" w:space="0"/>
                  </w:tcBorders>
                  <w:noWrap w:val="0"/>
                  <w:vAlign w:val="center"/>
                </w:tcPr>
                <w:p w14:paraId="3323E771">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环保设施运行维护费</w:t>
                  </w:r>
                </w:p>
              </w:tc>
              <w:tc>
                <w:tcPr>
                  <w:tcW w:w="1420" w:type="dxa"/>
                  <w:tcBorders>
                    <w:left w:val="single" w:color="auto" w:sz="4" w:space="0"/>
                  </w:tcBorders>
                  <w:noWrap w:val="0"/>
                  <w:vAlign w:val="center"/>
                </w:tcPr>
                <w:p w14:paraId="6FCFA44E">
                  <w:pPr>
                    <w:ind w:firstLine="210" w:firstLineChars="100"/>
                    <w:jc w:val="center"/>
                    <w:rPr>
                      <w:rFonts w:hint="default" w:ascii="Times New Roman" w:hAnsi="Times New Roman" w:cs="Times New Roman"/>
                      <w:color w:val="auto"/>
                      <w:szCs w:val="21"/>
                    </w:rPr>
                  </w:pPr>
                  <w:r>
                    <w:rPr>
                      <w:rFonts w:hint="default" w:ascii="Times New Roman" w:hAnsi="Times New Roman" w:cs="Times New Roman"/>
                      <w:color w:val="auto"/>
                      <w:szCs w:val="21"/>
                    </w:rPr>
                    <w:t>2万元</w:t>
                  </w:r>
                </w:p>
              </w:tc>
            </w:tr>
            <w:tr w14:paraId="46DC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981" w:type="dxa"/>
                  <w:vMerge w:val="continue"/>
                  <w:tcBorders>
                    <w:left w:val="single" w:color="auto" w:sz="4" w:space="0"/>
                    <w:right w:val="single" w:color="auto" w:sz="4" w:space="0"/>
                  </w:tcBorders>
                  <w:noWrap w:val="0"/>
                  <w:vAlign w:val="center"/>
                </w:tcPr>
                <w:p w14:paraId="55A57B80">
                  <w:pPr>
                    <w:pStyle w:val="41"/>
                    <w:tabs>
                      <w:tab w:val="left" w:pos="1257"/>
                    </w:tabs>
                    <w:rPr>
                      <w:rFonts w:hint="default" w:ascii="Times New Roman" w:hAnsi="Times New Roman" w:cs="Times New Roman"/>
                      <w:b/>
                      <w:color w:val="auto"/>
                      <w:kern w:val="0"/>
                      <w:sz w:val="21"/>
                      <w:szCs w:val="21"/>
                    </w:rPr>
                  </w:pPr>
                </w:p>
              </w:tc>
              <w:tc>
                <w:tcPr>
                  <w:tcW w:w="5976" w:type="dxa"/>
                  <w:gridSpan w:val="3"/>
                  <w:tcBorders>
                    <w:left w:val="single" w:color="auto" w:sz="4" w:space="0"/>
                    <w:right w:val="single" w:color="auto" w:sz="4" w:space="0"/>
                  </w:tcBorders>
                  <w:noWrap w:val="0"/>
                  <w:vAlign w:val="center"/>
                </w:tcPr>
                <w:p w14:paraId="1A5D683B">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环评、验收技术服务费</w:t>
                  </w:r>
                </w:p>
              </w:tc>
              <w:tc>
                <w:tcPr>
                  <w:tcW w:w="1420" w:type="dxa"/>
                  <w:tcBorders>
                    <w:left w:val="single" w:color="auto" w:sz="4" w:space="0"/>
                  </w:tcBorders>
                  <w:noWrap w:val="0"/>
                  <w:vAlign w:val="center"/>
                </w:tcPr>
                <w:p w14:paraId="7E3716E3">
                  <w:pPr>
                    <w:ind w:firstLine="210" w:firstLineChars="10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8</w:t>
                  </w:r>
                  <w:r>
                    <w:rPr>
                      <w:rFonts w:hint="default" w:ascii="Times New Roman" w:hAnsi="Times New Roman" w:cs="Times New Roman"/>
                      <w:color w:val="auto"/>
                      <w:szCs w:val="21"/>
                    </w:rPr>
                    <w:t>万元</w:t>
                  </w:r>
                </w:p>
              </w:tc>
            </w:tr>
            <w:tr w14:paraId="1EE5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1" w:type="dxa"/>
                  <w:vMerge w:val="continue"/>
                  <w:tcBorders>
                    <w:left w:val="single" w:color="auto" w:sz="4" w:space="0"/>
                    <w:right w:val="single" w:color="auto" w:sz="4" w:space="0"/>
                  </w:tcBorders>
                  <w:noWrap w:val="0"/>
                  <w:vAlign w:val="center"/>
                </w:tcPr>
                <w:p w14:paraId="04D21EC2">
                  <w:pPr>
                    <w:pStyle w:val="41"/>
                    <w:tabs>
                      <w:tab w:val="left" w:pos="1257"/>
                    </w:tabs>
                    <w:rPr>
                      <w:rFonts w:hint="default" w:ascii="Times New Roman" w:hAnsi="Times New Roman" w:cs="Times New Roman"/>
                      <w:b/>
                      <w:color w:val="auto"/>
                      <w:kern w:val="0"/>
                      <w:sz w:val="21"/>
                      <w:szCs w:val="21"/>
                    </w:rPr>
                  </w:pPr>
                </w:p>
              </w:tc>
              <w:tc>
                <w:tcPr>
                  <w:tcW w:w="5976" w:type="dxa"/>
                  <w:gridSpan w:val="3"/>
                  <w:tcBorders>
                    <w:left w:val="single" w:color="auto" w:sz="4" w:space="0"/>
                    <w:right w:val="single" w:color="auto" w:sz="4" w:space="0"/>
                  </w:tcBorders>
                  <w:noWrap w:val="0"/>
                  <w:vAlign w:val="center"/>
                </w:tcPr>
                <w:p w14:paraId="7EE42651">
                  <w:pPr>
                    <w:jc w:val="center"/>
                    <w:rPr>
                      <w:rFonts w:hint="default" w:ascii="Times New Roman" w:hAnsi="Times New Roman" w:cs="Times New Roman"/>
                      <w:color w:val="auto"/>
                      <w:szCs w:val="21"/>
                    </w:rPr>
                  </w:pPr>
                  <w:r>
                    <w:rPr>
                      <w:rFonts w:hint="default" w:ascii="Times New Roman" w:hAnsi="Times New Roman" w:cs="Times New Roman"/>
                      <w:color w:val="auto"/>
                      <w:szCs w:val="21"/>
                    </w:rPr>
                    <w:t>小计</w:t>
                  </w:r>
                </w:p>
              </w:tc>
              <w:tc>
                <w:tcPr>
                  <w:tcW w:w="1420" w:type="dxa"/>
                  <w:tcBorders>
                    <w:left w:val="single" w:color="auto" w:sz="4" w:space="0"/>
                  </w:tcBorders>
                  <w:noWrap w:val="0"/>
                  <w:vAlign w:val="center"/>
                </w:tcPr>
                <w:p w14:paraId="2C55CC9F">
                  <w:pPr>
                    <w:jc w:val="center"/>
                    <w:rPr>
                      <w:rFonts w:hint="default" w:ascii="Times New Roman" w:hAnsi="Times New Roman" w:cs="Times New Roman"/>
                      <w:color w:val="auto"/>
                      <w:szCs w:val="21"/>
                    </w:rPr>
                  </w:pPr>
                  <w:r>
                    <w:rPr>
                      <w:rFonts w:hint="eastAsia" w:cs="Times New Roman"/>
                      <w:color w:val="auto"/>
                      <w:szCs w:val="21"/>
                      <w:lang w:val="en-US" w:eastAsia="zh-CN"/>
                    </w:rPr>
                    <w:t>92.6</w:t>
                  </w:r>
                  <w:r>
                    <w:rPr>
                      <w:rFonts w:hint="default" w:ascii="Times New Roman" w:hAnsi="Times New Roman" w:cs="Times New Roman"/>
                      <w:color w:val="auto"/>
                      <w:szCs w:val="21"/>
                    </w:rPr>
                    <w:t>万元</w:t>
                  </w:r>
                </w:p>
              </w:tc>
            </w:tr>
            <w:tr w14:paraId="1B6E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957" w:type="dxa"/>
                  <w:gridSpan w:val="4"/>
                  <w:tcBorders>
                    <w:left w:val="single" w:color="auto" w:sz="4" w:space="0"/>
                    <w:right w:val="single" w:color="auto" w:sz="4" w:space="0"/>
                  </w:tcBorders>
                  <w:noWrap w:val="0"/>
                  <w:vAlign w:val="center"/>
                </w:tcPr>
                <w:p w14:paraId="2641011E">
                  <w:pPr>
                    <w:pStyle w:val="41"/>
                    <w:tabs>
                      <w:tab w:val="left" w:pos="1257"/>
                    </w:tabs>
                    <w:ind w:firstLine="2951" w:firstLineChars="1400"/>
                    <w:rPr>
                      <w:rFonts w:hint="default" w:ascii="Times New Roman" w:hAnsi="Times New Roman" w:cs="Times New Roman"/>
                      <w:b/>
                      <w:color w:val="auto"/>
                      <w:sz w:val="21"/>
                      <w:szCs w:val="21"/>
                    </w:rPr>
                  </w:pPr>
                  <w:r>
                    <w:rPr>
                      <w:rFonts w:hint="default" w:ascii="Times New Roman" w:hAnsi="Times New Roman" w:eastAsia="宋体" w:cs="Times New Roman"/>
                      <w:b/>
                      <w:color w:val="auto"/>
                      <w:kern w:val="0"/>
                      <w:sz w:val="21"/>
                      <w:szCs w:val="21"/>
                    </w:rPr>
                    <w:t>合计</w:t>
                  </w:r>
                </w:p>
              </w:tc>
              <w:tc>
                <w:tcPr>
                  <w:tcW w:w="1420" w:type="dxa"/>
                  <w:tcBorders>
                    <w:left w:val="single" w:color="auto" w:sz="4" w:space="0"/>
                  </w:tcBorders>
                  <w:noWrap w:val="0"/>
                  <w:vAlign w:val="center"/>
                </w:tcPr>
                <w:p w14:paraId="032B45BD">
                  <w:pPr>
                    <w:pStyle w:val="41"/>
                    <w:tabs>
                      <w:tab w:val="left" w:pos="1257"/>
                    </w:tabs>
                    <w:rPr>
                      <w:rFonts w:hint="default" w:ascii="Times New Roman" w:hAnsi="Times New Roman" w:cs="Times New Roman"/>
                      <w:b/>
                      <w:color w:val="auto"/>
                      <w:kern w:val="0"/>
                      <w:sz w:val="21"/>
                      <w:szCs w:val="21"/>
                    </w:rPr>
                  </w:pPr>
                  <w:r>
                    <w:rPr>
                      <w:rFonts w:hint="eastAsia" w:ascii="Times New Roman" w:cs="Times New Roman"/>
                      <w:b/>
                      <w:color w:val="auto"/>
                      <w:kern w:val="0"/>
                      <w:sz w:val="21"/>
                      <w:szCs w:val="21"/>
                      <w:lang w:val="en-US" w:eastAsia="zh-CN"/>
                    </w:rPr>
                    <w:t>104.75</w:t>
                  </w:r>
                  <w:r>
                    <w:rPr>
                      <w:rFonts w:hint="default" w:ascii="Times New Roman" w:hAnsi="Times New Roman" w:eastAsia="宋体" w:cs="Times New Roman"/>
                      <w:bCs/>
                      <w:color w:val="auto"/>
                      <w:kern w:val="0"/>
                      <w:sz w:val="21"/>
                      <w:szCs w:val="21"/>
                    </w:rPr>
                    <w:t>万元</w:t>
                  </w:r>
                </w:p>
              </w:tc>
            </w:tr>
          </w:tbl>
          <w:p w14:paraId="378CB0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p>
        </w:tc>
      </w:tr>
      <w:tr w14:paraId="6AA6C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11" w:type="dxa"/>
            <w:noWrap w:val="0"/>
            <w:vAlign w:val="center"/>
          </w:tcPr>
          <w:p w14:paraId="2BA81E66">
            <w:pPr>
              <w:pStyle w:val="24"/>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788" w:type="dxa"/>
            <w:noWrap w:val="0"/>
            <w:vAlign w:val="top"/>
          </w:tcPr>
          <w:p w14:paraId="7F7DAD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一、工艺流程简述</w:t>
            </w:r>
          </w:p>
          <w:p w14:paraId="7C104CD1">
            <w:pPr>
              <w:bidi w:val="0"/>
              <w:spacing w:line="360" w:lineRule="auto"/>
              <w:ind w:firstLine="241" w:firstLineChars="1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（一）施工期工艺流程和产排污环节</w:t>
            </w:r>
          </w:p>
          <w:p w14:paraId="75F5639A">
            <w:pPr>
              <w:keepNext w:val="0"/>
              <w:keepLines w:val="0"/>
              <w:widowControl/>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1、施工期工艺流程</w:t>
            </w:r>
          </w:p>
          <w:p w14:paraId="3D23D8CA">
            <w:pPr>
              <w:spacing w:line="360" w:lineRule="auto"/>
              <w:ind w:firstLine="480" w:firstLineChars="200"/>
              <w:jc w:val="left"/>
              <w:rPr>
                <w:rFonts w:hint="default" w:ascii="Times New Roman" w:hAnsi="Times New Roman" w:cs="Times New Roman"/>
                <w:color w:val="auto"/>
                <w:sz w:val="24"/>
                <w:szCs w:val="40"/>
              </w:rPr>
            </w:pPr>
            <w:r>
              <w:rPr>
                <w:rFonts w:hint="default" w:ascii="Times New Roman" w:hAnsi="Times New Roman" w:cs="Times New Roman"/>
                <w:color w:val="auto"/>
                <w:sz w:val="24"/>
                <w:szCs w:val="22"/>
              </w:rPr>
              <w:t>本项目</w:t>
            </w:r>
            <w:r>
              <w:rPr>
                <w:rFonts w:hint="default" w:ascii="Times New Roman" w:hAnsi="Times New Roman" w:cs="Times New Roman"/>
                <w:color w:val="auto"/>
                <w:kern w:val="1"/>
                <w:sz w:val="24"/>
                <w:szCs w:val="22"/>
              </w:rPr>
              <w:t>加油站占地面积为</w:t>
            </w:r>
            <w:r>
              <w:rPr>
                <w:rFonts w:hint="eastAsia" w:cs="Times New Roman"/>
                <w:color w:val="auto"/>
                <w:kern w:val="1"/>
                <w:sz w:val="24"/>
                <w:szCs w:val="22"/>
                <w:lang w:val="en-US" w:eastAsia="zh-CN"/>
              </w:rPr>
              <w:t>2528</w:t>
            </w:r>
            <w:r>
              <w:rPr>
                <w:rFonts w:hint="default" w:ascii="Times New Roman" w:hAnsi="Times New Roman" w:cs="Times New Roman"/>
                <w:color w:val="auto"/>
                <w:kern w:val="1"/>
                <w:sz w:val="24"/>
                <w:szCs w:val="22"/>
              </w:rPr>
              <w:t>m</w:t>
            </w:r>
            <w:r>
              <w:rPr>
                <w:rFonts w:hint="default" w:ascii="Times New Roman" w:hAnsi="Times New Roman" w:cs="Times New Roman"/>
                <w:color w:val="auto"/>
                <w:kern w:val="1"/>
                <w:sz w:val="24"/>
                <w:szCs w:val="22"/>
                <w:vertAlign w:val="superscript"/>
              </w:rPr>
              <w:t>2</w:t>
            </w:r>
            <w:r>
              <w:rPr>
                <w:rFonts w:hint="default" w:ascii="Times New Roman" w:hAnsi="Times New Roman" w:cs="Times New Roman"/>
                <w:color w:val="auto"/>
                <w:kern w:val="1"/>
                <w:sz w:val="24"/>
                <w:szCs w:val="22"/>
              </w:rPr>
              <w:t>。</w:t>
            </w:r>
            <w:r>
              <w:rPr>
                <w:rFonts w:hint="default" w:ascii="Times New Roman" w:hAnsi="Times New Roman" w:cs="Times New Roman"/>
                <w:color w:val="auto"/>
                <w:kern w:val="1"/>
                <w:sz w:val="24"/>
                <w:szCs w:val="22"/>
                <w:lang w:val="en-US" w:eastAsia="zh-CN"/>
              </w:rPr>
              <w:t>项目新建1栋站房，1个</w:t>
            </w:r>
            <w:r>
              <w:rPr>
                <w:rFonts w:hint="default" w:ascii="Times New Roman" w:hAnsi="Times New Roman" w:cs="Times New Roman"/>
                <w:color w:val="auto"/>
                <w:kern w:val="1"/>
                <w:sz w:val="24"/>
                <w:szCs w:val="22"/>
              </w:rPr>
              <w:t>油罐区</w:t>
            </w:r>
            <w:r>
              <w:rPr>
                <w:rFonts w:hint="default" w:ascii="Times New Roman" w:hAnsi="Times New Roman" w:cs="Times New Roman"/>
                <w:color w:val="auto"/>
                <w:kern w:val="1"/>
                <w:sz w:val="24"/>
                <w:szCs w:val="22"/>
                <w:lang w:eastAsia="zh-CN"/>
              </w:rPr>
              <w:t>，</w:t>
            </w:r>
            <w:r>
              <w:rPr>
                <w:rFonts w:hint="default" w:ascii="Times New Roman" w:hAnsi="Times New Roman" w:cs="Times New Roman"/>
                <w:color w:val="auto"/>
                <w:kern w:val="1"/>
                <w:sz w:val="24"/>
                <w:szCs w:val="22"/>
              </w:rPr>
              <w:t>油罐区</w:t>
            </w:r>
            <w:r>
              <w:rPr>
                <w:rFonts w:hint="default" w:ascii="Times New Roman" w:hAnsi="Times New Roman" w:cs="Times New Roman"/>
                <w:color w:val="auto"/>
                <w:kern w:val="1"/>
                <w:sz w:val="24"/>
                <w:szCs w:val="22"/>
                <w:lang w:val="en-US" w:eastAsia="zh-CN"/>
              </w:rPr>
              <w:t>设置</w:t>
            </w:r>
            <w:r>
              <w:rPr>
                <w:rFonts w:hint="default" w:ascii="Times New Roman" w:hAnsi="Times New Roman" w:cs="Times New Roman"/>
                <w:color w:val="auto"/>
                <w:kern w:val="1"/>
                <w:sz w:val="24"/>
                <w:szCs w:val="22"/>
              </w:rPr>
              <w:t>30m³9</w:t>
            </w:r>
            <w:r>
              <w:rPr>
                <w:rFonts w:hint="default" w:ascii="Times New Roman" w:hAnsi="Times New Roman" w:cs="Times New Roman"/>
                <w:color w:val="auto"/>
                <w:kern w:val="1"/>
                <w:sz w:val="24"/>
                <w:szCs w:val="22"/>
                <w:lang w:val="en-US" w:eastAsia="zh-CN"/>
              </w:rPr>
              <w:t>2</w:t>
            </w:r>
            <w:r>
              <w:rPr>
                <w:rFonts w:hint="default" w:ascii="Times New Roman" w:hAnsi="Times New Roman" w:cs="Times New Roman"/>
                <w:color w:val="auto"/>
                <w:kern w:val="1"/>
                <w:sz w:val="24"/>
                <w:szCs w:val="22"/>
              </w:rPr>
              <w:t>#汽油储罐1个，</w:t>
            </w:r>
            <w:r>
              <w:rPr>
                <w:rFonts w:hint="default" w:ascii="Times New Roman" w:hAnsi="Times New Roman" w:cs="Times New Roman"/>
                <w:color w:val="auto"/>
                <w:kern w:val="1"/>
                <w:sz w:val="24"/>
                <w:szCs w:val="22"/>
                <w:lang w:val="en-US" w:eastAsia="zh-CN"/>
              </w:rPr>
              <w:t>3</w:t>
            </w:r>
            <w:r>
              <w:rPr>
                <w:rFonts w:hint="default" w:ascii="Times New Roman" w:hAnsi="Times New Roman" w:cs="Times New Roman"/>
                <w:color w:val="auto"/>
                <w:kern w:val="1"/>
                <w:sz w:val="24"/>
                <w:szCs w:val="22"/>
              </w:rPr>
              <w:t>0m³9</w:t>
            </w:r>
            <w:r>
              <w:rPr>
                <w:rFonts w:hint="default" w:ascii="Times New Roman" w:hAnsi="Times New Roman" w:cs="Times New Roman"/>
                <w:color w:val="auto"/>
                <w:kern w:val="1"/>
                <w:sz w:val="24"/>
                <w:szCs w:val="22"/>
                <w:lang w:val="en-US" w:eastAsia="zh-CN"/>
              </w:rPr>
              <w:t>5</w:t>
            </w:r>
            <w:r>
              <w:rPr>
                <w:rFonts w:hint="default" w:ascii="Times New Roman" w:hAnsi="Times New Roman" w:cs="Times New Roman"/>
                <w:color w:val="auto"/>
                <w:kern w:val="1"/>
                <w:sz w:val="24"/>
                <w:szCs w:val="22"/>
              </w:rPr>
              <w:t>#汽油储油罐1个，</w:t>
            </w:r>
            <w:r>
              <w:rPr>
                <w:rFonts w:hint="default" w:ascii="Times New Roman" w:hAnsi="Times New Roman" w:cs="Times New Roman"/>
                <w:color w:val="auto"/>
                <w:kern w:val="1"/>
                <w:sz w:val="24"/>
                <w:szCs w:val="22"/>
                <w:lang w:val="en-US" w:eastAsia="zh-CN"/>
              </w:rPr>
              <w:t>3</w:t>
            </w:r>
            <w:r>
              <w:rPr>
                <w:rFonts w:hint="default" w:ascii="Times New Roman" w:hAnsi="Times New Roman" w:cs="Times New Roman"/>
                <w:color w:val="auto"/>
                <w:kern w:val="1"/>
                <w:sz w:val="24"/>
                <w:szCs w:val="22"/>
              </w:rPr>
              <w:t>0m³</w:t>
            </w:r>
            <w:r>
              <w:rPr>
                <w:rFonts w:hint="default" w:ascii="Times New Roman" w:hAnsi="Times New Roman" w:cs="Times New Roman"/>
                <w:color w:val="auto"/>
                <w:kern w:val="1"/>
                <w:sz w:val="24"/>
                <w:szCs w:val="22"/>
                <w:lang w:val="en-US" w:eastAsia="zh-CN"/>
              </w:rPr>
              <w:t>0</w:t>
            </w:r>
            <w:r>
              <w:rPr>
                <w:rFonts w:hint="default" w:ascii="Times New Roman" w:hAnsi="Times New Roman" w:cs="Times New Roman"/>
                <w:color w:val="auto"/>
                <w:kern w:val="1"/>
                <w:sz w:val="24"/>
                <w:szCs w:val="22"/>
              </w:rPr>
              <w:t>#</w:t>
            </w:r>
            <w:r>
              <w:rPr>
                <w:rFonts w:hint="default" w:ascii="Times New Roman" w:hAnsi="Times New Roman" w:cs="Times New Roman"/>
                <w:color w:val="auto"/>
                <w:kern w:val="1"/>
                <w:sz w:val="24"/>
                <w:szCs w:val="22"/>
                <w:lang w:val="en-US" w:eastAsia="zh-CN"/>
              </w:rPr>
              <w:t>柴</w:t>
            </w:r>
            <w:r>
              <w:rPr>
                <w:rFonts w:hint="default" w:ascii="Times New Roman" w:hAnsi="Times New Roman" w:cs="Times New Roman"/>
                <w:color w:val="auto"/>
                <w:kern w:val="1"/>
                <w:sz w:val="24"/>
                <w:szCs w:val="22"/>
              </w:rPr>
              <w:t>油储油罐1个，均为双层油罐，总储油量为</w:t>
            </w:r>
            <w:r>
              <w:rPr>
                <w:rFonts w:hint="default" w:ascii="Times New Roman" w:hAnsi="Times New Roman" w:cs="Times New Roman"/>
                <w:color w:val="auto"/>
                <w:kern w:val="1"/>
                <w:sz w:val="24"/>
                <w:szCs w:val="22"/>
                <w:lang w:val="en-US" w:eastAsia="zh-CN"/>
              </w:rPr>
              <w:t>75</w:t>
            </w:r>
            <w:r>
              <w:rPr>
                <w:rFonts w:hint="default" w:ascii="Times New Roman" w:hAnsi="Times New Roman" w:cs="Times New Roman"/>
                <w:color w:val="auto"/>
                <w:kern w:val="1"/>
                <w:sz w:val="24"/>
                <w:szCs w:val="22"/>
              </w:rPr>
              <w:t>m³（</w:t>
            </w:r>
            <w:r>
              <w:rPr>
                <w:rFonts w:hint="default" w:ascii="Times New Roman" w:hAnsi="Times New Roman" w:cs="Times New Roman"/>
                <w:color w:val="auto"/>
                <w:sz w:val="24"/>
                <w:szCs w:val="32"/>
              </w:rPr>
              <w:t>柴油罐容积折半计入油罐总容积</w:t>
            </w:r>
            <w:r>
              <w:rPr>
                <w:rFonts w:hint="default" w:ascii="Times New Roman" w:hAnsi="Times New Roman" w:cs="Times New Roman"/>
                <w:color w:val="auto"/>
                <w:kern w:val="1"/>
                <w:sz w:val="24"/>
                <w:szCs w:val="22"/>
              </w:rPr>
              <w:t>）。加油站内</w:t>
            </w:r>
            <w:r>
              <w:rPr>
                <w:rFonts w:hint="default" w:ascii="Times New Roman" w:hAnsi="Times New Roman" w:cs="Times New Roman"/>
                <w:bCs/>
                <w:color w:val="auto"/>
                <w:sz w:val="24"/>
                <w:szCs w:val="22"/>
              </w:rPr>
              <w:t>设</w:t>
            </w:r>
            <w:r>
              <w:rPr>
                <w:rFonts w:hint="default" w:ascii="Times New Roman" w:hAnsi="Times New Roman" w:cs="Times New Roman"/>
                <w:bCs/>
                <w:color w:val="auto"/>
                <w:sz w:val="24"/>
                <w:szCs w:val="22"/>
                <w:lang w:val="en-US" w:eastAsia="zh-CN"/>
              </w:rPr>
              <w:t>1</w:t>
            </w:r>
            <w:r>
              <w:rPr>
                <w:rFonts w:hint="default" w:ascii="Times New Roman" w:hAnsi="Times New Roman" w:cs="Times New Roman"/>
                <w:bCs/>
                <w:color w:val="auto"/>
                <w:sz w:val="24"/>
                <w:szCs w:val="22"/>
              </w:rPr>
              <w:t>个罩棚，罩棚下设置</w:t>
            </w:r>
            <w:r>
              <w:rPr>
                <w:rFonts w:hint="default" w:ascii="Times New Roman" w:hAnsi="Times New Roman" w:cs="Times New Roman"/>
                <w:bCs/>
                <w:color w:val="auto"/>
                <w:sz w:val="24"/>
                <w:szCs w:val="22"/>
                <w:lang w:val="en-US" w:eastAsia="zh-CN"/>
              </w:rPr>
              <w:t>2</w:t>
            </w:r>
            <w:r>
              <w:rPr>
                <w:rFonts w:hint="default" w:ascii="Times New Roman" w:hAnsi="Times New Roman" w:cs="Times New Roman"/>
                <w:bCs/>
                <w:color w:val="auto"/>
                <w:sz w:val="24"/>
                <w:szCs w:val="22"/>
              </w:rPr>
              <w:t>个加油岛，</w:t>
            </w:r>
            <w:r>
              <w:rPr>
                <w:rFonts w:hint="default" w:ascii="Times New Roman" w:hAnsi="Times New Roman" w:cs="Times New Roman"/>
                <w:color w:val="auto"/>
                <w:sz w:val="24"/>
                <w:szCs w:val="40"/>
              </w:rPr>
              <w:t>根据建设方提供资料，项目油罐区及汽油加油机配套设置</w:t>
            </w:r>
            <w:r>
              <w:rPr>
                <w:rFonts w:hint="eastAsia" w:cs="Times New Roman"/>
                <w:color w:val="auto"/>
                <w:sz w:val="24"/>
                <w:szCs w:val="40"/>
                <w:lang w:eastAsia="zh-CN"/>
              </w:rPr>
              <w:t>油气回收系统</w:t>
            </w:r>
            <w:r>
              <w:rPr>
                <w:rFonts w:hint="default" w:ascii="Times New Roman" w:hAnsi="Times New Roman" w:cs="Times New Roman"/>
                <w:color w:val="auto"/>
                <w:sz w:val="24"/>
                <w:szCs w:val="40"/>
              </w:rPr>
              <w:t>，站内配套设置三级</w:t>
            </w:r>
            <w:r>
              <w:rPr>
                <w:rFonts w:hint="default" w:ascii="Times New Roman" w:hAnsi="Times New Roman" w:cs="Times New Roman"/>
                <w:color w:val="auto"/>
                <w:sz w:val="24"/>
                <w:szCs w:val="40"/>
                <w:lang w:val="en-US" w:eastAsia="zh-CN"/>
              </w:rPr>
              <w:t>油水分离池</w:t>
            </w:r>
            <w:r>
              <w:rPr>
                <w:rFonts w:hint="default" w:ascii="Times New Roman" w:hAnsi="Times New Roman" w:cs="Times New Roman"/>
                <w:color w:val="auto"/>
                <w:sz w:val="24"/>
                <w:szCs w:val="40"/>
              </w:rPr>
              <w:t>、化粪池</w:t>
            </w:r>
            <w:r>
              <w:rPr>
                <w:rFonts w:hint="eastAsia" w:cs="Times New Roman"/>
                <w:color w:val="auto"/>
                <w:sz w:val="24"/>
                <w:szCs w:val="40"/>
                <w:lang w:val="en-US" w:eastAsia="zh-CN"/>
              </w:rPr>
              <w:t>等</w:t>
            </w:r>
            <w:r>
              <w:rPr>
                <w:rFonts w:hint="default" w:ascii="Times New Roman" w:hAnsi="Times New Roman" w:cs="Times New Roman"/>
                <w:color w:val="auto"/>
                <w:sz w:val="24"/>
                <w:szCs w:val="40"/>
              </w:rPr>
              <w:t>环保设施。</w:t>
            </w:r>
          </w:p>
          <w:p w14:paraId="340FF436">
            <w:pPr>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项目施工期工程内容主要包括</w:t>
            </w:r>
            <w:r>
              <w:rPr>
                <w:rFonts w:hint="eastAsia" w:cs="Times New Roman"/>
                <w:color w:val="auto"/>
                <w:sz w:val="24"/>
                <w:lang w:val="en-US" w:eastAsia="zh-CN"/>
              </w:rPr>
              <w:t>现有加油站拆除、</w:t>
            </w:r>
            <w:r>
              <w:rPr>
                <w:rFonts w:hint="default" w:ascii="Times New Roman" w:hAnsi="Times New Roman" w:cs="Times New Roman"/>
                <w:color w:val="auto"/>
                <w:sz w:val="24"/>
              </w:rPr>
              <w:t>场地平整、基础开挖、建构筑物的建造、设备的安装调试，</w:t>
            </w:r>
            <w:r>
              <w:rPr>
                <w:rFonts w:hint="default" w:ascii="Times New Roman" w:hAnsi="Times New Roman" w:cs="Times New Roman"/>
                <w:color w:val="auto"/>
                <w:sz w:val="24"/>
                <w:lang w:val="en-US" w:eastAsia="zh-CN"/>
              </w:rPr>
              <w:t>施工人员就近招聘，不在场地食宿、不设施工营地，加油站</w:t>
            </w:r>
            <w:r>
              <w:rPr>
                <w:rFonts w:hint="eastAsia" w:cs="Times New Roman"/>
                <w:color w:val="auto"/>
                <w:sz w:val="24"/>
                <w:lang w:val="en-US" w:eastAsia="zh-CN"/>
              </w:rPr>
              <w:t>西</w:t>
            </w:r>
            <w:r>
              <w:rPr>
                <w:rFonts w:hint="default" w:ascii="Times New Roman" w:hAnsi="Times New Roman" w:cs="Times New Roman"/>
                <w:color w:val="auto"/>
                <w:sz w:val="24"/>
                <w:lang w:val="en-US" w:eastAsia="zh-CN"/>
              </w:rPr>
              <w:t>侧为</w:t>
            </w:r>
            <w:r>
              <w:rPr>
                <w:rFonts w:hint="eastAsia" w:cs="Times New Roman"/>
                <w:color w:val="auto"/>
                <w:sz w:val="24"/>
                <w:lang w:val="en-US" w:eastAsia="zh-CN"/>
              </w:rPr>
              <w:t>G213国道</w:t>
            </w:r>
            <w:r>
              <w:rPr>
                <w:rFonts w:hint="default" w:ascii="Times New Roman" w:hAnsi="Times New Roman" w:cs="Times New Roman"/>
                <w:color w:val="auto"/>
                <w:sz w:val="24"/>
                <w:lang w:val="en-US" w:eastAsia="zh-CN"/>
              </w:rPr>
              <w:t>，便于施工进场，本项目不新建施工便道。</w:t>
            </w:r>
          </w:p>
          <w:p w14:paraId="5AA7140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该项目施工期约为</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个月。其施工流程见图</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14:paraId="28C8DCA1">
            <w:pPr>
              <w:jc w:val="center"/>
              <w:rPr>
                <w:rFonts w:hint="default" w:ascii="Times New Roman" w:hAnsi="Times New Roman" w:cs="Times New Roman"/>
                <w:color w:val="auto"/>
              </w:rPr>
            </w:pPr>
            <w:r>
              <w:rPr>
                <w:color w:val="auto"/>
              </w:rPr>
              <w:drawing>
                <wp:inline distT="0" distB="0" distL="114300" distR="114300">
                  <wp:extent cx="5438775" cy="3486785"/>
                  <wp:effectExtent l="0" t="0" r="9525"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clrChange>
                              <a:clrFrom>
                                <a:srgbClr val="FFFFFF">
                                  <a:alpha val="100000"/>
                                </a:srgbClr>
                              </a:clrFrom>
                              <a:clrTo>
                                <a:srgbClr val="FFFFFF">
                                  <a:alpha val="100000"/>
                                  <a:alpha val="0"/>
                                </a:srgbClr>
                              </a:clrTo>
                            </a:clrChange>
                          </a:blip>
                          <a:stretch>
                            <a:fillRect/>
                          </a:stretch>
                        </pic:blipFill>
                        <pic:spPr>
                          <a:xfrm>
                            <a:off x="0" y="0"/>
                            <a:ext cx="5438775" cy="3486785"/>
                          </a:xfrm>
                          <a:prstGeom prst="rect">
                            <a:avLst/>
                          </a:prstGeom>
                          <a:noFill/>
                          <a:ln>
                            <a:noFill/>
                          </a:ln>
                        </pic:spPr>
                      </pic:pic>
                    </a:graphicData>
                  </a:graphic>
                </wp:inline>
              </w:drawing>
            </w:r>
          </w:p>
          <w:p w14:paraId="53393E95">
            <w:pPr>
              <w:pStyle w:val="43"/>
              <w:autoSpaceDN/>
              <w:snapToGrid w:val="0"/>
              <w:spacing w:line="360" w:lineRule="auto"/>
              <w:ind w:firstLine="438" w:firstLineChars="200"/>
              <w:jc w:val="center"/>
              <w:rPr>
                <w:rStyle w:val="44"/>
                <w:rFonts w:hint="default" w:ascii="Times New Roman" w:hAnsi="Times New Roman" w:cs="Times New Roman"/>
                <w:b/>
                <w:bCs/>
                <w:color w:val="auto"/>
                <w:spacing w:val="4"/>
                <w:sz w:val="21"/>
                <w:szCs w:val="21"/>
                <w:u w:val="none"/>
              </w:rPr>
            </w:pPr>
            <w:r>
              <w:rPr>
                <w:rStyle w:val="44"/>
                <w:rFonts w:hint="default" w:ascii="Times New Roman" w:hAnsi="Times New Roman" w:cs="Times New Roman"/>
                <w:b/>
                <w:bCs/>
                <w:color w:val="auto"/>
                <w:spacing w:val="4"/>
                <w:sz w:val="21"/>
                <w:szCs w:val="21"/>
                <w:u w:val="none"/>
              </w:rPr>
              <w:t>图</w:t>
            </w:r>
            <w:r>
              <w:rPr>
                <w:rStyle w:val="44"/>
                <w:rFonts w:hint="default" w:ascii="Times New Roman" w:hAnsi="Times New Roman" w:cs="Times New Roman"/>
                <w:b/>
                <w:bCs/>
                <w:color w:val="auto"/>
                <w:spacing w:val="4"/>
                <w:sz w:val="21"/>
                <w:szCs w:val="21"/>
                <w:u w:val="none"/>
                <w:lang w:val="en-US" w:eastAsia="zh-CN"/>
              </w:rPr>
              <w:t>2</w:t>
            </w:r>
            <w:r>
              <w:rPr>
                <w:rStyle w:val="44"/>
                <w:rFonts w:hint="default" w:ascii="Times New Roman" w:hAnsi="Times New Roman" w:cs="Times New Roman"/>
                <w:b/>
                <w:bCs/>
                <w:color w:val="auto"/>
                <w:spacing w:val="4"/>
                <w:sz w:val="21"/>
                <w:szCs w:val="21"/>
                <w:u w:val="none"/>
              </w:rPr>
              <w:t>-</w:t>
            </w:r>
            <w:r>
              <w:rPr>
                <w:rStyle w:val="44"/>
                <w:rFonts w:hint="default" w:ascii="Times New Roman" w:hAnsi="Times New Roman" w:cs="Times New Roman"/>
                <w:b/>
                <w:bCs/>
                <w:color w:val="auto"/>
                <w:spacing w:val="4"/>
                <w:sz w:val="21"/>
                <w:szCs w:val="21"/>
                <w:u w:val="none"/>
                <w:lang w:val="en-US" w:eastAsia="zh-CN"/>
              </w:rPr>
              <w:t>3</w:t>
            </w:r>
            <w:r>
              <w:rPr>
                <w:rStyle w:val="44"/>
                <w:rFonts w:hint="default" w:ascii="Times New Roman" w:hAnsi="Times New Roman" w:cs="Times New Roman"/>
                <w:b/>
                <w:bCs/>
                <w:color w:val="auto"/>
                <w:spacing w:val="4"/>
                <w:sz w:val="21"/>
                <w:szCs w:val="21"/>
                <w:u w:val="none"/>
              </w:rPr>
              <w:t xml:space="preserve">  项目施工期污染流程图</w:t>
            </w:r>
          </w:p>
          <w:p w14:paraId="3FAD618E">
            <w:pPr>
              <w:pStyle w:val="43"/>
              <w:autoSpaceDN/>
              <w:snapToGrid w:val="0"/>
              <w:spacing w:line="360" w:lineRule="auto"/>
              <w:ind w:firstLine="498" w:firstLineChars="200"/>
              <w:rPr>
                <w:rStyle w:val="44"/>
                <w:rFonts w:hint="default" w:ascii="Times New Roman" w:hAnsi="Times New Roman" w:cs="Times New Roman"/>
                <w:color w:val="auto"/>
                <w:spacing w:val="4"/>
                <w:sz w:val="36"/>
                <w:szCs w:val="36"/>
                <w:u w:val="none"/>
              </w:rPr>
            </w:pPr>
            <w:r>
              <w:rPr>
                <w:rStyle w:val="44"/>
                <w:rFonts w:hint="default" w:ascii="Times New Roman" w:hAnsi="Times New Roman" w:cs="Times New Roman"/>
                <w:b/>
                <w:bCs/>
                <w:color w:val="auto"/>
                <w:spacing w:val="4"/>
                <w:sz w:val="24"/>
                <w:szCs w:val="24"/>
                <w:u w:val="none"/>
                <w:lang w:val="en-US" w:eastAsia="zh-CN"/>
              </w:rPr>
              <w:t>2、</w:t>
            </w:r>
            <w:r>
              <w:rPr>
                <w:rFonts w:hint="default" w:ascii="Times New Roman" w:hAnsi="Times New Roman" w:cs="Times New Roman"/>
                <w:b/>
                <w:bCs/>
                <w:color w:val="auto"/>
                <w:sz w:val="24"/>
                <w:highlight w:val="none"/>
              </w:rPr>
              <w:t>施工期产污环节简介</w:t>
            </w:r>
          </w:p>
          <w:p w14:paraId="7A4F64A3">
            <w:pPr>
              <w:pStyle w:val="43"/>
              <w:autoSpaceDN/>
              <w:snapToGrid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eastAsia" w:cs="Times New Roman"/>
                <w:color w:val="auto"/>
                <w:sz w:val="24"/>
                <w:szCs w:val="24"/>
                <w:lang w:val="en-US" w:eastAsia="zh-CN"/>
              </w:rPr>
              <w:t>现有加油站拆除</w:t>
            </w:r>
          </w:p>
          <w:p w14:paraId="2BA9169B">
            <w:pPr>
              <w:pStyle w:val="43"/>
              <w:autoSpaceDN/>
              <w:snapToGrid w:val="0"/>
              <w:spacing w:line="360" w:lineRule="auto"/>
              <w:ind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项目场地现有一个三级加油站，主要工程设施有：站房、3个SF双层油罐、罩棚、</w:t>
            </w:r>
            <w:r>
              <w:rPr>
                <w:rFonts w:hint="default" w:cs="Times New Roman"/>
                <w:color w:val="auto"/>
                <w:sz w:val="24"/>
                <w:szCs w:val="24"/>
                <w:lang w:val="en-US" w:eastAsia="zh-CN"/>
              </w:rPr>
              <w:t>卸油区</w:t>
            </w:r>
            <w:r>
              <w:rPr>
                <w:rFonts w:hint="eastAsia" w:cs="Times New Roman"/>
                <w:color w:val="auto"/>
                <w:sz w:val="24"/>
                <w:szCs w:val="24"/>
                <w:lang w:val="en-US" w:eastAsia="zh-CN"/>
              </w:rPr>
              <w:t>、附房1#、附房2#、附房3#、附房4#、附房5#、附房6#、油水分离池、化粪池。以上建筑除附房1#装修利旧外，全部拆除。</w:t>
            </w:r>
          </w:p>
          <w:p w14:paraId="259A7913">
            <w:pPr>
              <w:pStyle w:val="43"/>
              <w:autoSpaceDN/>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基础工程施工</w:t>
            </w:r>
          </w:p>
          <w:p w14:paraId="61984D66">
            <w:pPr>
              <w:pStyle w:val="43"/>
              <w:autoSpaceDN/>
              <w:snapToGrid w:val="0"/>
              <w:spacing w:line="360" w:lineRule="auto"/>
              <w:ind w:firstLine="3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在项目场地上进行场地平整、土石方（挖方、填方）、地基处理与基础施工，需要使用推土机、装载机等施工机械进行基础施工。</w:t>
            </w:r>
          </w:p>
          <w:p w14:paraId="2DB7102A">
            <w:pPr>
              <w:pStyle w:val="43"/>
              <w:autoSpaceDN/>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主体工程及辅助工程施工</w:t>
            </w:r>
          </w:p>
          <w:p w14:paraId="5F411229">
            <w:pPr>
              <w:pStyle w:val="43"/>
              <w:autoSpaceDN/>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根据施工图纸采用机械结合人工的施工方法进行，使用钢材、石料、混凝土等建筑材料对主体建筑及配套建、构筑物进行建设施工。</w:t>
            </w:r>
          </w:p>
          <w:p w14:paraId="49E1864E">
            <w:pPr>
              <w:pStyle w:val="43"/>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装修、设备安装</w:t>
            </w:r>
          </w:p>
          <w:p w14:paraId="0CAD96C1">
            <w:pPr>
              <w:pStyle w:val="43"/>
              <w:autoSpaceDN/>
              <w:snapToGrid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对已建成的主体工程和配套工程按设计要求进行装修，按生产要求购置、安装设备，并进行调试运行。</w:t>
            </w:r>
          </w:p>
          <w:p w14:paraId="5E54060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eastAsia" w:cs="Times New Roman"/>
                <w:color w:val="auto"/>
                <w:sz w:val="24"/>
                <w:lang w:val="en-US" w:eastAsia="zh-CN"/>
              </w:rPr>
              <w:t>5</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绿化：站内绿化安排在工程基本完工后实施。绿化工作主要分为：覆土、种植、养护，种植区域覆土厚度50cm，绿化基本采用人力施工。</w:t>
            </w:r>
          </w:p>
          <w:p w14:paraId="34D87E4E">
            <w:pPr>
              <w:spacing w:line="360" w:lineRule="auto"/>
              <w:ind w:firstLine="480" w:firstLineChars="200"/>
              <w:rPr>
                <w:rFonts w:hint="default" w:ascii="Times New Roman" w:hAnsi="Times New Roman" w:cs="Times New Roman"/>
                <w:b/>
                <w:color w:val="auto"/>
                <w:sz w:val="24"/>
              </w:rPr>
            </w:pPr>
            <w:r>
              <w:rPr>
                <w:rFonts w:hint="default" w:ascii="Times New Roman" w:hAnsi="Times New Roman" w:eastAsia="宋体" w:cs="Times New Roman"/>
                <w:color w:val="auto"/>
                <w:sz w:val="24"/>
              </w:rPr>
              <w:t>施工过程中产生的污染物主要为</w:t>
            </w:r>
            <w:r>
              <w:rPr>
                <w:rFonts w:hint="default" w:ascii="Times New Roman" w:hAnsi="Times New Roman" w:eastAsia="宋体" w:cs="Times New Roman"/>
                <w:color w:val="auto"/>
                <w:sz w:val="24"/>
                <w:lang w:val="en-US" w:eastAsia="zh-CN"/>
              </w:rPr>
              <w:t>施工扬尘</w:t>
            </w:r>
            <w:r>
              <w:rPr>
                <w:rFonts w:hint="default" w:ascii="Times New Roman" w:hAnsi="Times New Roman" w:eastAsia="宋体" w:cs="Times New Roman"/>
                <w:color w:val="auto"/>
                <w:sz w:val="24"/>
              </w:rPr>
              <w:t>、装修废气、施工机械噪声，</w:t>
            </w:r>
            <w:r>
              <w:rPr>
                <w:rFonts w:hint="default" w:ascii="Times New Roman" w:hAnsi="Times New Roman" w:eastAsia="宋体" w:cs="Times New Roman"/>
                <w:color w:val="auto"/>
                <w:sz w:val="24"/>
                <w:lang w:val="en-US" w:eastAsia="zh-CN"/>
              </w:rPr>
              <w:t>建筑垃圾，</w:t>
            </w:r>
            <w:r>
              <w:rPr>
                <w:rFonts w:hint="default" w:ascii="Times New Roman" w:hAnsi="Times New Roman" w:eastAsia="宋体" w:cs="Times New Roman"/>
                <w:color w:val="auto"/>
                <w:sz w:val="24"/>
              </w:rPr>
              <w:t>以及施工人员产生的生活污水和生活垃圾。</w:t>
            </w:r>
          </w:p>
          <w:p w14:paraId="4E237D4D">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“三场”设置情况</w:t>
            </w:r>
          </w:p>
          <w:p w14:paraId="74EC5615">
            <w:pPr>
              <w:spacing w:line="360" w:lineRule="auto"/>
              <w:ind w:firstLine="42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rPr>
              <w:t>1、</w:t>
            </w:r>
            <w:r>
              <w:rPr>
                <w:rFonts w:hint="default" w:ascii="Times New Roman" w:hAnsi="Times New Roman" w:cs="Times New Roman"/>
                <w:color w:val="auto"/>
                <w:sz w:val="24"/>
                <w:szCs w:val="24"/>
                <w:lang w:bidi="ar"/>
              </w:rPr>
              <w:t>砂、石料场：本工程不设置砂、石料场，项目施工期间使用商品混凝土，施工期间所需建筑材料均外购。</w:t>
            </w:r>
          </w:p>
          <w:p w14:paraId="14C58F72">
            <w:pPr>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2、取土场：本工程不设取土场，基础开挖产生的土石方全部回填，</w:t>
            </w:r>
            <w:r>
              <w:rPr>
                <w:rFonts w:hint="default" w:ascii="Times New Roman" w:hAnsi="Times New Roman" w:cs="Times New Roman"/>
                <w:color w:val="auto"/>
                <w:sz w:val="24"/>
                <w:szCs w:val="24"/>
                <w:lang w:val="en-US" w:eastAsia="zh-CN" w:bidi="ar"/>
              </w:rPr>
              <w:t>不向外取土</w:t>
            </w:r>
            <w:r>
              <w:rPr>
                <w:rFonts w:hint="default" w:ascii="Times New Roman" w:hAnsi="Times New Roman" w:cs="Times New Roman"/>
                <w:color w:val="auto"/>
                <w:sz w:val="24"/>
                <w:szCs w:val="24"/>
                <w:lang w:bidi="ar"/>
              </w:rPr>
              <w:t>。</w:t>
            </w:r>
          </w:p>
          <w:p w14:paraId="5C07A40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rPr>
              <w:t>3、弃渣场：根据项目实际情况，场地内土石仅为临时堆放，</w:t>
            </w:r>
            <w:r>
              <w:rPr>
                <w:rFonts w:hint="default" w:ascii="Times New Roman" w:hAnsi="Times New Roman" w:cs="Times New Roman"/>
                <w:color w:val="auto"/>
                <w:sz w:val="24"/>
                <w:szCs w:val="24"/>
                <w:lang w:eastAsia="zh-CN"/>
              </w:rPr>
              <w:t>施工开挖的土石方</w:t>
            </w:r>
            <w:r>
              <w:rPr>
                <w:rFonts w:hint="default" w:ascii="Times New Roman" w:hAnsi="Times New Roman" w:cs="Times New Roman"/>
                <w:color w:val="auto"/>
                <w:sz w:val="24"/>
                <w:szCs w:val="24"/>
                <w:lang w:val="en-US" w:eastAsia="zh-CN"/>
              </w:rPr>
              <w:t>全部</w:t>
            </w:r>
            <w:r>
              <w:rPr>
                <w:rFonts w:hint="default" w:ascii="Times New Roman" w:hAnsi="Times New Roman" w:cs="Times New Roman"/>
                <w:color w:val="auto"/>
                <w:sz w:val="24"/>
                <w:szCs w:val="24"/>
                <w:lang w:eastAsia="zh-CN"/>
              </w:rPr>
              <w:t>回填，</w:t>
            </w:r>
            <w:r>
              <w:rPr>
                <w:rFonts w:hint="default" w:ascii="Times New Roman" w:hAnsi="Times New Roman" w:cs="Times New Roman"/>
                <w:color w:val="auto"/>
                <w:sz w:val="24"/>
                <w:szCs w:val="24"/>
                <w:lang w:val="en-US" w:eastAsia="zh-CN"/>
              </w:rPr>
              <w:t>不产生</w:t>
            </w:r>
            <w:r>
              <w:rPr>
                <w:rFonts w:hint="default" w:ascii="Times New Roman" w:hAnsi="Times New Roman" w:cs="Times New Roman"/>
                <w:color w:val="auto"/>
                <w:sz w:val="24"/>
                <w:szCs w:val="24"/>
                <w:lang w:eastAsia="zh-CN"/>
              </w:rPr>
              <w:t>废弃土石方</w:t>
            </w:r>
            <w:r>
              <w:rPr>
                <w:rFonts w:hint="default" w:ascii="Times New Roman" w:hAnsi="Times New Roman" w:eastAsia="宋体" w:cs="Times New Roman"/>
                <w:color w:val="auto"/>
                <w:sz w:val="24"/>
              </w:rPr>
              <w:t>。</w:t>
            </w:r>
          </w:p>
          <w:p w14:paraId="3D73DBC8">
            <w:pPr>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表土临时堆场布设于预留用地区内，不新增占地，不会影响主体工程的施工；表土集中堆放，方便施工管理和措施防护。施工期间，针对表土</w:t>
            </w:r>
            <w:r>
              <w:rPr>
                <w:rFonts w:hint="default" w:ascii="Times New Roman" w:hAnsi="Times New Roman" w:cs="Times New Roman"/>
                <w:color w:val="auto"/>
                <w:sz w:val="24"/>
                <w:szCs w:val="24"/>
                <w:lang w:val="en-US" w:eastAsia="zh-CN" w:bidi="ar"/>
              </w:rPr>
              <w:t>临时</w:t>
            </w:r>
            <w:r>
              <w:rPr>
                <w:rFonts w:hint="default" w:ascii="Times New Roman" w:hAnsi="Times New Roman" w:cs="Times New Roman"/>
                <w:color w:val="auto"/>
                <w:sz w:val="24"/>
                <w:szCs w:val="24"/>
                <w:lang w:bidi="ar"/>
              </w:rPr>
              <w:t>堆场设计了临时拦挡、临时覆盖措施，可有效的防治新增水土流失和扬尘。</w:t>
            </w:r>
          </w:p>
          <w:p w14:paraId="202CA7F0">
            <w:pPr>
              <w:bidi w:val="0"/>
              <w:spacing w:line="360" w:lineRule="auto"/>
              <w:ind w:firstLine="241" w:firstLineChars="1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二</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运营期</w:t>
            </w:r>
            <w:r>
              <w:rPr>
                <w:rFonts w:hint="default" w:ascii="Times New Roman" w:hAnsi="Times New Roman" w:cs="Times New Roman"/>
                <w:b/>
                <w:bCs/>
                <w:color w:val="auto"/>
                <w:sz w:val="24"/>
                <w:szCs w:val="24"/>
              </w:rPr>
              <w:t>工艺流程和产排污环节</w:t>
            </w:r>
          </w:p>
          <w:p w14:paraId="52198D7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本项目运营期主要工艺内容包括加油站加油及油气回收工艺。</w:t>
            </w:r>
          </w:p>
          <w:p w14:paraId="4F326D39">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1、加油站加油工艺</w:t>
            </w:r>
          </w:p>
          <w:p w14:paraId="44BACBE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 xml:space="preserve">①油品运输：油品采用油罐车运送至本项目加油站内。 </w:t>
            </w:r>
          </w:p>
          <w:p w14:paraId="25806B3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 xml:space="preserve">②卸油：成品油罐车将不同型号的成品油运入站内，本项目储油罐均为地埋式，采用浸没式密闭卸油方式，装卸人员把卸油软管与油罐车的密封进口连接好，把软管的另一端插入储罐中，打开油罐车开关，利用油罐车与油罐内油液之间的高差，开始自流式卸油，将柴油、汽油分别卸入地埋卧式钢制油罐储存。 </w:t>
            </w:r>
          </w:p>
          <w:p w14:paraId="2BFF5F9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③存储：本项目设置</w:t>
            </w:r>
            <w:r>
              <w:rPr>
                <w:rFonts w:hint="default" w:ascii="Times New Roman" w:hAnsi="Times New Roman" w:cs="Times New Roman"/>
                <w:color w:val="auto"/>
                <w:sz w:val="24"/>
                <w:szCs w:val="24"/>
                <w:lang w:val="en-US" w:eastAsia="zh-CN" w:bidi="ar"/>
              </w:rPr>
              <w:t>3</w:t>
            </w:r>
            <w:r>
              <w:rPr>
                <w:rFonts w:hint="default" w:ascii="Times New Roman" w:hAnsi="Times New Roman" w:cs="Times New Roman"/>
                <w:color w:val="auto"/>
                <w:sz w:val="24"/>
                <w:szCs w:val="24"/>
                <w:lang w:bidi="ar"/>
              </w:rPr>
              <w:t>个埋地油罐，分别储存1个92#汽油罐、1个95#汽油罐</w:t>
            </w:r>
            <w:r>
              <w:rPr>
                <w:rFonts w:hint="default" w:ascii="Times New Roman" w:hAnsi="Times New Roman" w:cs="Times New Roman"/>
                <w:color w:val="auto"/>
                <w:sz w:val="24"/>
                <w:szCs w:val="24"/>
                <w:lang w:eastAsia="zh-CN" w:bidi="ar"/>
              </w:rPr>
              <w:t>、</w:t>
            </w:r>
            <w:r>
              <w:rPr>
                <w:rFonts w:hint="default" w:ascii="Times New Roman" w:hAnsi="Times New Roman" w:cs="Times New Roman"/>
                <w:color w:val="auto"/>
                <w:sz w:val="24"/>
                <w:szCs w:val="24"/>
                <w:lang w:val="en-US" w:eastAsia="zh-CN" w:bidi="ar"/>
              </w:rPr>
              <w:t>1</w:t>
            </w:r>
            <w:r>
              <w:rPr>
                <w:rFonts w:hint="default" w:ascii="Times New Roman" w:hAnsi="Times New Roman" w:cs="Times New Roman"/>
                <w:color w:val="auto"/>
                <w:sz w:val="24"/>
                <w:szCs w:val="24"/>
                <w:lang w:bidi="ar"/>
              </w:rPr>
              <w:t xml:space="preserve">个0#柴油罐。成品油在储油罐内静置储存过程中，储油罐内的温度昼夜有规律的变化。白天温度升高，热量使油气膨胀，压力增高，造成油气的挥发；晚间温度降低，罐内气体压力降低，吸入新鲜空气，为平衡蒸汽压，油气从液相中蒸发，至止油液面上的气体达到新的饱和蒸汽压，造成油气的挥发。此外，敷埋式油罐需要定期检修、清理，届时有少量油渣、油泥产生。 </w:t>
            </w:r>
          </w:p>
          <w:p w14:paraId="0AAF812C">
            <w:pPr>
              <w:spacing w:line="360" w:lineRule="auto"/>
              <w:ind w:firstLine="480" w:firstLineChars="200"/>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4"/>
                <w:szCs w:val="24"/>
                <w:lang w:bidi="ar"/>
              </w:rPr>
              <w:t>④加油：加油机为自动税控计量加油，汽油加油枪为油气回收型加油枪。员工根据顾客需要的品种和数量在加油机上预置，确认油品无误后提枪加油，完毕后收枪复位。潜油泵将储罐内的油品抽出，通过加油管道输送给带计量的加油机，最后由加油枪加入到汽车油箱里，从而实现为汽车油箱加装汽油或柴油的作业。</w:t>
            </w:r>
            <w:r>
              <w:rPr>
                <w:rFonts w:hint="default" w:ascii="Times New Roman" w:hAnsi="Times New Roman" w:cs="Times New Roman"/>
                <w:color w:val="auto"/>
                <w:sz w:val="24"/>
                <w:szCs w:val="24"/>
                <w:lang w:val="en-US" w:eastAsia="zh-CN" w:bidi="ar"/>
              </w:rPr>
              <w:t>车辆进入加油区过程中会产生噪音及少量大气污染物</w:t>
            </w:r>
            <w:r>
              <w:rPr>
                <w:rFonts w:hint="default" w:ascii="Times New Roman" w:hAnsi="Times New Roman" w:cs="Times New Roman"/>
                <w:color w:val="auto"/>
                <w:sz w:val="24"/>
                <w:szCs w:val="24"/>
              </w:rPr>
              <w:t>总烃、CO、NO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等</w:t>
            </w:r>
            <w:r>
              <w:rPr>
                <w:rFonts w:hint="default" w:ascii="Times New Roman" w:hAnsi="Times New Roman" w:cs="Times New Roman"/>
                <w:color w:val="auto"/>
                <w:sz w:val="24"/>
                <w:szCs w:val="24"/>
                <w:lang w:eastAsia="zh-CN"/>
              </w:rPr>
              <w:t>。</w:t>
            </w:r>
          </w:p>
          <w:p w14:paraId="621672DB">
            <w:pPr>
              <w:spacing w:line="360" w:lineRule="auto"/>
              <w:ind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cs="Times New Roman"/>
                <w:color w:val="auto"/>
                <w:sz w:val="24"/>
                <w:szCs w:val="24"/>
                <w:lang w:bidi="ar"/>
              </w:rPr>
              <w:t>⑤</w:t>
            </w:r>
            <w:r>
              <w:rPr>
                <w:rFonts w:hint="default" w:ascii="Times New Roman" w:hAnsi="Times New Roman" w:cs="Times New Roman"/>
                <w:color w:val="auto"/>
                <w:sz w:val="24"/>
                <w:szCs w:val="24"/>
                <w:lang w:val="en-US" w:eastAsia="zh-CN" w:bidi="ar"/>
              </w:rPr>
              <w:t>员工日常工作期间会产生生活废水，外来人员加油过程中部分会产生冲厕废水。</w:t>
            </w:r>
            <w:r>
              <w:rPr>
                <w:rFonts w:hint="default" w:ascii="Times New Roman" w:hAnsi="Times New Roman" w:cs="Times New Roman"/>
                <w:color w:val="auto"/>
                <w:sz w:val="24"/>
              </w:rPr>
              <w:t>厨房废水经隔油池处理后和其它生活污水和外来人员冲厕废水经化粪池处理后</w:t>
            </w:r>
            <w:r>
              <w:rPr>
                <w:rFonts w:hint="eastAsia" w:cs="Times New Roman"/>
                <w:color w:val="auto"/>
                <w:sz w:val="24"/>
                <w:lang w:val="en-US" w:eastAsia="zh-CN"/>
              </w:rPr>
              <w:t>委托寻甸绿运垃圾清运有限公司清运处置</w:t>
            </w:r>
            <w:r>
              <w:rPr>
                <w:rFonts w:hint="default" w:ascii="Times New Roman" w:hAnsi="Times New Roman" w:cs="Times New Roman"/>
                <w:color w:val="auto"/>
                <w:sz w:val="24"/>
              </w:rPr>
              <w:t>。</w:t>
            </w:r>
          </w:p>
          <w:p w14:paraId="4D28318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运营期加油工艺流程</w:t>
            </w:r>
            <w:r>
              <w:rPr>
                <w:rFonts w:hint="default" w:ascii="Times New Roman" w:hAnsi="Times New Roman" w:cs="Times New Roman"/>
                <w:color w:val="auto"/>
                <w:sz w:val="24"/>
                <w:szCs w:val="24"/>
                <w:lang w:val="en-US" w:eastAsia="zh-CN" w:bidi="ar"/>
              </w:rPr>
              <w:t>产污节点</w:t>
            </w:r>
            <w:r>
              <w:rPr>
                <w:rFonts w:hint="default" w:ascii="Times New Roman" w:hAnsi="Times New Roman" w:cs="Times New Roman"/>
                <w:color w:val="auto"/>
                <w:sz w:val="24"/>
                <w:szCs w:val="24"/>
                <w:lang w:bidi="ar"/>
              </w:rPr>
              <w:t>见图</w:t>
            </w:r>
            <w:r>
              <w:rPr>
                <w:rFonts w:hint="default" w:ascii="Times New Roman" w:hAnsi="Times New Roman" w:cs="Times New Roman"/>
                <w:color w:val="auto"/>
                <w:sz w:val="24"/>
                <w:szCs w:val="24"/>
                <w:lang w:val="en-US" w:eastAsia="zh-CN" w:bidi="ar"/>
              </w:rPr>
              <w:t>2</w:t>
            </w:r>
            <w:r>
              <w:rPr>
                <w:rFonts w:hint="default" w:ascii="Times New Roman" w:hAnsi="Times New Roman" w:cs="Times New Roman"/>
                <w:color w:val="auto"/>
                <w:sz w:val="24"/>
                <w:szCs w:val="24"/>
                <w:lang w:bidi="ar"/>
              </w:rPr>
              <w:t>-</w:t>
            </w:r>
            <w:r>
              <w:rPr>
                <w:rFonts w:hint="default" w:ascii="Times New Roman" w:hAnsi="Times New Roman" w:cs="Times New Roman"/>
                <w:color w:val="auto"/>
                <w:sz w:val="24"/>
                <w:szCs w:val="24"/>
                <w:lang w:val="en-US" w:eastAsia="zh-CN" w:bidi="ar"/>
              </w:rPr>
              <w:t>4</w:t>
            </w:r>
            <w:r>
              <w:rPr>
                <w:rFonts w:hint="default" w:ascii="Times New Roman" w:hAnsi="Times New Roman" w:cs="Times New Roman"/>
                <w:color w:val="auto"/>
                <w:sz w:val="24"/>
                <w:szCs w:val="24"/>
                <w:lang w:bidi="ar"/>
              </w:rPr>
              <w:t>。</w:t>
            </w:r>
          </w:p>
          <w:p w14:paraId="5FE7C32F">
            <w:pPr>
              <w:jc w:val="center"/>
              <w:rPr>
                <w:rFonts w:hint="default" w:ascii="Times New Roman" w:hAnsi="Times New Roman" w:cs="Times New Roman"/>
                <w:b/>
                <w:bCs/>
                <w:color w:val="auto"/>
                <w:sz w:val="20"/>
                <w:szCs w:val="20"/>
              </w:rPr>
            </w:pPr>
            <w:r>
              <w:rPr>
                <w:rFonts w:hint="default" w:ascii="Times New Roman" w:hAnsi="Times New Roman" w:cs="Times New Roman"/>
                <w:color w:val="auto"/>
              </w:rPr>
              <w:drawing>
                <wp:inline distT="0" distB="0" distL="114300" distR="114300">
                  <wp:extent cx="4728210" cy="3562350"/>
                  <wp:effectExtent l="0" t="0" r="1524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4728210" cy="3562350"/>
                          </a:xfrm>
                          <a:prstGeom prst="rect">
                            <a:avLst/>
                          </a:prstGeom>
                          <a:noFill/>
                          <a:ln>
                            <a:noFill/>
                          </a:ln>
                        </pic:spPr>
                      </pic:pic>
                    </a:graphicData>
                  </a:graphic>
                </wp:inline>
              </w:drawing>
            </w:r>
          </w:p>
          <w:p w14:paraId="229E60CD">
            <w:pPr>
              <w:spacing w:line="360" w:lineRule="auto"/>
              <w:jc w:val="center"/>
              <w:rPr>
                <w:rFonts w:hint="default" w:ascii="Times New Roman" w:hAnsi="Times New Roman" w:cs="Times New Roman"/>
                <w:b/>
                <w:bCs/>
                <w:color w:val="auto"/>
                <w:sz w:val="20"/>
                <w:szCs w:val="20"/>
              </w:rPr>
            </w:pPr>
            <w:r>
              <w:rPr>
                <w:rFonts w:hint="default" w:ascii="Times New Roman" w:hAnsi="Times New Roman" w:cs="Times New Roman"/>
                <w:color w:val="auto"/>
              </w:rPr>
              <w:drawing>
                <wp:inline distT="0" distB="0" distL="114300" distR="114300">
                  <wp:extent cx="3103880" cy="1090930"/>
                  <wp:effectExtent l="0" t="0" r="127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3103880" cy="1090930"/>
                          </a:xfrm>
                          <a:prstGeom prst="rect">
                            <a:avLst/>
                          </a:prstGeom>
                          <a:noFill/>
                          <a:ln>
                            <a:noFill/>
                          </a:ln>
                        </pic:spPr>
                      </pic:pic>
                    </a:graphicData>
                  </a:graphic>
                </wp:inline>
              </w:drawing>
            </w:r>
          </w:p>
          <w:p w14:paraId="7CC31CAF">
            <w:pPr>
              <w:tabs>
                <w:tab w:val="left" w:pos="2439"/>
                <w:tab w:val="center" w:pos="4351"/>
              </w:tabs>
              <w:spacing w:line="360" w:lineRule="auto"/>
              <w:jc w:val="center"/>
              <w:rPr>
                <w:rFonts w:hint="default" w:ascii="Times New Roman" w:hAnsi="Times New Roman" w:eastAsia="宋体" w:cs="Times New Roman"/>
                <w:b/>
                <w:bCs/>
                <w:color w:val="auto"/>
                <w:sz w:val="22"/>
                <w:szCs w:val="21"/>
                <w:lang w:eastAsia="zh-CN"/>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  运营期工艺流程及产污节点图</w:t>
            </w:r>
          </w:p>
          <w:p w14:paraId="61657D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次油气回收系统，即卸油油气回收系统。国家环保总局《加油站大气污染物排放标准》定义为“将油罐汽车卸汽油时产生的油气，通过密闭方式收集进入油罐汽车罐内的系统”。一次回收，是针对油罐汽车的改造。采取密闭措施，用一根软管将加油站油罐上的呼吸阀和油罐汽车相连接，形成一个回气管路。油罐车通过卸油管路卸油的同时，加油站油罐中的油气通过回气管路回到油罐车，达到油气回收的目的。油罐车将油气带回油库进行处理。</w:t>
            </w:r>
          </w:p>
          <w:p w14:paraId="695D82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次油气回收系统，即加油油气回收系统。国家环保总局《加油站大气污染物排放标准》定义为“将给汽车油箱加汽油时产生的油气，通过密闭方式收集进入埋地油罐的系统”。二次回收，是针对加油机加油枪的改造。采用带回气管的加油枪，在给汽车加油的同时，用真空泵将汽车油箱中的油气抽吸回加油站油罐。《加油站大气污染物排放标准》规定二次回收系统的气液比为1~1.2﹕1，本项目二次回收系统的气液比取1.1﹕1，二次回收系统收集的油气在管道内通过液阻的作用部分凝析为液体进入储罐。</w:t>
            </w:r>
          </w:p>
          <w:p w14:paraId="2B395F22">
            <w:pPr>
              <w:adjustRightInd w:val="0"/>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、汽油油气回收工艺</w:t>
            </w:r>
          </w:p>
          <w:p w14:paraId="6F74668B">
            <w:pPr>
              <w:adjustRightInd w:val="0"/>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油气回收系统由卸油油气回收系统、加油油气回收系统组成。该系统的作用是通过相关油气回收工艺，将加油站在卸油、储油和加油过程中产生的油气进行密闭收集、储存和回收处理，抑制油气无控逸散挥发，达到保护环境及顾客、员工身体健康的目的。</w:t>
            </w:r>
          </w:p>
          <w:p w14:paraId="74D391EC">
            <w:pPr>
              <w:autoSpaceDE w:val="0"/>
              <w:autoSpaceDN w:val="0"/>
              <w:adjustRightInd w:val="0"/>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（1）卸油油气回收</w:t>
            </w:r>
          </w:p>
          <w:p w14:paraId="4D4C0D69">
            <w:pPr>
              <w:autoSpaceDE w:val="0"/>
              <w:autoSpaceDN w:val="0"/>
              <w:adjustRightInd w:val="0"/>
              <w:snapToGrid w:val="0"/>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 w:val="24"/>
                <w:szCs w:val="22"/>
              </w:rPr>
              <w:t>卸油油气回收阶段是通过压力平衡原理，将在卸油过程中挥发的油气收集到油罐车内，运回储油库进行油气回收处理的过程。该阶段油气回收实现过程：在油罐车卸油过程中，储油车内压力减小，地下储罐内压力增加，地下储罐与油罐车内的压力差，使卸油过程中挥发的油气通过管线回到油罐车内，达到油气收集的目的。待卸油结束，地下储罐与油罐车内压力达到平衡状态。卸油油气回收工艺流程图见图</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5</w:t>
            </w:r>
            <w:r>
              <w:rPr>
                <w:rFonts w:hint="default" w:ascii="Times New Roman" w:hAnsi="Times New Roman" w:cs="Times New Roman"/>
                <w:color w:val="auto"/>
                <w:sz w:val="24"/>
                <w:szCs w:val="22"/>
              </w:rPr>
              <w:t>。</w:t>
            </w:r>
          </w:p>
          <w:p w14:paraId="477F9AB3">
            <w:pPr>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0"/>
                <w:szCs w:val="20"/>
              </w:rPr>
              <w:fldChar w:fldCharType="begin"/>
            </w:r>
            <w:r>
              <w:rPr>
                <w:rFonts w:hint="default" w:ascii="Times New Roman" w:hAnsi="Times New Roman" w:cs="Times New Roman"/>
                <w:color w:val="auto"/>
                <w:sz w:val="20"/>
                <w:szCs w:val="20"/>
              </w:rPr>
              <w:instrText xml:space="preserve"> INCLUDEPICTURE "C:\\Users\\AJIGEN\\AppData\\Local\\Temp\\ksohtml97936\\wps3.png" \* MERGEFORMATINET </w:instrText>
            </w:r>
            <w:r>
              <w:rPr>
                <w:rFonts w:hint="default" w:ascii="Times New Roman" w:hAnsi="Times New Roman" w:cs="Times New Roman"/>
                <w:color w:val="auto"/>
                <w:sz w:val="20"/>
                <w:szCs w:val="20"/>
              </w:rPr>
              <w:fldChar w:fldCharType="separate"/>
            </w:r>
            <w:r>
              <w:rPr>
                <w:rFonts w:hint="default" w:ascii="Times New Roman" w:hAnsi="Times New Roman" w:cs="Times New Roman"/>
                <w:color w:val="auto"/>
                <w:sz w:val="20"/>
                <w:szCs w:val="20"/>
              </w:rPr>
              <w:drawing>
                <wp:inline distT="0" distB="0" distL="114300" distR="114300">
                  <wp:extent cx="5461635" cy="2494915"/>
                  <wp:effectExtent l="0" t="0" r="5715" b="635"/>
                  <wp:docPr id="19" name="图片 10" descr="7b0a202020202266696c746572223a202230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95644017-5708-4119-9999-e74b22b00bc7}"/>
                        </s:tag>
                      </a:ext>
                    </a:extLst>
                  </wp:cNvGraphicFramePr>
                  <a:graphic xmlns:a="http://schemas.openxmlformats.org/drawingml/2006/main">
                    <a:graphicData uri="http://schemas.openxmlformats.org/drawingml/2006/picture">
                      <pic:pic xmlns:pic="http://schemas.openxmlformats.org/drawingml/2006/picture">
                        <pic:nvPicPr>
                          <pic:cNvPr id="19" name="图片 10" descr="7b0a202020202266696c746572223a202230220a7d0a"/>
                          <pic:cNvPicPr>
                            <a:picLocks noChangeAspect="1"/>
                          </pic:cNvPicPr>
                        </pic:nvPicPr>
                        <pic:blipFill>
                          <a:blip r:embed="rId15"/>
                          <a:srcRect l="2906" t="3282" r="1621" b="4458"/>
                          <a:stretch>
                            <a:fillRect/>
                          </a:stretch>
                        </pic:blipFill>
                        <pic:spPr>
                          <a:xfrm>
                            <a:off x="0" y="0"/>
                            <a:ext cx="5461635" cy="2494915"/>
                          </a:xfrm>
                          <a:prstGeom prst="rect">
                            <a:avLst/>
                          </a:prstGeom>
                          <a:noFill/>
                          <a:ln>
                            <a:noFill/>
                          </a:ln>
                        </pic:spPr>
                      </pic:pic>
                    </a:graphicData>
                  </a:graphic>
                </wp:inline>
              </w:drawing>
            </w:r>
            <w:r>
              <w:rPr>
                <w:rFonts w:hint="default" w:ascii="Times New Roman" w:hAnsi="Times New Roman" w:cs="Times New Roman"/>
                <w:color w:val="auto"/>
                <w:sz w:val="20"/>
                <w:szCs w:val="20"/>
              </w:rPr>
              <w:fldChar w:fldCharType="end"/>
            </w:r>
            <w:r>
              <w:rPr>
                <w:rFonts w:hint="default" w:ascii="Times New Roman" w:hAnsi="Times New Roman" w:cs="Times New Roman"/>
                <w:color w:val="auto"/>
                <w:sz w:val="20"/>
                <w:szCs w:val="20"/>
              </w:rPr>
              <w:t xml:space="preserve"> </w:t>
            </w: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卸油油气回收系统工艺流程图</w:t>
            </w:r>
          </w:p>
          <w:p w14:paraId="175F220C">
            <w:pPr>
              <w:autoSpaceDE w:val="0"/>
              <w:autoSpaceDN w:val="0"/>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（2）加油油气回收</w:t>
            </w:r>
          </w:p>
          <w:p w14:paraId="7AEECC1E">
            <w:pPr>
              <w:autoSpaceDE w:val="0"/>
              <w:autoSpaceDN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bidi="ar"/>
              </w:rPr>
              <w:t>加油油气回收阶段是采用真空辅助式油气回收设备，将在加油过程中挥发的油气通过地下油气回收管线收集到地下储罐内的油气回收过程。该阶段油气回收实现过程：加油站加油过程中，通过真空泵产生一定真空度，经加油枪、油气回收管等油气回收设备。同时也可将储罐储油产生的油气通过油气回收管进行回收，将加油过程挥发的油气回收到油罐内。加油过程是经常但不连续的发生，储油产生油气一般是在温度较高时会产生，即一般是在白天发生，加油会使储罐内气压降低，可用储油产生的油气平衡气压，同时也减少了储油产生的油气外排</w:t>
            </w:r>
            <w:r>
              <w:rPr>
                <w:rFonts w:hint="default" w:ascii="Times New Roman" w:hAnsi="Times New Roman" w:cs="Times New Roman"/>
                <w:color w:val="auto"/>
                <w:sz w:val="24"/>
                <w:szCs w:val="24"/>
              </w:rPr>
              <w:t>。加油油气回收工艺流程图见图</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p>
          <w:p w14:paraId="3BAF9E29">
            <w:pPr>
              <w:autoSpaceDE w:val="0"/>
              <w:autoSpaceDN w:val="0"/>
              <w:spacing w:line="36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fldChar w:fldCharType="begin"/>
            </w:r>
            <w:r>
              <w:rPr>
                <w:rFonts w:hint="default" w:ascii="Times New Roman" w:hAnsi="Times New Roman" w:cs="Times New Roman"/>
                <w:color w:val="auto"/>
                <w:sz w:val="20"/>
                <w:szCs w:val="20"/>
              </w:rPr>
              <w:instrText xml:space="preserve"> INCLUDEPICTURE "C:\\Users\\AJIGEN\\AppData\\Local\\Temp\\ksohtml97936\\wps4.png" \* MERGEFORMATINET </w:instrText>
            </w:r>
            <w:r>
              <w:rPr>
                <w:rFonts w:hint="default" w:ascii="Times New Roman" w:hAnsi="Times New Roman" w:cs="Times New Roman"/>
                <w:color w:val="auto"/>
                <w:sz w:val="20"/>
                <w:szCs w:val="20"/>
              </w:rPr>
              <w:fldChar w:fldCharType="separate"/>
            </w:r>
            <w:r>
              <w:rPr>
                <w:rFonts w:hint="default" w:ascii="Times New Roman" w:hAnsi="Times New Roman" w:cs="Times New Roman"/>
                <w:color w:val="auto"/>
                <w:sz w:val="20"/>
                <w:szCs w:val="20"/>
              </w:rPr>
              <w:drawing>
                <wp:inline distT="0" distB="0" distL="114300" distR="114300">
                  <wp:extent cx="5530850" cy="2472055"/>
                  <wp:effectExtent l="0" t="0" r="12700" b="4445"/>
                  <wp:docPr id="18" name="图片 9"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wps4"/>
                          <pic:cNvPicPr>
                            <a:picLocks noChangeAspect="1"/>
                          </pic:cNvPicPr>
                        </pic:nvPicPr>
                        <pic:blipFill>
                          <a:blip r:embed="rId16"/>
                          <a:srcRect l="4578" t="4899" r="4235" b="2566"/>
                          <a:stretch>
                            <a:fillRect/>
                          </a:stretch>
                        </pic:blipFill>
                        <pic:spPr>
                          <a:xfrm>
                            <a:off x="0" y="0"/>
                            <a:ext cx="5530850" cy="2472055"/>
                          </a:xfrm>
                          <a:prstGeom prst="rect">
                            <a:avLst/>
                          </a:prstGeom>
                          <a:noFill/>
                          <a:ln>
                            <a:noFill/>
                          </a:ln>
                        </pic:spPr>
                      </pic:pic>
                    </a:graphicData>
                  </a:graphic>
                </wp:inline>
              </w:drawing>
            </w:r>
            <w:r>
              <w:rPr>
                <w:rFonts w:hint="default" w:ascii="Times New Roman" w:hAnsi="Times New Roman" w:cs="Times New Roman"/>
                <w:color w:val="auto"/>
                <w:sz w:val="20"/>
                <w:szCs w:val="20"/>
              </w:rPr>
              <w:fldChar w:fldCharType="end"/>
            </w:r>
          </w:p>
          <w:p w14:paraId="54B17738">
            <w:pPr>
              <w:autoSpaceDE w:val="0"/>
              <w:autoSpaceDN w:val="0"/>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 xml:space="preserve">  加油油气回收工艺流程示意图</w:t>
            </w:r>
          </w:p>
          <w:p w14:paraId="789D79CF">
            <w:p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、充电区产污环节分析</w:t>
            </w:r>
          </w:p>
          <w:p w14:paraId="3182F9EA">
            <w:pPr>
              <w:bidi w:val="0"/>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rPr>
              <w:t>项目运营期充电区主要为电动车辆进行充电，在充电过程中部分乘车人员可能会产生冲厕废水或生活垃圾。冲厕废水经化粪池处理后，</w:t>
            </w:r>
            <w:r>
              <w:rPr>
                <w:rFonts w:hint="eastAsia" w:cs="Times New Roman"/>
                <w:color w:val="auto"/>
                <w:sz w:val="24"/>
                <w:szCs w:val="24"/>
                <w:lang w:val="en-US" w:eastAsia="zh-CN"/>
              </w:rPr>
              <w:t>委托寻甸绿运垃圾清运有限公司清运处置</w:t>
            </w:r>
            <w:r>
              <w:rPr>
                <w:rFonts w:hint="default" w:ascii="Times New Roman" w:hAnsi="Times New Roman" w:eastAsia="宋体" w:cs="Times New Roman"/>
                <w:color w:val="auto"/>
                <w:sz w:val="24"/>
                <w:szCs w:val="24"/>
              </w:rPr>
              <w:t>。生活垃圾收集后委托</w:t>
            </w:r>
            <w:r>
              <w:rPr>
                <w:rFonts w:hint="eastAsia" w:cs="Times New Roman"/>
                <w:color w:val="auto"/>
                <w:sz w:val="24"/>
                <w:szCs w:val="24"/>
                <w:lang w:val="en-US" w:eastAsia="zh-CN"/>
              </w:rPr>
              <w:t>寻甸绿运垃圾清运有限公司</w:t>
            </w:r>
            <w:r>
              <w:rPr>
                <w:rFonts w:hint="default" w:ascii="Times New Roman" w:hAnsi="Times New Roman" w:eastAsia="宋体" w:cs="Times New Roman"/>
                <w:color w:val="auto"/>
                <w:sz w:val="24"/>
                <w:szCs w:val="24"/>
              </w:rPr>
              <w:t>清运</w:t>
            </w:r>
            <w:r>
              <w:rPr>
                <w:rFonts w:hint="eastAsia" w:cs="Times New Roman"/>
                <w:color w:val="auto"/>
                <w:sz w:val="24"/>
                <w:szCs w:val="24"/>
                <w:lang w:val="en-US" w:eastAsia="zh-CN"/>
              </w:rPr>
              <w:t>处置</w:t>
            </w:r>
            <w:r>
              <w:rPr>
                <w:rFonts w:hint="default" w:ascii="Times New Roman" w:hAnsi="Times New Roman" w:eastAsia="宋体" w:cs="Times New Roman"/>
                <w:color w:val="auto"/>
                <w:sz w:val="24"/>
                <w:szCs w:val="24"/>
              </w:rPr>
              <w:t>。</w:t>
            </w:r>
          </w:p>
        </w:tc>
      </w:tr>
      <w:tr w14:paraId="2CF99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811" w:type="dxa"/>
            <w:noWrap w:val="0"/>
            <w:vAlign w:val="center"/>
          </w:tcPr>
          <w:p w14:paraId="60C1AEAC">
            <w:pPr>
              <w:pStyle w:val="24"/>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spacing w:val="0"/>
                <w:kern w:val="21"/>
                <w:sz w:val="21"/>
                <w:szCs w:val="21"/>
              </w:rPr>
              <w:t>与项目有关的原有环境污染问题</w:t>
            </w:r>
          </w:p>
        </w:tc>
        <w:tc>
          <w:tcPr>
            <w:tcW w:w="8788" w:type="dxa"/>
            <w:noWrap w:val="0"/>
            <w:vAlign w:val="top"/>
          </w:tcPr>
          <w:p w14:paraId="4C0C8C35">
            <w:pPr>
              <w:snapToGrid w:val="0"/>
              <w:spacing w:line="312" w:lineRule="auto"/>
              <w:ind w:firstLine="482" w:firstLineChars="200"/>
              <w:rPr>
                <w:rFonts w:hint="default" w:ascii="Times New Roman" w:hAnsi="Times New Roman" w:eastAsia="宋体" w:cs="Times New Roman"/>
                <w:b/>
                <w:bCs/>
                <w:color w:val="auto"/>
                <w:sz w:val="24"/>
                <w:szCs w:val="32"/>
                <w:lang w:val="en-US" w:eastAsia="zh-CN"/>
              </w:rPr>
            </w:pPr>
            <w:r>
              <w:rPr>
                <w:rFonts w:hint="eastAsia" w:cs="Times New Roman"/>
                <w:b/>
                <w:bCs/>
                <w:color w:val="auto"/>
                <w:sz w:val="24"/>
                <w:szCs w:val="32"/>
                <w:lang w:val="en-US" w:eastAsia="zh-CN"/>
              </w:rPr>
              <w:t>1、现有工程基本情况</w:t>
            </w:r>
          </w:p>
          <w:p w14:paraId="1D8D2B1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32"/>
                <w:lang w:val="en-US" w:eastAsia="zh-CN"/>
              </w:rPr>
            </w:pPr>
            <w:r>
              <w:rPr>
                <w:rFonts w:hint="default" w:ascii="Times New Roman" w:hAnsi="Times New Roman" w:cs="Times New Roman"/>
                <w:color w:val="auto"/>
                <w:sz w:val="24"/>
                <w:szCs w:val="32"/>
              </w:rPr>
              <w:t>根据现场踏勘，本项目</w:t>
            </w:r>
            <w:r>
              <w:rPr>
                <w:rFonts w:hint="eastAsia" w:cs="Times New Roman"/>
                <w:color w:val="auto"/>
                <w:sz w:val="24"/>
                <w:szCs w:val="32"/>
                <w:lang w:val="en-US" w:eastAsia="zh-CN"/>
              </w:rPr>
              <w:t>现有一个三级加油站</w:t>
            </w:r>
            <w:r>
              <w:rPr>
                <w:rFonts w:hint="default" w:ascii="Times New Roman" w:hAnsi="Times New Roman" w:cs="Times New Roman"/>
                <w:color w:val="auto"/>
                <w:sz w:val="24"/>
                <w:szCs w:val="32"/>
                <w:lang w:eastAsia="zh-CN"/>
              </w:rPr>
              <w:t>，</w:t>
            </w:r>
            <w:r>
              <w:rPr>
                <w:rFonts w:hint="eastAsia" w:cs="Times New Roman"/>
                <w:color w:val="auto"/>
                <w:sz w:val="24"/>
                <w:szCs w:val="32"/>
                <w:lang w:val="en-US" w:eastAsia="zh-CN"/>
              </w:rPr>
              <w:t>设有30m</w:t>
            </w:r>
            <w:r>
              <w:rPr>
                <w:rFonts w:hint="eastAsia" w:cs="Times New Roman"/>
                <w:color w:val="auto"/>
                <w:sz w:val="24"/>
                <w:szCs w:val="32"/>
                <w:vertAlign w:val="superscript"/>
                <w:lang w:val="en-US" w:eastAsia="zh-CN"/>
              </w:rPr>
              <w:t>3</w:t>
            </w:r>
            <w:r>
              <w:rPr>
                <w:rFonts w:hint="eastAsia" w:cs="Times New Roman"/>
                <w:color w:val="auto"/>
                <w:sz w:val="24"/>
                <w:szCs w:val="32"/>
                <w:lang w:val="en-US" w:eastAsia="zh-CN"/>
              </w:rPr>
              <w:t>92#×1、30m</w:t>
            </w:r>
            <w:r>
              <w:rPr>
                <w:rFonts w:hint="eastAsia" w:cs="Times New Roman"/>
                <w:color w:val="auto"/>
                <w:sz w:val="24"/>
                <w:szCs w:val="32"/>
                <w:vertAlign w:val="superscript"/>
                <w:lang w:val="en-US" w:eastAsia="zh-CN"/>
              </w:rPr>
              <w:t>3</w:t>
            </w:r>
            <w:r>
              <w:rPr>
                <w:rFonts w:hint="eastAsia" w:cs="Times New Roman"/>
                <w:color w:val="auto"/>
                <w:sz w:val="24"/>
                <w:szCs w:val="32"/>
                <w:lang w:val="en-US" w:eastAsia="zh-CN"/>
              </w:rPr>
              <w:t>95#×1、30m</w:t>
            </w:r>
            <w:r>
              <w:rPr>
                <w:rFonts w:hint="eastAsia" w:cs="Times New Roman"/>
                <w:color w:val="auto"/>
                <w:sz w:val="24"/>
                <w:szCs w:val="32"/>
                <w:vertAlign w:val="superscript"/>
                <w:lang w:val="en-US" w:eastAsia="zh-CN"/>
              </w:rPr>
              <w:t>3</w:t>
            </w:r>
            <w:r>
              <w:rPr>
                <w:rFonts w:hint="eastAsia" w:cs="Times New Roman"/>
                <w:color w:val="auto"/>
                <w:sz w:val="24"/>
                <w:szCs w:val="32"/>
                <w:lang w:val="en-US" w:eastAsia="zh-CN"/>
              </w:rPr>
              <w:t>0#×1</w:t>
            </w:r>
            <w:r>
              <w:rPr>
                <w:rFonts w:hint="default" w:ascii="Times New Roman" w:hAnsi="Times New Roman" w:cs="Times New Roman"/>
                <w:color w:val="auto"/>
                <w:sz w:val="24"/>
                <w:szCs w:val="32"/>
              </w:rPr>
              <w:t>。</w:t>
            </w:r>
            <w:r>
              <w:rPr>
                <w:rFonts w:hint="eastAsia" w:cs="Times New Roman"/>
                <w:color w:val="auto"/>
                <w:sz w:val="24"/>
                <w:szCs w:val="32"/>
                <w:lang w:val="en-US" w:eastAsia="zh-CN"/>
              </w:rPr>
              <w:t>汽油年销量900t/a，柴油年销量750t/a。</w:t>
            </w:r>
          </w:p>
          <w:p w14:paraId="74553165">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82" w:firstLineChars="200"/>
              <w:textAlignment w:val="auto"/>
              <w:rPr>
                <w:rFonts w:hint="eastAsia" w:cs="Times New Roman"/>
                <w:b/>
                <w:bCs/>
                <w:color w:val="auto"/>
                <w:sz w:val="24"/>
                <w:szCs w:val="32"/>
                <w:lang w:val="en-US" w:eastAsia="zh-CN"/>
              </w:rPr>
            </w:pPr>
            <w:r>
              <w:rPr>
                <w:rFonts w:hint="eastAsia" w:cs="Times New Roman"/>
                <w:b/>
                <w:bCs/>
                <w:color w:val="auto"/>
                <w:sz w:val="24"/>
                <w:szCs w:val="32"/>
                <w:lang w:val="en-US" w:eastAsia="zh-CN"/>
              </w:rPr>
              <w:t>环保手续情况</w:t>
            </w:r>
          </w:p>
          <w:p w14:paraId="6C00B0A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s="Times New Roman"/>
                <w:color w:val="auto"/>
                <w:sz w:val="24"/>
                <w:szCs w:val="32"/>
                <w:lang w:val="en-US" w:eastAsia="zh-CN"/>
              </w:rPr>
            </w:pPr>
            <w:r>
              <w:rPr>
                <w:rFonts w:hint="eastAsia" w:cs="Times New Roman"/>
                <w:color w:val="auto"/>
                <w:sz w:val="24"/>
                <w:szCs w:val="32"/>
                <w:lang w:val="en-US" w:eastAsia="zh-CN"/>
              </w:rPr>
              <w:t>现有加油站已通过验收并取得排污许可证。</w:t>
            </w:r>
          </w:p>
          <w:p w14:paraId="392842C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32"/>
                <w:lang w:val="en-US" w:eastAsia="zh-CN"/>
              </w:rPr>
            </w:pPr>
            <w:r>
              <w:rPr>
                <w:rFonts w:hint="eastAsia" w:cs="Times New Roman"/>
                <w:color w:val="auto"/>
                <w:sz w:val="24"/>
                <w:szCs w:val="32"/>
                <w:lang w:val="en-US" w:eastAsia="zh-CN"/>
              </w:rPr>
              <w:t>于2017年5月10日取得寻甸回族彝族自治县环境保护局关于对《中国石化销售有限公司云南昆明寻甸梧桐加油站建设项目环境影响报告表》的批复寻环</w:t>
            </w:r>
            <w:r>
              <w:rPr>
                <w:rFonts w:hint="eastAsia" w:ascii="仿宋" w:hAnsi="仿宋" w:eastAsia="仿宋" w:cs="仿宋"/>
                <w:color w:val="auto"/>
                <w:sz w:val="24"/>
                <w:szCs w:val="32"/>
                <w:lang w:val="en-US" w:eastAsia="zh-CN"/>
              </w:rPr>
              <w:t>[</w:t>
            </w:r>
            <w:r>
              <w:rPr>
                <w:rFonts w:hint="eastAsia" w:cs="Times New Roman"/>
                <w:color w:val="auto"/>
                <w:sz w:val="24"/>
                <w:szCs w:val="32"/>
                <w:lang w:val="en-US" w:eastAsia="zh-CN"/>
              </w:rPr>
              <w:t>2017</w:t>
            </w:r>
            <w:r>
              <w:rPr>
                <w:rFonts w:hint="eastAsia" w:ascii="仿宋" w:hAnsi="仿宋" w:eastAsia="仿宋" w:cs="仿宋"/>
                <w:color w:val="auto"/>
                <w:sz w:val="24"/>
                <w:szCs w:val="32"/>
                <w:lang w:val="en-US" w:eastAsia="zh-CN"/>
              </w:rPr>
              <w:t>]</w:t>
            </w:r>
            <w:r>
              <w:rPr>
                <w:rFonts w:hint="eastAsia" w:cs="Times New Roman"/>
                <w:color w:val="auto"/>
                <w:sz w:val="24"/>
                <w:szCs w:val="32"/>
                <w:lang w:val="en-US" w:eastAsia="zh-CN"/>
              </w:rPr>
              <w:t>51号；于2019年5月29取得中国石化销售有限公司云南昆明寻甸梧桐加油站建设项目竣工环境保护验收意见；于2020年4月20日取得中国石化销售股份有限公司云南昆明寻甸梧桐加油站固定污染源排污登记回执，登记编号：91530129917399340Y001X，有效期2020年04月20日至2025年04月19日；于2024年5月10日取得了云南昆明寻甸梧桐加油站突发环境事件应急预案备案表，备案号：530-129-2024-049-L。</w:t>
            </w:r>
          </w:p>
          <w:p w14:paraId="1BA1747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s="Times New Roman"/>
                <w:color w:val="auto"/>
                <w:sz w:val="24"/>
                <w:szCs w:val="32"/>
                <w:lang w:val="en-US" w:eastAsia="zh-CN"/>
              </w:rPr>
            </w:pPr>
            <w:r>
              <w:rPr>
                <w:rFonts w:hint="eastAsia" w:cs="Times New Roman"/>
                <w:color w:val="auto"/>
                <w:sz w:val="24"/>
                <w:szCs w:val="32"/>
                <w:lang w:val="en-US" w:eastAsia="zh-CN"/>
              </w:rPr>
              <w:t>综上所述，中国石化销售有限公司云南昆明寻甸梧桐加油站环保手续齐全。</w:t>
            </w:r>
          </w:p>
          <w:p w14:paraId="21B7D8E3">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cs="Times New Roman"/>
                <w:b/>
                <w:bCs/>
                <w:color w:val="auto"/>
                <w:sz w:val="24"/>
                <w:szCs w:val="32"/>
                <w:lang w:val="en-US" w:eastAsia="zh-CN"/>
              </w:rPr>
            </w:pPr>
            <w:r>
              <w:rPr>
                <w:rFonts w:hint="eastAsia" w:cs="Times New Roman"/>
                <w:b/>
                <w:bCs/>
                <w:color w:val="auto"/>
                <w:sz w:val="24"/>
                <w:szCs w:val="32"/>
                <w:lang w:val="en-US" w:eastAsia="zh-CN"/>
              </w:rPr>
              <w:t>3、现有工程污染物排放情况</w:t>
            </w:r>
          </w:p>
          <w:p w14:paraId="10FB5BA9">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cs="Times New Roman"/>
                <w:b/>
                <w:bCs/>
                <w:color w:val="auto"/>
                <w:sz w:val="24"/>
                <w:szCs w:val="32"/>
                <w:lang w:val="en-US" w:eastAsia="zh-CN"/>
              </w:rPr>
            </w:pPr>
            <w:r>
              <w:rPr>
                <w:rFonts w:hint="eastAsia" w:cs="Times New Roman"/>
                <w:b/>
                <w:bCs/>
                <w:color w:val="auto"/>
                <w:sz w:val="24"/>
                <w:szCs w:val="32"/>
                <w:lang w:val="en-US" w:eastAsia="zh-CN"/>
              </w:rPr>
              <w:t>（1）废气污染物排放情况</w:t>
            </w:r>
          </w:p>
          <w:p w14:paraId="190061C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szCs w:val="22"/>
              </w:rPr>
            </w:pPr>
            <w:r>
              <w:rPr>
                <w:rFonts w:hint="eastAsia" w:cs="Times New Roman"/>
                <w:color w:val="auto"/>
                <w:sz w:val="24"/>
                <w:szCs w:val="32"/>
                <w:lang w:val="en-US" w:eastAsia="zh-CN"/>
              </w:rPr>
              <w:t>汽油年销量900t/a（通过量：900/0.75=1200m³/a），柴油年销量750t/a。参照</w:t>
            </w:r>
            <w:r>
              <w:rPr>
                <w:rFonts w:hint="default" w:ascii="Times New Roman" w:hAnsi="Times New Roman" w:cs="Times New Roman"/>
                <w:color w:val="auto"/>
                <w:sz w:val="24"/>
                <w:szCs w:val="22"/>
              </w:rPr>
              <w:t>《中国加油站VOC排放污染物现状及控制》（清华大学环境科学与工程系，环境科学第27卷第8期2006.8）中相关计算方法进行计算。</w:t>
            </w:r>
            <w:r>
              <w:rPr>
                <w:rFonts w:hint="eastAsia" w:cs="Times New Roman"/>
                <w:color w:val="auto"/>
                <w:sz w:val="24"/>
                <w:szCs w:val="22"/>
                <w:lang w:val="en-US" w:eastAsia="zh-CN"/>
              </w:rPr>
              <w:t>现有加油站</w:t>
            </w:r>
            <w:r>
              <w:rPr>
                <w:rFonts w:hint="default" w:ascii="Times New Roman" w:hAnsi="Times New Roman" w:cs="Times New Roman"/>
                <w:color w:val="auto"/>
                <w:sz w:val="24"/>
                <w:szCs w:val="22"/>
              </w:rPr>
              <w:t>运营期年排放非甲烷总烃的量见表</w:t>
            </w:r>
            <w:r>
              <w:rPr>
                <w:rFonts w:hint="eastAsia" w:cs="Times New Roman"/>
                <w:color w:val="auto"/>
                <w:sz w:val="24"/>
                <w:szCs w:val="22"/>
                <w:lang w:val="en-US" w:eastAsia="zh-CN"/>
              </w:rPr>
              <w:t>2-9</w:t>
            </w:r>
            <w:r>
              <w:rPr>
                <w:rFonts w:hint="default" w:ascii="Times New Roman" w:hAnsi="Times New Roman" w:cs="Times New Roman"/>
                <w:color w:val="auto"/>
                <w:sz w:val="24"/>
                <w:szCs w:val="22"/>
              </w:rPr>
              <w:t>。</w:t>
            </w:r>
          </w:p>
          <w:p w14:paraId="308AD2AE">
            <w:pPr>
              <w:spacing w:line="240" w:lineRule="atLeast"/>
              <w:jc w:val="center"/>
              <w:rPr>
                <w:rFonts w:hint="default" w:ascii="Times New Roman" w:hAnsi="Times New Roman" w:cs="Times New Roman"/>
                <w:b/>
                <w:color w:val="auto"/>
                <w:sz w:val="20"/>
                <w:szCs w:val="21"/>
              </w:rPr>
            </w:pPr>
            <w:r>
              <w:rPr>
                <w:rFonts w:hint="default" w:ascii="Times New Roman" w:hAnsi="Times New Roman" w:cs="Times New Roman"/>
                <w:b/>
                <w:color w:val="auto"/>
                <w:sz w:val="21"/>
                <w:szCs w:val="22"/>
              </w:rPr>
              <w:t>表</w:t>
            </w:r>
            <w:r>
              <w:rPr>
                <w:rFonts w:hint="eastAsia" w:cs="Times New Roman"/>
                <w:b/>
                <w:color w:val="auto"/>
                <w:sz w:val="21"/>
                <w:szCs w:val="22"/>
                <w:lang w:val="en-US" w:eastAsia="zh-CN"/>
              </w:rPr>
              <w:t>2-9</w:t>
            </w:r>
            <w:r>
              <w:rPr>
                <w:rFonts w:hint="default" w:ascii="Times New Roman" w:hAnsi="Times New Roman" w:cs="Times New Roman"/>
                <w:b/>
                <w:color w:val="auto"/>
                <w:sz w:val="21"/>
                <w:szCs w:val="22"/>
              </w:rPr>
              <w:t xml:space="preserve"> 项目运营期非甲烷总烃排放量计算一览表</w:t>
            </w:r>
          </w:p>
          <w:tbl>
            <w:tblPr>
              <w:tblStyle w:val="27"/>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65"/>
              <w:gridCol w:w="835"/>
              <w:gridCol w:w="1391"/>
              <w:gridCol w:w="1295"/>
              <w:gridCol w:w="1337"/>
              <w:gridCol w:w="1104"/>
              <w:gridCol w:w="1051"/>
              <w:gridCol w:w="979"/>
            </w:tblGrid>
            <w:tr w14:paraId="7777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 w:hRule="atLeast"/>
                <w:jc w:val="center"/>
              </w:trPr>
              <w:tc>
                <w:tcPr>
                  <w:tcW w:w="2791" w:type="dxa"/>
                  <w:gridSpan w:val="3"/>
                  <w:noWrap w:val="0"/>
                  <w:vAlign w:val="center"/>
                </w:tcPr>
                <w:p w14:paraId="3E9C5867">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项目</w:t>
                  </w:r>
                </w:p>
              </w:tc>
              <w:tc>
                <w:tcPr>
                  <w:tcW w:w="1295" w:type="dxa"/>
                  <w:noWrap w:val="0"/>
                  <w:vAlign w:val="center"/>
                </w:tcPr>
                <w:p w14:paraId="3B2C4A1F">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排放系数</w:t>
                  </w:r>
                </w:p>
              </w:tc>
              <w:tc>
                <w:tcPr>
                  <w:tcW w:w="1337" w:type="dxa"/>
                  <w:noWrap w:val="0"/>
                  <w:vAlign w:val="center"/>
                </w:tcPr>
                <w:p w14:paraId="0C9BB5CA">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通过量或转过量（m³/a）</w:t>
                  </w:r>
                </w:p>
              </w:tc>
              <w:tc>
                <w:tcPr>
                  <w:tcW w:w="1104" w:type="dxa"/>
                  <w:noWrap w:val="0"/>
                  <w:vAlign w:val="center"/>
                </w:tcPr>
                <w:p w14:paraId="4F74320A">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烃产生量（t/a）</w:t>
                  </w:r>
                </w:p>
              </w:tc>
              <w:tc>
                <w:tcPr>
                  <w:tcW w:w="1051" w:type="dxa"/>
                  <w:noWrap w:val="0"/>
                  <w:vAlign w:val="center"/>
                </w:tcPr>
                <w:p w14:paraId="0A50D486">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措施</w:t>
                  </w:r>
                </w:p>
              </w:tc>
              <w:tc>
                <w:tcPr>
                  <w:tcW w:w="979" w:type="dxa"/>
                  <w:noWrap w:val="0"/>
                  <w:vAlign w:val="center"/>
                </w:tcPr>
                <w:p w14:paraId="121EB3AF">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烃排放量（t/a）</w:t>
                  </w:r>
                </w:p>
              </w:tc>
            </w:tr>
            <w:tr w14:paraId="12DC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 w:hRule="atLeast"/>
                <w:jc w:val="center"/>
              </w:trPr>
              <w:tc>
                <w:tcPr>
                  <w:tcW w:w="565" w:type="dxa"/>
                  <w:vMerge w:val="restart"/>
                  <w:noWrap w:val="0"/>
                  <w:vAlign w:val="center"/>
                </w:tcPr>
                <w:p w14:paraId="00853142">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汽油</w:t>
                  </w:r>
                </w:p>
              </w:tc>
              <w:tc>
                <w:tcPr>
                  <w:tcW w:w="835" w:type="dxa"/>
                  <w:vMerge w:val="restart"/>
                  <w:noWrap w:val="0"/>
                  <w:vAlign w:val="center"/>
                </w:tcPr>
                <w:p w14:paraId="2CF1CB7B">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储油罐</w:t>
                  </w:r>
                </w:p>
              </w:tc>
              <w:tc>
                <w:tcPr>
                  <w:tcW w:w="1391" w:type="dxa"/>
                  <w:noWrap w:val="0"/>
                  <w:vAlign w:val="center"/>
                </w:tcPr>
                <w:p w14:paraId="63B922E6">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大呼吸损失</w:t>
                  </w:r>
                </w:p>
              </w:tc>
              <w:tc>
                <w:tcPr>
                  <w:tcW w:w="1295" w:type="dxa"/>
                  <w:noWrap w:val="0"/>
                  <w:vAlign w:val="center"/>
                </w:tcPr>
                <w:p w14:paraId="5DE0A8E6">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0.88kg/m³通过量</w:t>
                  </w:r>
                </w:p>
              </w:tc>
              <w:tc>
                <w:tcPr>
                  <w:tcW w:w="1337" w:type="dxa"/>
                  <w:vMerge w:val="restart"/>
                  <w:noWrap w:val="0"/>
                  <w:vAlign w:val="center"/>
                </w:tcPr>
                <w:p w14:paraId="0E2FF86D">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1200</w:t>
                  </w:r>
                </w:p>
              </w:tc>
              <w:tc>
                <w:tcPr>
                  <w:tcW w:w="1104" w:type="dxa"/>
                  <w:noWrap w:val="0"/>
                  <w:vAlign w:val="center"/>
                </w:tcPr>
                <w:p w14:paraId="7BC51680">
                  <w:pPr>
                    <w:jc w:val="center"/>
                    <w:textAlignment w:val="center"/>
                    <w:rPr>
                      <w:rFonts w:hint="default" w:cs="Times New Roman"/>
                      <w:bCs/>
                      <w:color w:val="auto"/>
                      <w:sz w:val="21"/>
                      <w:szCs w:val="22"/>
                      <w:lang w:val="en-US" w:eastAsia="zh-CN"/>
                    </w:rPr>
                  </w:pPr>
                  <w:r>
                    <w:rPr>
                      <w:rFonts w:hint="eastAsia" w:cs="Times New Roman"/>
                      <w:bCs/>
                      <w:color w:val="auto"/>
                      <w:sz w:val="21"/>
                      <w:szCs w:val="22"/>
                      <w:lang w:val="en-US" w:eastAsia="zh-CN"/>
                    </w:rPr>
                    <w:t xml:space="preserve">1.056 </w:t>
                  </w:r>
                </w:p>
              </w:tc>
              <w:tc>
                <w:tcPr>
                  <w:tcW w:w="1051" w:type="dxa"/>
                  <w:noWrap w:val="0"/>
                  <w:vAlign w:val="center"/>
                </w:tcPr>
                <w:p w14:paraId="10CAFC07">
                  <w:pPr>
                    <w:jc w:val="center"/>
                    <w:rPr>
                      <w:rFonts w:hint="default" w:ascii="Times New Roman" w:hAnsi="Times New Roman" w:cs="Times New Roman"/>
                      <w:color w:val="auto"/>
                      <w:sz w:val="21"/>
                      <w:szCs w:val="22"/>
                    </w:rPr>
                  </w:pPr>
                  <w:r>
                    <w:rPr>
                      <w:rFonts w:hint="eastAsia" w:cs="Times New Roman"/>
                      <w:color w:val="auto"/>
                      <w:sz w:val="21"/>
                      <w:szCs w:val="22"/>
                      <w:lang w:eastAsia="zh-CN"/>
                    </w:rPr>
                    <w:t>油气回收系统</w:t>
                  </w:r>
                  <w:r>
                    <w:rPr>
                      <w:rFonts w:hint="default" w:ascii="Times New Roman" w:hAnsi="Times New Roman" w:cs="Times New Roman"/>
                      <w:color w:val="auto"/>
                      <w:sz w:val="21"/>
                      <w:szCs w:val="22"/>
                    </w:rPr>
                    <w:t>（95%）</w:t>
                  </w:r>
                </w:p>
              </w:tc>
              <w:tc>
                <w:tcPr>
                  <w:tcW w:w="979" w:type="dxa"/>
                  <w:noWrap w:val="0"/>
                  <w:vAlign w:val="center"/>
                </w:tcPr>
                <w:p w14:paraId="3777F968">
                  <w:pPr>
                    <w:keepNext w:val="0"/>
                    <w:keepLines w:val="0"/>
                    <w:widowControl/>
                    <w:suppressLineNumbers w:val="0"/>
                    <w:jc w:val="center"/>
                    <w:textAlignment w:val="center"/>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0.0528 </w:t>
                  </w:r>
                </w:p>
              </w:tc>
            </w:tr>
            <w:tr w14:paraId="1B7D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 w:hRule="atLeast"/>
                <w:jc w:val="center"/>
              </w:trPr>
              <w:tc>
                <w:tcPr>
                  <w:tcW w:w="565" w:type="dxa"/>
                  <w:vMerge w:val="continue"/>
                  <w:noWrap w:val="0"/>
                  <w:vAlign w:val="center"/>
                </w:tcPr>
                <w:p w14:paraId="0035D620">
                  <w:pPr>
                    <w:jc w:val="center"/>
                    <w:rPr>
                      <w:rFonts w:hint="default" w:ascii="Times New Roman" w:hAnsi="Times New Roman" w:cs="Times New Roman"/>
                      <w:bCs/>
                      <w:color w:val="auto"/>
                      <w:sz w:val="21"/>
                      <w:szCs w:val="22"/>
                    </w:rPr>
                  </w:pPr>
                </w:p>
              </w:tc>
              <w:tc>
                <w:tcPr>
                  <w:tcW w:w="835" w:type="dxa"/>
                  <w:vMerge w:val="continue"/>
                  <w:noWrap w:val="0"/>
                  <w:vAlign w:val="center"/>
                </w:tcPr>
                <w:p w14:paraId="47F7B997">
                  <w:pPr>
                    <w:jc w:val="center"/>
                    <w:rPr>
                      <w:rFonts w:hint="default" w:ascii="Times New Roman" w:hAnsi="Times New Roman" w:cs="Times New Roman"/>
                      <w:bCs/>
                      <w:color w:val="auto"/>
                      <w:sz w:val="21"/>
                      <w:szCs w:val="22"/>
                    </w:rPr>
                  </w:pPr>
                </w:p>
              </w:tc>
              <w:tc>
                <w:tcPr>
                  <w:tcW w:w="1391" w:type="dxa"/>
                  <w:noWrap w:val="0"/>
                  <w:vAlign w:val="center"/>
                </w:tcPr>
                <w:p w14:paraId="487DF907">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小呼吸损失</w:t>
                  </w:r>
                </w:p>
              </w:tc>
              <w:tc>
                <w:tcPr>
                  <w:tcW w:w="1295" w:type="dxa"/>
                  <w:noWrap w:val="0"/>
                  <w:vAlign w:val="center"/>
                </w:tcPr>
                <w:p w14:paraId="18A68678">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0.12kg/m³·通过量</w:t>
                  </w:r>
                </w:p>
              </w:tc>
              <w:tc>
                <w:tcPr>
                  <w:tcW w:w="1337" w:type="dxa"/>
                  <w:vMerge w:val="continue"/>
                  <w:noWrap w:val="0"/>
                  <w:vAlign w:val="center"/>
                </w:tcPr>
                <w:p w14:paraId="38C58090">
                  <w:pPr>
                    <w:jc w:val="center"/>
                    <w:rPr>
                      <w:rFonts w:hint="default" w:ascii="Times New Roman" w:hAnsi="Times New Roman" w:cs="Times New Roman"/>
                      <w:bCs/>
                      <w:color w:val="auto"/>
                      <w:sz w:val="21"/>
                      <w:szCs w:val="22"/>
                    </w:rPr>
                  </w:pPr>
                </w:p>
              </w:tc>
              <w:tc>
                <w:tcPr>
                  <w:tcW w:w="1104" w:type="dxa"/>
                  <w:noWrap w:val="0"/>
                  <w:vAlign w:val="center"/>
                </w:tcPr>
                <w:p w14:paraId="235926BF">
                  <w:pPr>
                    <w:jc w:val="center"/>
                    <w:textAlignment w:val="center"/>
                    <w:rPr>
                      <w:rFonts w:hint="default" w:cs="Times New Roman"/>
                      <w:bCs/>
                      <w:color w:val="auto"/>
                      <w:sz w:val="21"/>
                      <w:szCs w:val="22"/>
                      <w:lang w:val="en-US" w:eastAsia="zh-CN"/>
                    </w:rPr>
                  </w:pPr>
                  <w:r>
                    <w:rPr>
                      <w:rFonts w:hint="eastAsia" w:cs="Times New Roman"/>
                      <w:bCs/>
                      <w:color w:val="auto"/>
                      <w:sz w:val="21"/>
                      <w:szCs w:val="22"/>
                      <w:lang w:val="en-US" w:eastAsia="zh-CN"/>
                    </w:rPr>
                    <w:t xml:space="preserve">0.144 </w:t>
                  </w:r>
                </w:p>
              </w:tc>
              <w:tc>
                <w:tcPr>
                  <w:tcW w:w="1051" w:type="dxa"/>
                  <w:noWrap w:val="0"/>
                  <w:vAlign w:val="center"/>
                </w:tcPr>
                <w:p w14:paraId="0B0E5C12">
                  <w:pPr>
                    <w:jc w:val="center"/>
                    <w:rPr>
                      <w:rFonts w:hint="default" w:ascii="Times New Roman" w:hAnsi="Times New Roman" w:cs="Times New Roman"/>
                      <w:bCs/>
                      <w:color w:val="auto"/>
                      <w:sz w:val="21"/>
                      <w:szCs w:val="22"/>
                    </w:rPr>
                  </w:pPr>
                  <w:r>
                    <w:rPr>
                      <w:rFonts w:hint="default" w:ascii="Times New Roman" w:hAnsi="Times New Roman" w:cs="Times New Roman"/>
                      <w:color w:val="auto"/>
                      <w:sz w:val="21"/>
                      <w:szCs w:val="22"/>
                    </w:rPr>
                    <w:t>—</w:t>
                  </w:r>
                </w:p>
              </w:tc>
              <w:tc>
                <w:tcPr>
                  <w:tcW w:w="979" w:type="dxa"/>
                  <w:noWrap w:val="0"/>
                  <w:vAlign w:val="center"/>
                </w:tcPr>
                <w:p w14:paraId="01403B6B">
                  <w:pPr>
                    <w:keepNext w:val="0"/>
                    <w:keepLines w:val="0"/>
                    <w:widowControl/>
                    <w:suppressLineNumbers w:val="0"/>
                    <w:jc w:val="center"/>
                    <w:textAlignment w:val="center"/>
                    <w:rPr>
                      <w:rFonts w:hint="default" w:ascii="Times New Roman" w:hAnsi="Times New Roman" w:eastAsia="宋体" w:cs="Times New Roman"/>
                      <w:bCs/>
                      <w:color w:val="auto"/>
                      <w:sz w:val="21"/>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0.144 </w:t>
                  </w:r>
                </w:p>
              </w:tc>
            </w:tr>
            <w:tr w14:paraId="477B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 w:hRule="atLeast"/>
                <w:jc w:val="center"/>
              </w:trPr>
              <w:tc>
                <w:tcPr>
                  <w:tcW w:w="565" w:type="dxa"/>
                  <w:vMerge w:val="continue"/>
                  <w:noWrap w:val="0"/>
                  <w:vAlign w:val="center"/>
                </w:tcPr>
                <w:p w14:paraId="39F6B593">
                  <w:pPr>
                    <w:jc w:val="center"/>
                    <w:rPr>
                      <w:rFonts w:hint="default" w:ascii="Times New Roman" w:hAnsi="Times New Roman" w:cs="Times New Roman"/>
                      <w:bCs/>
                      <w:color w:val="auto"/>
                      <w:sz w:val="21"/>
                      <w:szCs w:val="22"/>
                    </w:rPr>
                  </w:pPr>
                </w:p>
              </w:tc>
              <w:tc>
                <w:tcPr>
                  <w:tcW w:w="835" w:type="dxa"/>
                  <w:noWrap w:val="0"/>
                  <w:vAlign w:val="center"/>
                </w:tcPr>
                <w:p w14:paraId="7E491ACA">
                  <w:pPr>
                    <w:jc w:val="center"/>
                    <w:rPr>
                      <w:rFonts w:hint="default" w:ascii="Times New Roman" w:hAnsi="Times New Roman" w:eastAsia="宋体" w:cs="Times New Roman"/>
                      <w:bCs/>
                      <w:color w:val="auto"/>
                      <w:sz w:val="21"/>
                      <w:szCs w:val="22"/>
                      <w:lang w:val="en-US" w:eastAsia="zh-CN"/>
                    </w:rPr>
                  </w:pPr>
                  <w:r>
                    <w:rPr>
                      <w:rFonts w:hint="default" w:ascii="Times New Roman" w:hAnsi="Times New Roman" w:cs="Times New Roman"/>
                      <w:bCs/>
                      <w:color w:val="auto"/>
                      <w:sz w:val="21"/>
                      <w:szCs w:val="22"/>
                      <w:lang w:val="en-US" w:eastAsia="zh-CN"/>
                    </w:rPr>
                    <w:t>油罐区</w:t>
                  </w:r>
                </w:p>
              </w:tc>
              <w:tc>
                <w:tcPr>
                  <w:tcW w:w="1391" w:type="dxa"/>
                  <w:noWrap w:val="0"/>
                  <w:vAlign w:val="center"/>
                </w:tcPr>
                <w:p w14:paraId="0246F7B6">
                  <w:pPr>
                    <w:jc w:val="center"/>
                    <w:textAlignment w:val="center"/>
                    <w:rPr>
                      <w:rFonts w:hint="default" w:ascii="Times New Roman" w:hAnsi="Times New Roman" w:eastAsia="宋体" w:cs="Times New Roman"/>
                      <w:bCs/>
                      <w:color w:val="auto"/>
                      <w:sz w:val="21"/>
                      <w:szCs w:val="22"/>
                      <w:lang w:val="en-US" w:eastAsia="zh-CN" w:bidi="ar"/>
                    </w:rPr>
                  </w:pPr>
                  <w:r>
                    <w:rPr>
                      <w:rFonts w:hint="default" w:ascii="Times New Roman" w:hAnsi="Times New Roman" w:cs="Times New Roman"/>
                      <w:bCs/>
                      <w:color w:val="auto"/>
                      <w:sz w:val="21"/>
                      <w:szCs w:val="22"/>
                      <w:lang w:val="en-US" w:eastAsia="zh-CN" w:bidi="ar"/>
                    </w:rPr>
                    <w:t>卸油损失</w:t>
                  </w:r>
                </w:p>
              </w:tc>
              <w:tc>
                <w:tcPr>
                  <w:tcW w:w="1295" w:type="dxa"/>
                  <w:noWrap w:val="0"/>
                  <w:vAlign w:val="center"/>
                </w:tcPr>
                <w:p w14:paraId="1224C4EE">
                  <w:pPr>
                    <w:jc w:val="center"/>
                    <w:textAlignment w:val="center"/>
                    <w:rPr>
                      <w:rFonts w:hint="default" w:ascii="Times New Roman" w:hAnsi="Times New Roman" w:cs="Times New Roman"/>
                      <w:bCs/>
                      <w:color w:val="auto"/>
                      <w:sz w:val="21"/>
                      <w:szCs w:val="22"/>
                      <w:lang w:bidi="ar"/>
                    </w:rPr>
                  </w:pPr>
                  <w:r>
                    <w:rPr>
                      <w:rFonts w:hint="default" w:ascii="Times New Roman" w:hAnsi="Times New Roman" w:eastAsia="宋体" w:cs="Times New Roman"/>
                      <w:color w:val="auto"/>
                      <w:szCs w:val="21"/>
                      <w:lang w:val="en-US" w:eastAsia="zh-CN"/>
                    </w:rPr>
                    <w:t>0.60</w:t>
                  </w:r>
                  <w:r>
                    <w:rPr>
                      <w:rFonts w:hint="default" w:ascii="Times New Roman" w:hAnsi="Times New Roman" w:eastAsia="宋体" w:cs="Times New Roman"/>
                      <w:color w:val="auto"/>
                      <w:szCs w:val="21"/>
                    </w:rPr>
                    <w:t>kg/m³</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通过量</w:t>
                  </w:r>
                </w:p>
              </w:tc>
              <w:tc>
                <w:tcPr>
                  <w:tcW w:w="1337" w:type="dxa"/>
                  <w:vMerge w:val="continue"/>
                  <w:noWrap w:val="0"/>
                  <w:vAlign w:val="center"/>
                </w:tcPr>
                <w:p w14:paraId="2830CA59">
                  <w:pPr>
                    <w:jc w:val="center"/>
                    <w:rPr>
                      <w:rFonts w:hint="default" w:ascii="Times New Roman" w:hAnsi="Times New Roman" w:cs="Times New Roman"/>
                      <w:bCs/>
                      <w:color w:val="auto"/>
                      <w:sz w:val="21"/>
                      <w:szCs w:val="22"/>
                    </w:rPr>
                  </w:pPr>
                </w:p>
              </w:tc>
              <w:tc>
                <w:tcPr>
                  <w:tcW w:w="1104" w:type="dxa"/>
                  <w:noWrap w:val="0"/>
                  <w:vAlign w:val="center"/>
                </w:tcPr>
                <w:p w14:paraId="2D3FAFAD">
                  <w:pPr>
                    <w:jc w:val="center"/>
                    <w:textAlignment w:val="center"/>
                    <w:rPr>
                      <w:rFonts w:hint="default" w:cs="Times New Roman"/>
                      <w:bCs/>
                      <w:color w:val="auto"/>
                      <w:sz w:val="21"/>
                      <w:szCs w:val="22"/>
                      <w:lang w:val="en-US" w:eastAsia="zh-CN"/>
                    </w:rPr>
                  </w:pPr>
                  <w:r>
                    <w:rPr>
                      <w:rFonts w:hint="eastAsia" w:cs="Times New Roman"/>
                      <w:bCs/>
                      <w:color w:val="auto"/>
                      <w:sz w:val="21"/>
                      <w:szCs w:val="22"/>
                      <w:lang w:val="en-US" w:eastAsia="zh-CN"/>
                    </w:rPr>
                    <w:t>0.72</w:t>
                  </w:r>
                </w:p>
              </w:tc>
              <w:tc>
                <w:tcPr>
                  <w:tcW w:w="1051" w:type="dxa"/>
                  <w:noWrap w:val="0"/>
                  <w:vAlign w:val="center"/>
                </w:tcPr>
                <w:p w14:paraId="2F39993D">
                  <w:pPr>
                    <w:jc w:val="center"/>
                    <w:rPr>
                      <w:rFonts w:hint="default" w:ascii="Times New Roman" w:hAnsi="Times New Roman" w:cs="Times New Roman"/>
                      <w:color w:val="auto"/>
                      <w:sz w:val="21"/>
                      <w:szCs w:val="22"/>
                    </w:rPr>
                  </w:pPr>
                  <w:r>
                    <w:rPr>
                      <w:rFonts w:hint="eastAsia" w:cs="Times New Roman"/>
                      <w:color w:val="auto"/>
                      <w:sz w:val="21"/>
                      <w:szCs w:val="22"/>
                      <w:lang w:eastAsia="zh-CN"/>
                    </w:rPr>
                    <w:t>油气回收系统</w:t>
                  </w:r>
                  <w:r>
                    <w:rPr>
                      <w:rFonts w:hint="default" w:ascii="Times New Roman" w:hAnsi="Times New Roman" w:cs="Times New Roman"/>
                      <w:color w:val="auto"/>
                      <w:sz w:val="21"/>
                      <w:szCs w:val="22"/>
                    </w:rPr>
                    <w:t>（95%）</w:t>
                  </w:r>
                </w:p>
              </w:tc>
              <w:tc>
                <w:tcPr>
                  <w:tcW w:w="979" w:type="dxa"/>
                  <w:noWrap w:val="0"/>
                  <w:vAlign w:val="center"/>
                </w:tcPr>
                <w:p w14:paraId="29E83931">
                  <w:pPr>
                    <w:keepNext w:val="0"/>
                    <w:keepLines w:val="0"/>
                    <w:widowControl/>
                    <w:suppressLineNumbers w:val="0"/>
                    <w:jc w:val="center"/>
                    <w:textAlignment w:val="center"/>
                    <w:rPr>
                      <w:rFonts w:hint="default" w:ascii="Times New Roman" w:hAnsi="Times New Roman" w:cs="Times New Roman"/>
                      <w:bCs/>
                      <w:color w:val="auto"/>
                      <w:sz w:val="21"/>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0.036</w:t>
                  </w:r>
                </w:p>
              </w:tc>
            </w:tr>
            <w:tr w14:paraId="7FC5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 w:hRule="atLeast"/>
                <w:jc w:val="center"/>
              </w:trPr>
              <w:tc>
                <w:tcPr>
                  <w:tcW w:w="565" w:type="dxa"/>
                  <w:vMerge w:val="continue"/>
                  <w:noWrap w:val="0"/>
                  <w:vAlign w:val="center"/>
                </w:tcPr>
                <w:p w14:paraId="423C7D5D">
                  <w:pPr>
                    <w:jc w:val="center"/>
                    <w:rPr>
                      <w:rFonts w:hint="default" w:ascii="Times New Roman" w:hAnsi="Times New Roman" w:cs="Times New Roman"/>
                      <w:bCs/>
                      <w:color w:val="auto"/>
                      <w:sz w:val="21"/>
                      <w:szCs w:val="22"/>
                    </w:rPr>
                  </w:pPr>
                </w:p>
              </w:tc>
              <w:tc>
                <w:tcPr>
                  <w:tcW w:w="835" w:type="dxa"/>
                  <w:vMerge w:val="restart"/>
                  <w:noWrap w:val="0"/>
                  <w:vAlign w:val="center"/>
                </w:tcPr>
                <w:p w14:paraId="5B77539C">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加油机</w:t>
                  </w:r>
                </w:p>
              </w:tc>
              <w:tc>
                <w:tcPr>
                  <w:tcW w:w="1391" w:type="dxa"/>
                  <w:noWrap w:val="0"/>
                  <w:vAlign w:val="center"/>
                </w:tcPr>
                <w:p w14:paraId="2D4588E3">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加油作业损失</w:t>
                  </w:r>
                </w:p>
              </w:tc>
              <w:tc>
                <w:tcPr>
                  <w:tcW w:w="1295" w:type="dxa"/>
                  <w:noWrap w:val="0"/>
                  <w:vAlign w:val="center"/>
                </w:tcPr>
                <w:p w14:paraId="404731F8">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0.11kg/m³通过量</w:t>
                  </w:r>
                </w:p>
              </w:tc>
              <w:tc>
                <w:tcPr>
                  <w:tcW w:w="1337" w:type="dxa"/>
                  <w:vMerge w:val="continue"/>
                  <w:noWrap w:val="0"/>
                  <w:vAlign w:val="center"/>
                </w:tcPr>
                <w:p w14:paraId="4ADF6945">
                  <w:pPr>
                    <w:jc w:val="center"/>
                    <w:rPr>
                      <w:rFonts w:hint="default" w:ascii="Times New Roman" w:hAnsi="Times New Roman" w:cs="Times New Roman"/>
                      <w:bCs/>
                      <w:color w:val="auto"/>
                      <w:sz w:val="21"/>
                      <w:szCs w:val="22"/>
                    </w:rPr>
                  </w:pPr>
                </w:p>
              </w:tc>
              <w:tc>
                <w:tcPr>
                  <w:tcW w:w="1104" w:type="dxa"/>
                  <w:noWrap w:val="0"/>
                  <w:vAlign w:val="center"/>
                </w:tcPr>
                <w:p w14:paraId="0AA63104">
                  <w:pPr>
                    <w:jc w:val="center"/>
                    <w:textAlignment w:val="center"/>
                    <w:rPr>
                      <w:rFonts w:hint="default" w:cs="Times New Roman"/>
                      <w:bCs/>
                      <w:color w:val="auto"/>
                      <w:sz w:val="21"/>
                      <w:szCs w:val="22"/>
                      <w:lang w:val="en-US" w:eastAsia="zh-CN"/>
                    </w:rPr>
                  </w:pPr>
                  <w:r>
                    <w:rPr>
                      <w:rFonts w:hint="eastAsia" w:cs="Times New Roman"/>
                      <w:bCs/>
                      <w:color w:val="auto"/>
                      <w:sz w:val="21"/>
                      <w:szCs w:val="22"/>
                      <w:lang w:val="en-US" w:eastAsia="zh-CN"/>
                    </w:rPr>
                    <w:t xml:space="preserve">0.132 </w:t>
                  </w:r>
                </w:p>
              </w:tc>
              <w:tc>
                <w:tcPr>
                  <w:tcW w:w="1051" w:type="dxa"/>
                  <w:noWrap w:val="0"/>
                  <w:vAlign w:val="center"/>
                </w:tcPr>
                <w:p w14:paraId="7FC9E618">
                  <w:pPr>
                    <w:jc w:val="center"/>
                    <w:rPr>
                      <w:rFonts w:hint="default" w:ascii="Times New Roman" w:hAnsi="Times New Roman" w:cs="Times New Roman"/>
                      <w:bCs/>
                      <w:color w:val="auto"/>
                      <w:sz w:val="21"/>
                      <w:szCs w:val="22"/>
                    </w:rPr>
                  </w:pPr>
                  <w:r>
                    <w:rPr>
                      <w:rFonts w:hint="eastAsia" w:cs="Times New Roman"/>
                      <w:color w:val="auto"/>
                      <w:sz w:val="21"/>
                      <w:szCs w:val="22"/>
                      <w:lang w:eastAsia="zh-CN"/>
                    </w:rPr>
                    <w:t>油气回收系统</w:t>
                  </w:r>
                  <w:r>
                    <w:rPr>
                      <w:rFonts w:hint="default" w:ascii="Times New Roman" w:hAnsi="Times New Roman" w:cs="Times New Roman"/>
                      <w:color w:val="auto"/>
                      <w:sz w:val="21"/>
                      <w:szCs w:val="22"/>
                    </w:rPr>
                    <w:t>（95%）</w:t>
                  </w:r>
                </w:p>
              </w:tc>
              <w:tc>
                <w:tcPr>
                  <w:tcW w:w="979" w:type="dxa"/>
                  <w:noWrap w:val="0"/>
                  <w:vAlign w:val="center"/>
                </w:tcPr>
                <w:p w14:paraId="5CB92714">
                  <w:pPr>
                    <w:keepNext w:val="0"/>
                    <w:keepLines w:val="0"/>
                    <w:widowControl/>
                    <w:suppressLineNumbers w:val="0"/>
                    <w:jc w:val="center"/>
                    <w:textAlignment w:val="center"/>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0.0066 </w:t>
                  </w:r>
                </w:p>
              </w:tc>
            </w:tr>
            <w:tr w14:paraId="5F33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 w:hRule="atLeast"/>
                <w:jc w:val="center"/>
              </w:trPr>
              <w:tc>
                <w:tcPr>
                  <w:tcW w:w="565" w:type="dxa"/>
                  <w:vMerge w:val="continue"/>
                  <w:noWrap w:val="0"/>
                  <w:vAlign w:val="center"/>
                </w:tcPr>
                <w:p w14:paraId="65CD993E">
                  <w:pPr>
                    <w:jc w:val="center"/>
                    <w:rPr>
                      <w:rFonts w:hint="default" w:ascii="Times New Roman" w:hAnsi="Times New Roman" w:cs="Times New Roman"/>
                      <w:bCs/>
                      <w:color w:val="auto"/>
                      <w:sz w:val="21"/>
                      <w:szCs w:val="22"/>
                    </w:rPr>
                  </w:pPr>
                </w:p>
              </w:tc>
              <w:tc>
                <w:tcPr>
                  <w:tcW w:w="835" w:type="dxa"/>
                  <w:vMerge w:val="continue"/>
                  <w:noWrap w:val="0"/>
                  <w:vAlign w:val="center"/>
                </w:tcPr>
                <w:p w14:paraId="44A0371D">
                  <w:pPr>
                    <w:jc w:val="center"/>
                    <w:rPr>
                      <w:rFonts w:hint="default" w:ascii="Times New Roman" w:hAnsi="Times New Roman" w:cs="Times New Roman"/>
                      <w:bCs/>
                      <w:color w:val="auto"/>
                      <w:sz w:val="21"/>
                      <w:szCs w:val="22"/>
                    </w:rPr>
                  </w:pPr>
                </w:p>
              </w:tc>
              <w:tc>
                <w:tcPr>
                  <w:tcW w:w="1391" w:type="dxa"/>
                  <w:noWrap w:val="0"/>
                  <w:vAlign w:val="center"/>
                </w:tcPr>
                <w:p w14:paraId="2A9CD3F6">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跑冒滴漏损失</w:t>
                  </w:r>
                </w:p>
              </w:tc>
              <w:tc>
                <w:tcPr>
                  <w:tcW w:w="1295" w:type="dxa"/>
                  <w:noWrap w:val="0"/>
                  <w:vAlign w:val="center"/>
                </w:tcPr>
                <w:p w14:paraId="786D9534">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0.084kg/m³通过量</w:t>
                  </w:r>
                </w:p>
              </w:tc>
              <w:tc>
                <w:tcPr>
                  <w:tcW w:w="1337" w:type="dxa"/>
                  <w:vMerge w:val="continue"/>
                  <w:noWrap w:val="0"/>
                  <w:vAlign w:val="center"/>
                </w:tcPr>
                <w:p w14:paraId="44A99ACC">
                  <w:pPr>
                    <w:jc w:val="center"/>
                    <w:rPr>
                      <w:rFonts w:hint="default" w:ascii="Times New Roman" w:hAnsi="Times New Roman" w:cs="Times New Roman"/>
                      <w:bCs/>
                      <w:color w:val="auto"/>
                      <w:sz w:val="21"/>
                      <w:szCs w:val="22"/>
                    </w:rPr>
                  </w:pPr>
                </w:p>
              </w:tc>
              <w:tc>
                <w:tcPr>
                  <w:tcW w:w="1104" w:type="dxa"/>
                  <w:noWrap w:val="0"/>
                  <w:vAlign w:val="center"/>
                </w:tcPr>
                <w:p w14:paraId="505A6008">
                  <w:pPr>
                    <w:jc w:val="center"/>
                    <w:textAlignment w:val="center"/>
                    <w:rPr>
                      <w:rFonts w:hint="default" w:cs="Times New Roman"/>
                      <w:bCs/>
                      <w:color w:val="auto"/>
                      <w:sz w:val="21"/>
                      <w:szCs w:val="22"/>
                      <w:lang w:val="en-US" w:eastAsia="zh-CN"/>
                    </w:rPr>
                  </w:pPr>
                  <w:r>
                    <w:rPr>
                      <w:rFonts w:hint="eastAsia" w:cs="Times New Roman"/>
                      <w:bCs/>
                      <w:color w:val="auto"/>
                      <w:sz w:val="21"/>
                      <w:szCs w:val="22"/>
                      <w:lang w:val="en-US" w:eastAsia="zh-CN"/>
                    </w:rPr>
                    <w:t xml:space="preserve">0.1008 </w:t>
                  </w:r>
                </w:p>
              </w:tc>
              <w:tc>
                <w:tcPr>
                  <w:tcW w:w="1051" w:type="dxa"/>
                  <w:noWrap w:val="0"/>
                  <w:vAlign w:val="center"/>
                </w:tcPr>
                <w:p w14:paraId="748B28D0">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color w:val="auto"/>
                      <w:sz w:val="21"/>
                      <w:szCs w:val="22"/>
                    </w:rPr>
                    <w:t>—</w:t>
                  </w:r>
                </w:p>
              </w:tc>
              <w:tc>
                <w:tcPr>
                  <w:tcW w:w="979" w:type="dxa"/>
                  <w:noWrap w:val="0"/>
                  <w:vAlign w:val="center"/>
                </w:tcPr>
                <w:p w14:paraId="686BEC94">
                  <w:pPr>
                    <w:keepNext w:val="0"/>
                    <w:keepLines w:val="0"/>
                    <w:widowControl/>
                    <w:suppressLineNumbers w:val="0"/>
                    <w:jc w:val="center"/>
                    <w:textAlignment w:val="center"/>
                    <w:rPr>
                      <w:rFonts w:hint="default" w:ascii="Times New Roman" w:hAnsi="Times New Roman" w:eastAsia="宋体" w:cs="Times New Roman"/>
                      <w:color w:val="auto"/>
                      <w:sz w:val="21"/>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0.1008 </w:t>
                  </w:r>
                </w:p>
              </w:tc>
            </w:tr>
            <w:tr w14:paraId="0F22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 w:hRule="atLeast"/>
                <w:jc w:val="center"/>
              </w:trPr>
              <w:tc>
                <w:tcPr>
                  <w:tcW w:w="2791" w:type="dxa"/>
                  <w:gridSpan w:val="3"/>
                  <w:noWrap w:val="0"/>
                  <w:vAlign w:val="center"/>
                </w:tcPr>
                <w:p w14:paraId="04E40307">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柴油损耗</w:t>
                  </w:r>
                </w:p>
              </w:tc>
              <w:tc>
                <w:tcPr>
                  <w:tcW w:w="1295" w:type="dxa"/>
                  <w:noWrap w:val="0"/>
                  <w:vAlign w:val="center"/>
                </w:tcPr>
                <w:p w14:paraId="51532F62">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val="en-US" w:eastAsia="zh-CN" w:bidi="ar"/>
                    </w:rPr>
                    <w:t>0.07463kg/t</w:t>
                  </w:r>
                </w:p>
              </w:tc>
              <w:tc>
                <w:tcPr>
                  <w:tcW w:w="1337" w:type="dxa"/>
                  <w:noWrap w:val="0"/>
                  <w:vAlign w:val="center"/>
                </w:tcPr>
                <w:p w14:paraId="4B0F48A5">
                  <w:pPr>
                    <w:jc w:val="center"/>
                    <w:rPr>
                      <w:rFonts w:hint="default" w:ascii="Times New Roman" w:hAnsi="Times New Roman" w:cs="Times New Roman"/>
                      <w:color w:val="auto"/>
                      <w:sz w:val="21"/>
                      <w:szCs w:val="22"/>
                      <w:lang w:val="en-US"/>
                    </w:rPr>
                  </w:pPr>
                  <w:r>
                    <w:rPr>
                      <w:rFonts w:hint="eastAsia" w:cs="Times New Roman"/>
                      <w:color w:val="auto"/>
                      <w:sz w:val="21"/>
                      <w:szCs w:val="22"/>
                      <w:lang w:val="en-US" w:eastAsia="zh-CN"/>
                    </w:rPr>
                    <w:t>750</w:t>
                  </w:r>
                  <w:r>
                    <w:rPr>
                      <w:rFonts w:hint="eastAsia" w:cs="Times New Roman"/>
                      <w:color w:val="auto"/>
                      <w:sz w:val="24"/>
                      <w:szCs w:val="32"/>
                      <w:lang w:val="en-US" w:eastAsia="zh-CN"/>
                    </w:rPr>
                    <w:t>t/a</w:t>
                  </w:r>
                </w:p>
              </w:tc>
              <w:tc>
                <w:tcPr>
                  <w:tcW w:w="1104" w:type="dxa"/>
                  <w:noWrap w:val="0"/>
                  <w:vAlign w:val="center"/>
                </w:tcPr>
                <w:p w14:paraId="68B76458">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0.056</w:t>
                  </w:r>
                </w:p>
              </w:tc>
              <w:tc>
                <w:tcPr>
                  <w:tcW w:w="1051" w:type="dxa"/>
                  <w:noWrap w:val="0"/>
                  <w:vAlign w:val="center"/>
                </w:tcPr>
                <w:p w14:paraId="25C25B49">
                  <w:pPr>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w:t>
                  </w:r>
                </w:p>
              </w:tc>
              <w:tc>
                <w:tcPr>
                  <w:tcW w:w="979" w:type="dxa"/>
                  <w:noWrap w:val="0"/>
                  <w:vAlign w:val="center"/>
                </w:tcPr>
                <w:p w14:paraId="42D51A02">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0.056</w:t>
                  </w:r>
                </w:p>
              </w:tc>
            </w:tr>
            <w:tr w14:paraId="24F9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 w:hRule="atLeast"/>
                <w:jc w:val="center"/>
              </w:trPr>
              <w:tc>
                <w:tcPr>
                  <w:tcW w:w="565" w:type="dxa"/>
                  <w:noWrap w:val="0"/>
                  <w:vAlign w:val="center"/>
                </w:tcPr>
                <w:p w14:paraId="190BE460">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合计</w:t>
                  </w:r>
                </w:p>
              </w:tc>
              <w:tc>
                <w:tcPr>
                  <w:tcW w:w="4858" w:type="dxa"/>
                  <w:gridSpan w:val="4"/>
                  <w:noWrap w:val="0"/>
                  <w:vAlign w:val="center"/>
                </w:tcPr>
                <w:p w14:paraId="26E51D33">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w:t>
                  </w:r>
                </w:p>
              </w:tc>
              <w:tc>
                <w:tcPr>
                  <w:tcW w:w="1104" w:type="dxa"/>
                  <w:noWrap w:val="0"/>
                  <w:vAlign w:val="center"/>
                </w:tcPr>
                <w:p w14:paraId="60930A34">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2.2088</w:t>
                  </w:r>
                </w:p>
              </w:tc>
              <w:tc>
                <w:tcPr>
                  <w:tcW w:w="1051" w:type="dxa"/>
                  <w:noWrap w:val="0"/>
                  <w:vAlign w:val="center"/>
                </w:tcPr>
                <w:p w14:paraId="55987A09">
                  <w:pPr>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　</w:t>
                  </w:r>
                </w:p>
              </w:tc>
              <w:tc>
                <w:tcPr>
                  <w:tcW w:w="979" w:type="dxa"/>
                  <w:noWrap w:val="0"/>
                  <w:vAlign w:val="center"/>
                </w:tcPr>
                <w:p w14:paraId="44296923">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0.3962</w:t>
                  </w:r>
                </w:p>
              </w:tc>
            </w:tr>
          </w:tbl>
          <w:p w14:paraId="62C3BAF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2"/>
                <w:vertAlign w:val="baseline"/>
                <w:lang w:val="en-US" w:eastAsia="zh-CN"/>
              </w:rPr>
            </w:pPr>
            <w:r>
              <w:rPr>
                <w:rFonts w:hint="eastAsia" w:cs="Times New Roman"/>
                <w:color w:val="auto"/>
                <w:sz w:val="24"/>
                <w:szCs w:val="22"/>
                <w:vertAlign w:val="baseline"/>
                <w:lang w:val="en-US" w:eastAsia="zh-CN"/>
              </w:rPr>
              <w:t>根据《中国石化销售有限公司云南昆明寻甸梧桐加油站建设项目竣工环境保护验收意见》加油站无组织排放废气，非甲烷总烃能满足《大气污染物综合排放标准》</w:t>
            </w:r>
          </w:p>
          <w:p w14:paraId="7FD28C1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Times New Roman"/>
                <w:color w:val="auto"/>
                <w:sz w:val="24"/>
                <w:szCs w:val="22"/>
                <w:lang w:val="en-US" w:eastAsia="zh-CN"/>
              </w:rPr>
            </w:pPr>
            <w:r>
              <w:rPr>
                <w:rFonts w:hint="eastAsia" w:cs="Times New Roman"/>
                <w:color w:val="auto"/>
                <w:sz w:val="24"/>
                <w:szCs w:val="22"/>
                <w:vertAlign w:val="baseline"/>
                <w:lang w:val="en-US" w:eastAsia="zh-CN"/>
              </w:rPr>
              <w:t>（GB16297-1996）表2中的相应标准，即周界外浓度最高点非甲总烃&lt;4.0mg/m</w:t>
            </w:r>
            <w:r>
              <w:rPr>
                <w:rFonts w:hint="eastAsia" w:cs="Times New Roman"/>
                <w:color w:val="auto"/>
                <w:sz w:val="24"/>
                <w:szCs w:val="22"/>
                <w:vertAlign w:val="superscript"/>
                <w:lang w:val="en-US" w:eastAsia="zh-CN"/>
              </w:rPr>
              <w:t>3</w:t>
            </w:r>
            <w:r>
              <w:rPr>
                <w:rFonts w:hint="eastAsia" w:cs="Times New Roman"/>
                <w:color w:val="auto"/>
                <w:sz w:val="24"/>
                <w:szCs w:val="22"/>
                <w:vertAlign w:val="baseline"/>
                <w:lang w:val="en-US" w:eastAsia="zh-CN"/>
              </w:rPr>
              <w:t>。</w:t>
            </w:r>
          </w:p>
          <w:p w14:paraId="271C55C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2"/>
                <w:lang w:val="en-US" w:eastAsia="zh-CN"/>
              </w:rPr>
            </w:pPr>
            <w:r>
              <w:rPr>
                <w:rFonts w:hint="eastAsia" w:cs="Times New Roman"/>
                <w:color w:val="auto"/>
                <w:sz w:val="24"/>
                <w:szCs w:val="22"/>
                <w:lang w:val="en-US" w:eastAsia="zh-CN"/>
              </w:rPr>
              <w:t>（2）废水</w:t>
            </w:r>
          </w:p>
          <w:p w14:paraId="7393A74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2"/>
                <w:lang w:val="en-US" w:eastAsia="zh-CN"/>
              </w:rPr>
            </w:pPr>
            <w:r>
              <w:rPr>
                <w:rFonts w:hint="eastAsia" w:cs="Times New Roman"/>
                <w:color w:val="auto"/>
                <w:sz w:val="24"/>
                <w:szCs w:val="22"/>
                <w:lang w:val="en-US" w:eastAsia="zh-CN"/>
              </w:rPr>
              <w:t>现有加油站实行雨污分流，设有油水分离池、化粪池，生活污水及场地清洁水进化粪池，委托寻甸绿运垃圾清运有限公司清运处置。</w:t>
            </w:r>
          </w:p>
          <w:p w14:paraId="6DA28B6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2"/>
                <w:vertAlign w:val="baseline"/>
                <w:lang w:val="en-US" w:eastAsia="zh-CN"/>
              </w:rPr>
            </w:pPr>
            <w:r>
              <w:rPr>
                <w:rFonts w:hint="eastAsia" w:cs="Times New Roman"/>
                <w:color w:val="auto"/>
                <w:sz w:val="24"/>
                <w:szCs w:val="22"/>
                <w:lang w:val="en-US" w:eastAsia="zh-CN"/>
              </w:rPr>
              <w:t>根据《</w:t>
            </w:r>
            <w:r>
              <w:rPr>
                <w:rFonts w:hint="eastAsia" w:cs="Times New Roman"/>
                <w:color w:val="auto"/>
                <w:sz w:val="24"/>
                <w:szCs w:val="32"/>
                <w:lang w:val="en-US" w:eastAsia="zh-CN"/>
              </w:rPr>
              <w:t>中国石化销售有限公司云南昆明寻甸梧桐加油站建设项目竣工环境保护验收监测报告表</w:t>
            </w:r>
            <w:r>
              <w:rPr>
                <w:rFonts w:hint="eastAsia" w:cs="Times New Roman"/>
                <w:color w:val="auto"/>
                <w:sz w:val="24"/>
                <w:szCs w:val="22"/>
                <w:lang w:val="en-US" w:eastAsia="zh-CN"/>
              </w:rPr>
              <w:t>》，加油站生活污水产生量为：0.16m</w:t>
            </w:r>
            <w:r>
              <w:rPr>
                <w:rFonts w:hint="eastAsia" w:cs="Times New Roman"/>
                <w:color w:val="auto"/>
                <w:sz w:val="24"/>
                <w:szCs w:val="22"/>
                <w:vertAlign w:val="superscript"/>
                <w:lang w:val="en-US" w:eastAsia="zh-CN"/>
              </w:rPr>
              <w:t>3</w:t>
            </w:r>
            <w:r>
              <w:rPr>
                <w:rFonts w:hint="eastAsia" w:cs="Times New Roman"/>
                <w:color w:val="auto"/>
                <w:sz w:val="24"/>
                <w:szCs w:val="22"/>
                <w:lang w:val="en-US" w:eastAsia="zh-CN"/>
              </w:rPr>
              <w:t>/d，场地清洁废水产生量为：0.24m</w:t>
            </w:r>
            <w:r>
              <w:rPr>
                <w:rFonts w:hint="eastAsia" w:cs="Times New Roman"/>
                <w:color w:val="auto"/>
                <w:sz w:val="24"/>
                <w:szCs w:val="22"/>
                <w:vertAlign w:val="superscript"/>
                <w:lang w:val="en-US" w:eastAsia="zh-CN"/>
              </w:rPr>
              <w:t>3</w:t>
            </w:r>
            <w:r>
              <w:rPr>
                <w:rFonts w:hint="eastAsia" w:cs="Times New Roman"/>
                <w:color w:val="auto"/>
                <w:sz w:val="24"/>
                <w:szCs w:val="22"/>
                <w:lang w:val="en-US" w:eastAsia="zh-CN"/>
              </w:rPr>
              <w:t>/d</w:t>
            </w:r>
            <w:r>
              <w:rPr>
                <w:rFonts w:hint="eastAsia" w:cs="Times New Roman"/>
                <w:color w:val="auto"/>
                <w:sz w:val="24"/>
                <w:szCs w:val="22"/>
                <w:vertAlign w:val="baseline"/>
                <w:lang w:val="en-US" w:eastAsia="zh-CN"/>
              </w:rPr>
              <w:t>。</w:t>
            </w:r>
          </w:p>
          <w:p w14:paraId="5A67AD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2"/>
                <w:vertAlign w:val="baseline"/>
                <w:lang w:val="en-US" w:eastAsia="zh-CN"/>
              </w:rPr>
            </w:pPr>
            <w:r>
              <w:rPr>
                <w:rFonts w:hint="eastAsia" w:cs="Times New Roman"/>
                <w:color w:val="auto"/>
                <w:sz w:val="24"/>
                <w:szCs w:val="22"/>
                <w:vertAlign w:val="baseline"/>
                <w:lang w:val="en-US" w:eastAsia="zh-CN"/>
              </w:rPr>
              <w:t>（3）噪声</w:t>
            </w:r>
          </w:p>
          <w:p w14:paraId="725B4AA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2"/>
                <w:vertAlign w:val="baseline"/>
                <w:lang w:val="en-US" w:eastAsia="zh-CN"/>
              </w:rPr>
            </w:pPr>
            <w:r>
              <w:rPr>
                <w:rFonts w:hint="eastAsia" w:cs="Times New Roman"/>
                <w:color w:val="auto"/>
                <w:sz w:val="24"/>
                <w:szCs w:val="22"/>
                <w:vertAlign w:val="baseline"/>
                <w:lang w:val="en-US" w:eastAsia="zh-CN"/>
              </w:rPr>
              <w:t>现有加油站北侧、南侧、东侧设有围墙，对车辆交通噪声，设置限速禁鸣标志、出入口设置减速带。根据《中国石化销售有限公司云南昆明寻甸梧桐加油站建设项目竣工环境保护验收意见》加油站噪声满足要求。</w:t>
            </w:r>
          </w:p>
          <w:p w14:paraId="40B973BB">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2"/>
                <w:vertAlign w:val="baseline"/>
                <w:lang w:val="en-US" w:eastAsia="zh-CN"/>
              </w:rPr>
            </w:pPr>
            <w:r>
              <w:rPr>
                <w:rFonts w:hint="eastAsia" w:cs="Times New Roman"/>
                <w:color w:val="auto"/>
                <w:sz w:val="24"/>
                <w:szCs w:val="22"/>
                <w:vertAlign w:val="baseline"/>
                <w:lang w:val="en-US" w:eastAsia="zh-CN"/>
              </w:rPr>
              <w:t>固废</w:t>
            </w:r>
          </w:p>
          <w:p w14:paraId="62F078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cs="Times New Roman"/>
                <w:color w:val="auto"/>
                <w:sz w:val="24"/>
                <w:szCs w:val="22"/>
                <w:lang w:val="en-US" w:eastAsia="zh-CN"/>
              </w:rPr>
            </w:pPr>
            <w:r>
              <w:rPr>
                <w:rFonts w:hint="eastAsia" w:cs="Times New Roman"/>
                <w:color w:val="auto"/>
                <w:sz w:val="24"/>
                <w:szCs w:val="22"/>
                <w:vertAlign w:val="baseline"/>
                <w:lang w:val="en-US" w:eastAsia="zh-CN"/>
              </w:rPr>
              <w:t xml:space="preserve">   </w:t>
            </w:r>
            <w:r>
              <w:rPr>
                <w:rFonts w:hint="eastAsia" w:cs="Times New Roman"/>
                <w:color w:val="auto"/>
                <w:sz w:val="24"/>
                <w:szCs w:val="22"/>
                <w:lang w:val="en-US" w:eastAsia="zh-CN"/>
              </w:rPr>
              <w:t>根据建设单位核实，加油站生活垃圾产生量为：1.46t/a，化粪池污泥产生量为：0.01t/a，集中收集委托寻甸绿运垃圾清运有限公司清运处置；危险废物产生量为：三级油水分离池废油0.003t/a，废消防沙0.1t/a、油罐清洗产生的油罐残渣、废液0.21t/a，油罐清洗过程产生的废抹布、废手套0.05t/a，废滤网0.01t/a，委托云南大地丰源环保有限公司处置。</w:t>
            </w:r>
          </w:p>
          <w:p w14:paraId="12D8524C">
            <w:pPr>
              <w:pStyle w:val="64"/>
              <w:ind w:firstLine="482"/>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4、现有加油站平面布置</w:t>
            </w:r>
          </w:p>
          <w:p w14:paraId="4198D44C">
            <w:pPr>
              <w:pStyle w:val="64"/>
              <w:ind w:firstLine="482"/>
              <w:rPr>
                <w:rFonts w:hint="default"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现有加油站罩棚位于中央，站旁紧邻罩棚位于罩棚东侧， 油罐区位于东北侧，附房1#、2#位于南侧，附房3#位于东南侧，附房4#、5#位于东侧，附房6#、7#、8#位于北侧，现有加油站场地均已水泥硬化。现有加油站平面布置情况见附图9。</w:t>
            </w:r>
          </w:p>
          <w:p w14:paraId="34090272">
            <w:pPr>
              <w:pStyle w:val="64"/>
              <w:ind w:firstLine="482"/>
              <w:rPr>
                <w:rFonts w:ascii="宋体" w:hAnsi="宋体" w:eastAsia="宋体" w:cs="宋体"/>
                <w:color w:val="auto"/>
              </w:rPr>
            </w:pPr>
            <w:r>
              <w:rPr>
                <w:rFonts w:hint="eastAsia" w:ascii="宋体" w:hAnsi="宋体" w:eastAsia="宋体" w:cs="宋体"/>
                <w:b/>
                <w:bCs/>
                <w:color w:val="auto"/>
                <w:lang w:val="en-US" w:eastAsia="zh-CN"/>
              </w:rPr>
              <w:t>5</w:t>
            </w:r>
            <w:r>
              <w:rPr>
                <w:rFonts w:hint="eastAsia" w:ascii="宋体" w:hAnsi="宋体" w:eastAsia="宋体" w:cs="宋体"/>
                <w:b/>
                <w:bCs/>
                <w:color w:val="auto"/>
              </w:rPr>
              <w:t>、与本次改建项目有关的主要环境问题及整改措施</w:t>
            </w:r>
          </w:p>
          <w:p w14:paraId="177AD4F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textAlignment w:val="auto"/>
              <w:rPr>
                <w:rFonts w:hint="eastAsia" w:cs="Times New Roman"/>
                <w:color w:val="auto"/>
                <w:sz w:val="24"/>
                <w:szCs w:val="22"/>
                <w:lang w:val="en-US" w:eastAsia="zh-CN"/>
              </w:rPr>
            </w:pPr>
            <w:r>
              <w:rPr>
                <w:rFonts w:hint="eastAsia" w:cs="Times New Roman"/>
                <w:color w:val="auto"/>
                <w:sz w:val="24"/>
                <w:szCs w:val="22"/>
                <w:lang w:val="en-US" w:eastAsia="zh-CN"/>
              </w:rPr>
              <w:t>本次改扩建除了附房1#装修利</w:t>
            </w:r>
            <w:r>
              <w:rPr>
                <w:rFonts w:hint="eastAsia" w:ascii="Times New Roman" w:hAnsi="Times New Roman" w:eastAsia="宋体" w:cs="Times New Roman"/>
                <w:color w:val="auto"/>
                <w:sz w:val="24"/>
                <w:szCs w:val="22"/>
                <w:lang w:val="en-US" w:eastAsia="zh-CN"/>
              </w:rPr>
              <w:t>旧，其余全部拆除回填硬化，清管清罐吊装，</w:t>
            </w:r>
            <w:r>
              <w:rPr>
                <w:rFonts w:hint="eastAsia" w:cs="Times New Roman"/>
                <w:color w:val="auto"/>
                <w:sz w:val="24"/>
                <w:szCs w:val="22"/>
                <w:lang w:val="en-US" w:eastAsia="zh-CN"/>
              </w:rPr>
              <w:t>新建1个三级加油站，目前还未动工，不存在原有环境污染问题。</w:t>
            </w:r>
          </w:p>
          <w:p w14:paraId="1B184539">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80"/>
              <w:textAlignment w:val="auto"/>
              <w:rPr>
                <w:rFonts w:hint="eastAsia" w:cs="Times New Roman"/>
                <w:color w:val="auto"/>
                <w:sz w:val="24"/>
                <w:szCs w:val="22"/>
                <w:lang w:val="en-US" w:eastAsia="zh-CN"/>
              </w:rPr>
            </w:pPr>
            <w:r>
              <w:rPr>
                <w:rFonts w:hint="eastAsia" w:cs="Times New Roman"/>
                <w:color w:val="auto"/>
                <w:sz w:val="24"/>
                <w:szCs w:val="22"/>
                <w:lang w:val="en-US" w:eastAsia="zh-CN"/>
              </w:rPr>
              <w:t>以新带老措施</w:t>
            </w:r>
          </w:p>
          <w:tbl>
            <w:tblPr>
              <w:tblStyle w:val="28"/>
              <w:tblW w:w="8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400"/>
              <w:gridCol w:w="5463"/>
            </w:tblGrid>
            <w:tr w14:paraId="1C9C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3FA3340">
                  <w:pPr>
                    <w:bidi w:val="0"/>
                    <w:jc w:val="center"/>
                    <w:rPr>
                      <w:rFonts w:hint="default"/>
                      <w:color w:val="auto"/>
                      <w:lang w:val="en-US" w:eastAsia="zh-CN"/>
                    </w:rPr>
                  </w:pPr>
                  <w:r>
                    <w:rPr>
                      <w:rFonts w:hint="eastAsia"/>
                      <w:color w:val="auto"/>
                      <w:lang w:val="en-US" w:eastAsia="zh-CN"/>
                    </w:rPr>
                    <w:t>序号</w:t>
                  </w:r>
                </w:p>
              </w:tc>
              <w:tc>
                <w:tcPr>
                  <w:tcW w:w="2400" w:type="dxa"/>
                  <w:vAlign w:val="center"/>
                </w:tcPr>
                <w:p w14:paraId="0A32AF79">
                  <w:pPr>
                    <w:bidi w:val="0"/>
                    <w:jc w:val="center"/>
                    <w:rPr>
                      <w:rFonts w:hint="default"/>
                      <w:color w:val="auto"/>
                      <w:lang w:val="en-US" w:eastAsia="zh-CN"/>
                    </w:rPr>
                  </w:pPr>
                  <w:r>
                    <w:rPr>
                      <w:rFonts w:hint="eastAsia"/>
                      <w:color w:val="auto"/>
                      <w:lang w:val="en-US" w:eastAsia="zh-CN"/>
                    </w:rPr>
                    <w:t>现有环保措施</w:t>
                  </w:r>
                </w:p>
              </w:tc>
              <w:tc>
                <w:tcPr>
                  <w:tcW w:w="5463" w:type="dxa"/>
                  <w:vAlign w:val="center"/>
                </w:tcPr>
                <w:p w14:paraId="17C5AEAF">
                  <w:pPr>
                    <w:bidi w:val="0"/>
                    <w:jc w:val="center"/>
                    <w:rPr>
                      <w:rFonts w:hint="eastAsia"/>
                      <w:color w:val="auto"/>
                      <w:lang w:val="en-US" w:eastAsia="zh-CN"/>
                    </w:rPr>
                  </w:pPr>
                  <w:r>
                    <w:rPr>
                      <w:rFonts w:hint="eastAsia"/>
                      <w:color w:val="auto"/>
                      <w:lang w:val="en-US" w:eastAsia="zh-CN"/>
                    </w:rPr>
                    <w:t>以新带老措施</w:t>
                  </w:r>
                </w:p>
              </w:tc>
            </w:tr>
            <w:tr w14:paraId="0EE2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14:paraId="3D579AAC">
                  <w:pPr>
                    <w:bidi w:val="0"/>
                    <w:jc w:val="center"/>
                    <w:rPr>
                      <w:rFonts w:hint="default"/>
                      <w:color w:val="auto"/>
                      <w:lang w:val="en-US" w:eastAsia="zh-CN"/>
                    </w:rPr>
                  </w:pPr>
                  <w:r>
                    <w:rPr>
                      <w:rFonts w:hint="eastAsia"/>
                      <w:color w:val="auto"/>
                      <w:lang w:val="en-US" w:eastAsia="zh-CN"/>
                    </w:rPr>
                    <w:t>1</w:t>
                  </w:r>
                </w:p>
              </w:tc>
              <w:tc>
                <w:tcPr>
                  <w:tcW w:w="2400" w:type="dxa"/>
                  <w:vAlign w:val="center"/>
                </w:tcPr>
                <w:p w14:paraId="0DDA3FFF">
                  <w:pPr>
                    <w:bidi w:val="0"/>
                    <w:jc w:val="center"/>
                    <w:rPr>
                      <w:rFonts w:hint="default" w:eastAsia="宋体"/>
                      <w:color w:val="auto"/>
                      <w:lang w:val="en-US" w:eastAsia="zh-CN"/>
                    </w:rPr>
                  </w:pPr>
                  <w:r>
                    <w:rPr>
                      <w:rFonts w:hint="default" w:ascii="Times New Roman" w:hAnsi="Times New Roman" w:cs="Times New Roman"/>
                      <w:color w:val="auto"/>
                      <w:sz w:val="21"/>
                      <w:szCs w:val="21"/>
                    </w:rPr>
                    <w:t>环保沟</w:t>
                  </w:r>
                  <w:r>
                    <w:rPr>
                      <w:rFonts w:hint="eastAsia" w:cs="Times New Roman"/>
                      <w:color w:val="auto"/>
                      <w:sz w:val="21"/>
                      <w:szCs w:val="21"/>
                      <w:lang w:eastAsia="zh-CN"/>
                    </w:rPr>
                    <w:t>、</w:t>
                  </w:r>
                  <w:r>
                    <w:rPr>
                      <w:rFonts w:hint="eastAsia" w:cs="Times New Roman"/>
                      <w:color w:val="auto"/>
                      <w:sz w:val="21"/>
                      <w:szCs w:val="21"/>
                      <w:lang w:val="en-US" w:eastAsia="zh-CN"/>
                    </w:rPr>
                    <w:t>三条。</w:t>
                  </w:r>
                </w:p>
              </w:tc>
              <w:tc>
                <w:tcPr>
                  <w:tcW w:w="5463" w:type="dxa"/>
                  <w:vAlign w:val="center"/>
                </w:tcPr>
                <w:p w14:paraId="2EAF5185">
                  <w:pPr>
                    <w:bidi w:val="0"/>
                    <w:jc w:val="center"/>
                    <w:rPr>
                      <w:rFonts w:hint="eastAsia"/>
                      <w:color w:val="auto"/>
                      <w:lang w:val="en-US" w:eastAsia="zh-CN"/>
                    </w:rPr>
                  </w:pPr>
                  <w:r>
                    <w:rPr>
                      <w:rFonts w:hint="default" w:ascii="Times New Roman" w:hAnsi="Times New Roman" w:cs="Times New Roman"/>
                      <w:color w:val="auto"/>
                      <w:sz w:val="21"/>
                      <w:szCs w:val="21"/>
                    </w:rPr>
                    <w:t>环保沟</w:t>
                  </w:r>
                  <w:r>
                    <w:rPr>
                      <w:rFonts w:hint="eastAsia" w:cs="Times New Roman"/>
                      <w:color w:val="auto"/>
                      <w:sz w:val="21"/>
                      <w:szCs w:val="21"/>
                      <w:lang w:eastAsia="zh-CN"/>
                    </w:rPr>
                    <w:t>，</w:t>
                  </w:r>
                  <w:r>
                    <w:rPr>
                      <w:rFonts w:hint="default" w:ascii="Times New Roman" w:hAnsi="Times New Roman" w:cs="Times New Roman"/>
                      <w:color w:val="auto"/>
                      <w:sz w:val="21"/>
                      <w:szCs w:val="22"/>
                    </w:rPr>
                    <w:t>罩棚</w:t>
                  </w:r>
                  <w:r>
                    <w:rPr>
                      <w:rFonts w:hint="eastAsia" w:cs="Times New Roman"/>
                      <w:color w:val="auto"/>
                      <w:sz w:val="21"/>
                      <w:szCs w:val="22"/>
                      <w:lang w:val="en-US" w:eastAsia="zh-CN"/>
                    </w:rPr>
                    <w:t>靠</w:t>
                  </w:r>
                  <w:r>
                    <w:rPr>
                      <w:rFonts w:hint="default" w:ascii="Times New Roman" w:hAnsi="Times New Roman" w:cs="Times New Roman"/>
                      <w:color w:val="auto"/>
                      <w:sz w:val="21"/>
                      <w:szCs w:val="22"/>
                    </w:rPr>
                    <w:t>边界布置，长约</w:t>
                  </w:r>
                  <w:r>
                    <w:rPr>
                      <w:rFonts w:hint="eastAsia" w:cs="Times New Roman"/>
                      <w:color w:val="auto"/>
                      <w:sz w:val="21"/>
                      <w:szCs w:val="22"/>
                      <w:lang w:val="en-US" w:eastAsia="zh-CN"/>
                    </w:rPr>
                    <w:t>100</w:t>
                  </w:r>
                  <w:r>
                    <w:rPr>
                      <w:rFonts w:hint="default" w:ascii="Times New Roman" w:hAnsi="Times New Roman" w:cs="Times New Roman"/>
                      <w:color w:val="auto"/>
                      <w:sz w:val="21"/>
                      <w:szCs w:val="22"/>
                    </w:rPr>
                    <w:t>m</w:t>
                  </w:r>
                  <w:r>
                    <w:rPr>
                      <w:rFonts w:hint="default" w:ascii="Times New Roman" w:hAnsi="Times New Roman" w:cs="Times New Roman"/>
                      <w:color w:val="auto"/>
                      <w:sz w:val="21"/>
                      <w:szCs w:val="22"/>
                      <w:lang w:eastAsia="zh-CN"/>
                    </w:rPr>
                    <w:t>。</w:t>
                  </w:r>
                </w:p>
              </w:tc>
            </w:tr>
            <w:tr w14:paraId="4146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CD54947">
                  <w:pPr>
                    <w:bidi w:val="0"/>
                    <w:jc w:val="center"/>
                    <w:rPr>
                      <w:rFonts w:hint="default"/>
                      <w:color w:val="auto"/>
                      <w:lang w:val="en-US" w:eastAsia="zh-CN"/>
                    </w:rPr>
                  </w:pPr>
                  <w:r>
                    <w:rPr>
                      <w:rFonts w:hint="eastAsia"/>
                      <w:color w:val="auto"/>
                      <w:lang w:val="en-US" w:eastAsia="zh-CN"/>
                    </w:rPr>
                    <w:t>2</w:t>
                  </w:r>
                </w:p>
              </w:tc>
              <w:tc>
                <w:tcPr>
                  <w:tcW w:w="2400" w:type="dxa"/>
                  <w:vAlign w:val="center"/>
                </w:tcPr>
                <w:p w14:paraId="460BB358">
                  <w:pPr>
                    <w:bidi w:val="0"/>
                    <w:jc w:val="center"/>
                    <w:rPr>
                      <w:rFonts w:hint="eastAsia"/>
                      <w:color w:val="auto"/>
                      <w:lang w:val="en-US" w:eastAsia="zh-CN"/>
                    </w:rPr>
                  </w:pPr>
                  <w:r>
                    <w:rPr>
                      <w:rFonts w:hint="eastAsia" w:cs="Times New Roman"/>
                      <w:color w:val="auto"/>
                      <w:sz w:val="21"/>
                      <w:szCs w:val="21"/>
                      <w:lang w:val="en-US" w:eastAsia="zh-CN"/>
                    </w:rPr>
                    <w:t>3</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eastAsia" w:ascii="Times New Roman" w:hAnsi="Times New Roman" w:cs="Times New Roman"/>
                      <w:bCs/>
                      <w:color w:val="auto"/>
                      <w:sz w:val="21"/>
                      <w:szCs w:val="21"/>
                      <w:vertAlign w:val="baseline"/>
                      <w:lang w:val="en-US" w:eastAsia="zh-CN"/>
                    </w:rPr>
                    <w:t>油水分离器一个。</w:t>
                  </w:r>
                </w:p>
              </w:tc>
              <w:tc>
                <w:tcPr>
                  <w:tcW w:w="5463" w:type="dxa"/>
                  <w:vAlign w:val="center"/>
                </w:tcPr>
                <w:p w14:paraId="338EB61B">
                  <w:pPr>
                    <w:bidi w:val="0"/>
                    <w:jc w:val="center"/>
                    <w:rPr>
                      <w:rFonts w:hint="eastAsia"/>
                      <w:color w:val="auto"/>
                      <w:lang w:val="en-US" w:eastAsia="zh-CN"/>
                    </w:rPr>
                  </w:pPr>
                  <w:r>
                    <w:rPr>
                      <w:rFonts w:hint="eastAsia"/>
                      <w:color w:val="auto"/>
                      <w:lang w:val="en-US" w:eastAsia="zh-CN"/>
                    </w:rPr>
                    <w:t>1个三级</w:t>
                  </w:r>
                  <w:r>
                    <w:rPr>
                      <w:rFonts w:hint="eastAsia" w:ascii="Times New Roman" w:hAnsi="Times New Roman" w:cs="Times New Roman"/>
                      <w:bCs/>
                      <w:color w:val="auto"/>
                      <w:sz w:val="21"/>
                      <w:szCs w:val="21"/>
                      <w:vertAlign w:val="baseline"/>
                      <w:lang w:val="en-US" w:eastAsia="zh-CN"/>
                    </w:rPr>
                    <w:t>油水分离</w:t>
                  </w:r>
                  <w:r>
                    <w:rPr>
                      <w:rFonts w:hint="eastAsia" w:cs="Times New Roman"/>
                      <w:bCs/>
                      <w:color w:val="auto"/>
                      <w:sz w:val="21"/>
                      <w:szCs w:val="21"/>
                      <w:vertAlign w:val="baseline"/>
                      <w:lang w:val="en-US" w:eastAsia="zh-CN"/>
                    </w:rPr>
                    <w:t>池</w:t>
                  </w:r>
                  <w:r>
                    <w:rPr>
                      <w:rFonts w:hint="eastAsia"/>
                      <w:color w:val="auto"/>
                      <w:lang w:val="en-US" w:eastAsia="zh-CN"/>
                    </w:rPr>
                    <w:t>，容积为8.5m</w:t>
                  </w:r>
                  <w:r>
                    <w:rPr>
                      <w:rFonts w:hint="eastAsia"/>
                      <w:color w:val="auto"/>
                      <w:vertAlign w:val="superscript"/>
                      <w:lang w:val="en-US" w:eastAsia="zh-CN"/>
                    </w:rPr>
                    <w:t>3</w:t>
                  </w:r>
                  <w:r>
                    <w:rPr>
                      <w:rFonts w:hint="eastAsia"/>
                      <w:color w:val="auto"/>
                      <w:lang w:val="en-US" w:eastAsia="zh-CN"/>
                    </w:rPr>
                    <w:t>。</w:t>
                  </w:r>
                </w:p>
              </w:tc>
            </w:tr>
            <w:tr w14:paraId="5B9B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17CBDB0">
                  <w:pPr>
                    <w:bidi w:val="0"/>
                    <w:jc w:val="center"/>
                    <w:rPr>
                      <w:rFonts w:hint="default"/>
                      <w:color w:val="auto"/>
                      <w:lang w:val="en-US" w:eastAsia="zh-CN"/>
                    </w:rPr>
                  </w:pPr>
                  <w:r>
                    <w:rPr>
                      <w:rFonts w:hint="eastAsia"/>
                      <w:color w:val="auto"/>
                      <w:lang w:val="en-US" w:eastAsia="zh-CN"/>
                    </w:rPr>
                    <w:t>3</w:t>
                  </w:r>
                </w:p>
              </w:tc>
              <w:tc>
                <w:tcPr>
                  <w:tcW w:w="2400" w:type="dxa"/>
                  <w:vAlign w:val="center"/>
                </w:tcPr>
                <w:p w14:paraId="04409432">
                  <w:pPr>
                    <w:bidi w:val="0"/>
                    <w:jc w:val="center"/>
                    <w:rPr>
                      <w:rFonts w:hint="eastAsia" w:eastAsia="宋体"/>
                      <w:color w:val="auto"/>
                      <w:lang w:val="en-US" w:eastAsia="zh-CN"/>
                    </w:rPr>
                  </w:pPr>
                  <w:r>
                    <w:rPr>
                      <w:rFonts w:hint="eastAsia" w:cs="Times New Roman"/>
                      <w:color w:val="auto"/>
                      <w:sz w:val="21"/>
                      <w:szCs w:val="21"/>
                      <w:lang w:val="en-US" w:eastAsia="zh-CN"/>
                    </w:rPr>
                    <w:t>1.5</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default" w:ascii="Times New Roman" w:hAnsi="Times New Roman" w:cs="Times New Roman"/>
                      <w:color w:val="auto"/>
                      <w:sz w:val="21"/>
                      <w:szCs w:val="21"/>
                    </w:rPr>
                    <w:t>化粪池</w:t>
                  </w:r>
                  <w:r>
                    <w:rPr>
                      <w:rFonts w:hint="eastAsia" w:cs="Times New Roman"/>
                      <w:color w:val="auto"/>
                      <w:sz w:val="21"/>
                      <w:szCs w:val="21"/>
                      <w:lang w:eastAsia="zh-CN"/>
                    </w:rPr>
                    <w:t>。</w:t>
                  </w:r>
                </w:p>
              </w:tc>
              <w:tc>
                <w:tcPr>
                  <w:tcW w:w="5463" w:type="dxa"/>
                  <w:vAlign w:val="center"/>
                </w:tcPr>
                <w:p w14:paraId="1B33B87F">
                  <w:pPr>
                    <w:bidi w:val="0"/>
                    <w:jc w:val="center"/>
                    <w:rPr>
                      <w:rFonts w:hint="eastAsia" w:eastAsia="宋体"/>
                      <w:color w:val="auto"/>
                      <w:vertAlign w:val="superscript"/>
                      <w:lang w:val="en-US" w:eastAsia="zh-CN"/>
                    </w:rPr>
                  </w:pPr>
                  <w:r>
                    <w:rPr>
                      <w:rFonts w:hint="default" w:ascii="Times New Roman" w:hAnsi="Times New Roman" w:cs="Times New Roman"/>
                      <w:color w:val="auto"/>
                      <w:sz w:val="21"/>
                      <w:szCs w:val="21"/>
                    </w:rPr>
                    <w:t>1个</w:t>
                  </w:r>
                  <w:r>
                    <w:rPr>
                      <w:rFonts w:hint="eastAsia" w:cs="Times New Roman"/>
                      <w:color w:val="auto"/>
                      <w:sz w:val="21"/>
                      <w:szCs w:val="21"/>
                      <w:lang w:val="en-US" w:eastAsia="zh-CN"/>
                    </w:rPr>
                    <w:t>化粪池</w:t>
                  </w:r>
                  <w:r>
                    <w:rPr>
                      <w:rFonts w:hint="default" w:ascii="Times New Roman" w:hAnsi="Times New Roman" w:cs="Times New Roman"/>
                      <w:color w:val="auto"/>
                      <w:sz w:val="21"/>
                      <w:szCs w:val="21"/>
                    </w:rPr>
                    <w:t>，容积为</w:t>
                  </w:r>
                  <w:r>
                    <w:rPr>
                      <w:rFonts w:hint="eastAsia" w:cs="Times New Roman"/>
                      <w:color w:val="auto"/>
                      <w:sz w:val="21"/>
                      <w:szCs w:val="21"/>
                      <w:lang w:val="en-US" w:eastAsia="zh-CN"/>
                    </w:rPr>
                    <w:t>11</w:t>
                  </w:r>
                  <w:r>
                    <w:rPr>
                      <w:rFonts w:hint="default" w:ascii="Times New Roman" w:hAnsi="Times New Roman" w:cs="Times New Roman"/>
                      <w:color w:val="auto"/>
                      <w:sz w:val="21"/>
                      <w:szCs w:val="21"/>
                    </w:rPr>
                    <w:t>m³</w:t>
                  </w:r>
                  <w:r>
                    <w:rPr>
                      <w:rFonts w:hint="eastAsia" w:cs="Times New Roman"/>
                      <w:color w:val="auto"/>
                      <w:sz w:val="21"/>
                      <w:szCs w:val="21"/>
                      <w:lang w:eastAsia="zh-CN"/>
                    </w:rPr>
                    <w:t>。</w:t>
                  </w:r>
                </w:p>
              </w:tc>
            </w:tr>
            <w:tr w14:paraId="7492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0297942">
                  <w:pPr>
                    <w:bidi w:val="0"/>
                    <w:jc w:val="center"/>
                    <w:rPr>
                      <w:rFonts w:hint="default"/>
                      <w:color w:val="auto"/>
                      <w:lang w:val="en-US" w:eastAsia="zh-CN"/>
                    </w:rPr>
                  </w:pPr>
                  <w:r>
                    <w:rPr>
                      <w:rFonts w:hint="eastAsia"/>
                      <w:color w:val="auto"/>
                      <w:lang w:val="en-US" w:eastAsia="zh-CN"/>
                    </w:rPr>
                    <w:t>4</w:t>
                  </w:r>
                </w:p>
              </w:tc>
              <w:tc>
                <w:tcPr>
                  <w:tcW w:w="2400" w:type="dxa"/>
                  <w:vAlign w:val="center"/>
                </w:tcPr>
                <w:p w14:paraId="4B74537D">
                  <w:pPr>
                    <w:bidi w:val="0"/>
                    <w:jc w:val="center"/>
                    <w:rPr>
                      <w:rFonts w:hint="eastAsia"/>
                      <w:color w:val="auto"/>
                      <w:lang w:val="en-US" w:eastAsia="zh-CN"/>
                    </w:rPr>
                  </w:pPr>
                  <w:r>
                    <w:rPr>
                      <w:rFonts w:hint="default" w:ascii="Times New Roman" w:hAnsi="Times New Roman" w:cs="Times New Roman"/>
                      <w:color w:val="auto"/>
                      <w:sz w:val="21"/>
                      <w:szCs w:val="21"/>
                    </w:rPr>
                    <w:t>1个</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kern w:val="1"/>
                      <w:sz w:val="21"/>
                      <w:szCs w:val="21"/>
                    </w:rPr>
                    <w:t>m</w:t>
                  </w:r>
                  <w:r>
                    <w:rPr>
                      <w:rFonts w:hint="default" w:ascii="Times New Roman" w:hAnsi="Times New Roman" w:cs="Times New Roman"/>
                      <w:color w:val="auto"/>
                      <w:kern w:val="1"/>
                      <w:sz w:val="21"/>
                      <w:szCs w:val="21"/>
                      <w:vertAlign w:val="superscript"/>
                    </w:rPr>
                    <w:t>2</w:t>
                  </w:r>
                  <w:r>
                    <w:rPr>
                      <w:rFonts w:hint="eastAsia" w:cs="Times New Roman"/>
                      <w:color w:val="auto"/>
                      <w:sz w:val="21"/>
                      <w:szCs w:val="21"/>
                      <w:lang w:eastAsia="zh-CN"/>
                    </w:rPr>
                    <w:t>危废暂存</w:t>
                  </w:r>
                  <w:r>
                    <w:rPr>
                      <w:rFonts w:hint="eastAsia" w:cs="Times New Roman"/>
                      <w:color w:val="auto"/>
                      <w:sz w:val="21"/>
                      <w:szCs w:val="21"/>
                      <w:lang w:val="en-US" w:eastAsia="zh-CN"/>
                    </w:rPr>
                    <w:t>间</w:t>
                  </w:r>
                  <w:r>
                    <w:rPr>
                      <w:rFonts w:hint="eastAsia" w:cs="Times New Roman"/>
                      <w:color w:val="auto"/>
                      <w:sz w:val="21"/>
                      <w:szCs w:val="21"/>
                      <w:lang w:eastAsia="zh-CN"/>
                    </w:rPr>
                    <w:t>。</w:t>
                  </w:r>
                </w:p>
              </w:tc>
              <w:tc>
                <w:tcPr>
                  <w:tcW w:w="5463" w:type="dxa"/>
                  <w:vAlign w:val="center"/>
                </w:tcPr>
                <w:p w14:paraId="4D5E85BF">
                  <w:pPr>
                    <w:bidi w:val="0"/>
                    <w:jc w:val="center"/>
                    <w:rPr>
                      <w:rFonts w:hint="eastAsia"/>
                      <w:color w:val="auto"/>
                      <w:lang w:val="en-US" w:eastAsia="zh-CN"/>
                    </w:rPr>
                  </w:pPr>
                  <w:r>
                    <w:rPr>
                      <w:rFonts w:hint="eastAsia" w:cs="Times New Roman"/>
                      <w:color w:val="auto"/>
                      <w:sz w:val="21"/>
                      <w:szCs w:val="21"/>
                      <w:lang w:val="en-US" w:eastAsia="zh-CN"/>
                    </w:rPr>
                    <w:t>新设</w:t>
                  </w:r>
                  <w:r>
                    <w:rPr>
                      <w:rFonts w:hint="default" w:ascii="Times New Roman" w:hAnsi="Times New Roman" w:cs="Times New Roman"/>
                      <w:color w:val="auto"/>
                      <w:sz w:val="21"/>
                      <w:szCs w:val="21"/>
                    </w:rPr>
                    <w:t>1个</w:t>
                  </w:r>
                  <w:r>
                    <w:rPr>
                      <w:rFonts w:hint="eastAsia" w:cs="Times New Roman"/>
                      <w:color w:val="auto"/>
                      <w:sz w:val="21"/>
                      <w:szCs w:val="21"/>
                      <w:lang w:eastAsia="zh-CN"/>
                    </w:rPr>
                    <w:t>危废暂存点</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占地</w:t>
                  </w:r>
                  <w:r>
                    <w:rPr>
                      <w:rFonts w:hint="default" w:ascii="Times New Roman" w:hAnsi="Times New Roman" w:cs="Times New Roman"/>
                      <w:color w:val="auto"/>
                      <w:sz w:val="21"/>
                      <w:szCs w:val="21"/>
                    </w:rPr>
                    <w:t>面积为</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kern w:val="1"/>
                      <w:sz w:val="21"/>
                      <w:szCs w:val="21"/>
                    </w:rPr>
                    <w:t>m</w:t>
                  </w:r>
                  <w:r>
                    <w:rPr>
                      <w:rFonts w:hint="default" w:ascii="Times New Roman" w:hAnsi="Times New Roman" w:cs="Times New Roman"/>
                      <w:color w:val="auto"/>
                      <w:kern w:val="1"/>
                      <w:sz w:val="21"/>
                      <w:szCs w:val="21"/>
                      <w:vertAlign w:val="superscript"/>
                    </w:rPr>
                    <w:t>2</w:t>
                  </w:r>
                  <w:r>
                    <w:rPr>
                      <w:rFonts w:hint="default" w:ascii="Times New Roman" w:hAnsi="Times New Roman" w:cs="Times New Roman"/>
                      <w:color w:val="auto"/>
                      <w:sz w:val="21"/>
                      <w:szCs w:val="21"/>
                    </w:rPr>
                    <w:t>，位于</w:t>
                  </w:r>
                  <w:r>
                    <w:rPr>
                      <w:rFonts w:hint="default" w:ascii="Times New Roman" w:hAnsi="Times New Roman" w:cs="Times New Roman"/>
                      <w:color w:val="auto"/>
                      <w:sz w:val="21"/>
                      <w:szCs w:val="21"/>
                      <w:lang w:val="en-US" w:eastAsia="zh-CN"/>
                    </w:rPr>
                    <w:t>东</w:t>
                  </w:r>
                  <w:r>
                    <w:rPr>
                      <w:rFonts w:hint="eastAsia" w:cs="Times New Roman"/>
                      <w:color w:val="auto"/>
                      <w:sz w:val="21"/>
                      <w:szCs w:val="21"/>
                      <w:lang w:val="en-US" w:eastAsia="zh-CN"/>
                    </w:rPr>
                    <w:t>北</w:t>
                  </w:r>
                  <w:r>
                    <w:rPr>
                      <w:rFonts w:hint="default" w:ascii="Times New Roman" w:hAnsi="Times New Roman" w:cs="Times New Roman"/>
                      <w:color w:val="auto"/>
                      <w:sz w:val="21"/>
                      <w:szCs w:val="21"/>
                      <w:lang w:val="en-US" w:eastAsia="zh-CN"/>
                    </w:rPr>
                    <w:t>侧</w:t>
                  </w:r>
                  <w:r>
                    <w:rPr>
                      <w:rFonts w:hint="default" w:ascii="Times New Roman" w:hAnsi="Times New Roman" w:cs="Times New Roman"/>
                      <w:color w:val="auto"/>
                      <w:sz w:val="21"/>
                      <w:szCs w:val="21"/>
                    </w:rPr>
                    <w:t>。</w:t>
                  </w:r>
                </w:p>
              </w:tc>
            </w:tr>
            <w:tr w14:paraId="62A1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D27BA35">
                  <w:pPr>
                    <w:bidi w:val="0"/>
                    <w:jc w:val="center"/>
                    <w:rPr>
                      <w:rFonts w:hint="default"/>
                      <w:color w:val="auto"/>
                      <w:lang w:val="en-US" w:eastAsia="zh-CN"/>
                    </w:rPr>
                  </w:pPr>
                  <w:r>
                    <w:rPr>
                      <w:rFonts w:hint="eastAsia"/>
                      <w:color w:val="auto"/>
                      <w:lang w:val="en-US" w:eastAsia="zh-CN"/>
                    </w:rPr>
                    <w:t>5</w:t>
                  </w:r>
                </w:p>
              </w:tc>
              <w:tc>
                <w:tcPr>
                  <w:tcW w:w="2400" w:type="dxa"/>
                  <w:vAlign w:val="center"/>
                </w:tcPr>
                <w:p w14:paraId="5CD643D2">
                  <w:pPr>
                    <w:bidi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硬化。</w:t>
                  </w:r>
                </w:p>
              </w:tc>
              <w:tc>
                <w:tcPr>
                  <w:tcW w:w="5463" w:type="dxa"/>
                  <w:vAlign w:val="center"/>
                </w:tcPr>
                <w:p w14:paraId="6F128071">
                  <w:pPr>
                    <w:bidi w:val="0"/>
                    <w:jc w:val="center"/>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储油罐区、输油管线及</w:t>
                  </w: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三级油水分离池重点防渗</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加油区、环保沟、卸油区、隔油池、化粪池一般防渗</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站房地面及场区除绿化用地外进行一般的地面硬化处理</w:t>
                  </w:r>
                  <w:r>
                    <w:rPr>
                      <w:rFonts w:hint="eastAsia" w:cs="Times New Roman"/>
                      <w:color w:val="auto"/>
                      <w:sz w:val="21"/>
                      <w:szCs w:val="21"/>
                      <w:lang w:eastAsia="zh-CN"/>
                    </w:rPr>
                    <w:t>。</w:t>
                  </w:r>
                </w:p>
              </w:tc>
            </w:tr>
            <w:tr w14:paraId="4585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376A4EA">
                  <w:pPr>
                    <w:bidi w:val="0"/>
                    <w:jc w:val="center"/>
                    <w:rPr>
                      <w:rFonts w:hint="default"/>
                      <w:color w:val="auto"/>
                      <w:lang w:val="en-US" w:eastAsia="zh-CN"/>
                    </w:rPr>
                  </w:pPr>
                  <w:r>
                    <w:rPr>
                      <w:rFonts w:hint="eastAsia"/>
                      <w:color w:val="auto"/>
                      <w:lang w:val="en-US" w:eastAsia="zh-CN"/>
                    </w:rPr>
                    <w:t>6</w:t>
                  </w:r>
                </w:p>
              </w:tc>
              <w:tc>
                <w:tcPr>
                  <w:tcW w:w="2400" w:type="dxa"/>
                  <w:vAlign w:val="center"/>
                </w:tcPr>
                <w:p w14:paraId="40BFF20A">
                  <w:pPr>
                    <w:bidi w:val="0"/>
                    <w:jc w:val="center"/>
                    <w:rPr>
                      <w:rFonts w:hint="eastAsia" w:cs="Times New Roman"/>
                      <w:b/>
                      <w:bCs/>
                      <w:color w:val="auto"/>
                      <w:sz w:val="21"/>
                      <w:szCs w:val="21"/>
                      <w:lang w:val="en-US" w:eastAsia="zh-CN"/>
                    </w:rPr>
                  </w:pPr>
                  <w:r>
                    <w:rPr>
                      <w:rFonts w:hint="default" w:ascii="Times New Roman" w:hAnsi="Times New Roman" w:eastAsia="宋体" w:cs="Times New Roman"/>
                      <w:color w:val="auto"/>
                      <w:sz w:val="21"/>
                      <w:szCs w:val="21"/>
                    </w:rPr>
                    <w:t>1口跟踪监测井</w:t>
                  </w:r>
                  <w:r>
                    <w:rPr>
                      <w:rFonts w:hint="default" w:ascii="Times New Roman" w:hAnsi="Times New Roman" w:cs="Times New Roman"/>
                      <w:color w:val="auto"/>
                      <w:sz w:val="21"/>
                      <w:szCs w:val="21"/>
                      <w:lang w:eastAsia="zh-CN"/>
                    </w:rPr>
                    <w:t>（103°15′35.074″</w:t>
                  </w:r>
                  <w:r>
                    <w:rPr>
                      <w:rFonts w:hint="eastAsia" w:cs="Times New Roman"/>
                      <w:color w:val="auto"/>
                      <w:sz w:val="21"/>
                      <w:szCs w:val="21"/>
                      <w:lang w:eastAsia="zh-CN"/>
                    </w:rPr>
                    <w:t>，</w:t>
                  </w:r>
                  <w:r>
                    <w:rPr>
                      <w:rFonts w:hint="default" w:ascii="Times New Roman" w:hAnsi="Times New Roman" w:cs="Times New Roman"/>
                      <w:color w:val="auto"/>
                      <w:sz w:val="21"/>
                      <w:szCs w:val="21"/>
                      <w:lang w:eastAsia="zh-CN"/>
                    </w:rPr>
                    <w:t>25°43′26.658″）</w:t>
                  </w:r>
                </w:p>
              </w:tc>
              <w:tc>
                <w:tcPr>
                  <w:tcW w:w="5463" w:type="dxa"/>
                  <w:vAlign w:val="center"/>
                </w:tcPr>
                <w:p w14:paraId="63BBE183">
                  <w:pPr>
                    <w:bidi w:val="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新设</w:t>
                  </w:r>
                  <w:r>
                    <w:rPr>
                      <w:rFonts w:hint="default" w:ascii="Times New Roman" w:hAnsi="Times New Roman" w:cs="Times New Roman"/>
                      <w:color w:val="auto"/>
                      <w:sz w:val="21"/>
                      <w:szCs w:val="21"/>
                      <w:lang w:eastAsia="zh-CN"/>
                    </w:rPr>
                    <w:t>1口跟踪监测井（</w:t>
                  </w:r>
                  <w:r>
                    <w:rPr>
                      <w:rFonts w:hint="eastAsia" w:ascii="Times New Roman" w:hAnsi="Times New Roman" w:cs="Times New Roman"/>
                      <w:color w:val="auto"/>
                      <w:sz w:val="21"/>
                      <w:szCs w:val="21"/>
                      <w:lang w:eastAsia="zh-CN"/>
                    </w:rPr>
                    <w:t>103</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15</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34.779</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25</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43</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26.131</w:t>
                  </w:r>
                  <w:r>
                    <w:rPr>
                      <w:rFonts w:hint="default" w:ascii="Times New Roman" w:hAnsi="Times New Roman" w:cs="Times New Roman"/>
                      <w:color w:val="auto"/>
                      <w:sz w:val="21"/>
                      <w:szCs w:val="21"/>
                      <w:lang w:eastAsia="zh-CN"/>
                    </w:rPr>
                    <w:t>″）</w:t>
                  </w:r>
                </w:p>
              </w:tc>
            </w:tr>
          </w:tbl>
          <w:p w14:paraId="4A7D15B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80"/>
              <w:textAlignment w:val="auto"/>
              <w:rPr>
                <w:rFonts w:hint="eastAsia" w:cs="Times New Roman"/>
                <w:color w:val="auto"/>
                <w:sz w:val="24"/>
                <w:szCs w:val="22"/>
                <w:lang w:val="en-US" w:eastAsia="zh-CN"/>
              </w:rPr>
            </w:pPr>
            <w:r>
              <w:rPr>
                <w:rFonts w:hint="eastAsia" w:cs="Times New Roman"/>
                <w:color w:val="auto"/>
                <w:sz w:val="24"/>
                <w:szCs w:val="22"/>
                <w:lang w:val="en-US" w:eastAsia="zh-CN"/>
              </w:rPr>
              <w:t>加油站涉及环保检查、督查等处罚和要求整改的情况</w:t>
            </w:r>
          </w:p>
          <w:p w14:paraId="3EFC43B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textAlignment w:val="auto"/>
              <w:rPr>
                <w:rFonts w:hint="default" w:cs="Times New Roman"/>
                <w:color w:val="auto"/>
                <w:sz w:val="24"/>
                <w:szCs w:val="22"/>
                <w:lang w:val="en-US" w:eastAsia="zh-CN"/>
              </w:rPr>
            </w:pPr>
            <w:r>
              <w:rPr>
                <w:rFonts w:hint="eastAsia" w:cs="Times New Roman"/>
                <w:color w:val="auto"/>
                <w:sz w:val="24"/>
                <w:szCs w:val="22"/>
                <w:lang w:val="en-US" w:eastAsia="zh-CN"/>
              </w:rPr>
              <w:t>根据建设单位核实，本加油站未受环保督察及处罚，没有被要求整改。</w:t>
            </w:r>
          </w:p>
          <w:p w14:paraId="36E8BD1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textAlignment w:val="auto"/>
              <w:rPr>
                <w:rFonts w:hint="default" w:cs="Times New Roman"/>
                <w:color w:val="auto"/>
                <w:sz w:val="24"/>
                <w:szCs w:val="22"/>
                <w:lang w:val="en-US" w:eastAsia="zh-CN"/>
              </w:rPr>
            </w:pPr>
          </w:p>
          <w:p w14:paraId="02EA81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p>
          <w:p w14:paraId="4D1AC0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p>
          <w:p w14:paraId="3E136C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p>
          <w:p w14:paraId="2B8F69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p>
          <w:p w14:paraId="5FDFB73E">
            <w:pPr>
              <w:pStyle w:val="2"/>
              <w:ind w:left="0" w:leftChars="0" w:firstLine="0" w:firstLineChars="0"/>
              <w:outlineLvl w:val="9"/>
              <w:rPr>
                <w:rFonts w:hint="default" w:ascii="Times New Roman" w:hAnsi="Times New Roman" w:cs="Times New Roman"/>
                <w:color w:val="auto"/>
                <w:lang w:val="en-US" w:eastAsia="zh-CN"/>
              </w:rPr>
            </w:pPr>
          </w:p>
        </w:tc>
      </w:tr>
    </w:tbl>
    <w:p w14:paraId="649D170B">
      <w:pPr>
        <w:pStyle w:val="24"/>
        <w:jc w:val="center"/>
        <w:outlineLvl w:val="9"/>
        <w:rPr>
          <w:rFonts w:hint="default" w:ascii="Times New Roman" w:hAnsi="Times New Roman" w:eastAsia="黑体" w:cs="Times New Roman"/>
          <w:snapToGrid w:val="0"/>
          <w:color w:val="auto"/>
          <w:sz w:val="30"/>
          <w:szCs w:val="30"/>
        </w:rPr>
        <w:sectPr>
          <w:pgSz w:w="11906" w:h="16838"/>
          <w:pgMar w:top="1361" w:right="1134" w:bottom="1361" w:left="1134" w:header="851" w:footer="992" w:gutter="0"/>
          <w:pgNumType w:fmt="decimal"/>
          <w:cols w:space="425" w:num="1"/>
          <w:docGrid w:type="lines" w:linePitch="312" w:charSpace="0"/>
        </w:sectPr>
      </w:pPr>
      <w:bookmarkStart w:id="16" w:name="_Toc16879"/>
    </w:p>
    <w:p w14:paraId="59029AA5">
      <w:pPr>
        <w:pStyle w:val="24"/>
        <w:jc w:val="center"/>
        <w:outlineLvl w:val="0"/>
        <w:rPr>
          <w:rFonts w:hint="default" w:ascii="Times New Roman" w:hAnsi="Times New Roman" w:eastAsia="黑体" w:cs="Times New Roman"/>
          <w:snapToGrid w:val="0"/>
          <w:color w:val="auto"/>
          <w:sz w:val="30"/>
          <w:szCs w:val="30"/>
        </w:rPr>
      </w:pPr>
      <w:bookmarkStart w:id="17" w:name="_Toc19693"/>
      <w:r>
        <w:rPr>
          <w:rFonts w:hint="default" w:ascii="Times New Roman" w:hAnsi="Times New Roman" w:eastAsia="黑体" w:cs="Times New Roman"/>
          <w:snapToGrid w:val="0"/>
          <w:color w:val="auto"/>
          <w:sz w:val="30"/>
          <w:szCs w:val="30"/>
        </w:rPr>
        <w:t>三、区域环境质量现状、环境保护目标及评价标准</w:t>
      </w:r>
      <w:bookmarkEnd w:id="16"/>
      <w:bookmarkEnd w:id="17"/>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7"/>
        <w:gridCol w:w="8672"/>
      </w:tblGrid>
      <w:tr w14:paraId="52C61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2" w:hRule="atLeast"/>
          <w:jc w:val="center"/>
        </w:trPr>
        <w:tc>
          <w:tcPr>
            <w:tcW w:w="847" w:type="dxa"/>
            <w:noWrap w:val="0"/>
            <w:vAlign w:val="center"/>
          </w:tcPr>
          <w:p w14:paraId="7F5228FB">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14:paraId="4AC0BC1F">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14:paraId="64F7B739">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14:paraId="1051D5DC">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现状</w:t>
            </w:r>
          </w:p>
        </w:tc>
        <w:tc>
          <w:tcPr>
            <w:tcW w:w="8672" w:type="dxa"/>
            <w:noWrap w:val="0"/>
            <w:vAlign w:val="center"/>
          </w:tcPr>
          <w:p w14:paraId="39E970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bookmarkStart w:id="18" w:name="_Toc106007598"/>
            <w:bookmarkStart w:id="19" w:name="_Toc151893241"/>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环境空气质量状况</w:t>
            </w:r>
            <w:bookmarkEnd w:id="18"/>
            <w:bookmarkEnd w:id="19"/>
          </w:p>
          <w:p w14:paraId="78110B6F">
            <w:pPr>
              <w:keepNext w:val="0"/>
              <w:keepLines w:val="0"/>
              <w:suppressLineNumbers w:val="0"/>
              <w:spacing w:before="0" w:beforeAutospacing="0" w:after="0" w:afterAutospacing="0" w:line="348" w:lineRule="auto"/>
              <w:ind w:left="0" w:right="0" w:firstLine="482"/>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（1）区域基本污染物环境质量现状</w:t>
            </w:r>
          </w:p>
          <w:p w14:paraId="225EDF5F">
            <w:pPr>
              <w:spacing w:line="360" w:lineRule="auto"/>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highlight w:val="none"/>
              </w:rPr>
              <w:t>根据HJ2.2-2018第6.2.1.1条“项目所在区域达标判定，优先选用国家或地方生态环境主管部门公开发布的评价基准年环境质量公告或环境质量公告中的数据或结论”。</w:t>
            </w:r>
            <w:r>
              <w:rPr>
                <w:rFonts w:hint="default" w:ascii="Times New Roman" w:hAnsi="Times New Roman" w:eastAsia="宋体" w:cs="Times New Roman"/>
                <w:color w:val="auto"/>
                <w:sz w:val="24"/>
                <w:szCs w:val="24"/>
                <w:highlight w:val="none"/>
                <w:lang w:val="en-US" w:eastAsia="zh-CN"/>
              </w:rPr>
              <w:t>根据“2023年度昆明市生态环境状况公报”</w:t>
            </w:r>
            <w:r>
              <w:rPr>
                <w:rFonts w:hint="default" w:ascii="Times New Roman" w:hAnsi="Times New Roman" w:cs="Times New Roman"/>
                <w:color w:val="auto"/>
                <w:sz w:val="24"/>
                <w:szCs w:val="24"/>
                <w:highlight w:val="none"/>
                <w:lang w:val="en-US" w:eastAsia="zh-CN"/>
              </w:rPr>
              <w:t>，各县（市）区环境空气质量总体保持良好，各项污染物平均浓度均达到二级空气质量标准。与2022年相比，各县（市）区环境空气综合污染指数均上升</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项目所在区域环境空气质量达标，属于环境空气达标区。</w:t>
            </w:r>
          </w:p>
          <w:p w14:paraId="2BD8E7F6">
            <w:pPr>
              <w:keepNext w:val="0"/>
              <w:keepLines w:val="0"/>
              <w:suppressLineNumbers w:val="0"/>
              <w:spacing w:before="0" w:beforeAutospacing="0" w:after="0" w:afterAutospacing="0" w:line="348" w:lineRule="auto"/>
              <w:ind w:left="0" w:right="0" w:firstLine="482"/>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特征污染物</w:t>
            </w:r>
          </w:p>
          <w:p w14:paraId="724791D1">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本项目大气环境特征污染物为</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rPr>
              <w:t>。</w:t>
            </w:r>
          </w:p>
          <w:p w14:paraId="78E97254">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建设单位委托</w:t>
            </w:r>
            <w:r>
              <w:rPr>
                <w:rFonts w:hint="eastAsia" w:cs="Times New Roman"/>
                <w:color w:val="auto"/>
                <w:sz w:val="24"/>
                <w:szCs w:val="24"/>
                <w:highlight w:val="none"/>
                <w:lang w:eastAsia="zh-CN"/>
              </w:rPr>
              <w:t>云南加莱希安全检测有限公司</w:t>
            </w:r>
            <w:r>
              <w:rPr>
                <w:rFonts w:hint="default" w:ascii="Times New Roman" w:hAnsi="Times New Roman" w:eastAsia="宋体" w:cs="Times New Roman"/>
                <w:color w:val="auto"/>
                <w:sz w:val="24"/>
                <w:szCs w:val="24"/>
                <w:highlight w:val="none"/>
              </w:rPr>
              <w:t>于202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进行了环境空气质量检测</w:t>
            </w:r>
            <w:r>
              <w:rPr>
                <w:rFonts w:hint="default" w:ascii="Times New Roman" w:hAnsi="Times New Roman" w:eastAsia="宋体" w:cs="Times New Roman"/>
                <w:color w:val="auto"/>
                <w:sz w:val="24"/>
                <w:szCs w:val="24"/>
                <w:highlight w:val="none"/>
              </w:rPr>
              <w:t>。具体监测结果见下表。</w:t>
            </w:r>
          </w:p>
          <w:p w14:paraId="12C09548">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（1）监测因子：</w:t>
            </w:r>
            <w:r>
              <w:rPr>
                <w:rFonts w:hint="default" w:ascii="Times New Roman" w:hAnsi="Times New Roman" w:cs="Times New Roman"/>
                <w:b w:val="0"/>
                <w:bCs/>
                <w:color w:val="auto"/>
                <w:kern w:val="0"/>
                <w:sz w:val="24"/>
                <w:szCs w:val="24"/>
                <w:lang w:val="en-US" w:eastAsia="zh-CN"/>
              </w:rPr>
              <w:t>非甲烷总烃</w:t>
            </w:r>
            <w:r>
              <w:rPr>
                <w:rFonts w:hint="default" w:ascii="Times New Roman" w:hAnsi="Times New Roman" w:cs="Times New Roman"/>
                <w:color w:val="auto"/>
                <w:sz w:val="24"/>
                <w:szCs w:val="22"/>
              </w:rPr>
              <w:t>。</w:t>
            </w:r>
          </w:p>
          <w:p w14:paraId="055C4130">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（2）监测点位：项目</w:t>
            </w:r>
            <w:r>
              <w:rPr>
                <w:rFonts w:hint="default" w:ascii="Times New Roman" w:hAnsi="Times New Roman" w:cs="Times New Roman"/>
                <w:color w:val="auto"/>
                <w:sz w:val="24"/>
                <w:szCs w:val="24"/>
              </w:rPr>
              <w:t>下风向</w:t>
            </w:r>
            <w:r>
              <w:rPr>
                <w:rFonts w:hint="default" w:ascii="Times New Roman" w:hAnsi="Times New Roman" w:cs="Times New Roman"/>
                <w:color w:val="auto"/>
                <w:sz w:val="24"/>
                <w:szCs w:val="22"/>
              </w:rPr>
              <w:t>。</w:t>
            </w:r>
          </w:p>
          <w:p w14:paraId="1A81D4EB">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（3）监测频率：</w:t>
            </w:r>
            <w:r>
              <w:rPr>
                <w:rFonts w:hint="default" w:ascii="Times New Roman" w:hAnsi="Times New Roman" w:cs="Times New Roman"/>
                <w:b w:val="0"/>
                <w:bCs/>
                <w:color w:val="auto"/>
                <w:kern w:val="0"/>
                <w:sz w:val="24"/>
                <w:szCs w:val="24"/>
                <w:lang w:val="en-US" w:eastAsia="zh-CN"/>
              </w:rPr>
              <w:t>非甲烷总烃</w:t>
            </w:r>
            <w:r>
              <w:rPr>
                <w:rFonts w:hint="default" w:ascii="Times New Roman" w:hAnsi="Times New Roman" w:cs="Times New Roman"/>
                <w:color w:val="auto"/>
                <w:sz w:val="24"/>
                <w:szCs w:val="22"/>
              </w:rPr>
              <w:t>每天检测</w:t>
            </w: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rPr>
              <w:t>次，连续监测3天。</w:t>
            </w:r>
          </w:p>
          <w:p w14:paraId="377682B7">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rPr>
              <w:t>）大气现状监测结果如下表所示：</w:t>
            </w:r>
          </w:p>
          <w:p w14:paraId="5594DDC7">
            <w:pPr>
              <w:spacing w:line="240" w:lineRule="auto"/>
              <w:jc w:val="center"/>
              <w:rPr>
                <w:rFonts w:hint="default" w:ascii="Times New Roman" w:hAnsi="Times New Roman" w:cs="Times New Roman"/>
                <w:b/>
                <w:bCs/>
                <w:color w:val="auto"/>
                <w:sz w:val="21"/>
                <w:szCs w:val="20"/>
              </w:rPr>
            </w:pPr>
            <w:r>
              <w:rPr>
                <w:rFonts w:hint="default" w:ascii="Times New Roman" w:hAnsi="Times New Roman" w:cs="Times New Roman"/>
                <w:b/>
                <w:bCs/>
                <w:color w:val="auto"/>
                <w:sz w:val="21"/>
                <w:szCs w:val="20"/>
              </w:rPr>
              <w:t>表3-</w:t>
            </w:r>
            <w:r>
              <w:rPr>
                <w:rFonts w:hint="default" w:ascii="Times New Roman" w:hAnsi="Times New Roman" w:cs="Times New Roman"/>
                <w:b/>
                <w:bCs/>
                <w:color w:val="auto"/>
                <w:sz w:val="21"/>
                <w:szCs w:val="20"/>
                <w:lang w:val="en-US" w:eastAsia="zh-CN"/>
              </w:rPr>
              <w:t>1</w:t>
            </w:r>
            <w:r>
              <w:rPr>
                <w:rFonts w:hint="default" w:ascii="Times New Roman" w:hAnsi="Times New Roman" w:cs="Times New Roman"/>
                <w:b/>
                <w:bCs/>
                <w:color w:val="auto"/>
                <w:sz w:val="21"/>
                <w:szCs w:val="20"/>
              </w:rPr>
              <w:t xml:space="preserve">   大气环境质量现状监测结果一览表 （mg/m</w:t>
            </w:r>
            <w:r>
              <w:rPr>
                <w:rFonts w:hint="default" w:ascii="Times New Roman" w:hAnsi="Times New Roman" w:cs="Times New Roman"/>
                <w:b/>
                <w:bCs/>
                <w:color w:val="auto"/>
                <w:sz w:val="21"/>
                <w:szCs w:val="20"/>
                <w:vertAlign w:val="superscript"/>
              </w:rPr>
              <w:t>3</w:t>
            </w:r>
            <w:r>
              <w:rPr>
                <w:rFonts w:hint="default" w:ascii="Times New Roman" w:hAnsi="Times New Roman" w:cs="Times New Roman"/>
                <w:b/>
                <w:bCs/>
                <w:color w:val="auto"/>
                <w:sz w:val="21"/>
                <w:szCs w:val="20"/>
              </w:rPr>
              <w:t>）</w:t>
            </w:r>
          </w:p>
          <w:p w14:paraId="7F999BA0">
            <w:pPr>
              <w:rPr>
                <w:rFonts w:hint="default" w:ascii="Times New Roman" w:hAnsi="Times New Roman" w:cs="Times New Roman"/>
                <w:vanish/>
                <w:color w:val="auto"/>
                <w:sz w:val="20"/>
                <w:szCs w:val="20"/>
              </w:rPr>
            </w:pPr>
          </w:p>
          <w:tbl>
            <w:tblPr>
              <w:tblStyle w:val="28"/>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117"/>
              <w:gridCol w:w="1307"/>
              <w:gridCol w:w="1744"/>
              <w:gridCol w:w="1161"/>
              <w:gridCol w:w="842"/>
              <w:gridCol w:w="902"/>
            </w:tblGrid>
            <w:tr w14:paraId="6DEB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02" w:type="dxa"/>
                  <w:tcBorders>
                    <w:tl2br w:val="nil"/>
                    <w:tr2bl w:val="nil"/>
                  </w:tcBorders>
                  <w:noWrap w:val="0"/>
                  <w:vAlign w:val="center"/>
                </w:tcPr>
                <w:p w14:paraId="020E61AF">
                  <w:pPr>
                    <w:keepNext w:val="0"/>
                    <w:keepLines w:val="0"/>
                    <w:widowControl/>
                    <w:suppressLineNumbers w:val="0"/>
                    <w:jc w:val="center"/>
                    <w:textAlignment w:val="top"/>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采样点位</w:t>
                  </w:r>
                </w:p>
              </w:tc>
              <w:tc>
                <w:tcPr>
                  <w:tcW w:w="1117" w:type="dxa"/>
                  <w:tcBorders>
                    <w:tl2br w:val="nil"/>
                    <w:tr2bl w:val="nil"/>
                  </w:tcBorders>
                  <w:noWrap w:val="0"/>
                  <w:vAlign w:val="center"/>
                </w:tcPr>
                <w:p w14:paraId="11A066F2">
                  <w:pPr>
                    <w:keepNext w:val="0"/>
                    <w:keepLines w:val="0"/>
                    <w:widowControl/>
                    <w:suppressLineNumbers w:val="0"/>
                    <w:jc w:val="center"/>
                    <w:textAlignment w:val="top"/>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分析项目</w:t>
                  </w:r>
                </w:p>
              </w:tc>
              <w:tc>
                <w:tcPr>
                  <w:tcW w:w="1307" w:type="dxa"/>
                  <w:tcBorders>
                    <w:tl2br w:val="nil"/>
                    <w:tr2bl w:val="nil"/>
                  </w:tcBorders>
                  <w:noWrap w:val="0"/>
                  <w:vAlign w:val="center"/>
                </w:tcPr>
                <w:p w14:paraId="60612830">
                  <w:pPr>
                    <w:keepNext w:val="0"/>
                    <w:keepLines w:val="0"/>
                    <w:widowControl/>
                    <w:suppressLineNumbers w:val="0"/>
                    <w:jc w:val="center"/>
                    <w:textAlignment w:val="top"/>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采样日期</w:t>
                  </w:r>
                  <w:r>
                    <w:rPr>
                      <w:rFonts w:hint="default" w:ascii="Times New Roman" w:hAnsi="Times New Roman" w:cs="Times New Roman"/>
                      <w:b/>
                      <w:i w:val="0"/>
                      <w:color w:val="auto"/>
                      <w:kern w:val="0"/>
                      <w:sz w:val="21"/>
                      <w:szCs w:val="21"/>
                      <w:u w:val="none"/>
                      <w:lang w:val="en-US" w:eastAsia="zh-CN" w:bidi="ar"/>
                    </w:rPr>
                    <w:t>/接样日期</w:t>
                  </w:r>
                </w:p>
              </w:tc>
              <w:tc>
                <w:tcPr>
                  <w:tcW w:w="1744" w:type="dxa"/>
                  <w:tcBorders>
                    <w:tl2br w:val="nil"/>
                    <w:tr2bl w:val="nil"/>
                  </w:tcBorders>
                  <w:noWrap w:val="0"/>
                  <w:vAlign w:val="center"/>
                </w:tcPr>
                <w:p w14:paraId="1987201D">
                  <w:pPr>
                    <w:keepNext w:val="0"/>
                    <w:keepLines w:val="0"/>
                    <w:widowControl/>
                    <w:suppressLineNumbers w:val="0"/>
                    <w:jc w:val="center"/>
                    <w:textAlignment w:val="top"/>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采样时间</w:t>
                  </w:r>
                </w:p>
              </w:tc>
              <w:tc>
                <w:tcPr>
                  <w:tcW w:w="1161" w:type="dxa"/>
                  <w:tcBorders>
                    <w:tl2br w:val="nil"/>
                    <w:tr2bl w:val="nil"/>
                  </w:tcBorders>
                  <w:noWrap w:val="0"/>
                  <w:vAlign w:val="center"/>
                </w:tcPr>
                <w:p w14:paraId="4191E675">
                  <w:pPr>
                    <w:keepNext w:val="0"/>
                    <w:keepLines w:val="0"/>
                    <w:widowControl/>
                    <w:suppressLineNumbers w:val="0"/>
                    <w:jc w:val="center"/>
                    <w:textAlignment w:val="top"/>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i w:val="0"/>
                      <w:color w:val="auto"/>
                      <w:kern w:val="0"/>
                      <w:sz w:val="21"/>
                      <w:szCs w:val="21"/>
                      <w:u w:val="none"/>
                      <w:lang w:val="en-US" w:eastAsia="zh-CN" w:bidi="ar"/>
                    </w:rPr>
                    <w:t>样品结果</w:t>
                  </w:r>
                </w:p>
              </w:tc>
              <w:tc>
                <w:tcPr>
                  <w:tcW w:w="842" w:type="dxa"/>
                  <w:tcBorders>
                    <w:tl2br w:val="nil"/>
                    <w:tr2bl w:val="nil"/>
                  </w:tcBorders>
                  <w:noWrap w:val="0"/>
                  <w:vAlign w:val="center"/>
                </w:tcPr>
                <w:p w14:paraId="228BC459">
                  <w:pPr>
                    <w:keepNext w:val="0"/>
                    <w:keepLines w:val="0"/>
                    <w:widowControl/>
                    <w:suppressLineNumbers w:val="0"/>
                    <w:jc w:val="center"/>
                    <w:textAlignment w:val="top"/>
                    <w:rPr>
                      <w:rFonts w:hint="default" w:ascii="Times New Roman" w:hAnsi="Times New Roman" w:eastAsia="宋体" w:cs="Times New Roman"/>
                      <w:b/>
                      <w:i w:val="0"/>
                      <w:color w:val="auto"/>
                      <w:kern w:val="0"/>
                      <w:sz w:val="21"/>
                      <w:szCs w:val="21"/>
                      <w:u w:val="none"/>
                      <w:lang w:val="en-US" w:eastAsia="zh-CN" w:bidi="ar"/>
                    </w:rPr>
                  </w:pPr>
                  <w:r>
                    <w:rPr>
                      <w:rFonts w:hint="default" w:ascii="Times New Roman" w:hAnsi="Times New Roman" w:eastAsia="宋体" w:cs="Times New Roman"/>
                      <w:b/>
                      <w:i w:val="0"/>
                      <w:color w:val="auto"/>
                      <w:kern w:val="0"/>
                      <w:sz w:val="21"/>
                      <w:szCs w:val="21"/>
                      <w:u w:val="none"/>
                      <w:lang w:val="en-US" w:eastAsia="zh-CN" w:bidi="ar"/>
                    </w:rPr>
                    <w:t>标准</w:t>
                  </w:r>
                </w:p>
              </w:tc>
              <w:tc>
                <w:tcPr>
                  <w:tcW w:w="902" w:type="dxa"/>
                  <w:tcBorders>
                    <w:tl2br w:val="nil"/>
                    <w:tr2bl w:val="nil"/>
                  </w:tcBorders>
                  <w:noWrap w:val="0"/>
                  <w:vAlign w:val="center"/>
                </w:tcPr>
                <w:p w14:paraId="0A3BC202">
                  <w:pPr>
                    <w:keepNext w:val="0"/>
                    <w:keepLines w:val="0"/>
                    <w:widowControl/>
                    <w:suppressLineNumbers w:val="0"/>
                    <w:jc w:val="center"/>
                    <w:textAlignment w:val="top"/>
                    <w:rPr>
                      <w:rFonts w:hint="default" w:ascii="Times New Roman" w:hAnsi="Times New Roman" w:eastAsia="宋体" w:cs="Times New Roman"/>
                      <w:b/>
                      <w:i w:val="0"/>
                      <w:color w:val="auto"/>
                      <w:kern w:val="0"/>
                      <w:sz w:val="21"/>
                      <w:szCs w:val="21"/>
                      <w:u w:val="none"/>
                      <w:lang w:val="en-US" w:eastAsia="zh-CN" w:bidi="ar"/>
                    </w:rPr>
                  </w:pPr>
                  <w:r>
                    <w:rPr>
                      <w:rFonts w:hint="default" w:ascii="Times New Roman" w:hAnsi="Times New Roman" w:eastAsia="宋体" w:cs="Times New Roman"/>
                      <w:b/>
                      <w:i w:val="0"/>
                      <w:color w:val="auto"/>
                      <w:kern w:val="0"/>
                      <w:sz w:val="21"/>
                      <w:szCs w:val="21"/>
                      <w:u w:val="none"/>
                      <w:lang w:val="en-US" w:eastAsia="zh-CN" w:bidi="ar"/>
                    </w:rPr>
                    <w:t>达标</w:t>
                  </w:r>
                </w:p>
                <w:p w14:paraId="51E56321">
                  <w:pPr>
                    <w:keepNext w:val="0"/>
                    <w:keepLines w:val="0"/>
                    <w:widowControl/>
                    <w:suppressLineNumbers w:val="0"/>
                    <w:jc w:val="center"/>
                    <w:textAlignment w:val="top"/>
                    <w:rPr>
                      <w:rFonts w:hint="default" w:ascii="Times New Roman" w:hAnsi="Times New Roman" w:eastAsia="宋体" w:cs="Times New Roman"/>
                      <w:b/>
                      <w:i w:val="0"/>
                      <w:color w:val="auto"/>
                      <w:kern w:val="0"/>
                      <w:sz w:val="21"/>
                      <w:szCs w:val="21"/>
                      <w:u w:val="none"/>
                      <w:lang w:val="en-US" w:eastAsia="zh-CN" w:bidi="ar"/>
                    </w:rPr>
                  </w:pPr>
                  <w:r>
                    <w:rPr>
                      <w:rFonts w:hint="default" w:ascii="Times New Roman" w:hAnsi="Times New Roman" w:eastAsia="宋体" w:cs="Times New Roman"/>
                      <w:b/>
                      <w:i w:val="0"/>
                      <w:color w:val="auto"/>
                      <w:kern w:val="0"/>
                      <w:sz w:val="21"/>
                      <w:szCs w:val="21"/>
                      <w:u w:val="none"/>
                      <w:lang w:val="en-US" w:eastAsia="zh-CN" w:bidi="ar"/>
                    </w:rPr>
                    <w:t>情况</w:t>
                  </w:r>
                </w:p>
              </w:tc>
            </w:tr>
            <w:tr w14:paraId="5342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02" w:type="dxa"/>
                  <w:vMerge w:val="restart"/>
                  <w:tcBorders>
                    <w:tl2br w:val="nil"/>
                    <w:tr2bl w:val="nil"/>
                  </w:tcBorders>
                  <w:noWrap w:val="0"/>
                  <w:vAlign w:val="center"/>
                </w:tcPr>
                <w:p w14:paraId="5883FA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项目区厂界下风向</w:t>
                  </w:r>
                </w:p>
              </w:tc>
              <w:tc>
                <w:tcPr>
                  <w:tcW w:w="1117" w:type="dxa"/>
                  <w:vMerge w:val="restart"/>
                  <w:tcBorders>
                    <w:tl2br w:val="nil"/>
                    <w:tr2bl w:val="nil"/>
                  </w:tcBorders>
                  <w:noWrap w:val="0"/>
                  <w:vAlign w:val="center"/>
                </w:tcPr>
                <w:p w14:paraId="140416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非甲烷</w:t>
                  </w:r>
                </w:p>
                <w:p w14:paraId="40FB40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总烃  </w:t>
                  </w:r>
                </w:p>
              </w:tc>
              <w:tc>
                <w:tcPr>
                  <w:tcW w:w="1307" w:type="dxa"/>
                  <w:vMerge w:val="restart"/>
                  <w:tcBorders>
                    <w:tl2br w:val="nil"/>
                    <w:tr2bl w:val="nil"/>
                  </w:tcBorders>
                  <w:noWrap w:val="0"/>
                  <w:vAlign w:val="center"/>
                </w:tcPr>
                <w:p w14:paraId="610BAD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2024.09.25</w:t>
                  </w:r>
                </w:p>
              </w:tc>
              <w:tc>
                <w:tcPr>
                  <w:tcW w:w="1744" w:type="dxa"/>
                  <w:tcBorders>
                    <w:tl2br w:val="nil"/>
                    <w:tr2bl w:val="nil"/>
                  </w:tcBorders>
                  <w:noWrap w:val="0"/>
                  <w:vAlign w:val="center"/>
                </w:tcPr>
                <w:p w14:paraId="3E283D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02:00</w:t>
                  </w:r>
                </w:p>
              </w:tc>
              <w:tc>
                <w:tcPr>
                  <w:tcW w:w="1161" w:type="dxa"/>
                  <w:tcBorders>
                    <w:tl2br w:val="nil"/>
                    <w:tr2bl w:val="nil"/>
                  </w:tcBorders>
                  <w:noWrap w:val="0"/>
                  <w:vAlign w:val="center"/>
                </w:tcPr>
                <w:p w14:paraId="45E7FD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1.21 </w:t>
                  </w:r>
                </w:p>
              </w:tc>
              <w:tc>
                <w:tcPr>
                  <w:tcW w:w="842" w:type="dxa"/>
                  <w:tcBorders>
                    <w:tl2br w:val="nil"/>
                    <w:tr2bl w:val="nil"/>
                  </w:tcBorders>
                  <w:noWrap w:val="0"/>
                  <w:vAlign w:val="center"/>
                </w:tcPr>
                <w:p w14:paraId="033DA3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5D477A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F30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02" w:type="dxa"/>
                  <w:vMerge w:val="continue"/>
                  <w:tcBorders>
                    <w:tl2br w:val="nil"/>
                    <w:tr2bl w:val="nil"/>
                  </w:tcBorders>
                  <w:noWrap w:val="0"/>
                  <w:vAlign w:val="center"/>
                </w:tcPr>
                <w:p w14:paraId="61CFEC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785D40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66F749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5A063D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08:00</w:t>
                  </w:r>
                </w:p>
              </w:tc>
              <w:tc>
                <w:tcPr>
                  <w:tcW w:w="1161" w:type="dxa"/>
                  <w:tcBorders>
                    <w:tl2br w:val="nil"/>
                    <w:tr2bl w:val="nil"/>
                  </w:tcBorders>
                  <w:noWrap w:val="0"/>
                  <w:vAlign w:val="center"/>
                </w:tcPr>
                <w:p w14:paraId="3710D1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1.53 </w:t>
                  </w:r>
                </w:p>
              </w:tc>
              <w:tc>
                <w:tcPr>
                  <w:tcW w:w="842" w:type="dxa"/>
                  <w:tcBorders>
                    <w:tl2br w:val="nil"/>
                    <w:tr2bl w:val="nil"/>
                  </w:tcBorders>
                  <w:noWrap w:val="0"/>
                  <w:vAlign w:val="center"/>
                </w:tcPr>
                <w:p w14:paraId="3DAE18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5449A5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660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02" w:type="dxa"/>
                  <w:vMerge w:val="continue"/>
                  <w:tcBorders>
                    <w:tl2br w:val="nil"/>
                    <w:tr2bl w:val="nil"/>
                  </w:tcBorders>
                  <w:noWrap w:val="0"/>
                  <w:vAlign w:val="center"/>
                </w:tcPr>
                <w:p w14:paraId="3562C2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178B15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6CBF1B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16CEC6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161" w:type="dxa"/>
                  <w:tcBorders>
                    <w:tl2br w:val="nil"/>
                    <w:tr2bl w:val="nil"/>
                  </w:tcBorders>
                  <w:noWrap w:val="0"/>
                  <w:vAlign w:val="center"/>
                </w:tcPr>
                <w:p w14:paraId="29CD5F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1.67 </w:t>
                  </w:r>
                </w:p>
              </w:tc>
              <w:tc>
                <w:tcPr>
                  <w:tcW w:w="842" w:type="dxa"/>
                  <w:tcBorders>
                    <w:tl2br w:val="nil"/>
                    <w:tr2bl w:val="nil"/>
                  </w:tcBorders>
                  <w:noWrap w:val="0"/>
                  <w:vAlign w:val="center"/>
                </w:tcPr>
                <w:p w14:paraId="3E7055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5E68B4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8E9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02" w:type="dxa"/>
                  <w:vMerge w:val="continue"/>
                  <w:tcBorders>
                    <w:tl2br w:val="nil"/>
                    <w:tr2bl w:val="nil"/>
                  </w:tcBorders>
                  <w:noWrap w:val="0"/>
                  <w:vAlign w:val="center"/>
                </w:tcPr>
                <w:p w14:paraId="6E61C0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3F24ED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7DF5B9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599273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161" w:type="dxa"/>
                  <w:tcBorders>
                    <w:tl2br w:val="nil"/>
                    <w:tr2bl w:val="nil"/>
                  </w:tcBorders>
                  <w:noWrap w:val="0"/>
                  <w:vAlign w:val="center"/>
                </w:tcPr>
                <w:p w14:paraId="2460B5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1.67 </w:t>
                  </w:r>
                </w:p>
              </w:tc>
              <w:tc>
                <w:tcPr>
                  <w:tcW w:w="842" w:type="dxa"/>
                  <w:tcBorders>
                    <w:tl2br w:val="nil"/>
                    <w:tr2bl w:val="nil"/>
                  </w:tcBorders>
                  <w:noWrap w:val="0"/>
                  <w:vAlign w:val="center"/>
                </w:tcPr>
                <w:p w14:paraId="4C1C3B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39C2CD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7E8D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02" w:type="dxa"/>
                  <w:vMerge w:val="continue"/>
                  <w:tcBorders>
                    <w:tl2br w:val="nil"/>
                    <w:tr2bl w:val="nil"/>
                  </w:tcBorders>
                  <w:noWrap w:val="0"/>
                  <w:vAlign w:val="center"/>
                </w:tcPr>
                <w:p w14:paraId="12ABB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6ABB5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restart"/>
                  <w:tcBorders>
                    <w:tl2br w:val="nil"/>
                    <w:tr2bl w:val="nil"/>
                  </w:tcBorders>
                  <w:noWrap w:val="0"/>
                  <w:vAlign w:val="center"/>
                </w:tcPr>
                <w:p w14:paraId="5EF45F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2024.09.26</w:t>
                  </w:r>
                </w:p>
              </w:tc>
              <w:tc>
                <w:tcPr>
                  <w:tcW w:w="1744" w:type="dxa"/>
                  <w:tcBorders>
                    <w:tl2br w:val="nil"/>
                    <w:tr2bl w:val="nil"/>
                  </w:tcBorders>
                  <w:noWrap w:val="0"/>
                  <w:vAlign w:val="center"/>
                </w:tcPr>
                <w:p w14:paraId="67D550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02:00</w:t>
                  </w:r>
                </w:p>
              </w:tc>
              <w:tc>
                <w:tcPr>
                  <w:tcW w:w="1161" w:type="dxa"/>
                  <w:tcBorders>
                    <w:tl2br w:val="nil"/>
                    <w:tr2bl w:val="nil"/>
                  </w:tcBorders>
                  <w:noWrap w:val="0"/>
                  <w:vAlign w:val="center"/>
                </w:tcPr>
                <w:p w14:paraId="7F87A9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1.24 </w:t>
                  </w:r>
                </w:p>
              </w:tc>
              <w:tc>
                <w:tcPr>
                  <w:tcW w:w="842" w:type="dxa"/>
                  <w:tcBorders>
                    <w:tl2br w:val="nil"/>
                    <w:tr2bl w:val="nil"/>
                  </w:tcBorders>
                  <w:noWrap w:val="0"/>
                  <w:vAlign w:val="center"/>
                </w:tcPr>
                <w:p w14:paraId="630566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16AA7E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897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02" w:type="dxa"/>
                  <w:vMerge w:val="continue"/>
                  <w:tcBorders>
                    <w:tl2br w:val="nil"/>
                    <w:tr2bl w:val="nil"/>
                  </w:tcBorders>
                  <w:noWrap w:val="0"/>
                  <w:vAlign w:val="center"/>
                </w:tcPr>
                <w:p w14:paraId="65AF21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4BE816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7CF1B3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6582E1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08:00</w:t>
                  </w:r>
                </w:p>
              </w:tc>
              <w:tc>
                <w:tcPr>
                  <w:tcW w:w="1161" w:type="dxa"/>
                  <w:tcBorders>
                    <w:tl2br w:val="nil"/>
                    <w:tr2bl w:val="nil"/>
                  </w:tcBorders>
                  <w:noWrap w:val="0"/>
                  <w:vAlign w:val="center"/>
                </w:tcPr>
                <w:p w14:paraId="6FCFC9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1.25 </w:t>
                  </w:r>
                </w:p>
              </w:tc>
              <w:tc>
                <w:tcPr>
                  <w:tcW w:w="842" w:type="dxa"/>
                  <w:tcBorders>
                    <w:tl2br w:val="nil"/>
                    <w:tr2bl w:val="nil"/>
                  </w:tcBorders>
                  <w:noWrap w:val="0"/>
                  <w:vAlign w:val="center"/>
                </w:tcPr>
                <w:p w14:paraId="00D46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5EB793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283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102" w:type="dxa"/>
                  <w:vMerge w:val="continue"/>
                  <w:tcBorders>
                    <w:tl2br w:val="nil"/>
                    <w:tr2bl w:val="nil"/>
                  </w:tcBorders>
                  <w:noWrap w:val="0"/>
                  <w:vAlign w:val="center"/>
                </w:tcPr>
                <w:p w14:paraId="79EC79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0B6573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40565B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680CC4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161" w:type="dxa"/>
                  <w:tcBorders>
                    <w:tl2br w:val="nil"/>
                    <w:tr2bl w:val="nil"/>
                  </w:tcBorders>
                  <w:noWrap w:val="0"/>
                  <w:vAlign w:val="center"/>
                </w:tcPr>
                <w:p w14:paraId="020CF2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1.46 </w:t>
                  </w:r>
                </w:p>
              </w:tc>
              <w:tc>
                <w:tcPr>
                  <w:tcW w:w="842" w:type="dxa"/>
                  <w:tcBorders>
                    <w:tl2br w:val="nil"/>
                    <w:tr2bl w:val="nil"/>
                  </w:tcBorders>
                  <w:noWrap w:val="0"/>
                  <w:vAlign w:val="center"/>
                </w:tcPr>
                <w:p w14:paraId="7B5DDB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7EBCC4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C59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02" w:type="dxa"/>
                  <w:vMerge w:val="continue"/>
                  <w:tcBorders>
                    <w:tl2br w:val="nil"/>
                    <w:tr2bl w:val="nil"/>
                  </w:tcBorders>
                  <w:noWrap w:val="0"/>
                  <w:vAlign w:val="center"/>
                </w:tcPr>
                <w:p w14:paraId="2A474D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22358F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671049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3E046C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161" w:type="dxa"/>
                  <w:tcBorders>
                    <w:tl2br w:val="nil"/>
                    <w:tr2bl w:val="nil"/>
                  </w:tcBorders>
                  <w:noWrap w:val="0"/>
                  <w:vAlign w:val="center"/>
                </w:tcPr>
                <w:p w14:paraId="603C47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1.60 </w:t>
                  </w:r>
                </w:p>
              </w:tc>
              <w:tc>
                <w:tcPr>
                  <w:tcW w:w="842" w:type="dxa"/>
                  <w:tcBorders>
                    <w:tl2br w:val="nil"/>
                    <w:tr2bl w:val="nil"/>
                  </w:tcBorders>
                  <w:noWrap w:val="0"/>
                  <w:vAlign w:val="center"/>
                </w:tcPr>
                <w:p w14:paraId="5FF03A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4779C2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9D4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102" w:type="dxa"/>
                  <w:vMerge w:val="continue"/>
                  <w:tcBorders>
                    <w:tl2br w:val="nil"/>
                    <w:tr2bl w:val="nil"/>
                  </w:tcBorders>
                  <w:noWrap w:val="0"/>
                  <w:vAlign w:val="center"/>
                </w:tcPr>
                <w:p w14:paraId="6CA949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3F10D6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restart"/>
                  <w:tcBorders>
                    <w:tl2br w:val="nil"/>
                    <w:tr2bl w:val="nil"/>
                  </w:tcBorders>
                  <w:noWrap w:val="0"/>
                  <w:vAlign w:val="center"/>
                </w:tcPr>
                <w:p w14:paraId="0F8426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2024.09.27</w:t>
                  </w:r>
                </w:p>
              </w:tc>
              <w:tc>
                <w:tcPr>
                  <w:tcW w:w="1744" w:type="dxa"/>
                  <w:tcBorders>
                    <w:tl2br w:val="nil"/>
                    <w:tr2bl w:val="nil"/>
                  </w:tcBorders>
                  <w:noWrap w:val="0"/>
                  <w:vAlign w:val="center"/>
                </w:tcPr>
                <w:p w14:paraId="63B96B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02:00</w:t>
                  </w:r>
                </w:p>
              </w:tc>
              <w:tc>
                <w:tcPr>
                  <w:tcW w:w="1161" w:type="dxa"/>
                  <w:tcBorders>
                    <w:tl2br w:val="nil"/>
                    <w:tr2bl w:val="nil"/>
                  </w:tcBorders>
                  <w:noWrap w:val="0"/>
                  <w:vAlign w:val="center"/>
                </w:tcPr>
                <w:p w14:paraId="1E2481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1.45 </w:t>
                  </w:r>
                </w:p>
              </w:tc>
              <w:tc>
                <w:tcPr>
                  <w:tcW w:w="842" w:type="dxa"/>
                  <w:tcBorders>
                    <w:tl2br w:val="nil"/>
                    <w:tr2bl w:val="nil"/>
                  </w:tcBorders>
                  <w:noWrap w:val="0"/>
                  <w:vAlign w:val="center"/>
                </w:tcPr>
                <w:p w14:paraId="624E0C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70E9B8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B47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02" w:type="dxa"/>
                  <w:vMerge w:val="continue"/>
                  <w:tcBorders>
                    <w:tl2br w:val="nil"/>
                    <w:tr2bl w:val="nil"/>
                  </w:tcBorders>
                  <w:noWrap w:val="0"/>
                  <w:vAlign w:val="center"/>
                </w:tcPr>
                <w:p w14:paraId="4FD545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7B81EF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29A952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615988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08:00</w:t>
                  </w:r>
                </w:p>
              </w:tc>
              <w:tc>
                <w:tcPr>
                  <w:tcW w:w="1161" w:type="dxa"/>
                  <w:tcBorders>
                    <w:tl2br w:val="nil"/>
                    <w:tr2bl w:val="nil"/>
                  </w:tcBorders>
                  <w:noWrap w:val="0"/>
                  <w:vAlign w:val="center"/>
                </w:tcPr>
                <w:p w14:paraId="39A3EA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1.36 </w:t>
                  </w:r>
                </w:p>
              </w:tc>
              <w:tc>
                <w:tcPr>
                  <w:tcW w:w="842" w:type="dxa"/>
                  <w:tcBorders>
                    <w:tl2br w:val="nil"/>
                    <w:tr2bl w:val="nil"/>
                  </w:tcBorders>
                  <w:noWrap w:val="0"/>
                  <w:vAlign w:val="center"/>
                </w:tcPr>
                <w:p w14:paraId="663701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6303BC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348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02" w:type="dxa"/>
                  <w:vMerge w:val="continue"/>
                  <w:tcBorders>
                    <w:tl2br w:val="nil"/>
                    <w:tr2bl w:val="nil"/>
                  </w:tcBorders>
                  <w:noWrap w:val="0"/>
                  <w:vAlign w:val="center"/>
                </w:tcPr>
                <w:p w14:paraId="191CF5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6F4294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07DB63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0355B0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14:00</w:t>
                  </w:r>
                </w:p>
              </w:tc>
              <w:tc>
                <w:tcPr>
                  <w:tcW w:w="1161" w:type="dxa"/>
                  <w:tcBorders>
                    <w:tl2br w:val="nil"/>
                    <w:tr2bl w:val="nil"/>
                  </w:tcBorders>
                  <w:noWrap w:val="0"/>
                  <w:vAlign w:val="center"/>
                </w:tcPr>
                <w:p w14:paraId="06E207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1.43 </w:t>
                  </w:r>
                </w:p>
              </w:tc>
              <w:tc>
                <w:tcPr>
                  <w:tcW w:w="842" w:type="dxa"/>
                  <w:tcBorders>
                    <w:tl2br w:val="nil"/>
                    <w:tr2bl w:val="nil"/>
                  </w:tcBorders>
                  <w:noWrap w:val="0"/>
                  <w:vAlign w:val="center"/>
                </w:tcPr>
                <w:p w14:paraId="7FA8A7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5F0FF2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B80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02" w:type="dxa"/>
                  <w:vMerge w:val="continue"/>
                  <w:tcBorders>
                    <w:tl2br w:val="nil"/>
                    <w:tr2bl w:val="nil"/>
                  </w:tcBorders>
                  <w:noWrap w:val="0"/>
                  <w:vAlign w:val="center"/>
                </w:tcPr>
                <w:p w14:paraId="621C5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17" w:type="dxa"/>
                  <w:vMerge w:val="continue"/>
                  <w:tcBorders>
                    <w:tl2br w:val="nil"/>
                    <w:tr2bl w:val="nil"/>
                  </w:tcBorders>
                  <w:noWrap w:val="0"/>
                  <w:vAlign w:val="center"/>
                </w:tcPr>
                <w:p w14:paraId="4C14CB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l2br w:val="nil"/>
                    <w:tr2bl w:val="nil"/>
                  </w:tcBorders>
                  <w:noWrap w:val="0"/>
                  <w:vAlign w:val="center"/>
                </w:tcPr>
                <w:p w14:paraId="66C77D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44" w:type="dxa"/>
                  <w:tcBorders>
                    <w:tl2br w:val="nil"/>
                    <w:tr2bl w:val="nil"/>
                  </w:tcBorders>
                  <w:noWrap w:val="0"/>
                  <w:vAlign w:val="center"/>
                </w:tcPr>
                <w:p w14:paraId="7D57ED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161" w:type="dxa"/>
                  <w:tcBorders>
                    <w:tl2br w:val="nil"/>
                    <w:tr2bl w:val="nil"/>
                  </w:tcBorders>
                  <w:noWrap w:val="0"/>
                  <w:vAlign w:val="center"/>
                </w:tcPr>
                <w:p w14:paraId="5FEB2E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1.50 </w:t>
                  </w:r>
                </w:p>
              </w:tc>
              <w:tc>
                <w:tcPr>
                  <w:tcW w:w="842" w:type="dxa"/>
                  <w:tcBorders>
                    <w:tl2br w:val="nil"/>
                    <w:tr2bl w:val="nil"/>
                  </w:tcBorders>
                  <w:noWrap w:val="0"/>
                  <w:vAlign w:val="center"/>
                </w:tcPr>
                <w:p w14:paraId="517D35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02" w:type="dxa"/>
                  <w:tcBorders>
                    <w:tl2br w:val="nil"/>
                    <w:tr2bl w:val="nil"/>
                  </w:tcBorders>
                  <w:noWrap w:val="0"/>
                  <w:vAlign w:val="center"/>
                </w:tcPr>
                <w:p w14:paraId="61B9FF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4F4A65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rPr>
              <w:t>由上表可知建设项目评价区域环境空气质量中非甲烷总烃现状值可达到《大气污染物综合排放标准详解》标准要求。</w:t>
            </w:r>
          </w:p>
          <w:p w14:paraId="7A41262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b/>
                <w:bCs/>
                <w:color w:val="auto"/>
                <w:sz w:val="24"/>
                <w:szCs w:val="24"/>
                <w:lang w:eastAsia="zh-Hans"/>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Hans"/>
              </w:rPr>
              <w:t>地表水环境质量现状</w:t>
            </w:r>
          </w:p>
          <w:p w14:paraId="59A57F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本项目附近最近地表水为西侧90m处的功山河，流向响水河，进入大白河，经小江汇入金沙江，根据</w:t>
            </w:r>
            <w:r>
              <w:rPr>
                <w:rFonts w:hint="eastAsia" w:cs="Times New Roman"/>
                <w:color w:val="auto"/>
                <w:sz w:val="24"/>
                <w:szCs w:val="24"/>
                <w:lang w:val="en-US" w:eastAsia="zh-CN"/>
              </w:rPr>
              <w:t>《昆明市和滇中产业新区水功能区划（2010-2030年）》</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属于功山河寻甸保留区，规划水平年水质保护目标Ⅱ类</w:t>
            </w:r>
            <w:r>
              <w:rPr>
                <w:rFonts w:hint="default" w:ascii="Times New Roman" w:hAnsi="Times New Roman" w:eastAsia="宋体" w:cs="Times New Roman"/>
                <w:color w:val="auto"/>
                <w:sz w:val="24"/>
                <w:szCs w:val="24"/>
                <w:lang w:val="en-US" w:eastAsia="zh-CN"/>
              </w:rPr>
              <w:t>。</w:t>
            </w:r>
          </w:p>
          <w:p w14:paraId="1A7830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根据《寻甸县2024年第二季度环境质量公报》小江流域寻甸段功山河利民桥断面水质类别</w:t>
            </w:r>
            <w:r>
              <w:rPr>
                <w:rFonts w:hint="eastAsia" w:cs="Times New Roman"/>
                <w:color w:val="auto"/>
                <w:sz w:val="24"/>
                <w:szCs w:val="24"/>
                <w:lang w:val="en-US" w:eastAsia="zh-CN"/>
              </w:rPr>
              <w:t>为《地表水环境质量标准》（GB3838-2002）Ⅲ类水质量标准</w:t>
            </w:r>
            <w:r>
              <w:rPr>
                <w:rFonts w:hint="default" w:ascii="Times New Roman" w:hAnsi="Times New Roman" w:eastAsia="宋体" w:cs="Times New Roman"/>
                <w:color w:val="auto"/>
                <w:sz w:val="24"/>
                <w:szCs w:val="24"/>
                <w:lang w:val="en-US" w:eastAsia="zh-CN"/>
              </w:rPr>
              <w:t>。</w:t>
            </w:r>
          </w:p>
          <w:p w14:paraId="2658FA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3、声环境质量状况</w:t>
            </w:r>
          </w:p>
          <w:p w14:paraId="16533A9B">
            <w:pPr>
              <w:spacing w:line="360" w:lineRule="auto"/>
              <w:ind w:firstLine="480" w:firstLineChars="200"/>
              <w:rPr>
                <w:rFonts w:hint="eastAsia"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rPr>
              <w:t>本项目</w:t>
            </w:r>
            <w:r>
              <w:rPr>
                <w:rFonts w:hint="default" w:ascii="Times New Roman" w:hAnsi="Times New Roman" w:cs="Times New Roman"/>
                <w:color w:val="auto"/>
                <w:sz w:val="24"/>
                <w:szCs w:val="32"/>
                <w:lang w:val="en-US" w:eastAsia="zh-CN"/>
              </w:rPr>
              <w:t>位于</w:t>
            </w:r>
            <w:r>
              <w:rPr>
                <w:rFonts w:hint="eastAsia" w:cs="Times New Roman"/>
                <w:color w:val="auto"/>
                <w:sz w:val="24"/>
                <w:szCs w:val="24"/>
                <w:lang w:val="en-US" w:eastAsia="zh-CN"/>
              </w:rPr>
              <w:t>云南省昆明市寻甸县功山镇梧桐村</w:t>
            </w:r>
            <w:r>
              <w:rPr>
                <w:rFonts w:hint="default" w:ascii="Times New Roman" w:hAnsi="Times New Roman" w:cs="Times New Roman"/>
                <w:color w:val="auto"/>
                <w:sz w:val="24"/>
                <w:szCs w:val="32"/>
              </w:rPr>
              <w:t>，项目</w:t>
            </w:r>
            <w:r>
              <w:rPr>
                <w:rFonts w:hint="eastAsia" w:cs="Times New Roman"/>
                <w:color w:val="auto"/>
                <w:sz w:val="24"/>
                <w:szCs w:val="32"/>
                <w:lang w:val="en-US" w:eastAsia="zh-CN"/>
              </w:rPr>
              <w:t>西</w:t>
            </w:r>
            <w:r>
              <w:rPr>
                <w:rFonts w:hint="default" w:ascii="Times New Roman" w:hAnsi="Times New Roman" w:cs="Times New Roman"/>
                <w:color w:val="auto"/>
                <w:sz w:val="24"/>
                <w:szCs w:val="32"/>
              </w:rPr>
              <w:t>侧</w:t>
            </w:r>
            <w:r>
              <w:rPr>
                <w:rFonts w:hint="eastAsia" w:cs="Times New Roman"/>
                <w:color w:val="auto"/>
                <w:sz w:val="24"/>
                <w:szCs w:val="32"/>
                <w:lang w:val="en-US" w:eastAsia="zh-CN"/>
              </w:rPr>
              <w:t>G215国道</w:t>
            </w:r>
            <w:r>
              <w:rPr>
                <w:rFonts w:hint="default" w:ascii="Times New Roman" w:hAnsi="Times New Roman" w:cs="Times New Roman"/>
                <w:color w:val="auto"/>
                <w:sz w:val="24"/>
                <w:szCs w:val="32"/>
              </w:rPr>
              <w:t>执行GB3096-2008《声环境质量标准》中4</w:t>
            </w:r>
            <w:r>
              <w:rPr>
                <w:rFonts w:hint="default" w:ascii="Times New Roman" w:hAnsi="Times New Roman" w:cs="Times New Roman"/>
                <w:color w:val="auto"/>
                <w:sz w:val="24"/>
                <w:szCs w:val="32"/>
                <w:lang w:val="en-US" w:eastAsia="zh-CN"/>
              </w:rPr>
              <w:t>a</w:t>
            </w:r>
            <w:r>
              <w:rPr>
                <w:rFonts w:hint="default" w:ascii="Times New Roman" w:hAnsi="Times New Roman" w:cs="Times New Roman"/>
                <w:color w:val="auto"/>
                <w:sz w:val="24"/>
                <w:szCs w:val="32"/>
              </w:rPr>
              <w:t>类标准</w:t>
            </w:r>
            <w:r>
              <w:rPr>
                <w:rFonts w:hint="eastAsia" w:cs="Times New Roman"/>
                <w:color w:val="auto"/>
                <w:sz w:val="24"/>
                <w:szCs w:val="32"/>
                <w:lang w:eastAsia="zh-CN"/>
              </w:rPr>
              <w:t>，</w:t>
            </w:r>
            <w:r>
              <w:rPr>
                <w:rFonts w:hint="eastAsia" w:cs="Times New Roman"/>
                <w:color w:val="auto"/>
                <w:sz w:val="24"/>
                <w:szCs w:val="32"/>
                <w:lang w:val="en-US" w:eastAsia="zh-CN"/>
              </w:rPr>
              <w:t>其余范围执行</w:t>
            </w:r>
            <w:r>
              <w:rPr>
                <w:rFonts w:hint="default" w:ascii="Times New Roman" w:hAnsi="Times New Roman" w:cs="Times New Roman"/>
                <w:color w:val="auto"/>
                <w:sz w:val="24"/>
                <w:szCs w:val="32"/>
              </w:rPr>
              <w:t>GB3096-2008《声环境质量标准》中</w:t>
            </w:r>
            <w:r>
              <w:rPr>
                <w:rFonts w:hint="eastAsia" w:cs="Times New Roman"/>
                <w:color w:val="auto"/>
                <w:sz w:val="24"/>
                <w:szCs w:val="32"/>
                <w:lang w:val="en-US" w:eastAsia="zh-CN"/>
              </w:rPr>
              <w:t>2</w:t>
            </w:r>
            <w:r>
              <w:rPr>
                <w:rFonts w:hint="default" w:ascii="Times New Roman" w:hAnsi="Times New Roman" w:cs="Times New Roman"/>
                <w:color w:val="auto"/>
                <w:sz w:val="24"/>
                <w:szCs w:val="32"/>
              </w:rPr>
              <w:t>类标准</w:t>
            </w:r>
            <w:r>
              <w:rPr>
                <w:rFonts w:hint="eastAsia" w:cs="Times New Roman"/>
                <w:color w:val="auto"/>
                <w:sz w:val="24"/>
                <w:szCs w:val="32"/>
                <w:lang w:eastAsia="zh-CN"/>
              </w:rPr>
              <w:t>。</w:t>
            </w:r>
          </w:p>
          <w:p w14:paraId="41813BE6">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建设单位委托</w:t>
            </w:r>
            <w:r>
              <w:rPr>
                <w:rFonts w:hint="eastAsia" w:cs="Times New Roman"/>
                <w:color w:val="auto"/>
                <w:sz w:val="24"/>
                <w:szCs w:val="24"/>
                <w:highlight w:val="none"/>
                <w:lang w:eastAsia="zh-CN"/>
              </w:rPr>
              <w:t>云南加莱希安全检测有限公司</w:t>
            </w:r>
            <w:r>
              <w:rPr>
                <w:rFonts w:hint="default" w:ascii="Times New Roman" w:hAnsi="Times New Roman" w:eastAsia="宋体" w:cs="Times New Roman"/>
                <w:color w:val="auto"/>
                <w:sz w:val="24"/>
                <w:szCs w:val="24"/>
                <w:highlight w:val="none"/>
              </w:rPr>
              <w:t>于202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进行了噪声质量</w:t>
            </w:r>
            <w:r>
              <w:rPr>
                <w:rFonts w:hint="default" w:ascii="Times New Roman" w:hAnsi="Times New Roman" w:eastAsia="宋体" w:cs="Times New Roman"/>
                <w:color w:val="auto"/>
                <w:sz w:val="24"/>
                <w:szCs w:val="24"/>
                <w:highlight w:val="none"/>
              </w:rPr>
              <w:t>检测。具体监测结果见下表</w:t>
            </w:r>
            <w:r>
              <w:rPr>
                <w:rFonts w:hint="default" w:ascii="Times New Roman" w:hAnsi="Times New Roman" w:eastAsia="宋体" w:cs="Times New Roman"/>
                <w:color w:val="auto"/>
                <w:sz w:val="24"/>
                <w:szCs w:val="24"/>
                <w:highlight w:val="none"/>
                <w:lang w:eastAsia="zh-CN"/>
              </w:rPr>
              <w:t>。</w:t>
            </w:r>
          </w:p>
          <w:p w14:paraId="38FD1E45">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cs="Times New Roman"/>
                <w:b/>
                <w:bCs/>
                <w:color w:val="auto"/>
                <w:szCs w:val="18"/>
                <w:lang w:bidi="ar"/>
              </w:rPr>
            </w:pPr>
            <w:r>
              <w:rPr>
                <w:rFonts w:hint="default" w:ascii="Times New Roman" w:hAnsi="Times New Roman" w:cs="Times New Roman"/>
                <w:b/>
                <w:bCs/>
                <w:color w:val="auto"/>
                <w:sz w:val="21"/>
                <w:szCs w:val="21"/>
                <w:lang w:bidi="ar"/>
              </w:rPr>
              <w:t>表3-</w:t>
            </w:r>
            <w:r>
              <w:rPr>
                <w:rFonts w:hint="default" w:ascii="Times New Roman" w:hAnsi="Times New Roman" w:cs="Times New Roman"/>
                <w:b/>
                <w:bCs/>
                <w:color w:val="auto"/>
                <w:sz w:val="21"/>
                <w:szCs w:val="21"/>
                <w:lang w:val="en-US" w:eastAsia="zh-CN" w:bidi="ar"/>
              </w:rPr>
              <w:t>2</w:t>
            </w:r>
            <w:r>
              <w:rPr>
                <w:rFonts w:hint="default" w:ascii="Times New Roman" w:hAnsi="Times New Roman" w:cs="Times New Roman"/>
                <w:b/>
                <w:bCs/>
                <w:color w:val="auto"/>
                <w:sz w:val="21"/>
                <w:szCs w:val="21"/>
                <w:lang w:bidi="ar"/>
              </w:rPr>
              <w:t xml:space="preserve">  环境噪声测量结果表    单位：等效声级Leq（A）</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269"/>
              <w:gridCol w:w="1093"/>
              <w:gridCol w:w="1307"/>
              <w:gridCol w:w="1081"/>
              <w:gridCol w:w="2100"/>
              <w:gridCol w:w="670"/>
            </w:tblGrid>
            <w:tr w14:paraId="10D7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48" w:type="pct"/>
                  <w:vMerge w:val="restart"/>
                  <w:noWrap w:val="0"/>
                  <w:vAlign w:val="center"/>
                </w:tcPr>
                <w:p w14:paraId="7D7FC0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检测点及编号</w:t>
                  </w:r>
                </w:p>
              </w:tc>
              <w:tc>
                <w:tcPr>
                  <w:tcW w:w="1398" w:type="pct"/>
                  <w:gridSpan w:val="2"/>
                  <w:noWrap w:val="0"/>
                  <w:vAlign w:val="center"/>
                </w:tcPr>
                <w:p w14:paraId="057AC6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413" w:type="pct"/>
                  <w:gridSpan w:val="2"/>
                  <w:noWrap w:val="0"/>
                  <w:vAlign w:val="center"/>
                </w:tcPr>
                <w:p w14:paraId="2D67D2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夜间</w:t>
                  </w:r>
                </w:p>
              </w:tc>
              <w:tc>
                <w:tcPr>
                  <w:tcW w:w="1243" w:type="pct"/>
                  <w:vMerge w:val="restart"/>
                  <w:noWrap w:val="0"/>
                  <w:vAlign w:val="center"/>
                </w:tcPr>
                <w:p w14:paraId="742761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标准值</w:t>
                  </w:r>
                </w:p>
              </w:tc>
              <w:tc>
                <w:tcPr>
                  <w:tcW w:w="396" w:type="pct"/>
                  <w:vMerge w:val="restart"/>
                  <w:noWrap w:val="0"/>
                  <w:vAlign w:val="center"/>
                </w:tcPr>
                <w:p w14:paraId="16A6F6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达标情况</w:t>
                  </w:r>
                </w:p>
              </w:tc>
            </w:tr>
            <w:tr w14:paraId="7180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48" w:type="pct"/>
                  <w:vMerge w:val="continue"/>
                  <w:noWrap w:val="0"/>
                  <w:vAlign w:val="center"/>
                </w:tcPr>
                <w:p w14:paraId="0A6842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51" w:type="pct"/>
                  <w:noWrap w:val="0"/>
                  <w:vAlign w:val="center"/>
                </w:tcPr>
                <w:p w14:paraId="3A3419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测量时间（</w:t>
                  </w:r>
                  <w:r>
                    <w:rPr>
                      <w:rFonts w:hint="eastAsia" w:ascii="Times New Roman" w:hAnsi="Times New Roman" w:eastAsia="宋体" w:cs="Times New Roman"/>
                      <w:i w:val="0"/>
                      <w:iCs w:val="0"/>
                      <w:color w:val="auto"/>
                      <w:kern w:val="0"/>
                      <w:sz w:val="21"/>
                      <w:szCs w:val="21"/>
                      <w:u w:val="none"/>
                      <w:lang w:val="en-US" w:eastAsia="zh-CN" w:bidi="ar"/>
                    </w:rPr>
                    <w:t>2024.07.12</w:t>
                  </w:r>
                  <w:r>
                    <w:rPr>
                      <w:rFonts w:hint="default" w:ascii="Times New Roman" w:hAnsi="Times New Roman" w:eastAsia="宋体" w:cs="Times New Roman"/>
                      <w:i w:val="0"/>
                      <w:iCs w:val="0"/>
                      <w:color w:val="auto"/>
                      <w:kern w:val="0"/>
                      <w:sz w:val="21"/>
                      <w:szCs w:val="21"/>
                      <w:u w:val="none"/>
                      <w:lang w:val="en-US" w:eastAsia="zh-CN" w:bidi="ar"/>
                    </w:rPr>
                    <w:t>）</w:t>
                  </w:r>
                </w:p>
              </w:tc>
              <w:tc>
                <w:tcPr>
                  <w:tcW w:w="647" w:type="pct"/>
                  <w:noWrap w:val="0"/>
                  <w:vAlign w:val="center"/>
                </w:tcPr>
                <w:p w14:paraId="01A14D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测量结果Leq[dB（A）]</w:t>
                  </w:r>
                </w:p>
              </w:tc>
              <w:tc>
                <w:tcPr>
                  <w:tcW w:w="773" w:type="pct"/>
                  <w:noWrap w:val="0"/>
                  <w:vAlign w:val="center"/>
                </w:tcPr>
                <w:p w14:paraId="601A12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测量时间（</w:t>
                  </w:r>
                  <w:r>
                    <w:rPr>
                      <w:rFonts w:hint="eastAsia" w:ascii="Times New Roman" w:hAnsi="Times New Roman" w:eastAsia="宋体" w:cs="Times New Roman"/>
                      <w:i w:val="0"/>
                      <w:iCs w:val="0"/>
                      <w:color w:val="auto"/>
                      <w:kern w:val="0"/>
                      <w:sz w:val="21"/>
                      <w:szCs w:val="21"/>
                      <w:u w:val="none"/>
                      <w:lang w:val="en-US" w:eastAsia="zh-CN" w:bidi="ar"/>
                    </w:rPr>
                    <w:t>2024.07.12</w:t>
                  </w:r>
                  <w:r>
                    <w:rPr>
                      <w:rFonts w:hint="default" w:ascii="Times New Roman" w:hAnsi="Times New Roman" w:eastAsia="宋体" w:cs="Times New Roman"/>
                      <w:i w:val="0"/>
                      <w:iCs w:val="0"/>
                      <w:color w:val="auto"/>
                      <w:kern w:val="0"/>
                      <w:sz w:val="21"/>
                      <w:szCs w:val="21"/>
                      <w:u w:val="none"/>
                      <w:lang w:val="en-US" w:eastAsia="zh-CN" w:bidi="ar"/>
                    </w:rPr>
                    <w:t>）</w:t>
                  </w:r>
                </w:p>
              </w:tc>
              <w:tc>
                <w:tcPr>
                  <w:tcW w:w="639" w:type="pct"/>
                  <w:noWrap w:val="0"/>
                  <w:vAlign w:val="center"/>
                </w:tcPr>
                <w:p w14:paraId="527AFA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测量结果Leq[dB（A）]</w:t>
                  </w:r>
                </w:p>
              </w:tc>
              <w:tc>
                <w:tcPr>
                  <w:tcW w:w="1243" w:type="pct"/>
                  <w:vMerge w:val="continue"/>
                  <w:noWrap w:val="0"/>
                  <w:vAlign w:val="center"/>
                </w:tcPr>
                <w:p w14:paraId="45332F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6" w:type="pct"/>
                  <w:vMerge w:val="continue"/>
                  <w:noWrap w:val="0"/>
                  <w:vAlign w:val="center"/>
                </w:tcPr>
                <w:p w14:paraId="0D1DEE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3A5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48" w:type="pct"/>
                  <w:noWrap w:val="0"/>
                  <w:vAlign w:val="center"/>
                </w:tcPr>
                <w:p w14:paraId="09B7AB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厂界东</w:t>
                  </w:r>
                </w:p>
              </w:tc>
              <w:tc>
                <w:tcPr>
                  <w:tcW w:w="751" w:type="pct"/>
                  <w:noWrap w:val="0"/>
                  <w:vAlign w:val="center"/>
                </w:tcPr>
                <w:p w14:paraId="7BE2241F">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12:74-12:57</w:t>
                  </w:r>
                </w:p>
              </w:tc>
              <w:tc>
                <w:tcPr>
                  <w:tcW w:w="647" w:type="pct"/>
                  <w:noWrap w:val="0"/>
                  <w:vAlign w:val="center"/>
                </w:tcPr>
                <w:p w14:paraId="77B47D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57.9 </w:t>
                  </w:r>
                </w:p>
              </w:tc>
              <w:tc>
                <w:tcPr>
                  <w:tcW w:w="773" w:type="pct"/>
                  <w:noWrap w:val="0"/>
                  <w:vAlign w:val="center"/>
                </w:tcPr>
                <w:p w14:paraId="0C1A25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22:02-22:12</w:t>
                  </w:r>
                </w:p>
              </w:tc>
              <w:tc>
                <w:tcPr>
                  <w:tcW w:w="639" w:type="pct"/>
                  <w:noWrap w:val="0"/>
                  <w:vAlign w:val="center"/>
                </w:tcPr>
                <w:p w14:paraId="06BD35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45.7 </w:t>
                  </w:r>
                </w:p>
              </w:tc>
              <w:tc>
                <w:tcPr>
                  <w:tcW w:w="1243" w:type="pct"/>
                  <w:vMerge w:val="restart"/>
                  <w:noWrap w:val="0"/>
                  <w:vAlign w:val="center"/>
                </w:tcPr>
                <w:p w14:paraId="6E246B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执行《声环境质量标准》GB3096-2008中</w:t>
                  </w: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类标准（昼间：</w:t>
                  </w:r>
                  <w:r>
                    <w:rPr>
                      <w:rFonts w:hint="eastAsia" w:ascii="Times New Roman" w:hAnsi="Times New Roman" w:eastAsia="宋体" w:cs="Times New Roman"/>
                      <w:i w:val="0"/>
                      <w:iCs w:val="0"/>
                      <w:color w:val="auto"/>
                      <w:kern w:val="0"/>
                      <w:sz w:val="21"/>
                      <w:szCs w:val="21"/>
                      <w:u w:val="none"/>
                      <w:lang w:val="en-US" w:eastAsia="zh-CN" w:bidi="ar"/>
                    </w:rPr>
                    <w:t>6</w:t>
                  </w:r>
                  <w:r>
                    <w:rPr>
                      <w:rFonts w:hint="eastAsia"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dB，夜间：</w:t>
                  </w:r>
                  <w:r>
                    <w:rPr>
                      <w:rFonts w:hint="eastAsia" w:cs="Times New Roman"/>
                      <w:i w:val="0"/>
                      <w:iCs w:val="0"/>
                      <w:color w:val="auto"/>
                      <w:kern w:val="0"/>
                      <w:sz w:val="21"/>
                      <w:szCs w:val="21"/>
                      <w:u w:val="none"/>
                      <w:lang w:val="en-US" w:eastAsia="zh-CN" w:bidi="ar"/>
                    </w:rPr>
                    <w:t>50</w:t>
                  </w:r>
                  <w:r>
                    <w:rPr>
                      <w:rFonts w:hint="default" w:ascii="Times New Roman" w:hAnsi="Times New Roman" w:eastAsia="宋体" w:cs="Times New Roman"/>
                      <w:i w:val="0"/>
                      <w:iCs w:val="0"/>
                      <w:color w:val="auto"/>
                      <w:kern w:val="0"/>
                      <w:sz w:val="21"/>
                      <w:szCs w:val="21"/>
                      <w:u w:val="none"/>
                      <w:lang w:val="en-US" w:eastAsia="zh-CN" w:bidi="ar"/>
                    </w:rPr>
                    <w:t>dB）</w:t>
                  </w:r>
                </w:p>
              </w:tc>
              <w:tc>
                <w:tcPr>
                  <w:tcW w:w="396" w:type="pct"/>
                  <w:noWrap w:val="0"/>
                  <w:vAlign w:val="center"/>
                </w:tcPr>
                <w:p w14:paraId="708498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228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noWrap w:val="0"/>
                  <w:vAlign w:val="center"/>
                </w:tcPr>
                <w:p w14:paraId="670341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厂界南</w:t>
                  </w:r>
                </w:p>
              </w:tc>
              <w:tc>
                <w:tcPr>
                  <w:tcW w:w="751" w:type="pct"/>
                  <w:noWrap w:val="0"/>
                  <w:vAlign w:val="center"/>
                </w:tcPr>
                <w:p w14:paraId="0D86A0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13:02-13:12</w:t>
                  </w:r>
                </w:p>
              </w:tc>
              <w:tc>
                <w:tcPr>
                  <w:tcW w:w="647" w:type="pct"/>
                  <w:noWrap w:val="0"/>
                  <w:vAlign w:val="center"/>
                </w:tcPr>
                <w:p w14:paraId="3737DA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57.0 </w:t>
                  </w:r>
                </w:p>
              </w:tc>
              <w:tc>
                <w:tcPr>
                  <w:tcW w:w="773" w:type="pct"/>
                  <w:noWrap w:val="0"/>
                  <w:vAlign w:val="center"/>
                </w:tcPr>
                <w:p w14:paraId="7676CC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22:17-22:27</w:t>
                  </w:r>
                </w:p>
              </w:tc>
              <w:tc>
                <w:tcPr>
                  <w:tcW w:w="639" w:type="pct"/>
                  <w:noWrap w:val="0"/>
                  <w:vAlign w:val="center"/>
                </w:tcPr>
                <w:p w14:paraId="47E268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47.4 </w:t>
                  </w:r>
                </w:p>
              </w:tc>
              <w:tc>
                <w:tcPr>
                  <w:tcW w:w="1243" w:type="pct"/>
                  <w:vMerge w:val="continue"/>
                  <w:noWrap w:val="0"/>
                  <w:vAlign w:val="center"/>
                </w:tcPr>
                <w:p w14:paraId="60BD85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6" w:type="pct"/>
                  <w:noWrap w:val="0"/>
                  <w:vAlign w:val="center"/>
                </w:tcPr>
                <w:p w14:paraId="71BB51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D1B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pct"/>
                  <w:noWrap w:val="0"/>
                  <w:vAlign w:val="center"/>
                </w:tcPr>
                <w:p w14:paraId="28C5BB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厂界西</w:t>
                  </w:r>
                </w:p>
              </w:tc>
              <w:tc>
                <w:tcPr>
                  <w:tcW w:w="751" w:type="pct"/>
                  <w:noWrap w:val="0"/>
                  <w:vAlign w:val="center"/>
                </w:tcPr>
                <w:p w14:paraId="0B3D97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13:20-13:30</w:t>
                  </w:r>
                </w:p>
              </w:tc>
              <w:tc>
                <w:tcPr>
                  <w:tcW w:w="647" w:type="pct"/>
                  <w:noWrap w:val="0"/>
                  <w:vAlign w:val="center"/>
                </w:tcPr>
                <w:p w14:paraId="5BD891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56.5 </w:t>
                  </w:r>
                </w:p>
              </w:tc>
              <w:tc>
                <w:tcPr>
                  <w:tcW w:w="773" w:type="pct"/>
                  <w:noWrap w:val="0"/>
                  <w:vAlign w:val="center"/>
                </w:tcPr>
                <w:p w14:paraId="703862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22:31-22:41</w:t>
                  </w:r>
                </w:p>
              </w:tc>
              <w:tc>
                <w:tcPr>
                  <w:tcW w:w="639" w:type="pct"/>
                  <w:noWrap w:val="0"/>
                  <w:vAlign w:val="center"/>
                </w:tcPr>
                <w:p w14:paraId="6CE648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44.0 </w:t>
                  </w:r>
                </w:p>
              </w:tc>
              <w:tc>
                <w:tcPr>
                  <w:tcW w:w="1243" w:type="pct"/>
                  <w:shd w:val="clear" w:color="auto" w:fill="auto"/>
                  <w:noWrap w:val="0"/>
                  <w:vAlign w:val="center"/>
                </w:tcPr>
                <w:p w14:paraId="3E2B08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执行《声环境质量标准》GB3096-2008中4a类标准（昼间：70dB，夜间：55dB）</w:t>
                  </w:r>
                </w:p>
              </w:tc>
              <w:tc>
                <w:tcPr>
                  <w:tcW w:w="396" w:type="pct"/>
                  <w:noWrap w:val="0"/>
                  <w:vAlign w:val="center"/>
                </w:tcPr>
                <w:p w14:paraId="48FEF5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72C6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noWrap w:val="0"/>
                  <w:vAlign w:val="center"/>
                </w:tcPr>
                <w:p w14:paraId="24F236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厂界北</w:t>
                  </w:r>
                </w:p>
              </w:tc>
              <w:tc>
                <w:tcPr>
                  <w:tcW w:w="751" w:type="pct"/>
                  <w:noWrap w:val="0"/>
                  <w:vAlign w:val="center"/>
                </w:tcPr>
                <w:p w14:paraId="666633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13:35-13:45</w:t>
                  </w:r>
                </w:p>
              </w:tc>
              <w:tc>
                <w:tcPr>
                  <w:tcW w:w="647" w:type="pct"/>
                  <w:noWrap w:val="0"/>
                  <w:vAlign w:val="center"/>
                </w:tcPr>
                <w:p w14:paraId="784CD7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56.3 </w:t>
                  </w:r>
                </w:p>
              </w:tc>
              <w:tc>
                <w:tcPr>
                  <w:tcW w:w="773" w:type="pct"/>
                  <w:noWrap w:val="0"/>
                  <w:vAlign w:val="center"/>
                </w:tcPr>
                <w:p w14:paraId="4DA724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22:45-22:55</w:t>
                  </w:r>
                </w:p>
              </w:tc>
              <w:tc>
                <w:tcPr>
                  <w:tcW w:w="639" w:type="pct"/>
                  <w:noWrap w:val="0"/>
                  <w:vAlign w:val="center"/>
                </w:tcPr>
                <w:p w14:paraId="4D3C8C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43.3 </w:t>
                  </w:r>
                </w:p>
              </w:tc>
              <w:tc>
                <w:tcPr>
                  <w:tcW w:w="1243" w:type="pct"/>
                  <w:vMerge w:val="restart"/>
                  <w:noWrap w:val="0"/>
                  <w:vAlign w:val="center"/>
                </w:tcPr>
                <w:p w14:paraId="451E79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执行《声环境质量标准》GB3096-2008中</w:t>
                  </w: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类标准（昼间：</w:t>
                  </w:r>
                  <w:r>
                    <w:rPr>
                      <w:rFonts w:hint="eastAsia" w:ascii="Times New Roman" w:hAnsi="Times New Roman" w:eastAsia="宋体" w:cs="Times New Roman"/>
                      <w:i w:val="0"/>
                      <w:iCs w:val="0"/>
                      <w:color w:val="auto"/>
                      <w:kern w:val="0"/>
                      <w:sz w:val="21"/>
                      <w:szCs w:val="21"/>
                      <w:u w:val="none"/>
                      <w:lang w:val="en-US" w:eastAsia="zh-CN" w:bidi="ar"/>
                    </w:rPr>
                    <w:t>6</w:t>
                  </w:r>
                  <w:r>
                    <w:rPr>
                      <w:rFonts w:hint="eastAsia"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dB，夜间：</w:t>
                  </w:r>
                  <w:r>
                    <w:rPr>
                      <w:rFonts w:hint="eastAsia" w:cs="Times New Roman"/>
                      <w:i w:val="0"/>
                      <w:iCs w:val="0"/>
                      <w:color w:val="auto"/>
                      <w:kern w:val="0"/>
                      <w:sz w:val="21"/>
                      <w:szCs w:val="21"/>
                      <w:u w:val="none"/>
                      <w:lang w:val="en-US" w:eastAsia="zh-CN" w:bidi="ar"/>
                    </w:rPr>
                    <w:t>50</w:t>
                  </w:r>
                  <w:r>
                    <w:rPr>
                      <w:rFonts w:hint="default" w:ascii="Times New Roman" w:hAnsi="Times New Roman" w:eastAsia="宋体" w:cs="Times New Roman"/>
                      <w:i w:val="0"/>
                      <w:iCs w:val="0"/>
                      <w:color w:val="auto"/>
                      <w:kern w:val="0"/>
                      <w:sz w:val="21"/>
                      <w:szCs w:val="21"/>
                      <w:u w:val="none"/>
                      <w:lang w:val="en-US" w:eastAsia="zh-CN" w:bidi="ar"/>
                    </w:rPr>
                    <w:t>dB）</w:t>
                  </w:r>
                </w:p>
              </w:tc>
              <w:tc>
                <w:tcPr>
                  <w:tcW w:w="396" w:type="pct"/>
                  <w:noWrap w:val="0"/>
                  <w:vAlign w:val="center"/>
                </w:tcPr>
                <w:p w14:paraId="11817A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754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8" w:type="pct"/>
                  <w:noWrap w:val="0"/>
                  <w:vAlign w:val="center"/>
                </w:tcPr>
                <w:p w14:paraId="670C325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东北侧</w:t>
                  </w:r>
                </w:p>
              </w:tc>
              <w:tc>
                <w:tcPr>
                  <w:tcW w:w="751" w:type="pct"/>
                  <w:noWrap w:val="0"/>
                  <w:vAlign w:val="center"/>
                </w:tcPr>
                <w:p w14:paraId="2260AF5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13:53-14:03</w:t>
                  </w:r>
                </w:p>
              </w:tc>
              <w:tc>
                <w:tcPr>
                  <w:tcW w:w="647" w:type="pct"/>
                  <w:noWrap w:val="0"/>
                  <w:vAlign w:val="center"/>
                </w:tcPr>
                <w:p w14:paraId="5C7B4CA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56.1 </w:t>
                  </w:r>
                </w:p>
              </w:tc>
              <w:tc>
                <w:tcPr>
                  <w:tcW w:w="773" w:type="pct"/>
                  <w:noWrap w:val="0"/>
                  <w:vAlign w:val="center"/>
                </w:tcPr>
                <w:p w14:paraId="7D18AE4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23:02-23:12</w:t>
                  </w:r>
                </w:p>
              </w:tc>
              <w:tc>
                <w:tcPr>
                  <w:tcW w:w="639" w:type="pct"/>
                  <w:noWrap w:val="0"/>
                  <w:vAlign w:val="center"/>
                </w:tcPr>
                <w:p w14:paraId="6E0E663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44.1 </w:t>
                  </w:r>
                </w:p>
              </w:tc>
              <w:tc>
                <w:tcPr>
                  <w:tcW w:w="1243" w:type="pct"/>
                  <w:vMerge w:val="continue"/>
                  <w:noWrap w:val="0"/>
                  <w:vAlign w:val="center"/>
                </w:tcPr>
                <w:p w14:paraId="49A587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6" w:type="pct"/>
                  <w:noWrap w:val="0"/>
                  <w:vAlign w:val="center"/>
                </w:tcPr>
                <w:p w14:paraId="0D6180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74C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noWrap w:val="0"/>
                  <w:vAlign w:val="center"/>
                </w:tcPr>
                <w:p w14:paraId="38E43A3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西侧梧桐村</w:t>
                  </w:r>
                </w:p>
              </w:tc>
              <w:tc>
                <w:tcPr>
                  <w:tcW w:w="751" w:type="pct"/>
                  <w:noWrap w:val="0"/>
                  <w:vAlign w:val="center"/>
                </w:tcPr>
                <w:p w14:paraId="2EF2CAA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14:11-14:21</w:t>
                  </w:r>
                </w:p>
              </w:tc>
              <w:tc>
                <w:tcPr>
                  <w:tcW w:w="647" w:type="pct"/>
                  <w:noWrap w:val="0"/>
                  <w:vAlign w:val="center"/>
                </w:tcPr>
                <w:p w14:paraId="7DB4643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57.0 </w:t>
                  </w:r>
                </w:p>
              </w:tc>
              <w:tc>
                <w:tcPr>
                  <w:tcW w:w="773" w:type="pct"/>
                  <w:noWrap w:val="0"/>
                  <w:vAlign w:val="center"/>
                </w:tcPr>
                <w:p w14:paraId="1D707C7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23:19-23:29</w:t>
                  </w:r>
                </w:p>
              </w:tc>
              <w:tc>
                <w:tcPr>
                  <w:tcW w:w="639" w:type="pct"/>
                  <w:noWrap w:val="0"/>
                  <w:vAlign w:val="center"/>
                </w:tcPr>
                <w:p w14:paraId="0A74957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42.1 </w:t>
                  </w:r>
                </w:p>
              </w:tc>
              <w:tc>
                <w:tcPr>
                  <w:tcW w:w="1243" w:type="pct"/>
                  <w:vMerge w:val="continue"/>
                  <w:noWrap w:val="0"/>
                  <w:vAlign w:val="center"/>
                </w:tcPr>
                <w:p w14:paraId="5A32FE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6" w:type="pct"/>
                  <w:noWrap w:val="0"/>
                  <w:vAlign w:val="center"/>
                </w:tcPr>
                <w:p w14:paraId="113908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7EEA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noWrap w:val="0"/>
                  <w:vAlign w:val="center"/>
                </w:tcPr>
                <w:p w14:paraId="456F422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南侧菜地村</w:t>
                  </w:r>
                </w:p>
              </w:tc>
              <w:tc>
                <w:tcPr>
                  <w:tcW w:w="751" w:type="pct"/>
                  <w:noWrap w:val="0"/>
                  <w:vAlign w:val="center"/>
                </w:tcPr>
                <w:p w14:paraId="5E5CA48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14:28-14:38</w:t>
                  </w:r>
                </w:p>
              </w:tc>
              <w:tc>
                <w:tcPr>
                  <w:tcW w:w="647" w:type="pct"/>
                  <w:noWrap w:val="0"/>
                  <w:vAlign w:val="center"/>
                </w:tcPr>
                <w:p w14:paraId="1B84375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56.4 </w:t>
                  </w:r>
                </w:p>
              </w:tc>
              <w:tc>
                <w:tcPr>
                  <w:tcW w:w="773" w:type="pct"/>
                  <w:noWrap w:val="0"/>
                  <w:vAlign w:val="center"/>
                </w:tcPr>
                <w:p w14:paraId="26B3757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23:36-23:46</w:t>
                  </w:r>
                </w:p>
              </w:tc>
              <w:tc>
                <w:tcPr>
                  <w:tcW w:w="639" w:type="pct"/>
                  <w:noWrap w:val="0"/>
                  <w:vAlign w:val="center"/>
                </w:tcPr>
                <w:p w14:paraId="2A8BD12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42.2 </w:t>
                  </w:r>
                </w:p>
              </w:tc>
              <w:tc>
                <w:tcPr>
                  <w:tcW w:w="1243" w:type="pct"/>
                  <w:vMerge w:val="continue"/>
                  <w:noWrap w:val="0"/>
                  <w:vAlign w:val="center"/>
                </w:tcPr>
                <w:p w14:paraId="15A558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6" w:type="pct"/>
                  <w:noWrap w:val="0"/>
                  <w:vAlign w:val="center"/>
                </w:tcPr>
                <w:p w14:paraId="7B158C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51209685">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kern w:val="0"/>
                <w:sz w:val="24"/>
                <w:lang w:val="en-US" w:eastAsia="zh-CN" w:bidi="ar"/>
              </w:rPr>
              <w:t>由上表可知</w:t>
            </w:r>
            <w:r>
              <w:rPr>
                <w:rFonts w:hint="default" w:ascii="Times New Roman" w:hAnsi="Times New Roman" w:cs="Times New Roman"/>
                <w:color w:val="auto"/>
                <w:kern w:val="0"/>
                <w:sz w:val="24"/>
                <w:lang w:bidi="ar"/>
              </w:rPr>
              <w:t>，项目</w:t>
            </w:r>
            <w:r>
              <w:rPr>
                <w:rFonts w:hint="default" w:ascii="Times New Roman" w:hAnsi="Times New Roman" w:cs="Times New Roman"/>
                <w:color w:val="auto"/>
                <w:kern w:val="0"/>
                <w:sz w:val="24"/>
                <w:lang w:val="en-US" w:eastAsia="zh-CN" w:bidi="ar"/>
              </w:rPr>
              <w:t>区域</w:t>
            </w:r>
            <w:r>
              <w:rPr>
                <w:rFonts w:hint="default" w:ascii="Times New Roman" w:hAnsi="Times New Roman" w:cs="Times New Roman"/>
                <w:color w:val="auto"/>
                <w:sz w:val="24"/>
                <w:szCs w:val="24"/>
                <w:highlight w:val="none"/>
                <w:lang w:val="zh-CN"/>
              </w:rPr>
              <w:t>声环境质量能达到</w:t>
            </w:r>
            <w:r>
              <w:rPr>
                <w:rFonts w:hint="default" w:ascii="Times New Roman" w:hAnsi="Times New Roman" w:cs="Times New Roman"/>
                <w:color w:val="auto"/>
                <w:kern w:val="0"/>
                <w:sz w:val="24"/>
                <w:lang w:bidi="ar"/>
              </w:rPr>
              <w:t>《声环境质量标准》GB3096-2008中</w:t>
            </w:r>
            <w:r>
              <w:rPr>
                <w:rFonts w:hint="eastAsia" w:cs="Times New Roman"/>
                <w:color w:val="auto"/>
                <w:kern w:val="0"/>
                <w:sz w:val="24"/>
                <w:lang w:val="en-US" w:eastAsia="zh-CN" w:bidi="ar"/>
              </w:rPr>
              <w:t>2</w:t>
            </w:r>
            <w:r>
              <w:rPr>
                <w:rFonts w:hint="default" w:ascii="Times New Roman" w:hAnsi="Times New Roman" w:cs="Times New Roman"/>
                <w:color w:val="auto"/>
                <w:kern w:val="0"/>
                <w:sz w:val="24"/>
                <w:lang w:bidi="ar"/>
              </w:rPr>
              <w:t>类</w:t>
            </w:r>
            <w:r>
              <w:rPr>
                <w:rFonts w:hint="default" w:ascii="Times New Roman" w:hAnsi="Times New Roman" w:cs="Times New Roman"/>
                <w:color w:val="auto"/>
                <w:kern w:val="0"/>
                <w:sz w:val="24"/>
                <w:lang w:val="en-US" w:eastAsia="zh-CN" w:bidi="ar"/>
              </w:rPr>
              <w:t>及</w:t>
            </w:r>
            <w:r>
              <w:rPr>
                <w:rFonts w:hint="default" w:ascii="Times New Roman" w:hAnsi="Times New Roman" w:cs="Times New Roman"/>
                <w:color w:val="auto"/>
                <w:kern w:val="0"/>
                <w:sz w:val="24"/>
                <w:lang w:bidi="ar"/>
              </w:rPr>
              <w:t>4a类标准</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sz w:val="24"/>
                <w:szCs w:val="24"/>
                <w:highlight w:val="none"/>
                <w:lang w:val="en-US" w:eastAsia="zh-CN"/>
              </w:rPr>
              <w:t>项目所在区域声环境质量状况良好</w:t>
            </w:r>
            <w:r>
              <w:rPr>
                <w:rFonts w:hint="default" w:ascii="Times New Roman" w:hAnsi="Times New Roman" w:eastAsia="宋体" w:cs="Times New Roman"/>
                <w:color w:val="auto"/>
                <w:sz w:val="24"/>
                <w:szCs w:val="24"/>
                <w:lang w:val="en-US" w:eastAsia="zh-CN"/>
              </w:rPr>
              <w:t>。</w:t>
            </w:r>
          </w:p>
          <w:p w14:paraId="42852E35">
            <w:pPr>
              <w:keepNext w:val="0"/>
              <w:keepLines w:val="0"/>
              <w:pageBreakBefore w:val="0"/>
              <w:widowControl w:val="0"/>
              <w:kinsoku/>
              <w:wordWrap/>
              <w:overflowPunct/>
              <w:topLinePunct w:val="0"/>
              <w:autoSpaceDE/>
              <w:autoSpaceDN/>
              <w:bidi w:val="0"/>
              <w:adjustRightInd/>
              <w:snapToGrid/>
              <w:spacing w:line="360" w:lineRule="auto"/>
              <w:ind w:right="40" w:firstLine="482" w:firstLineChars="200"/>
              <w:jc w:val="left"/>
              <w:textAlignment w:val="auto"/>
              <w:rPr>
                <w:rFonts w:hint="default" w:ascii="Times New Roman" w:hAnsi="Times New Roman" w:cs="Times New Roman"/>
                <w:b/>
                <w:color w:val="auto"/>
                <w:sz w:val="24"/>
                <w:szCs w:val="24"/>
                <w:shd w:val="clear" w:color="auto" w:fill="auto"/>
                <w:lang w:val="en-US" w:eastAsia="zh-CN"/>
              </w:rPr>
            </w:pPr>
            <w:r>
              <w:rPr>
                <w:rFonts w:hint="default" w:ascii="Times New Roman" w:hAnsi="Times New Roman" w:cs="Times New Roman"/>
                <w:b/>
                <w:color w:val="auto"/>
                <w:sz w:val="24"/>
                <w:szCs w:val="24"/>
                <w:shd w:val="clear" w:color="auto" w:fill="auto"/>
                <w:lang w:val="en-US" w:eastAsia="zh-CN"/>
              </w:rPr>
              <w:t>4、地下水环境质量现状</w:t>
            </w:r>
          </w:p>
          <w:p w14:paraId="090E06E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梧桐加油站隐患治理项目岩土工程勘察报告</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rPr>
              <w:t>。地下水类型为</w:t>
            </w:r>
            <w:r>
              <w:rPr>
                <w:rFonts w:hint="eastAsia" w:ascii="Times New Roman" w:hAnsi="Times New Roman" w:eastAsia="宋体"/>
                <w:bCs/>
                <w:color w:val="auto"/>
                <w:sz w:val="24"/>
              </w:rPr>
              <w:t>上层滞水、孔隙潜水</w:t>
            </w:r>
            <w:r>
              <w:rPr>
                <w:rFonts w:hint="default" w:ascii="Times New Roman" w:hAnsi="Times New Roman" w:cs="Times New Roman"/>
                <w:color w:val="auto"/>
                <w:sz w:val="24"/>
              </w:rPr>
              <w:t>。上层滞水为滞留在表层的素填土中的地下水，富水性弱，此层水随季节变化而变化较大。孔隙潜水为微承压，受大气降水和附近地表水补给，随季节变化而变化较大，旱季、雨季水位变幅约0.5米。</w:t>
            </w:r>
          </w:p>
          <w:p w14:paraId="5FC77E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lang w:val="en-US" w:eastAsia="zh-CN"/>
              </w:rPr>
            </w:pPr>
            <w:r>
              <w:rPr>
                <w:rFonts w:hint="default" w:ascii="Times New Roman" w:hAnsi="Times New Roman" w:eastAsia="宋体" w:cs="Times New Roman"/>
                <w:color w:val="auto"/>
                <w:sz w:val="24"/>
                <w:szCs w:val="24"/>
                <w:highlight w:val="none"/>
              </w:rPr>
              <w:t>建设单位委托</w:t>
            </w:r>
            <w:r>
              <w:rPr>
                <w:rFonts w:hint="eastAsia" w:cs="Times New Roman"/>
                <w:color w:val="auto"/>
                <w:sz w:val="24"/>
                <w:szCs w:val="24"/>
                <w:highlight w:val="none"/>
                <w:lang w:eastAsia="zh-CN"/>
              </w:rPr>
              <w:t>云南加莱希安全检测有限公司</w:t>
            </w:r>
            <w:r>
              <w:rPr>
                <w:rFonts w:hint="default" w:ascii="Times New Roman" w:hAnsi="Times New Roman" w:eastAsia="宋体" w:cs="Times New Roman"/>
                <w:color w:val="auto"/>
                <w:sz w:val="24"/>
                <w:szCs w:val="24"/>
                <w:highlight w:val="none"/>
              </w:rPr>
              <w:t>于202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进行了</w:t>
            </w:r>
            <w:r>
              <w:rPr>
                <w:rFonts w:hint="eastAsia" w:ascii="Times New Roman" w:hAnsi="Times New Roman" w:cs="Times New Roman"/>
                <w:color w:val="auto"/>
                <w:sz w:val="24"/>
                <w:szCs w:val="24"/>
                <w:highlight w:val="none"/>
                <w:lang w:val="en-US" w:eastAsia="zh-CN"/>
              </w:rPr>
              <w:t>地下水</w:t>
            </w:r>
            <w:r>
              <w:rPr>
                <w:rFonts w:hint="default" w:ascii="Times New Roman" w:hAnsi="Times New Roman" w:cs="Times New Roman"/>
                <w:color w:val="auto"/>
                <w:sz w:val="24"/>
                <w:szCs w:val="24"/>
                <w:highlight w:val="none"/>
                <w:lang w:val="en-US" w:eastAsia="zh-CN"/>
              </w:rPr>
              <w:t>质量</w:t>
            </w:r>
            <w:r>
              <w:rPr>
                <w:rFonts w:hint="default" w:ascii="Times New Roman" w:hAnsi="Times New Roman" w:eastAsia="宋体" w:cs="Times New Roman"/>
                <w:color w:val="auto"/>
                <w:sz w:val="24"/>
                <w:szCs w:val="24"/>
                <w:highlight w:val="none"/>
              </w:rPr>
              <w:t>检测</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结果</w:t>
            </w:r>
            <w:r>
              <w:rPr>
                <w:rFonts w:hint="eastAsia" w:cs="Times New Roman"/>
                <w:color w:val="auto"/>
                <w:sz w:val="24"/>
                <w:szCs w:val="24"/>
                <w:lang w:val="en-US" w:eastAsia="zh-CN"/>
              </w:rPr>
              <w:t>如下：</w:t>
            </w:r>
          </w:p>
          <w:p w14:paraId="24EEF7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w:t>
            </w:r>
            <w:r>
              <w:rPr>
                <w:rFonts w:hint="eastAsia" w:cs="Times New Roman"/>
                <w:b/>
                <w:bCs/>
                <w:color w:val="auto"/>
                <w:kern w:val="0"/>
                <w:sz w:val="21"/>
                <w:szCs w:val="21"/>
                <w:lang w:val="en-US" w:eastAsia="zh-CN" w:bidi="ar"/>
              </w:rPr>
              <w:t>3-3</w:t>
            </w:r>
            <w:r>
              <w:rPr>
                <w:rFonts w:hint="default" w:ascii="Times New Roman" w:hAnsi="Times New Roman" w:eastAsia="宋体" w:cs="Times New Roman"/>
                <w:b/>
                <w:bCs/>
                <w:color w:val="auto"/>
                <w:kern w:val="0"/>
                <w:sz w:val="21"/>
                <w:szCs w:val="21"/>
                <w:lang w:val="en-US" w:eastAsia="zh-CN" w:bidi="ar"/>
              </w:rPr>
              <w:t xml:space="preserve">  地下水现状监测结果</w:t>
            </w:r>
          </w:p>
          <w:tbl>
            <w:tblPr>
              <w:tblStyle w:val="28"/>
              <w:tblW w:w="8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913"/>
              <w:gridCol w:w="2175"/>
              <w:gridCol w:w="2087"/>
            </w:tblGrid>
            <w:tr w14:paraId="726C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177" w:type="dxa"/>
                  <w:vAlign w:val="center"/>
                </w:tcPr>
                <w:p w14:paraId="702AC8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点位</w:t>
                  </w:r>
                </w:p>
              </w:tc>
              <w:tc>
                <w:tcPr>
                  <w:tcW w:w="6175" w:type="dxa"/>
                  <w:gridSpan w:val="3"/>
                  <w:vAlign w:val="center"/>
                </w:tcPr>
                <w:p w14:paraId="1B7FD303">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地下水观测井</w:t>
                  </w:r>
                </w:p>
              </w:tc>
            </w:tr>
            <w:tr w14:paraId="6FBB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tcPr>
                <w:p w14:paraId="43DDC2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检测项目</w:t>
                  </w:r>
                </w:p>
              </w:tc>
              <w:tc>
                <w:tcPr>
                  <w:tcW w:w="1913" w:type="dxa"/>
                </w:tcPr>
                <w:p w14:paraId="2D3FD8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2024.9.25</w:t>
                  </w:r>
                </w:p>
              </w:tc>
              <w:tc>
                <w:tcPr>
                  <w:tcW w:w="2175" w:type="dxa"/>
                  <w:vAlign w:val="center"/>
                </w:tcPr>
                <w:p w14:paraId="6A8275E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标准值</w:t>
                  </w:r>
                  <w:r>
                    <w:rPr>
                      <w:rFonts w:hint="eastAsia" w:ascii="微软雅黑" w:hAnsi="微软雅黑" w:eastAsia="微软雅黑" w:cs="微软雅黑"/>
                      <w:i w:val="0"/>
                      <w:iCs w:val="0"/>
                      <w:color w:val="auto"/>
                      <w:kern w:val="0"/>
                      <w:sz w:val="21"/>
                      <w:szCs w:val="21"/>
                      <w:u w:val="none"/>
                      <w:lang w:val="en-US" w:eastAsia="zh-CN" w:bidi="ar"/>
                    </w:rPr>
                    <w:t>Ⅱ</w:t>
                  </w:r>
                  <w:r>
                    <w:rPr>
                      <w:rFonts w:hint="eastAsia" w:ascii="Times New Roman" w:hAnsi="Times New Roman" w:eastAsia="宋体" w:cs="Times New Roman"/>
                      <w:i w:val="0"/>
                      <w:iCs w:val="0"/>
                      <w:color w:val="auto"/>
                      <w:kern w:val="0"/>
                      <w:sz w:val="21"/>
                      <w:szCs w:val="21"/>
                      <w:u w:val="none"/>
                      <w:lang w:val="en-US" w:eastAsia="zh-CN" w:bidi="ar"/>
                    </w:rPr>
                    <w:t>类</w:t>
                  </w:r>
                </w:p>
              </w:tc>
              <w:tc>
                <w:tcPr>
                  <w:tcW w:w="2087" w:type="dxa"/>
                  <w:vAlign w:val="center"/>
                </w:tcPr>
                <w:p w14:paraId="5C9A40A3">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达标评价</w:t>
                  </w:r>
                </w:p>
              </w:tc>
            </w:tr>
            <w:tr w14:paraId="46C6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63CD25F5">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pH值（无量纲）</w:t>
                  </w:r>
                </w:p>
              </w:tc>
              <w:tc>
                <w:tcPr>
                  <w:tcW w:w="1913" w:type="dxa"/>
                  <w:vAlign w:val="center"/>
                </w:tcPr>
                <w:p w14:paraId="76DAC023">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7.1</w:t>
                  </w:r>
                </w:p>
              </w:tc>
              <w:tc>
                <w:tcPr>
                  <w:tcW w:w="2175" w:type="dxa"/>
                  <w:vAlign w:val="center"/>
                </w:tcPr>
                <w:p w14:paraId="48724E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en-US" w:bidi="ar"/>
                    </w:rPr>
                    <w:t>6.5</w:t>
                  </w:r>
                  <w:r>
                    <w:rPr>
                      <w:rFonts w:hint="eastAsia"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en-US" w:bidi="ar"/>
                    </w:rPr>
                    <w:t>pH</w:t>
                  </w:r>
                  <w:r>
                    <w:rPr>
                      <w:rFonts w:hint="eastAsia"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en-US" w:bidi="ar"/>
                    </w:rPr>
                    <w:t>8.5</w:t>
                  </w:r>
                </w:p>
              </w:tc>
              <w:tc>
                <w:tcPr>
                  <w:tcW w:w="2087" w:type="dxa"/>
                  <w:vAlign w:val="center"/>
                </w:tcPr>
                <w:p w14:paraId="5E6D66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en-US" w:bidi="ar"/>
                    </w:rPr>
                    <w:t>达标</w:t>
                  </w:r>
                </w:p>
              </w:tc>
            </w:tr>
            <w:tr w14:paraId="5DC3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6A4A9759">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总硬度（mg/L）</w:t>
                  </w:r>
                </w:p>
              </w:tc>
              <w:tc>
                <w:tcPr>
                  <w:tcW w:w="1913" w:type="dxa"/>
                  <w:vAlign w:val="center"/>
                </w:tcPr>
                <w:p w14:paraId="78F897A8">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167</w:t>
                  </w:r>
                </w:p>
              </w:tc>
              <w:tc>
                <w:tcPr>
                  <w:tcW w:w="2175" w:type="dxa"/>
                  <w:vAlign w:val="center"/>
                </w:tcPr>
                <w:p w14:paraId="76901197">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cs="宋体"/>
                      <w:bCs/>
                      <w:color w:val="auto"/>
                      <w:kern w:val="0"/>
                      <w:sz w:val="21"/>
                      <w:szCs w:val="21"/>
                      <w:lang w:val="en-US" w:eastAsia="zh-CN" w:bidi="en-US"/>
                    </w:rPr>
                    <w:t>300</w:t>
                  </w:r>
                </w:p>
              </w:tc>
              <w:tc>
                <w:tcPr>
                  <w:tcW w:w="2087" w:type="dxa"/>
                  <w:vAlign w:val="center"/>
                </w:tcPr>
                <w:p w14:paraId="56F9ACB2">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en-US" w:bidi="ar"/>
                    </w:rPr>
                    <w:t>达标</w:t>
                  </w:r>
                </w:p>
              </w:tc>
            </w:tr>
            <w:tr w14:paraId="0250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177" w:type="dxa"/>
                  <w:vAlign w:val="center"/>
                </w:tcPr>
                <w:p w14:paraId="15C2E595">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溶解性总固体（mg/L）</w:t>
                  </w:r>
                </w:p>
              </w:tc>
              <w:tc>
                <w:tcPr>
                  <w:tcW w:w="1913" w:type="dxa"/>
                  <w:vAlign w:val="center"/>
                </w:tcPr>
                <w:p w14:paraId="0BEBC44D">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155</w:t>
                  </w:r>
                </w:p>
              </w:tc>
              <w:tc>
                <w:tcPr>
                  <w:tcW w:w="2175" w:type="dxa"/>
                  <w:vAlign w:val="center"/>
                </w:tcPr>
                <w:p w14:paraId="0CF0889E">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cs="宋体"/>
                      <w:bCs/>
                      <w:color w:val="auto"/>
                      <w:kern w:val="0"/>
                      <w:sz w:val="21"/>
                      <w:szCs w:val="21"/>
                      <w:lang w:val="en-US" w:eastAsia="zh-CN" w:bidi="en-US"/>
                    </w:rPr>
                    <w:t>500</w:t>
                  </w:r>
                </w:p>
              </w:tc>
              <w:tc>
                <w:tcPr>
                  <w:tcW w:w="2087" w:type="dxa"/>
                  <w:vAlign w:val="center"/>
                </w:tcPr>
                <w:p w14:paraId="74297E46">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en-US" w:bidi="ar"/>
                    </w:rPr>
                    <w:t>达标</w:t>
                  </w:r>
                </w:p>
              </w:tc>
            </w:tr>
            <w:tr w14:paraId="0317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2FFA12D3">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氨氮（mg/L）</w:t>
                  </w:r>
                </w:p>
              </w:tc>
              <w:tc>
                <w:tcPr>
                  <w:tcW w:w="1913" w:type="dxa"/>
                  <w:vAlign w:val="center"/>
                </w:tcPr>
                <w:p w14:paraId="2151B9A4">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8.92</w:t>
                  </w:r>
                </w:p>
              </w:tc>
              <w:tc>
                <w:tcPr>
                  <w:tcW w:w="2175" w:type="dxa"/>
                  <w:vAlign w:val="center"/>
                </w:tcPr>
                <w:p w14:paraId="6D3B3A49">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cs="宋体"/>
                      <w:bCs/>
                      <w:color w:val="auto"/>
                      <w:kern w:val="0"/>
                      <w:sz w:val="21"/>
                      <w:szCs w:val="21"/>
                      <w:lang w:val="en-US" w:eastAsia="zh-CN" w:bidi="en-US"/>
                    </w:rPr>
                    <w:t>0.10</w:t>
                  </w:r>
                </w:p>
              </w:tc>
              <w:tc>
                <w:tcPr>
                  <w:tcW w:w="2087" w:type="dxa"/>
                  <w:vAlign w:val="center"/>
                </w:tcPr>
                <w:p w14:paraId="167F46EC">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olor w:val="auto"/>
                      <w:kern w:val="0"/>
                      <w:sz w:val="21"/>
                      <w:szCs w:val="21"/>
                      <w:lang w:val="en-US" w:eastAsia="zh-CN"/>
                    </w:rPr>
                    <w:t>超标</w:t>
                  </w:r>
                </w:p>
              </w:tc>
            </w:tr>
            <w:tr w14:paraId="6977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6E360E75">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硝酸盐（mg/L，以N计）</w:t>
                  </w:r>
                </w:p>
              </w:tc>
              <w:tc>
                <w:tcPr>
                  <w:tcW w:w="1913" w:type="dxa"/>
                  <w:vAlign w:val="center"/>
                </w:tcPr>
                <w:p w14:paraId="13F03C86">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4.58</w:t>
                  </w:r>
                </w:p>
              </w:tc>
              <w:tc>
                <w:tcPr>
                  <w:tcW w:w="2175" w:type="dxa"/>
                  <w:vAlign w:val="center"/>
                </w:tcPr>
                <w:p w14:paraId="3132BF27">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cs="宋体"/>
                      <w:bCs/>
                      <w:color w:val="auto"/>
                      <w:kern w:val="0"/>
                      <w:sz w:val="21"/>
                      <w:szCs w:val="21"/>
                      <w:lang w:val="en-US" w:eastAsia="zh-CN" w:bidi="en-US"/>
                    </w:rPr>
                    <w:t>5.0</w:t>
                  </w:r>
                </w:p>
              </w:tc>
              <w:tc>
                <w:tcPr>
                  <w:tcW w:w="2087" w:type="dxa"/>
                  <w:vAlign w:val="center"/>
                </w:tcPr>
                <w:p w14:paraId="72876940">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olor w:val="auto"/>
                      <w:kern w:val="0"/>
                      <w:sz w:val="21"/>
                      <w:szCs w:val="21"/>
                      <w:lang w:val="en-US" w:eastAsia="zh-CN"/>
                    </w:rPr>
                    <w:t>达标</w:t>
                  </w:r>
                </w:p>
              </w:tc>
            </w:tr>
            <w:tr w14:paraId="0F1B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5A0EB7BC">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eastAsia="zh-CN" w:bidi="en-US"/>
                    </w:rPr>
                    <w:t>亚硝酸盐</w:t>
                  </w:r>
                  <w:r>
                    <w:rPr>
                      <w:rFonts w:hint="eastAsia" w:ascii="Times New Roman" w:hAnsi="Times New Roman" w:eastAsia="宋体" w:cs="宋体"/>
                      <w:bCs/>
                      <w:color w:val="auto"/>
                      <w:kern w:val="0"/>
                      <w:sz w:val="21"/>
                      <w:szCs w:val="21"/>
                      <w:lang w:val="en-US" w:eastAsia="zh-CN" w:bidi="en-US"/>
                    </w:rPr>
                    <w:t>（mg/L，以N计）</w:t>
                  </w:r>
                </w:p>
              </w:tc>
              <w:tc>
                <w:tcPr>
                  <w:tcW w:w="1913" w:type="dxa"/>
                  <w:vAlign w:val="center"/>
                </w:tcPr>
                <w:p w14:paraId="2B69FC9F">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0.980</w:t>
                  </w:r>
                </w:p>
              </w:tc>
              <w:tc>
                <w:tcPr>
                  <w:tcW w:w="2175" w:type="dxa"/>
                  <w:vAlign w:val="center"/>
                </w:tcPr>
                <w:p w14:paraId="7132A18F">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cs="宋体"/>
                      <w:bCs/>
                      <w:color w:val="auto"/>
                      <w:kern w:val="0"/>
                      <w:sz w:val="21"/>
                      <w:szCs w:val="21"/>
                      <w:lang w:val="en-US" w:eastAsia="zh-CN" w:bidi="en-US"/>
                    </w:rPr>
                    <w:t>0.10</w:t>
                  </w:r>
                </w:p>
              </w:tc>
              <w:tc>
                <w:tcPr>
                  <w:tcW w:w="2087" w:type="dxa"/>
                  <w:vAlign w:val="center"/>
                </w:tcPr>
                <w:p w14:paraId="39325AD6">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超标</w:t>
                  </w:r>
                </w:p>
              </w:tc>
            </w:tr>
            <w:tr w14:paraId="7613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4377217C">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硫酸盐（mg/L）</w:t>
                  </w:r>
                </w:p>
              </w:tc>
              <w:tc>
                <w:tcPr>
                  <w:tcW w:w="1913" w:type="dxa"/>
                  <w:vAlign w:val="center"/>
                </w:tcPr>
                <w:p w14:paraId="325E8C46">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59.3</w:t>
                  </w:r>
                </w:p>
              </w:tc>
              <w:tc>
                <w:tcPr>
                  <w:tcW w:w="2175" w:type="dxa"/>
                  <w:vAlign w:val="center"/>
                </w:tcPr>
                <w:p w14:paraId="6D883824">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cs="宋体"/>
                      <w:bCs/>
                      <w:color w:val="auto"/>
                      <w:kern w:val="0"/>
                      <w:sz w:val="21"/>
                      <w:szCs w:val="21"/>
                      <w:lang w:val="en-US" w:eastAsia="zh-CN" w:bidi="en-US"/>
                    </w:rPr>
                    <w:t>150</w:t>
                  </w:r>
                </w:p>
              </w:tc>
              <w:tc>
                <w:tcPr>
                  <w:tcW w:w="2087" w:type="dxa"/>
                  <w:vAlign w:val="center"/>
                </w:tcPr>
                <w:p w14:paraId="69FEAF26">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en-US" w:bidi="ar"/>
                    </w:rPr>
                    <w:t>达标</w:t>
                  </w:r>
                </w:p>
              </w:tc>
            </w:tr>
            <w:tr w14:paraId="1010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68363DBA">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SO4</w:t>
                  </w:r>
                  <w:r>
                    <w:rPr>
                      <w:rFonts w:hint="eastAsia" w:ascii="Times New Roman" w:hAnsi="Times New Roman" w:eastAsia="宋体" w:cs="宋体"/>
                      <w:bCs/>
                      <w:color w:val="auto"/>
                      <w:kern w:val="0"/>
                      <w:sz w:val="21"/>
                      <w:szCs w:val="21"/>
                      <w:vertAlign w:val="superscript"/>
                      <w:lang w:val="en-US" w:eastAsia="zh-CN" w:bidi="en-US"/>
                    </w:rPr>
                    <w:t>2-</w:t>
                  </w:r>
                  <w:r>
                    <w:rPr>
                      <w:rFonts w:hint="eastAsia" w:ascii="Times New Roman" w:hAnsi="Times New Roman" w:eastAsia="宋体" w:cs="宋体"/>
                      <w:bCs/>
                      <w:color w:val="auto"/>
                      <w:kern w:val="0"/>
                      <w:sz w:val="21"/>
                      <w:szCs w:val="21"/>
                      <w:lang w:val="en-US" w:eastAsia="zh-CN" w:bidi="en-US"/>
                    </w:rPr>
                    <w:t>（mg/L）</w:t>
                  </w:r>
                </w:p>
              </w:tc>
              <w:tc>
                <w:tcPr>
                  <w:tcW w:w="1913" w:type="dxa"/>
                  <w:vAlign w:val="center"/>
                </w:tcPr>
                <w:p w14:paraId="51A4EAC6">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59.3</w:t>
                  </w:r>
                </w:p>
              </w:tc>
              <w:tc>
                <w:tcPr>
                  <w:tcW w:w="2175" w:type="dxa"/>
                  <w:vAlign w:val="center"/>
                </w:tcPr>
                <w:p w14:paraId="632E4AC3">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rPr>
                    <w:t>/</w:t>
                  </w:r>
                </w:p>
              </w:tc>
              <w:tc>
                <w:tcPr>
                  <w:tcW w:w="2087" w:type="dxa"/>
                  <w:vAlign w:val="center"/>
                </w:tcPr>
                <w:p w14:paraId="69335EB1">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rPr>
                    <w:t>/</w:t>
                  </w:r>
                </w:p>
              </w:tc>
            </w:tr>
            <w:tr w14:paraId="39C7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011D3E5E">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高锰酸盐指数（mg/L）</w:t>
                  </w:r>
                </w:p>
              </w:tc>
              <w:tc>
                <w:tcPr>
                  <w:tcW w:w="1913" w:type="dxa"/>
                  <w:vAlign w:val="center"/>
                </w:tcPr>
                <w:p w14:paraId="7C2F57D8">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2.97</w:t>
                  </w:r>
                </w:p>
              </w:tc>
              <w:tc>
                <w:tcPr>
                  <w:tcW w:w="2175" w:type="dxa"/>
                  <w:vAlign w:val="center"/>
                </w:tcPr>
                <w:p w14:paraId="6F535B81">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rPr>
                    <w:t>/</w:t>
                  </w:r>
                </w:p>
              </w:tc>
              <w:tc>
                <w:tcPr>
                  <w:tcW w:w="2087" w:type="dxa"/>
                  <w:vAlign w:val="center"/>
                </w:tcPr>
                <w:p w14:paraId="6E2479A7">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rPr>
                    <w:t>/</w:t>
                  </w:r>
                </w:p>
              </w:tc>
            </w:tr>
            <w:tr w14:paraId="50E5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62566667">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六价铬（mg/L）</w:t>
                  </w:r>
                </w:p>
              </w:tc>
              <w:tc>
                <w:tcPr>
                  <w:tcW w:w="1913" w:type="dxa"/>
                  <w:vAlign w:val="center"/>
                </w:tcPr>
                <w:p w14:paraId="49C77C97">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0.041</w:t>
                  </w:r>
                </w:p>
              </w:tc>
              <w:tc>
                <w:tcPr>
                  <w:tcW w:w="2175" w:type="dxa"/>
                  <w:vAlign w:val="center"/>
                </w:tcPr>
                <w:p w14:paraId="79DB2B4D">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0.01</w:t>
                  </w:r>
                </w:p>
              </w:tc>
              <w:tc>
                <w:tcPr>
                  <w:tcW w:w="2087" w:type="dxa"/>
                  <w:vAlign w:val="center"/>
                </w:tcPr>
                <w:p w14:paraId="423D421E">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超标</w:t>
                  </w:r>
                </w:p>
              </w:tc>
            </w:tr>
            <w:tr w14:paraId="2973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2B855558">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挥发酚（mg/L）</w:t>
                  </w:r>
                </w:p>
              </w:tc>
              <w:tc>
                <w:tcPr>
                  <w:tcW w:w="1913" w:type="dxa"/>
                  <w:vAlign w:val="center"/>
                </w:tcPr>
                <w:p w14:paraId="7A8783B2">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0.0012</w:t>
                  </w:r>
                </w:p>
              </w:tc>
              <w:tc>
                <w:tcPr>
                  <w:tcW w:w="2175" w:type="dxa"/>
                  <w:vAlign w:val="center"/>
                </w:tcPr>
                <w:p w14:paraId="56A45417">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4BAFA4B9">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olor w:val="auto"/>
                      <w:kern w:val="0"/>
                      <w:sz w:val="21"/>
                      <w:szCs w:val="21"/>
                      <w:lang w:val="en-US" w:eastAsia="zh-CN"/>
                    </w:rPr>
                    <w:t>/</w:t>
                  </w:r>
                </w:p>
              </w:tc>
            </w:tr>
            <w:tr w14:paraId="1D78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45C5FAD2">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氯化物（mg/L）</w:t>
                  </w:r>
                </w:p>
              </w:tc>
              <w:tc>
                <w:tcPr>
                  <w:tcW w:w="1913" w:type="dxa"/>
                  <w:vAlign w:val="center"/>
                </w:tcPr>
                <w:p w14:paraId="35383722">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26.5</w:t>
                  </w:r>
                </w:p>
              </w:tc>
              <w:tc>
                <w:tcPr>
                  <w:tcW w:w="2175" w:type="dxa"/>
                  <w:vAlign w:val="center"/>
                </w:tcPr>
                <w:p w14:paraId="010876C5">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150</w:t>
                  </w:r>
                </w:p>
              </w:tc>
              <w:tc>
                <w:tcPr>
                  <w:tcW w:w="2087" w:type="dxa"/>
                  <w:vAlign w:val="center"/>
                </w:tcPr>
                <w:p w14:paraId="1E73BDA9">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color w:val="auto"/>
                      <w:kern w:val="0"/>
                      <w:sz w:val="21"/>
                      <w:szCs w:val="21"/>
                      <w:lang w:eastAsia="en-US"/>
                    </w:rPr>
                    <w:t>达标</w:t>
                  </w:r>
                </w:p>
              </w:tc>
            </w:tr>
            <w:tr w14:paraId="0F4E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5C487D17">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Cl</w:t>
                  </w:r>
                  <w:r>
                    <w:rPr>
                      <w:rFonts w:hint="eastAsia" w:ascii="Times New Roman" w:hAnsi="Times New Roman" w:eastAsia="宋体" w:cs="宋体"/>
                      <w:bCs/>
                      <w:color w:val="auto"/>
                      <w:kern w:val="0"/>
                      <w:sz w:val="21"/>
                      <w:szCs w:val="21"/>
                      <w:vertAlign w:val="superscript"/>
                      <w:lang w:val="en-US" w:eastAsia="zh-CN" w:bidi="en-US"/>
                    </w:rPr>
                    <w:t>-</w:t>
                  </w:r>
                  <w:r>
                    <w:rPr>
                      <w:rFonts w:hint="eastAsia" w:ascii="Times New Roman" w:hAnsi="Times New Roman" w:eastAsia="宋体" w:cs="宋体"/>
                      <w:bCs/>
                      <w:color w:val="auto"/>
                      <w:kern w:val="0"/>
                      <w:sz w:val="21"/>
                      <w:szCs w:val="21"/>
                      <w:lang w:val="en-US" w:eastAsia="zh-CN" w:bidi="en-US"/>
                    </w:rPr>
                    <w:t>（mg/L）</w:t>
                  </w:r>
                </w:p>
              </w:tc>
              <w:tc>
                <w:tcPr>
                  <w:tcW w:w="1913" w:type="dxa"/>
                  <w:vAlign w:val="center"/>
                </w:tcPr>
                <w:p w14:paraId="48F22E54">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26.5</w:t>
                  </w:r>
                </w:p>
              </w:tc>
              <w:tc>
                <w:tcPr>
                  <w:tcW w:w="2175" w:type="dxa"/>
                  <w:vAlign w:val="center"/>
                </w:tcPr>
                <w:p w14:paraId="533C1F95">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4F946AB3">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olor w:val="auto"/>
                      <w:kern w:val="0"/>
                      <w:sz w:val="21"/>
                      <w:szCs w:val="21"/>
                      <w:lang w:val="en-US" w:eastAsia="zh-CN"/>
                    </w:rPr>
                    <w:t>/</w:t>
                  </w:r>
                </w:p>
              </w:tc>
            </w:tr>
            <w:tr w14:paraId="70FA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0F4715D8">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氟化物（mg/L）</w:t>
                  </w:r>
                </w:p>
              </w:tc>
              <w:tc>
                <w:tcPr>
                  <w:tcW w:w="1913" w:type="dxa"/>
                  <w:vAlign w:val="center"/>
                </w:tcPr>
                <w:p w14:paraId="07ABCCCF">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0.593</w:t>
                  </w:r>
                </w:p>
              </w:tc>
              <w:tc>
                <w:tcPr>
                  <w:tcW w:w="2175" w:type="dxa"/>
                  <w:vAlign w:val="center"/>
                </w:tcPr>
                <w:p w14:paraId="42120E18">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1.0</w:t>
                  </w:r>
                </w:p>
              </w:tc>
              <w:tc>
                <w:tcPr>
                  <w:tcW w:w="2087" w:type="dxa"/>
                  <w:vAlign w:val="center"/>
                </w:tcPr>
                <w:p w14:paraId="65EA12AB">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color w:val="auto"/>
                      <w:kern w:val="0"/>
                      <w:sz w:val="21"/>
                      <w:szCs w:val="21"/>
                      <w:lang w:eastAsia="en-US"/>
                    </w:rPr>
                    <w:t>达标</w:t>
                  </w:r>
                </w:p>
              </w:tc>
            </w:tr>
            <w:tr w14:paraId="6649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18899651">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石油类（mg/L）</w:t>
                  </w:r>
                </w:p>
              </w:tc>
              <w:tc>
                <w:tcPr>
                  <w:tcW w:w="1913" w:type="dxa"/>
                  <w:vAlign w:val="center"/>
                </w:tcPr>
                <w:p w14:paraId="45588C63">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0.02</w:t>
                  </w:r>
                </w:p>
              </w:tc>
              <w:tc>
                <w:tcPr>
                  <w:tcW w:w="2175" w:type="dxa"/>
                  <w:vAlign w:val="center"/>
                </w:tcPr>
                <w:p w14:paraId="0E249111">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106A10D0">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olor w:val="auto"/>
                      <w:kern w:val="0"/>
                      <w:sz w:val="21"/>
                      <w:szCs w:val="21"/>
                      <w:lang w:val="en-US" w:eastAsia="zh-CN"/>
                    </w:rPr>
                    <w:t>/</w:t>
                  </w:r>
                </w:p>
              </w:tc>
            </w:tr>
            <w:tr w14:paraId="425E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247DA7DA">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钠（mg/L）</w:t>
                  </w:r>
                </w:p>
              </w:tc>
              <w:tc>
                <w:tcPr>
                  <w:tcW w:w="1913" w:type="dxa"/>
                  <w:vAlign w:val="center"/>
                </w:tcPr>
                <w:p w14:paraId="64D38FE6">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17.3</w:t>
                  </w:r>
                </w:p>
              </w:tc>
              <w:tc>
                <w:tcPr>
                  <w:tcW w:w="2175" w:type="dxa"/>
                  <w:vAlign w:val="center"/>
                </w:tcPr>
                <w:p w14:paraId="7E7BAE02">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150</w:t>
                  </w:r>
                </w:p>
              </w:tc>
              <w:tc>
                <w:tcPr>
                  <w:tcW w:w="2087" w:type="dxa"/>
                  <w:vAlign w:val="center"/>
                </w:tcPr>
                <w:p w14:paraId="5EFB4D67">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color w:val="auto"/>
                      <w:kern w:val="0"/>
                      <w:sz w:val="21"/>
                      <w:szCs w:val="21"/>
                      <w:lang w:eastAsia="en-US"/>
                    </w:rPr>
                    <w:t>达标</w:t>
                  </w:r>
                </w:p>
              </w:tc>
            </w:tr>
            <w:tr w14:paraId="7D0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3AA86CE0">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Na</w:t>
                  </w:r>
                  <w:r>
                    <w:rPr>
                      <w:rFonts w:hint="eastAsia" w:ascii="Times New Roman" w:hAnsi="Times New Roman" w:eastAsia="宋体" w:cs="宋体"/>
                      <w:bCs/>
                      <w:color w:val="auto"/>
                      <w:kern w:val="0"/>
                      <w:sz w:val="21"/>
                      <w:szCs w:val="21"/>
                      <w:vertAlign w:val="superscript"/>
                      <w:lang w:val="en-US" w:eastAsia="zh-CN" w:bidi="en-US"/>
                    </w:rPr>
                    <w:t>+</w:t>
                  </w:r>
                  <w:r>
                    <w:rPr>
                      <w:rFonts w:hint="eastAsia" w:ascii="Times New Roman" w:hAnsi="Times New Roman" w:eastAsia="宋体" w:cs="宋体"/>
                      <w:bCs/>
                      <w:color w:val="auto"/>
                      <w:kern w:val="0"/>
                      <w:sz w:val="21"/>
                      <w:szCs w:val="21"/>
                      <w:lang w:val="en-US" w:eastAsia="zh-CN" w:bidi="en-US"/>
                    </w:rPr>
                    <w:t>（mg/L）</w:t>
                  </w:r>
                </w:p>
              </w:tc>
              <w:tc>
                <w:tcPr>
                  <w:tcW w:w="1913" w:type="dxa"/>
                  <w:vAlign w:val="center"/>
                </w:tcPr>
                <w:p w14:paraId="241477D5">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17.3</w:t>
                  </w:r>
                </w:p>
              </w:tc>
              <w:tc>
                <w:tcPr>
                  <w:tcW w:w="2175" w:type="dxa"/>
                  <w:vAlign w:val="center"/>
                </w:tcPr>
                <w:p w14:paraId="0EC3C4E7">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7B93883B">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w:t>
                  </w:r>
                </w:p>
              </w:tc>
            </w:tr>
            <w:tr w14:paraId="7A8A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57B94E47">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钾（mg/L）</w:t>
                  </w:r>
                </w:p>
              </w:tc>
              <w:tc>
                <w:tcPr>
                  <w:tcW w:w="1913" w:type="dxa"/>
                  <w:vAlign w:val="center"/>
                </w:tcPr>
                <w:p w14:paraId="30BC64CF">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16.2</w:t>
                  </w:r>
                </w:p>
              </w:tc>
              <w:tc>
                <w:tcPr>
                  <w:tcW w:w="2175" w:type="dxa"/>
                  <w:vAlign w:val="center"/>
                </w:tcPr>
                <w:p w14:paraId="7F13D2B0">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55C1F5BB">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w:t>
                  </w:r>
                </w:p>
              </w:tc>
            </w:tr>
            <w:tr w14:paraId="43C3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7265962A">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K</w:t>
                  </w:r>
                  <w:r>
                    <w:rPr>
                      <w:rFonts w:hint="eastAsia" w:ascii="Times New Roman" w:hAnsi="Times New Roman" w:eastAsia="宋体" w:cs="宋体"/>
                      <w:bCs/>
                      <w:color w:val="auto"/>
                      <w:kern w:val="0"/>
                      <w:sz w:val="21"/>
                      <w:szCs w:val="21"/>
                      <w:vertAlign w:val="superscript"/>
                      <w:lang w:val="en-US" w:eastAsia="zh-CN" w:bidi="en-US"/>
                    </w:rPr>
                    <w:t>+</w:t>
                  </w:r>
                  <w:r>
                    <w:rPr>
                      <w:rFonts w:hint="eastAsia" w:ascii="Times New Roman" w:hAnsi="Times New Roman" w:eastAsia="宋体" w:cs="宋体"/>
                      <w:bCs/>
                      <w:color w:val="auto"/>
                      <w:kern w:val="0"/>
                      <w:sz w:val="21"/>
                      <w:szCs w:val="21"/>
                      <w:lang w:val="en-US" w:eastAsia="zh-CN" w:bidi="en-US"/>
                    </w:rPr>
                    <w:t>（mg/L）</w:t>
                  </w:r>
                </w:p>
              </w:tc>
              <w:tc>
                <w:tcPr>
                  <w:tcW w:w="1913" w:type="dxa"/>
                  <w:vAlign w:val="center"/>
                </w:tcPr>
                <w:p w14:paraId="05AC4E4D">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16.2</w:t>
                  </w:r>
                </w:p>
              </w:tc>
              <w:tc>
                <w:tcPr>
                  <w:tcW w:w="2175" w:type="dxa"/>
                  <w:vAlign w:val="center"/>
                </w:tcPr>
                <w:p w14:paraId="1F7B58D5">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1FFBF67F">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w:t>
                  </w:r>
                </w:p>
              </w:tc>
            </w:tr>
            <w:tr w14:paraId="7DF9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71D8D3B4">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镁（mg/L）</w:t>
                  </w:r>
                </w:p>
              </w:tc>
              <w:tc>
                <w:tcPr>
                  <w:tcW w:w="1913" w:type="dxa"/>
                  <w:vAlign w:val="center"/>
                </w:tcPr>
                <w:p w14:paraId="4A939DCE">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16.7</w:t>
                  </w:r>
                </w:p>
              </w:tc>
              <w:tc>
                <w:tcPr>
                  <w:tcW w:w="2175" w:type="dxa"/>
                  <w:vAlign w:val="center"/>
                </w:tcPr>
                <w:p w14:paraId="4394E870">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27A66D43">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w:t>
                  </w:r>
                </w:p>
              </w:tc>
            </w:tr>
            <w:tr w14:paraId="268F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4403DD68">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Mg</w:t>
                  </w:r>
                  <w:r>
                    <w:rPr>
                      <w:rFonts w:hint="eastAsia" w:ascii="Times New Roman" w:hAnsi="Times New Roman" w:eastAsia="宋体" w:cs="宋体"/>
                      <w:bCs/>
                      <w:color w:val="auto"/>
                      <w:kern w:val="0"/>
                      <w:sz w:val="21"/>
                      <w:szCs w:val="21"/>
                      <w:vertAlign w:val="superscript"/>
                      <w:lang w:val="en-US" w:eastAsia="zh-CN" w:bidi="en-US"/>
                    </w:rPr>
                    <w:t>2+</w:t>
                  </w:r>
                  <w:r>
                    <w:rPr>
                      <w:rFonts w:hint="eastAsia" w:ascii="Times New Roman" w:hAnsi="Times New Roman" w:eastAsia="宋体" w:cs="宋体"/>
                      <w:bCs/>
                      <w:color w:val="auto"/>
                      <w:kern w:val="0"/>
                      <w:sz w:val="21"/>
                      <w:szCs w:val="21"/>
                      <w:lang w:val="en-US" w:eastAsia="zh-CN" w:bidi="en-US"/>
                    </w:rPr>
                    <w:t>（mg/L）</w:t>
                  </w:r>
                </w:p>
              </w:tc>
              <w:tc>
                <w:tcPr>
                  <w:tcW w:w="1913" w:type="dxa"/>
                  <w:vAlign w:val="center"/>
                </w:tcPr>
                <w:p w14:paraId="54252372">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16.7</w:t>
                  </w:r>
                </w:p>
              </w:tc>
              <w:tc>
                <w:tcPr>
                  <w:tcW w:w="2175" w:type="dxa"/>
                  <w:vAlign w:val="center"/>
                </w:tcPr>
                <w:p w14:paraId="0C976B15">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413AE1CA">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w:t>
                  </w:r>
                </w:p>
              </w:tc>
            </w:tr>
            <w:tr w14:paraId="7C0D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1CBDC400">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钙（mg/L）</w:t>
                  </w:r>
                </w:p>
              </w:tc>
              <w:tc>
                <w:tcPr>
                  <w:tcW w:w="1913" w:type="dxa"/>
                  <w:vAlign w:val="center"/>
                </w:tcPr>
                <w:p w14:paraId="6308EAF0">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44.9</w:t>
                  </w:r>
                </w:p>
              </w:tc>
              <w:tc>
                <w:tcPr>
                  <w:tcW w:w="2175" w:type="dxa"/>
                  <w:vAlign w:val="center"/>
                </w:tcPr>
                <w:p w14:paraId="5A26B02F">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64CD329A">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w:t>
                  </w:r>
                </w:p>
              </w:tc>
            </w:tr>
            <w:tr w14:paraId="222E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5D815A8A">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Ca</w:t>
                  </w:r>
                  <w:r>
                    <w:rPr>
                      <w:rFonts w:hint="eastAsia" w:ascii="Times New Roman" w:hAnsi="Times New Roman" w:eastAsia="宋体" w:cs="宋体"/>
                      <w:bCs/>
                      <w:color w:val="auto"/>
                      <w:kern w:val="0"/>
                      <w:sz w:val="21"/>
                      <w:szCs w:val="21"/>
                      <w:vertAlign w:val="superscript"/>
                      <w:lang w:val="en-US" w:eastAsia="zh-CN" w:bidi="en-US"/>
                    </w:rPr>
                    <w:t>2+</w:t>
                  </w:r>
                  <w:r>
                    <w:rPr>
                      <w:rFonts w:hint="eastAsia" w:ascii="Times New Roman" w:hAnsi="Times New Roman" w:eastAsia="宋体" w:cs="宋体"/>
                      <w:bCs/>
                      <w:color w:val="auto"/>
                      <w:kern w:val="0"/>
                      <w:sz w:val="21"/>
                      <w:szCs w:val="21"/>
                      <w:lang w:val="en-US" w:eastAsia="zh-CN" w:bidi="en-US"/>
                    </w:rPr>
                    <w:t>（mg/L）</w:t>
                  </w:r>
                </w:p>
              </w:tc>
              <w:tc>
                <w:tcPr>
                  <w:tcW w:w="1913" w:type="dxa"/>
                  <w:vAlign w:val="center"/>
                </w:tcPr>
                <w:p w14:paraId="7AD2D9DF">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44.9</w:t>
                  </w:r>
                </w:p>
              </w:tc>
              <w:tc>
                <w:tcPr>
                  <w:tcW w:w="2175" w:type="dxa"/>
                  <w:vAlign w:val="center"/>
                </w:tcPr>
                <w:p w14:paraId="4DD3F530">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2087" w:type="dxa"/>
                  <w:vAlign w:val="center"/>
                </w:tcPr>
                <w:p w14:paraId="3D74BE68">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w:t>
                  </w:r>
                </w:p>
              </w:tc>
            </w:tr>
            <w:tr w14:paraId="5ACF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4EF7717D">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铅（μg/L）</w:t>
                  </w:r>
                </w:p>
              </w:tc>
              <w:tc>
                <w:tcPr>
                  <w:tcW w:w="1913" w:type="dxa"/>
                  <w:vAlign w:val="center"/>
                </w:tcPr>
                <w:p w14:paraId="3BAB20D4">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1.92</w:t>
                  </w:r>
                </w:p>
              </w:tc>
              <w:tc>
                <w:tcPr>
                  <w:tcW w:w="2175" w:type="dxa"/>
                  <w:vAlign w:val="center"/>
                </w:tcPr>
                <w:p w14:paraId="6DC3080B">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5</w:t>
                  </w:r>
                </w:p>
              </w:tc>
              <w:tc>
                <w:tcPr>
                  <w:tcW w:w="2087" w:type="dxa"/>
                  <w:vAlign w:val="center"/>
                </w:tcPr>
                <w:p w14:paraId="4502C769">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color w:val="auto"/>
                      <w:kern w:val="0"/>
                      <w:sz w:val="21"/>
                      <w:szCs w:val="21"/>
                      <w:lang w:eastAsia="en-US"/>
                    </w:rPr>
                    <w:t>达标</w:t>
                  </w:r>
                </w:p>
              </w:tc>
            </w:tr>
            <w:tr w14:paraId="14EB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35298CB0">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镉（μg/L）</w:t>
                  </w:r>
                </w:p>
              </w:tc>
              <w:tc>
                <w:tcPr>
                  <w:tcW w:w="1913" w:type="dxa"/>
                  <w:vAlign w:val="center"/>
                </w:tcPr>
                <w:p w14:paraId="5E3FB2E5">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0.66</w:t>
                  </w:r>
                </w:p>
              </w:tc>
              <w:tc>
                <w:tcPr>
                  <w:tcW w:w="2175" w:type="dxa"/>
                  <w:vAlign w:val="center"/>
                </w:tcPr>
                <w:p w14:paraId="2FA1E311">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1</w:t>
                  </w:r>
                </w:p>
              </w:tc>
              <w:tc>
                <w:tcPr>
                  <w:tcW w:w="2087" w:type="dxa"/>
                  <w:vAlign w:val="center"/>
                </w:tcPr>
                <w:p w14:paraId="7D23BFB2">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color w:val="auto"/>
                      <w:kern w:val="0"/>
                      <w:sz w:val="21"/>
                      <w:szCs w:val="21"/>
                      <w:lang w:eastAsia="en-US"/>
                    </w:rPr>
                    <w:t>达标</w:t>
                  </w:r>
                </w:p>
              </w:tc>
            </w:tr>
            <w:tr w14:paraId="68BE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4A928B18">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铁（mg/L）</w:t>
                  </w:r>
                </w:p>
              </w:tc>
              <w:tc>
                <w:tcPr>
                  <w:tcW w:w="1913" w:type="dxa"/>
                  <w:vAlign w:val="center"/>
                </w:tcPr>
                <w:p w14:paraId="12CF4085">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0.14</w:t>
                  </w:r>
                </w:p>
              </w:tc>
              <w:tc>
                <w:tcPr>
                  <w:tcW w:w="2175" w:type="dxa"/>
                  <w:vAlign w:val="center"/>
                </w:tcPr>
                <w:p w14:paraId="11CA296E">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0.2</w:t>
                  </w:r>
                </w:p>
              </w:tc>
              <w:tc>
                <w:tcPr>
                  <w:tcW w:w="2087" w:type="dxa"/>
                  <w:vAlign w:val="center"/>
                </w:tcPr>
                <w:p w14:paraId="19DC86B2">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color w:val="auto"/>
                      <w:kern w:val="0"/>
                      <w:sz w:val="21"/>
                      <w:szCs w:val="21"/>
                      <w:lang w:eastAsia="en-US"/>
                    </w:rPr>
                    <w:t>达标</w:t>
                  </w:r>
                </w:p>
              </w:tc>
            </w:tr>
            <w:tr w14:paraId="314B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1B1E158D">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锰（mg/L）</w:t>
                  </w:r>
                </w:p>
              </w:tc>
              <w:tc>
                <w:tcPr>
                  <w:tcW w:w="1913" w:type="dxa"/>
                  <w:vAlign w:val="center"/>
                </w:tcPr>
                <w:p w14:paraId="4031B001">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0.01</w:t>
                  </w:r>
                </w:p>
              </w:tc>
              <w:tc>
                <w:tcPr>
                  <w:tcW w:w="2175" w:type="dxa"/>
                  <w:vAlign w:val="center"/>
                </w:tcPr>
                <w:p w14:paraId="516590B0">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0.05</w:t>
                  </w:r>
                </w:p>
              </w:tc>
              <w:tc>
                <w:tcPr>
                  <w:tcW w:w="2087" w:type="dxa"/>
                  <w:vAlign w:val="center"/>
                </w:tcPr>
                <w:p w14:paraId="17599DD6">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color w:val="auto"/>
                      <w:kern w:val="0"/>
                      <w:sz w:val="21"/>
                      <w:szCs w:val="21"/>
                      <w:lang w:eastAsia="en-US"/>
                    </w:rPr>
                    <w:t>达标</w:t>
                  </w:r>
                </w:p>
              </w:tc>
            </w:tr>
            <w:tr w14:paraId="27AA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6A7E6199">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砷（μg/L）</w:t>
                  </w:r>
                </w:p>
              </w:tc>
              <w:tc>
                <w:tcPr>
                  <w:tcW w:w="1913" w:type="dxa"/>
                  <w:vAlign w:val="center"/>
                </w:tcPr>
                <w:p w14:paraId="085A3571">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7</w:t>
                  </w:r>
                </w:p>
              </w:tc>
              <w:tc>
                <w:tcPr>
                  <w:tcW w:w="2175" w:type="dxa"/>
                  <w:vAlign w:val="center"/>
                </w:tcPr>
                <w:p w14:paraId="3016869D">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1</w:t>
                  </w:r>
                </w:p>
              </w:tc>
              <w:tc>
                <w:tcPr>
                  <w:tcW w:w="2087" w:type="dxa"/>
                  <w:vAlign w:val="center"/>
                </w:tcPr>
                <w:p w14:paraId="2F1E57D7">
                  <w:pPr>
                    <w:spacing w:line="240" w:lineRule="auto"/>
                    <w:ind w:firstLine="0" w:firstLineChars="0"/>
                    <w:jc w:val="center"/>
                    <w:rPr>
                      <w:rFonts w:hint="eastAsia" w:ascii="Times New Roman" w:hAnsi="Times New Roman" w:eastAsia="宋体" w:cs="Times New Roman"/>
                      <w:color w:val="auto"/>
                      <w:sz w:val="24"/>
                      <w:szCs w:val="24"/>
                      <w:vertAlign w:val="baseline"/>
                      <w:lang w:val="en-US" w:eastAsia="zh-CN"/>
                    </w:rPr>
                  </w:pPr>
                  <w:r>
                    <w:rPr>
                      <w:rFonts w:hint="eastAsia"/>
                      <w:color w:val="auto"/>
                      <w:kern w:val="0"/>
                      <w:sz w:val="21"/>
                      <w:szCs w:val="21"/>
                      <w:lang w:val="en-US" w:eastAsia="zh-CN"/>
                    </w:rPr>
                    <w:t>超标</w:t>
                  </w:r>
                </w:p>
              </w:tc>
            </w:tr>
            <w:tr w14:paraId="560E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76BC42B0">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汞（μg/L）</w:t>
                  </w:r>
                </w:p>
              </w:tc>
              <w:tc>
                <w:tcPr>
                  <w:tcW w:w="1913" w:type="dxa"/>
                  <w:vAlign w:val="center"/>
                </w:tcPr>
                <w:p w14:paraId="592A3913">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＜0.04</w:t>
                  </w:r>
                </w:p>
              </w:tc>
              <w:tc>
                <w:tcPr>
                  <w:tcW w:w="2175" w:type="dxa"/>
                  <w:vAlign w:val="center"/>
                </w:tcPr>
                <w:p w14:paraId="63B3E409">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0.1</w:t>
                  </w:r>
                </w:p>
              </w:tc>
              <w:tc>
                <w:tcPr>
                  <w:tcW w:w="2087" w:type="dxa"/>
                  <w:vAlign w:val="center"/>
                </w:tcPr>
                <w:p w14:paraId="1D921A41">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color w:val="auto"/>
                      <w:kern w:val="0"/>
                      <w:sz w:val="21"/>
                      <w:szCs w:val="21"/>
                      <w:lang w:eastAsia="en-US"/>
                    </w:rPr>
                    <w:t>达标</w:t>
                  </w:r>
                </w:p>
              </w:tc>
            </w:tr>
            <w:tr w14:paraId="37D8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5205AC25">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总大肠菌群（MPN/100mL）</w:t>
                  </w:r>
                </w:p>
              </w:tc>
              <w:tc>
                <w:tcPr>
                  <w:tcW w:w="1913" w:type="dxa"/>
                  <w:vAlign w:val="center"/>
                </w:tcPr>
                <w:p w14:paraId="726AE048">
                  <w:pPr>
                    <w:spacing w:line="240" w:lineRule="auto"/>
                    <w:ind w:firstLine="0" w:firstLineChars="0"/>
                    <w:jc w:val="center"/>
                    <w:rPr>
                      <w:rFonts w:hint="default" w:ascii="Times New Roman" w:hAnsi="Times New Roman" w:eastAsia="宋体" w:cs="宋体"/>
                      <w:bCs/>
                      <w:color w:val="auto"/>
                      <w:kern w:val="0"/>
                      <w:sz w:val="21"/>
                      <w:szCs w:val="21"/>
                      <w:lang w:val="en-US" w:eastAsia="zh-CN" w:bidi="en-US"/>
                    </w:rPr>
                  </w:pPr>
                  <w:r>
                    <w:rPr>
                      <w:rFonts w:hint="eastAsia" w:ascii="Times New Roman" w:hAnsi="Times New Roman" w:eastAsia="宋体" w:cs="宋体"/>
                      <w:bCs/>
                      <w:color w:val="auto"/>
                      <w:kern w:val="0"/>
                      <w:sz w:val="21"/>
                      <w:szCs w:val="21"/>
                      <w:lang w:val="en-US" w:eastAsia="zh-CN" w:bidi="en-US"/>
                    </w:rPr>
                    <w:t>550</w:t>
                  </w:r>
                </w:p>
              </w:tc>
              <w:tc>
                <w:tcPr>
                  <w:tcW w:w="2175" w:type="dxa"/>
                  <w:vAlign w:val="center"/>
                </w:tcPr>
                <w:p w14:paraId="4C0177F3">
                  <w:pPr>
                    <w:spacing w:line="240" w:lineRule="auto"/>
                    <w:ind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s="宋体"/>
                      <w:bCs/>
                      <w:color w:val="auto"/>
                      <w:kern w:val="0"/>
                      <w:sz w:val="21"/>
                      <w:szCs w:val="21"/>
                      <w:lang w:bidi="en-US"/>
                    </w:rPr>
                    <w:t>≤</w:t>
                  </w:r>
                  <w:r>
                    <w:rPr>
                      <w:rFonts w:hint="eastAsia"/>
                      <w:bCs/>
                      <w:color w:val="auto"/>
                      <w:kern w:val="0"/>
                      <w:sz w:val="21"/>
                      <w:szCs w:val="21"/>
                      <w:lang w:val="en-US" w:eastAsia="zh-CN" w:bidi="en-US"/>
                    </w:rPr>
                    <w:t>3.0</w:t>
                  </w:r>
                </w:p>
              </w:tc>
              <w:tc>
                <w:tcPr>
                  <w:tcW w:w="2087" w:type="dxa"/>
                  <w:vAlign w:val="center"/>
                </w:tcPr>
                <w:p w14:paraId="3B5A38C4">
                  <w:pPr>
                    <w:spacing w:line="240" w:lineRule="auto"/>
                    <w:ind w:firstLine="0" w:firstLineChars="0"/>
                    <w:jc w:val="center"/>
                    <w:rPr>
                      <w:rFonts w:hint="default" w:ascii="Times New Roman" w:hAnsi="Times New Roman" w:cs="Times New Roman"/>
                      <w:color w:val="auto"/>
                      <w:sz w:val="24"/>
                      <w:szCs w:val="24"/>
                      <w:vertAlign w:val="baseline"/>
                      <w:lang w:val="en-US" w:eastAsia="zh-CN"/>
                    </w:rPr>
                  </w:pPr>
                  <w:r>
                    <w:rPr>
                      <w:rFonts w:hint="eastAsia"/>
                      <w:color w:val="auto"/>
                      <w:kern w:val="0"/>
                      <w:sz w:val="21"/>
                      <w:szCs w:val="21"/>
                      <w:lang w:val="en-US" w:eastAsia="zh-CN"/>
                    </w:rPr>
                    <w:t>超标</w:t>
                  </w:r>
                </w:p>
              </w:tc>
            </w:tr>
            <w:tr w14:paraId="6978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177" w:type="dxa"/>
                  <w:vAlign w:val="center"/>
                </w:tcPr>
                <w:p w14:paraId="208AEAB5">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细菌总数（(CFU/ mL）</w:t>
                  </w:r>
                </w:p>
              </w:tc>
              <w:tc>
                <w:tcPr>
                  <w:tcW w:w="1913" w:type="dxa"/>
                  <w:vAlign w:val="center"/>
                </w:tcPr>
                <w:p w14:paraId="6E12C4DD">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350</w:t>
                  </w:r>
                </w:p>
              </w:tc>
              <w:tc>
                <w:tcPr>
                  <w:tcW w:w="2175" w:type="dxa"/>
                  <w:vAlign w:val="center"/>
                </w:tcPr>
                <w:p w14:paraId="2C0814C7">
                  <w:pPr>
                    <w:spacing w:line="240" w:lineRule="auto"/>
                    <w:ind w:firstLine="0" w:firstLineChars="0"/>
                    <w:jc w:val="center"/>
                    <w:rPr>
                      <w:rFonts w:hint="default" w:eastAsia="宋体" w:cs="宋体"/>
                      <w:bCs/>
                      <w:color w:val="auto"/>
                      <w:kern w:val="0"/>
                      <w:sz w:val="21"/>
                      <w:szCs w:val="21"/>
                      <w:lang w:val="en-US" w:eastAsia="zh-CN" w:bidi="en-US"/>
                    </w:rPr>
                  </w:pPr>
                  <w:r>
                    <w:rPr>
                      <w:rFonts w:hint="eastAsia" w:cs="宋体"/>
                      <w:bCs/>
                      <w:color w:val="auto"/>
                      <w:kern w:val="0"/>
                      <w:sz w:val="21"/>
                      <w:szCs w:val="21"/>
                      <w:lang w:bidi="en-US"/>
                    </w:rPr>
                    <w:t>≤</w:t>
                  </w:r>
                  <w:r>
                    <w:rPr>
                      <w:rFonts w:hint="eastAsia" w:cs="宋体"/>
                      <w:bCs/>
                      <w:color w:val="auto"/>
                      <w:kern w:val="0"/>
                      <w:sz w:val="21"/>
                      <w:szCs w:val="21"/>
                      <w:lang w:val="en-US" w:eastAsia="zh-CN" w:bidi="en-US"/>
                    </w:rPr>
                    <w:t>100</w:t>
                  </w:r>
                </w:p>
              </w:tc>
              <w:tc>
                <w:tcPr>
                  <w:tcW w:w="2087" w:type="dxa"/>
                  <w:vAlign w:val="center"/>
                </w:tcPr>
                <w:p w14:paraId="34BC1EEC">
                  <w:pPr>
                    <w:spacing w:line="240" w:lineRule="auto"/>
                    <w:ind w:firstLine="0" w:firstLineChars="0"/>
                    <w:jc w:val="center"/>
                    <w:rPr>
                      <w:color w:val="auto"/>
                      <w:kern w:val="0"/>
                      <w:sz w:val="21"/>
                      <w:szCs w:val="21"/>
                      <w:lang w:eastAsia="en-US"/>
                    </w:rPr>
                  </w:pPr>
                  <w:r>
                    <w:rPr>
                      <w:rFonts w:hint="eastAsia"/>
                      <w:color w:val="auto"/>
                      <w:kern w:val="0"/>
                      <w:sz w:val="21"/>
                      <w:szCs w:val="21"/>
                      <w:lang w:val="en-US" w:eastAsia="zh-CN"/>
                    </w:rPr>
                    <w:t>超标</w:t>
                  </w:r>
                </w:p>
              </w:tc>
            </w:tr>
            <w:tr w14:paraId="7FAD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6E353AD9">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碳酸根（CO</w:t>
                  </w:r>
                  <w:r>
                    <w:rPr>
                      <w:rFonts w:hint="eastAsia" w:ascii="Times New Roman" w:hAnsi="Times New Roman" w:eastAsia="宋体" w:cs="宋体"/>
                      <w:bCs/>
                      <w:color w:val="auto"/>
                      <w:kern w:val="0"/>
                      <w:sz w:val="21"/>
                      <w:szCs w:val="21"/>
                      <w:vertAlign w:val="subscript"/>
                      <w:lang w:val="en-US" w:eastAsia="zh-CN" w:bidi="en-US"/>
                    </w:rPr>
                    <w:t>3</w:t>
                  </w:r>
                  <w:r>
                    <w:rPr>
                      <w:rFonts w:hint="eastAsia" w:ascii="Times New Roman" w:hAnsi="Times New Roman" w:eastAsia="宋体" w:cs="宋体"/>
                      <w:bCs/>
                      <w:color w:val="auto"/>
                      <w:kern w:val="0"/>
                      <w:sz w:val="21"/>
                      <w:szCs w:val="21"/>
                      <w:vertAlign w:val="superscript"/>
                      <w:lang w:val="en-US" w:eastAsia="zh-CN" w:bidi="en-US"/>
                    </w:rPr>
                    <w:t>2-</w:t>
                  </w:r>
                  <w:r>
                    <w:rPr>
                      <w:rFonts w:hint="eastAsia" w:ascii="Times New Roman" w:hAnsi="Times New Roman" w:eastAsia="宋体" w:cs="宋体"/>
                      <w:bCs/>
                      <w:color w:val="auto"/>
                      <w:kern w:val="0"/>
                      <w:sz w:val="21"/>
                      <w:szCs w:val="21"/>
                      <w:lang w:val="en-US" w:eastAsia="zh-CN" w:bidi="en-US"/>
                    </w:rPr>
                    <w:t>）（mol/L）</w:t>
                  </w:r>
                </w:p>
              </w:tc>
              <w:tc>
                <w:tcPr>
                  <w:tcW w:w="1913" w:type="dxa"/>
                  <w:vAlign w:val="center"/>
                </w:tcPr>
                <w:p w14:paraId="1BCF269B">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未检出</w:t>
                  </w:r>
                </w:p>
              </w:tc>
              <w:tc>
                <w:tcPr>
                  <w:tcW w:w="2175" w:type="dxa"/>
                  <w:vAlign w:val="center"/>
                </w:tcPr>
                <w:p w14:paraId="0D4FC5D0">
                  <w:pPr>
                    <w:spacing w:line="240" w:lineRule="auto"/>
                    <w:ind w:firstLine="0" w:firstLineChars="0"/>
                    <w:jc w:val="center"/>
                    <w:rPr>
                      <w:rFonts w:hint="eastAsia" w:eastAsia="宋体" w:cs="宋体"/>
                      <w:bCs/>
                      <w:color w:val="auto"/>
                      <w:kern w:val="0"/>
                      <w:sz w:val="21"/>
                      <w:szCs w:val="21"/>
                      <w:lang w:val="en-US" w:eastAsia="zh-CN" w:bidi="en-US"/>
                    </w:rPr>
                  </w:pPr>
                  <w:r>
                    <w:rPr>
                      <w:rFonts w:hint="eastAsia" w:cs="宋体"/>
                      <w:bCs/>
                      <w:color w:val="auto"/>
                      <w:kern w:val="0"/>
                      <w:sz w:val="21"/>
                      <w:szCs w:val="21"/>
                      <w:lang w:val="en-US" w:eastAsia="zh-CN" w:bidi="en-US"/>
                    </w:rPr>
                    <w:t>/</w:t>
                  </w:r>
                </w:p>
              </w:tc>
              <w:tc>
                <w:tcPr>
                  <w:tcW w:w="2087" w:type="dxa"/>
                  <w:vAlign w:val="center"/>
                </w:tcPr>
                <w:p w14:paraId="5F681712">
                  <w:pPr>
                    <w:spacing w:line="240" w:lineRule="auto"/>
                    <w:ind w:firstLine="0" w:firstLineChars="0"/>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r>
            <w:tr w14:paraId="2B68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1650FAE0">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碳酸氢根（HCO</w:t>
                  </w:r>
                  <w:r>
                    <w:rPr>
                      <w:rFonts w:hint="eastAsia" w:ascii="Times New Roman" w:hAnsi="Times New Roman" w:eastAsia="宋体" w:cs="宋体"/>
                      <w:bCs/>
                      <w:color w:val="auto"/>
                      <w:kern w:val="0"/>
                      <w:sz w:val="21"/>
                      <w:szCs w:val="21"/>
                      <w:vertAlign w:val="subscript"/>
                      <w:lang w:val="en-US" w:eastAsia="zh-CN" w:bidi="en-US"/>
                    </w:rPr>
                    <w:t>3</w:t>
                  </w:r>
                  <w:r>
                    <w:rPr>
                      <w:rFonts w:hint="eastAsia" w:ascii="Times New Roman" w:hAnsi="Times New Roman" w:eastAsia="宋体" w:cs="宋体"/>
                      <w:bCs/>
                      <w:color w:val="auto"/>
                      <w:kern w:val="0"/>
                      <w:sz w:val="21"/>
                      <w:szCs w:val="21"/>
                      <w:vertAlign w:val="superscript"/>
                      <w:lang w:val="en-US" w:eastAsia="zh-CN" w:bidi="en-US"/>
                    </w:rPr>
                    <w:t>-</w:t>
                  </w:r>
                  <w:r>
                    <w:rPr>
                      <w:rFonts w:hint="eastAsia" w:ascii="Times New Roman" w:hAnsi="Times New Roman" w:eastAsia="宋体" w:cs="宋体"/>
                      <w:bCs/>
                      <w:color w:val="auto"/>
                      <w:kern w:val="0"/>
                      <w:sz w:val="21"/>
                      <w:szCs w:val="21"/>
                      <w:lang w:val="en-US" w:eastAsia="zh-CN" w:bidi="en-US"/>
                    </w:rPr>
                    <w:t>）（mol/L）</w:t>
                  </w:r>
                </w:p>
              </w:tc>
              <w:tc>
                <w:tcPr>
                  <w:tcW w:w="1913" w:type="dxa"/>
                  <w:vAlign w:val="center"/>
                </w:tcPr>
                <w:p w14:paraId="153F163C">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未检出</w:t>
                  </w:r>
                </w:p>
              </w:tc>
              <w:tc>
                <w:tcPr>
                  <w:tcW w:w="2175" w:type="dxa"/>
                  <w:vAlign w:val="center"/>
                </w:tcPr>
                <w:p w14:paraId="22242CCC">
                  <w:pPr>
                    <w:spacing w:line="240" w:lineRule="auto"/>
                    <w:ind w:firstLine="0" w:firstLineChars="0"/>
                    <w:jc w:val="center"/>
                    <w:rPr>
                      <w:rFonts w:hint="eastAsia" w:eastAsia="宋体" w:cs="宋体"/>
                      <w:bCs/>
                      <w:color w:val="auto"/>
                      <w:kern w:val="0"/>
                      <w:sz w:val="21"/>
                      <w:szCs w:val="21"/>
                      <w:lang w:val="en-US" w:eastAsia="zh-CN" w:bidi="en-US"/>
                    </w:rPr>
                  </w:pPr>
                  <w:r>
                    <w:rPr>
                      <w:rFonts w:hint="eastAsia" w:cs="宋体"/>
                      <w:bCs/>
                      <w:color w:val="auto"/>
                      <w:kern w:val="0"/>
                      <w:sz w:val="21"/>
                      <w:szCs w:val="21"/>
                      <w:lang w:val="en-US" w:eastAsia="zh-CN" w:bidi="en-US"/>
                    </w:rPr>
                    <w:t>/</w:t>
                  </w:r>
                </w:p>
              </w:tc>
              <w:tc>
                <w:tcPr>
                  <w:tcW w:w="2087" w:type="dxa"/>
                  <w:vAlign w:val="center"/>
                </w:tcPr>
                <w:p w14:paraId="2DC7424A">
                  <w:pPr>
                    <w:spacing w:line="240" w:lineRule="auto"/>
                    <w:ind w:firstLine="0" w:firstLineChars="0"/>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r>
            <w:tr w14:paraId="6F32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177" w:type="dxa"/>
                  <w:vAlign w:val="center"/>
                </w:tcPr>
                <w:p w14:paraId="52988670">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氰化物（mg/L）</w:t>
                  </w:r>
                </w:p>
              </w:tc>
              <w:tc>
                <w:tcPr>
                  <w:tcW w:w="1913" w:type="dxa"/>
                  <w:vAlign w:val="center"/>
                </w:tcPr>
                <w:p w14:paraId="15979E65">
                  <w:pPr>
                    <w:spacing w:line="240" w:lineRule="auto"/>
                    <w:ind w:firstLine="0" w:firstLineChars="0"/>
                    <w:jc w:val="center"/>
                    <w:rPr>
                      <w:rFonts w:hint="eastAsia" w:ascii="Times New Roman" w:hAnsi="Times New Roman" w:eastAsia="宋体" w:cs="宋体"/>
                      <w:bCs/>
                      <w:color w:val="auto"/>
                      <w:kern w:val="0"/>
                      <w:sz w:val="21"/>
                      <w:szCs w:val="21"/>
                      <w:lang w:bidi="en-US"/>
                    </w:rPr>
                  </w:pPr>
                  <w:r>
                    <w:rPr>
                      <w:rFonts w:hint="eastAsia" w:ascii="Times New Roman" w:hAnsi="Times New Roman" w:eastAsia="宋体" w:cs="宋体"/>
                      <w:bCs/>
                      <w:color w:val="auto"/>
                      <w:kern w:val="0"/>
                      <w:sz w:val="21"/>
                      <w:szCs w:val="21"/>
                      <w:lang w:val="en-US" w:eastAsia="zh-CN" w:bidi="en-US"/>
                    </w:rPr>
                    <w:t>2×10</w:t>
                  </w:r>
                  <w:r>
                    <w:rPr>
                      <w:rFonts w:hint="eastAsia" w:ascii="Times New Roman" w:hAnsi="Times New Roman" w:eastAsia="宋体" w:cs="宋体"/>
                      <w:bCs/>
                      <w:color w:val="auto"/>
                      <w:kern w:val="0"/>
                      <w:sz w:val="21"/>
                      <w:szCs w:val="21"/>
                      <w:vertAlign w:val="superscript"/>
                      <w:lang w:val="en-US" w:eastAsia="zh-CN" w:bidi="en-US"/>
                    </w:rPr>
                    <w:t>-3</w:t>
                  </w:r>
                </w:p>
              </w:tc>
              <w:tc>
                <w:tcPr>
                  <w:tcW w:w="2175" w:type="dxa"/>
                  <w:vAlign w:val="center"/>
                </w:tcPr>
                <w:p w14:paraId="45877999">
                  <w:pPr>
                    <w:spacing w:line="240" w:lineRule="auto"/>
                    <w:ind w:firstLine="0" w:firstLineChars="0"/>
                    <w:jc w:val="center"/>
                    <w:rPr>
                      <w:rFonts w:hint="default" w:eastAsia="宋体" w:cs="宋体"/>
                      <w:bCs/>
                      <w:color w:val="auto"/>
                      <w:kern w:val="0"/>
                      <w:sz w:val="21"/>
                      <w:szCs w:val="21"/>
                      <w:lang w:val="en-US" w:eastAsia="zh-CN" w:bidi="en-US"/>
                    </w:rPr>
                  </w:pPr>
                  <w:r>
                    <w:rPr>
                      <w:rFonts w:hint="eastAsia" w:cs="宋体"/>
                      <w:bCs/>
                      <w:color w:val="auto"/>
                      <w:kern w:val="0"/>
                      <w:sz w:val="21"/>
                      <w:szCs w:val="21"/>
                      <w:lang w:bidi="en-US"/>
                    </w:rPr>
                    <w:t>≤</w:t>
                  </w:r>
                  <w:r>
                    <w:rPr>
                      <w:rFonts w:hint="eastAsia" w:cs="宋体"/>
                      <w:bCs/>
                      <w:color w:val="auto"/>
                      <w:kern w:val="0"/>
                      <w:sz w:val="21"/>
                      <w:szCs w:val="21"/>
                      <w:lang w:val="en-US" w:eastAsia="zh-CN" w:bidi="en-US"/>
                    </w:rPr>
                    <w:t>0.01</w:t>
                  </w:r>
                </w:p>
              </w:tc>
              <w:tc>
                <w:tcPr>
                  <w:tcW w:w="2087" w:type="dxa"/>
                  <w:vAlign w:val="center"/>
                </w:tcPr>
                <w:p w14:paraId="34945CAE">
                  <w:pPr>
                    <w:spacing w:line="240" w:lineRule="auto"/>
                    <w:ind w:firstLine="0" w:firstLineChars="0"/>
                    <w:jc w:val="center"/>
                    <w:rPr>
                      <w:rFonts w:hint="eastAsia" w:eastAsia="宋体"/>
                      <w:color w:val="auto"/>
                      <w:kern w:val="0"/>
                      <w:sz w:val="21"/>
                      <w:szCs w:val="21"/>
                      <w:lang w:val="en-US" w:eastAsia="zh-CN"/>
                    </w:rPr>
                  </w:pPr>
                  <w:r>
                    <w:rPr>
                      <w:rFonts w:hint="eastAsia"/>
                      <w:color w:val="auto"/>
                      <w:kern w:val="0"/>
                      <w:sz w:val="21"/>
                      <w:szCs w:val="21"/>
                      <w:lang w:val="en-US" w:eastAsia="zh-CN"/>
                    </w:rPr>
                    <w:t>达标</w:t>
                  </w:r>
                </w:p>
              </w:tc>
            </w:tr>
          </w:tbl>
          <w:p w14:paraId="73D597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本项目所在区域地下水</w:t>
            </w:r>
            <w:r>
              <w:rPr>
                <w:rFonts w:hint="eastAsia" w:cs="Times New Roman"/>
                <w:color w:val="auto"/>
                <w:sz w:val="24"/>
                <w:szCs w:val="24"/>
                <w:lang w:val="en-US" w:eastAsia="zh-CN"/>
              </w:rPr>
              <w:t>不</w:t>
            </w:r>
            <w:r>
              <w:rPr>
                <w:rFonts w:hint="default" w:ascii="Times New Roman" w:hAnsi="Times New Roman" w:cs="Times New Roman"/>
                <w:color w:val="auto"/>
                <w:sz w:val="24"/>
                <w:szCs w:val="24"/>
                <w:lang w:val="en-US" w:eastAsia="zh-CN"/>
              </w:rPr>
              <w:t>能满足《地下水质量标准》（GB/T14848-2017）中的</w:t>
            </w:r>
            <w:r>
              <w:rPr>
                <w:rFonts w:hint="eastAsia" w:ascii="微软雅黑" w:hAnsi="微软雅黑" w:eastAsia="微软雅黑" w:cs="微软雅黑"/>
                <w:color w:val="auto"/>
                <w:sz w:val="24"/>
                <w:szCs w:val="24"/>
                <w:lang w:val="en-US" w:eastAsia="zh-CN"/>
              </w:rPr>
              <w:t>Ⅱ</w:t>
            </w:r>
            <w:r>
              <w:rPr>
                <w:rFonts w:hint="default" w:ascii="Times New Roman" w:hAnsi="Times New Roman" w:cs="Times New Roman"/>
                <w:color w:val="auto"/>
                <w:sz w:val="24"/>
                <w:szCs w:val="24"/>
                <w:lang w:val="en-US" w:eastAsia="zh-CN"/>
              </w:rPr>
              <w:t>类标准要求</w:t>
            </w:r>
            <w:r>
              <w:rPr>
                <w:rFonts w:hint="eastAsia" w:cs="Times New Roman"/>
                <w:color w:val="auto"/>
                <w:sz w:val="24"/>
                <w:szCs w:val="24"/>
                <w:lang w:val="en-US" w:eastAsia="zh-CN"/>
              </w:rPr>
              <w:t>，主要超标原因为东北面农村养猪猪舍直排废水污染水体。</w:t>
            </w:r>
          </w:p>
          <w:p w14:paraId="56D4AF8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5、土壤环境质量现状</w:t>
            </w:r>
          </w:p>
          <w:p w14:paraId="6D8FBC05">
            <w:pPr>
              <w:keepNext w:val="0"/>
              <w:keepLines w:val="0"/>
              <w:pageBreakBefore w:val="0"/>
              <w:widowControl w:val="0"/>
              <w:kinsoku/>
              <w:wordWrap/>
              <w:overflowPunct/>
              <w:topLinePunct w:val="0"/>
              <w:autoSpaceDE/>
              <w:autoSpaceDN/>
              <w:bidi w:val="0"/>
              <w:adjustRightInd/>
              <w:snapToGrid/>
              <w:spacing w:line="360" w:lineRule="auto"/>
              <w:ind w:right="4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影响报告表编制技术指南（污染影响类）》（试行）》，本评价原则不开展土壤环境质量现状调查，但本项目存在油品垂直入渗的土壤污染途径，对项目区表层样点进行建设用地基本因子+特征因子监测以留作背景值。</w:t>
            </w:r>
          </w:p>
          <w:p w14:paraId="38386119">
            <w:pPr>
              <w:keepNext w:val="0"/>
              <w:keepLines w:val="0"/>
              <w:pageBreakBefore w:val="0"/>
              <w:widowControl w:val="0"/>
              <w:kinsoku/>
              <w:wordWrap/>
              <w:overflowPunct/>
              <w:topLinePunct w:val="0"/>
              <w:autoSpaceDE/>
              <w:autoSpaceDN/>
              <w:bidi w:val="0"/>
              <w:adjustRightInd/>
              <w:snapToGrid/>
              <w:spacing w:line="360" w:lineRule="auto"/>
              <w:ind w:right="4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lang w:val="en-US" w:eastAsia="zh-CN"/>
              </w:rPr>
              <w:t>建设单位委托</w:t>
            </w:r>
            <w:r>
              <w:rPr>
                <w:rFonts w:hint="eastAsia" w:cs="Times New Roman"/>
                <w:color w:val="auto"/>
                <w:sz w:val="24"/>
                <w:szCs w:val="32"/>
                <w:lang w:eastAsia="zh-CN"/>
              </w:rPr>
              <w:t>云南环绿环境检测技术有限公司</w:t>
            </w:r>
            <w:r>
              <w:rPr>
                <w:rFonts w:hint="default" w:ascii="Times New Roman" w:hAnsi="Times New Roman" w:cs="Times New Roman"/>
                <w:color w:val="auto"/>
                <w:sz w:val="24"/>
                <w:szCs w:val="32"/>
                <w:lang w:val="en-US" w:eastAsia="zh-CN"/>
              </w:rPr>
              <w:t>检测</w:t>
            </w:r>
            <w:r>
              <w:rPr>
                <w:rFonts w:hint="default" w:ascii="Times New Roman" w:hAnsi="Times New Roman" w:eastAsia="宋体" w:cs="Times New Roman"/>
                <w:color w:val="auto"/>
                <w:sz w:val="24"/>
                <w:szCs w:val="24"/>
                <w:highlight w:val="none"/>
              </w:rPr>
              <w:t>于202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日</w:t>
            </w:r>
            <w:r>
              <w:rPr>
                <w:rFonts w:hint="default" w:ascii="Times New Roman" w:hAnsi="Times New Roman" w:cs="Times New Roman"/>
                <w:color w:val="auto"/>
                <w:sz w:val="24"/>
                <w:szCs w:val="24"/>
                <w:highlight w:val="none"/>
                <w:lang w:val="en-US" w:eastAsia="zh-CN"/>
              </w:rPr>
              <w:t>进行了土壤质量</w:t>
            </w:r>
            <w:r>
              <w:rPr>
                <w:rFonts w:hint="default" w:ascii="Times New Roman" w:hAnsi="Times New Roman" w:eastAsia="宋体" w:cs="Times New Roman"/>
                <w:color w:val="auto"/>
                <w:sz w:val="24"/>
                <w:szCs w:val="24"/>
                <w:highlight w:val="none"/>
              </w:rPr>
              <w:t>检测</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检测数据见</w:t>
            </w:r>
            <w:r>
              <w:rPr>
                <w:rFonts w:hint="default" w:ascii="Times New Roman" w:hAnsi="Times New Roman" w:eastAsia="宋体" w:cs="Times New Roman"/>
                <w:color w:val="auto"/>
                <w:sz w:val="24"/>
                <w:szCs w:val="24"/>
              </w:rPr>
              <w:t>表3-</w:t>
            </w:r>
            <w:r>
              <w:rPr>
                <w:rFonts w:hint="default" w:ascii="Times New Roman" w:hAnsi="Times New Roman" w:cs="Times New Roman"/>
                <w:color w:val="auto"/>
                <w:sz w:val="24"/>
                <w:szCs w:val="24"/>
                <w:lang w:val="en-US" w:eastAsia="zh-CN"/>
              </w:rPr>
              <w:t>4，3-5</w:t>
            </w:r>
            <w:r>
              <w:rPr>
                <w:rFonts w:hint="default" w:ascii="Times New Roman" w:hAnsi="Times New Roman" w:eastAsia="宋体" w:cs="Times New Roman"/>
                <w:color w:val="auto"/>
                <w:sz w:val="24"/>
                <w:szCs w:val="24"/>
              </w:rPr>
              <w:t>。</w:t>
            </w:r>
          </w:p>
          <w:p w14:paraId="07478DAA">
            <w:pPr>
              <w:spacing w:line="240" w:lineRule="auto"/>
              <w:ind w:firstLine="422" w:firstLineChars="20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表3-</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 xml:space="preserve"> 土壤</w:t>
            </w:r>
            <w:r>
              <w:rPr>
                <w:rFonts w:hint="default" w:ascii="Times New Roman" w:hAnsi="Times New Roman" w:cs="Times New Roman"/>
                <w:b/>
                <w:bCs/>
                <w:color w:val="auto"/>
                <w:lang w:val="en-US" w:eastAsia="zh-CN"/>
              </w:rPr>
              <w:t>理化性质一览表</w:t>
            </w:r>
          </w:p>
          <w:tbl>
            <w:tblPr>
              <w:tblStyle w:val="27"/>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507"/>
              <w:gridCol w:w="1935"/>
              <w:gridCol w:w="1331"/>
              <w:gridCol w:w="2072"/>
            </w:tblGrid>
            <w:tr w14:paraId="148E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60" w:type="dxa"/>
                  <w:gridSpan w:val="2"/>
                  <w:noWrap w:val="0"/>
                  <w:vAlign w:val="center"/>
                </w:tcPr>
                <w:p w14:paraId="2C1D07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点号</w:t>
                  </w:r>
                </w:p>
              </w:tc>
              <w:tc>
                <w:tcPr>
                  <w:tcW w:w="1935" w:type="dxa"/>
                  <w:noWrap w:val="0"/>
                  <w:vAlign w:val="top"/>
                </w:tcPr>
                <w:p w14:paraId="5F6760C4">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331" w:type="dxa"/>
                  <w:noWrap w:val="0"/>
                  <w:vAlign w:val="center"/>
                </w:tcPr>
                <w:p w14:paraId="0B5066A9">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时间</w:t>
                  </w:r>
                </w:p>
              </w:tc>
              <w:tc>
                <w:tcPr>
                  <w:tcW w:w="2072" w:type="dxa"/>
                  <w:noWrap w:val="0"/>
                  <w:vAlign w:val="top"/>
                </w:tcPr>
                <w:p w14:paraId="215EFAA7">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2024/12/18</w:t>
                  </w:r>
                </w:p>
              </w:tc>
            </w:tr>
            <w:tr w14:paraId="31D7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60" w:type="dxa"/>
                  <w:gridSpan w:val="2"/>
                  <w:noWrap w:val="0"/>
                  <w:vAlign w:val="center"/>
                </w:tcPr>
                <w:p w14:paraId="6346C4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编号</w:t>
                  </w:r>
                </w:p>
              </w:tc>
              <w:tc>
                <w:tcPr>
                  <w:tcW w:w="5338" w:type="dxa"/>
                  <w:gridSpan w:val="3"/>
                  <w:noWrap w:val="0"/>
                  <w:vAlign w:val="top"/>
                </w:tcPr>
                <w:p w14:paraId="4CA94B67">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TR20241211001-1-1-1</w:t>
                  </w:r>
                </w:p>
              </w:tc>
            </w:tr>
            <w:tr w14:paraId="7B19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160" w:type="dxa"/>
                  <w:gridSpan w:val="2"/>
                  <w:noWrap w:val="0"/>
                  <w:vAlign w:val="center"/>
                </w:tcPr>
                <w:p w14:paraId="2BC797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层次</w:t>
                  </w:r>
                </w:p>
              </w:tc>
              <w:tc>
                <w:tcPr>
                  <w:tcW w:w="5338" w:type="dxa"/>
                  <w:gridSpan w:val="3"/>
                  <w:noWrap w:val="0"/>
                  <w:vAlign w:val="top"/>
                </w:tcPr>
                <w:p w14:paraId="143F7679">
                  <w:pPr>
                    <w:spacing w:line="240" w:lineRule="atLeast"/>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表层</w:t>
                  </w:r>
                </w:p>
              </w:tc>
            </w:tr>
            <w:tr w14:paraId="261B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53" w:type="dxa"/>
                  <w:vMerge w:val="restart"/>
                  <w:noWrap w:val="0"/>
                  <w:vAlign w:val="center"/>
                </w:tcPr>
                <w:p w14:paraId="129874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检测结果</w:t>
                  </w:r>
                </w:p>
              </w:tc>
              <w:tc>
                <w:tcPr>
                  <w:tcW w:w="2507" w:type="dxa"/>
                  <w:noWrap w:val="0"/>
                  <w:vAlign w:val="center"/>
                </w:tcPr>
                <w:p w14:paraId="5B42E9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状态</w:t>
                  </w:r>
                </w:p>
              </w:tc>
              <w:tc>
                <w:tcPr>
                  <w:tcW w:w="5338" w:type="dxa"/>
                  <w:gridSpan w:val="3"/>
                  <w:noWrap w:val="0"/>
                  <w:vAlign w:val="center"/>
                </w:tcPr>
                <w:p w14:paraId="0789F6D2">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潮、壤土</w:t>
                  </w:r>
                </w:p>
              </w:tc>
            </w:tr>
            <w:tr w14:paraId="0F9C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noWrap w:val="0"/>
                  <w:vAlign w:val="center"/>
                </w:tcPr>
                <w:p w14:paraId="0DD706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07" w:type="dxa"/>
                  <w:noWrap w:val="0"/>
                  <w:vAlign w:val="center"/>
                </w:tcPr>
                <w:p w14:paraId="0D72F4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阳离子交换量（cmol(+)/kg）</w:t>
                  </w:r>
                </w:p>
              </w:tc>
              <w:tc>
                <w:tcPr>
                  <w:tcW w:w="5338" w:type="dxa"/>
                  <w:gridSpan w:val="3"/>
                  <w:noWrap w:val="0"/>
                  <w:vAlign w:val="center"/>
                </w:tcPr>
                <w:p w14:paraId="2A285272">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8.9</w:t>
                  </w:r>
                </w:p>
              </w:tc>
            </w:tr>
            <w:tr w14:paraId="7004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53" w:type="dxa"/>
                  <w:vMerge w:val="continue"/>
                  <w:noWrap w:val="0"/>
                  <w:vAlign w:val="center"/>
                </w:tcPr>
                <w:p w14:paraId="2235B6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07" w:type="dxa"/>
                  <w:noWrap w:val="0"/>
                  <w:vAlign w:val="center"/>
                </w:tcPr>
                <w:p w14:paraId="095702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容重（g/cm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5338" w:type="dxa"/>
                  <w:gridSpan w:val="3"/>
                  <w:noWrap w:val="0"/>
                  <w:vAlign w:val="center"/>
                </w:tcPr>
                <w:p w14:paraId="2D6F26A2">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1.71</w:t>
                  </w:r>
                </w:p>
              </w:tc>
            </w:tr>
            <w:tr w14:paraId="4426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3" w:type="dxa"/>
                  <w:vMerge w:val="continue"/>
                  <w:noWrap w:val="0"/>
                  <w:vAlign w:val="center"/>
                </w:tcPr>
                <w:p w14:paraId="3699D4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07" w:type="dxa"/>
                  <w:noWrap w:val="0"/>
                  <w:vAlign w:val="center"/>
                </w:tcPr>
                <w:p w14:paraId="17C9C9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氧化还原电位（mV）</w:t>
                  </w:r>
                </w:p>
              </w:tc>
              <w:tc>
                <w:tcPr>
                  <w:tcW w:w="5338" w:type="dxa"/>
                  <w:gridSpan w:val="3"/>
                  <w:noWrap w:val="0"/>
                  <w:vAlign w:val="center"/>
                </w:tcPr>
                <w:p w14:paraId="1118B98C">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610</w:t>
                  </w:r>
                </w:p>
              </w:tc>
            </w:tr>
            <w:tr w14:paraId="1205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3" w:type="dxa"/>
                  <w:vMerge w:val="continue"/>
                  <w:noWrap w:val="0"/>
                  <w:vAlign w:val="center"/>
                </w:tcPr>
                <w:p w14:paraId="7ED18C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07" w:type="dxa"/>
                  <w:noWrap w:val="0"/>
                  <w:vAlign w:val="center"/>
                </w:tcPr>
                <w:p w14:paraId="62B32F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渗滤率k10（mm/min）</w:t>
                  </w:r>
                </w:p>
              </w:tc>
              <w:tc>
                <w:tcPr>
                  <w:tcW w:w="5338" w:type="dxa"/>
                  <w:gridSpan w:val="3"/>
                  <w:noWrap w:val="0"/>
                  <w:vAlign w:val="center"/>
                </w:tcPr>
                <w:p w14:paraId="685D924E">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1.94</w:t>
                  </w:r>
                </w:p>
              </w:tc>
            </w:tr>
            <w:tr w14:paraId="52E1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53" w:type="dxa"/>
                  <w:vMerge w:val="continue"/>
                  <w:noWrap w:val="0"/>
                  <w:vAlign w:val="center"/>
                </w:tcPr>
                <w:p w14:paraId="2AC458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07" w:type="dxa"/>
                  <w:noWrap w:val="0"/>
                  <w:vAlign w:val="center"/>
                </w:tcPr>
                <w:p w14:paraId="67D8A2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孔隙度Pt（%）</w:t>
                  </w:r>
                </w:p>
              </w:tc>
              <w:tc>
                <w:tcPr>
                  <w:tcW w:w="5338" w:type="dxa"/>
                  <w:gridSpan w:val="3"/>
                  <w:noWrap w:val="0"/>
                  <w:vAlign w:val="center"/>
                </w:tcPr>
                <w:p w14:paraId="3905E1FC">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49.6</w:t>
                  </w:r>
                </w:p>
              </w:tc>
            </w:tr>
          </w:tbl>
          <w:p w14:paraId="08EC0916">
            <w:pPr>
              <w:spacing w:line="240" w:lineRule="auto"/>
              <w:ind w:firstLine="422" w:firstLineChars="20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表3-5 土壤检测结果一览表</w:t>
            </w:r>
          </w:p>
          <w:tbl>
            <w:tblPr>
              <w:tblStyle w:val="27"/>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200"/>
              <w:gridCol w:w="822"/>
              <w:gridCol w:w="711"/>
              <w:gridCol w:w="1624"/>
              <w:gridCol w:w="1200"/>
              <w:gridCol w:w="748"/>
              <w:gridCol w:w="666"/>
            </w:tblGrid>
            <w:tr w14:paraId="0C45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28" w:type="dxa"/>
                  <w:noWrap w:val="0"/>
                  <w:vAlign w:val="center"/>
                </w:tcPr>
                <w:p w14:paraId="4CE4E903">
                  <w:pPr>
                    <w:pStyle w:val="12"/>
                    <w:spacing w:after="0"/>
                    <w:ind w:left="0" w:left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检测项</w:t>
                  </w:r>
                </w:p>
              </w:tc>
              <w:tc>
                <w:tcPr>
                  <w:tcW w:w="1200" w:type="dxa"/>
                  <w:noWrap w:val="0"/>
                  <w:vAlign w:val="center"/>
                </w:tcPr>
                <w:p w14:paraId="0CFC9C45">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检测数值</w:t>
                  </w:r>
                </w:p>
              </w:tc>
              <w:tc>
                <w:tcPr>
                  <w:tcW w:w="822" w:type="dxa"/>
                  <w:noWrap w:val="0"/>
                  <w:vAlign w:val="center"/>
                </w:tcPr>
                <w:p w14:paraId="0839ABE6">
                  <w:pPr>
                    <w:pStyle w:val="12"/>
                    <w:spacing w:after="0" w:line="240" w:lineRule="atLeast"/>
                    <w:ind w:left="0" w:left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筛选值</w:t>
                  </w:r>
                </w:p>
              </w:tc>
              <w:tc>
                <w:tcPr>
                  <w:tcW w:w="711" w:type="dxa"/>
                  <w:noWrap w:val="0"/>
                  <w:vAlign w:val="center"/>
                </w:tcPr>
                <w:p w14:paraId="45204DFD">
                  <w:pPr>
                    <w:pStyle w:val="12"/>
                    <w:spacing w:after="0" w:line="240" w:lineRule="atLeast"/>
                    <w:ind w:left="0" w:left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达标情况</w:t>
                  </w:r>
                </w:p>
              </w:tc>
              <w:tc>
                <w:tcPr>
                  <w:tcW w:w="1624" w:type="dxa"/>
                  <w:noWrap w:val="0"/>
                  <w:vAlign w:val="center"/>
                </w:tcPr>
                <w:p w14:paraId="359DAB86">
                  <w:pPr>
                    <w:pStyle w:val="12"/>
                    <w:spacing w:after="0"/>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检测项</w:t>
                  </w:r>
                </w:p>
              </w:tc>
              <w:tc>
                <w:tcPr>
                  <w:tcW w:w="1200" w:type="dxa"/>
                  <w:noWrap w:val="0"/>
                  <w:vAlign w:val="center"/>
                </w:tcPr>
                <w:p w14:paraId="6DB04A77">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检测数值</w:t>
                  </w:r>
                </w:p>
              </w:tc>
              <w:tc>
                <w:tcPr>
                  <w:tcW w:w="748" w:type="dxa"/>
                  <w:noWrap w:val="0"/>
                  <w:vAlign w:val="center"/>
                </w:tcPr>
                <w:p w14:paraId="524FAC2C">
                  <w:pPr>
                    <w:pStyle w:val="12"/>
                    <w:spacing w:after="0" w:line="240" w:lineRule="atLeast"/>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筛选值</w:t>
                  </w:r>
                </w:p>
              </w:tc>
              <w:tc>
                <w:tcPr>
                  <w:tcW w:w="666" w:type="dxa"/>
                  <w:noWrap w:val="0"/>
                  <w:vAlign w:val="center"/>
                </w:tcPr>
                <w:p w14:paraId="39998B4B">
                  <w:pPr>
                    <w:pStyle w:val="12"/>
                    <w:spacing w:after="0" w:line="240" w:lineRule="atLeast"/>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达标情况</w:t>
                  </w:r>
                </w:p>
              </w:tc>
            </w:tr>
            <w:tr w14:paraId="4FCD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28" w:type="dxa"/>
                  <w:noWrap w:val="0"/>
                  <w:vAlign w:val="center"/>
                </w:tcPr>
                <w:p w14:paraId="5357FEC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1200" w:type="dxa"/>
                  <w:noWrap w:val="0"/>
                  <w:vAlign w:val="center"/>
                </w:tcPr>
                <w:p w14:paraId="25F4C72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8.15</w:t>
                  </w:r>
                </w:p>
              </w:tc>
              <w:tc>
                <w:tcPr>
                  <w:tcW w:w="822" w:type="dxa"/>
                  <w:noWrap w:val="0"/>
                  <w:vAlign w:val="center"/>
                </w:tcPr>
                <w:p w14:paraId="3AFCD3F8">
                  <w:pPr>
                    <w:pStyle w:val="12"/>
                    <w:spacing w:after="0" w:line="240" w:lineRule="atLeas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711" w:type="dxa"/>
                  <w:noWrap w:val="0"/>
                  <w:vAlign w:val="center"/>
                </w:tcPr>
                <w:p w14:paraId="5C9072D0">
                  <w:pPr>
                    <w:pStyle w:val="12"/>
                    <w:spacing w:after="0" w:line="240" w:lineRule="atLeas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24" w:type="dxa"/>
                  <w:noWrap w:val="0"/>
                  <w:vAlign w:val="center"/>
                </w:tcPr>
                <w:p w14:paraId="0C0A757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苯（mg/kg）</w:t>
                  </w:r>
                </w:p>
              </w:tc>
              <w:tc>
                <w:tcPr>
                  <w:tcW w:w="1200" w:type="dxa"/>
                  <w:noWrap w:val="0"/>
                  <w:vAlign w:val="center"/>
                </w:tcPr>
                <w:p w14:paraId="037D2B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i w:val="0"/>
                      <w:iCs w:val="0"/>
                      <w:color w:val="auto"/>
                      <w:sz w:val="22"/>
                      <w:szCs w:val="22"/>
                      <w:u w:val="none"/>
                      <w:lang w:eastAsia="zh-CN"/>
                    </w:rPr>
                    <w:t>未检出</w:t>
                  </w:r>
                </w:p>
              </w:tc>
              <w:tc>
                <w:tcPr>
                  <w:tcW w:w="748" w:type="dxa"/>
                  <w:noWrap w:val="0"/>
                  <w:vAlign w:val="center"/>
                </w:tcPr>
                <w:p w14:paraId="366534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666" w:type="dxa"/>
                  <w:noWrap w:val="0"/>
                  <w:vAlign w:val="center"/>
                </w:tcPr>
                <w:p w14:paraId="395FA2EE">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r w14:paraId="135A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28" w:type="dxa"/>
                  <w:noWrap w:val="0"/>
                  <w:vAlign w:val="center"/>
                </w:tcPr>
                <w:p w14:paraId="1C592AA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镉（mg/kg）</w:t>
                  </w:r>
                </w:p>
              </w:tc>
              <w:tc>
                <w:tcPr>
                  <w:tcW w:w="1200" w:type="dxa"/>
                  <w:noWrap w:val="0"/>
                  <w:vAlign w:val="center"/>
                </w:tcPr>
                <w:p w14:paraId="54711DC1">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0.70</w:t>
                  </w:r>
                </w:p>
              </w:tc>
              <w:tc>
                <w:tcPr>
                  <w:tcW w:w="822" w:type="dxa"/>
                  <w:noWrap w:val="0"/>
                  <w:vAlign w:val="center"/>
                </w:tcPr>
                <w:p w14:paraId="24FF7ACB">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65</w:t>
                  </w:r>
                </w:p>
              </w:tc>
              <w:tc>
                <w:tcPr>
                  <w:tcW w:w="711" w:type="dxa"/>
                  <w:noWrap w:val="0"/>
                  <w:vAlign w:val="center"/>
                </w:tcPr>
                <w:p w14:paraId="73529891">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62FBAD8D">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乙苯（mg/kg）</w:t>
                  </w:r>
                </w:p>
              </w:tc>
              <w:tc>
                <w:tcPr>
                  <w:tcW w:w="1200" w:type="dxa"/>
                  <w:noWrap w:val="0"/>
                  <w:vAlign w:val="center"/>
                </w:tcPr>
                <w:p w14:paraId="18892F7E">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20B7B577">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28</w:t>
                  </w:r>
                </w:p>
              </w:tc>
              <w:tc>
                <w:tcPr>
                  <w:tcW w:w="666" w:type="dxa"/>
                  <w:noWrap w:val="0"/>
                  <w:vAlign w:val="center"/>
                </w:tcPr>
                <w:p w14:paraId="0718503C">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3038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528" w:type="dxa"/>
                  <w:noWrap w:val="0"/>
                  <w:vAlign w:val="center"/>
                </w:tcPr>
                <w:p w14:paraId="3093E56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铅（mg/kg）</w:t>
                  </w:r>
                </w:p>
              </w:tc>
              <w:tc>
                <w:tcPr>
                  <w:tcW w:w="1200" w:type="dxa"/>
                  <w:noWrap w:val="0"/>
                  <w:vAlign w:val="center"/>
                </w:tcPr>
                <w:p w14:paraId="6196C8F7">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30</w:t>
                  </w:r>
                </w:p>
              </w:tc>
              <w:tc>
                <w:tcPr>
                  <w:tcW w:w="822" w:type="dxa"/>
                  <w:noWrap w:val="0"/>
                  <w:vAlign w:val="center"/>
                </w:tcPr>
                <w:p w14:paraId="5C7A464B">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800</w:t>
                  </w:r>
                </w:p>
              </w:tc>
              <w:tc>
                <w:tcPr>
                  <w:tcW w:w="711" w:type="dxa"/>
                  <w:noWrap w:val="0"/>
                  <w:vAlign w:val="center"/>
                </w:tcPr>
                <w:p w14:paraId="336766E1">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0D9224D6">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苯乙烯（mg/kg）</w:t>
                  </w:r>
                </w:p>
              </w:tc>
              <w:tc>
                <w:tcPr>
                  <w:tcW w:w="1200" w:type="dxa"/>
                  <w:noWrap w:val="0"/>
                  <w:vAlign w:val="center"/>
                </w:tcPr>
                <w:p w14:paraId="226275F3">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230674D9">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1290</w:t>
                  </w:r>
                </w:p>
              </w:tc>
              <w:tc>
                <w:tcPr>
                  <w:tcW w:w="666" w:type="dxa"/>
                  <w:noWrap w:val="0"/>
                  <w:vAlign w:val="center"/>
                </w:tcPr>
                <w:p w14:paraId="3F5424C8">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1EEF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28" w:type="dxa"/>
                  <w:noWrap w:val="0"/>
                  <w:vAlign w:val="center"/>
                </w:tcPr>
                <w:p w14:paraId="041FA7C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铜（mg/kg）</w:t>
                  </w:r>
                </w:p>
              </w:tc>
              <w:tc>
                <w:tcPr>
                  <w:tcW w:w="1200" w:type="dxa"/>
                  <w:noWrap w:val="0"/>
                  <w:vAlign w:val="center"/>
                </w:tcPr>
                <w:p w14:paraId="3A116849">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68</w:t>
                  </w:r>
                </w:p>
              </w:tc>
              <w:tc>
                <w:tcPr>
                  <w:tcW w:w="822" w:type="dxa"/>
                  <w:noWrap w:val="0"/>
                  <w:vAlign w:val="center"/>
                </w:tcPr>
                <w:p w14:paraId="5B652ED8">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18000</w:t>
                  </w:r>
                </w:p>
              </w:tc>
              <w:tc>
                <w:tcPr>
                  <w:tcW w:w="711" w:type="dxa"/>
                  <w:noWrap w:val="0"/>
                  <w:vAlign w:val="center"/>
                </w:tcPr>
                <w:p w14:paraId="36571757">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16B06860">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甲苯（mg/kg）</w:t>
                  </w:r>
                </w:p>
              </w:tc>
              <w:tc>
                <w:tcPr>
                  <w:tcW w:w="1200" w:type="dxa"/>
                  <w:noWrap w:val="0"/>
                  <w:vAlign w:val="center"/>
                </w:tcPr>
                <w:p w14:paraId="6D15F6E7">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0A79F553">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1200</w:t>
                  </w:r>
                </w:p>
              </w:tc>
              <w:tc>
                <w:tcPr>
                  <w:tcW w:w="666" w:type="dxa"/>
                  <w:noWrap w:val="0"/>
                  <w:vAlign w:val="center"/>
                </w:tcPr>
                <w:p w14:paraId="692547EC">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0523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28" w:type="dxa"/>
                  <w:noWrap w:val="0"/>
                  <w:vAlign w:val="center"/>
                </w:tcPr>
                <w:p w14:paraId="4837D1F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镍（mg/kg）</w:t>
                  </w:r>
                </w:p>
              </w:tc>
              <w:tc>
                <w:tcPr>
                  <w:tcW w:w="1200" w:type="dxa"/>
                  <w:noWrap w:val="0"/>
                  <w:vAlign w:val="center"/>
                </w:tcPr>
                <w:p w14:paraId="437C62A1">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40</w:t>
                  </w:r>
                </w:p>
              </w:tc>
              <w:tc>
                <w:tcPr>
                  <w:tcW w:w="822" w:type="dxa"/>
                  <w:noWrap w:val="0"/>
                  <w:vAlign w:val="center"/>
                </w:tcPr>
                <w:p w14:paraId="2F02AD43">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900</w:t>
                  </w:r>
                </w:p>
              </w:tc>
              <w:tc>
                <w:tcPr>
                  <w:tcW w:w="711" w:type="dxa"/>
                  <w:noWrap w:val="0"/>
                  <w:vAlign w:val="center"/>
                </w:tcPr>
                <w:p w14:paraId="38354CEE">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5D55AD50">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氯苯（mg/kg）</w:t>
                  </w:r>
                </w:p>
              </w:tc>
              <w:tc>
                <w:tcPr>
                  <w:tcW w:w="1200" w:type="dxa"/>
                  <w:noWrap w:val="0"/>
                  <w:vAlign w:val="center"/>
                </w:tcPr>
                <w:p w14:paraId="10588955">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51E1EE5B">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270</w:t>
                  </w:r>
                </w:p>
              </w:tc>
              <w:tc>
                <w:tcPr>
                  <w:tcW w:w="666" w:type="dxa"/>
                  <w:noWrap w:val="0"/>
                  <w:vAlign w:val="center"/>
                </w:tcPr>
                <w:p w14:paraId="764FC7B2">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6062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28" w:type="dxa"/>
                  <w:noWrap w:val="0"/>
                  <w:vAlign w:val="center"/>
                </w:tcPr>
                <w:p w14:paraId="5529EC3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汞（mg/kg）</w:t>
                  </w:r>
                </w:p>
              </w:tc>
              <w:tc>
                <w:tcPr>
                  <w:tcW w:w="1200" w:type="dxa"/>
                  <w:noWrap w:val="0"/>
                  <w:vAlign w:val="center"/>
                </w:tcPr>
                <w:p w14:paraId="6F157C00">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0.076</w:t>
                  </w:r>
                </w:p>
              </w:tc>
              <w:tc>
                <w:tcPr>
                  <w:tcW w:w="822" w:type="dxa"/>
                  <w:noWrap w:val="0"/>
                  <w:vAlign w:val="center"/>
                </w:tcPr>
                <w:p w14:paraId="5E838EF3">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38</w:t>
                  </w:r>
                </w:p>
              </w:tc>
              <w:tc>
                <w:tcPr>
                  <w:tcW w:w="711" w:type="dxa"/>
                  <w:noWrap w:val="0"/>
                  <w:vAlign w:val="center"/>
                </w:tcPr>
                <w:p w14:paraId="6A518C67">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18FC6123">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1,2-二氯苯（mg/kg）</w:t>
                  </w:r>
                </w:p>
              </w:tc>
              <w:tc>
                <w:tcPr>
                  <w:tcW w:w="1200" w:type="dxa"/>
                  <w:noWrap w:val="0"/>
                  <w:vAlign w:val="center"/>
                </w:tcPr>
                <w:p w14:paraId="52F586A1">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6450730D">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560</w:t>
                  </w:r>
                </w:p>
              </w:tc>
              <w:tc>
                <w:tcPr>
                  <w:tcW w:w="666" w:type="dxa"/>
                  <w:noWrap w:val="0"/>
                  <w:vAlign w:val="center"/>
                </w:tcPr>
                <w:p w14:paraId="78954F5A">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7D57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528" w:type="dxa"/>
                  <w:noWrap w:val="0"/>
                  <w:vAlign w:val="center"/>
                </w:tcPr>
                <w:p w14:paraId="6494D04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砷（mg/kg）</w:t>
                  </w:r>
                </w:p>
              </w:tc>
              <w:tc>
                <w:tcPr>
                  <w:tcW w:w="1200" w:type="dxa"/>
                  <w:noWrap w:val="0"/>
                  <w:vAlign w:val="center"/>
                </w:tcPr>
                <w:p w14:paraId="61948642">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3.86</w:t>
                  </w:r>
                </w:p>
              </w:tc>
              <w:tc>
                <w:tcPr>
                  <w:tcW w:w="822" w:type="dxa"/>
                  <w:noWrap w:val="0"/>
                  <w:vAlign w:val="center"/>
                </w:tcPr>
                <w:p w14:paraId="0D0E19BD">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60</w:t>
                  </w:r>
                </w:p>
              </w:tc>
              <w:tc>
                <w:tcPr>
                  <w:tcW w:w="711" w:type="dxa"/>
                  <w:noWrap w:val="0"/>
                  <w:vAlign w:val="center"/>
                </w:tcPr>
                <w:p w14:paraId="6C1E1B15">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3A2F4068">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1,4-二氯苯（mg/kg）</w:t>
                  </w:r>
                </w:p>
              </w:tc>
              <w:tc>
                <w:tcPr>
                  <w:tcW w:w="1200" w:type="dxa"/>
                  <w:noWrap w:val="0"/>
                  <w:vAlign w:val="center"/>
                </w:tcPr>
                <w:p w14:paraId="23AB672E">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68FD7D7A">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w:t>
                  </w:r>
                </w:p>
              </w:tc>
              <w:tc>
                <w:tcPr>
                  <w:tcW w:w="666" w:type="dxa"/>
                  <w:noWrap w:val="0"/>
                  <w:vAlign w:val="center"/>
                </w:tcPr>
                <w:p w14:paraId="77DD3820">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2AF1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28" w:type="dxa"/>
                  <w:noWrap w:val="0"/>
                  <w:vAlign w:val="center"/>
                </w:tcPr>
                <w:p w14:paraId="31FC3F8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六价铬（mg/kg）</w:t>
                  </w:r>
                </w:p>
              </w:tc>
              <w:tc>
                <w:tcPr>
                  <w:tcW w:w="1200" w:type="dxa"/>
                  <w:noWrap w:val="0"/>
                  <w:vAlign w:val="center"/>
                </w:tcPr>
                <w:p w14:paraId="49865BC2">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未检测</w:t>
                  </w:r>
                </w:p>
              </w:tc>
              <w:tc>
                <w:tcPr>
                  <w:tcW w:w="822" w:type="dxa"/>
                  <w:noWrap w:val="0"/>
                  <w:vAlign w:val="center"/>
                </w:tcPr>
                <w:p w14:paraId="7D2855A0">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5.7</w:t>
                  </w:r>
                </w:p>
              </w:tc>
              <w:tc>
                <w:tcPr>
                  <w:tcW w:w="711" w:type="dxa"/>
                  <w:noWrap w:val="0"/>
                  <w:vAlign w:val="center"/>
                </w:tcPr>
                <w:p w14:paraId="2BB7F9DD">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584639C8">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硝基苯（mg/kg）</w:t>
                  </w:r>
                </w:p>
              </w:tc>
              <w:tc>
                <w:tcPr>
                  <w:tcW w:w="1200" w:type="dxa"/>
                  <w:noWrap w:val="0"/>
                  <w:vAlign w:val="center"/>
                </w:tcPr>
                <w:p w14:paraId="1294F68E">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0D271C50">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76</w:t>
                  </w:r>
                </w:p>
              </w:tc>
              <w:tc>
                <w:tcPr>
                  <w:tcW w:w="666" w:type="dxa"/>
                  <w:noWrap w:val="0"/>
                  <w:vAlign w:val="center"/>
                </w:tcPr>
                <w:p w14:paraId="4D1822A7">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2396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28" w:type="dxa"/>
                  <w:noWrap w:val="0"/>
                  <w:vAlign w:val="center"/>
                </w:tcPr>
                <w:p w14:paraId="2868D7D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四氯化碳（mg/kg）</w:t>
                  </w:r>
                </w:p>
              </w:tc>
              <w:tc>
                <w:tcPr>
                  <w:tcW w:w="1200" w:type="dxa"/>
                  <w:noWrap w:val="0"/>
                  <w:vAlign w:val="center"/>
                </w:tcPr>
                <w:p w14:paraId="3FF2045B">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035AB535">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2.8</w:t>
                  </w:r>
                </w:p>
              </w:tc>
              <w:tc>
                <w:tcPr>
                  <w:tcW w:w="711" w:type="dxa"/>
                  <w:noWrap w:val="0"/>
                  <w:vAlign w:val="center"/>
                </w:tcPr>
                <w:p w14:paraId="402C4F53">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0EE5AA15">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苯胺（mg/kg）</w:t>
                  </w:r>
                </w:p>
              </w:tc>
              <w:tc>
                <w:tcPr>
                  <w:tcW w:w="1200" w:type="dxa"/>
                  <w:noWrap w:val="0"/>
                  <w:vAlign w:val="center"/>
                </w:tcPr>
                <w:p w14:paraId="66314A3C">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5F970918">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260</w:t>
                  </w:r>
                </w:p>
              </w:tc>
              <w:tc>
                <w:tcPr>
                  <w:tcW w:w="666" w:type="dxa"/>
                  <w:noWrap w:val="0"/>
                  <w:vAlign w:val="center"/>
                </w:tcPr>
                <w:p w14:paraId="33AA3533">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771F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3EFF2E0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氯仿（mg/kg）</w:t>
                  </w:r>
                </w:p>
              </w:tc>
              <w:tc>
                <w:tcPr>
                  <w:tcW w:w="1200" w:type="dxa"/>
                  <w:noWrap w:val="0"/>
                  <w:vAlign w:val="center"/>
                </w:tcPr>
                <w:p w14:paraId="71A5FEC8">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696CF2D4">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0.9</w:t>
                  </w:r>
                </w:p>
              </w:tc>
              <w:tc>
                <w:tcPr>
                  <w:tcW w:w="711" w:type="dxa"/>
                  <w:noWrap w:val="0"/>
                  <w:vAlign w:val="center"/>
                </w:tcPr>
                <w:p w14:paraId="337CB284">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64CFCC4A">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2-氯酚（mg/kg）</w:t>
                  </w:r>
                </w:p>
              </w:tc>
              <w:tc>
                <w:tcPr>
                  <w:tcW w:w="1200" w:type="dxa"/>
                  <w:noWrap w:val="0"/>
                  <w:vAlign w:val="center"/>
                </w:tcPr>
                <w:p w14:paraId="3D22358C">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7EF13E0D">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2256</w:t>
                  </w:r>
                </w:p>
              </w:tc>
              <w:tc>
                <w:tcPr>
                  <w:tcW w:w="666" w:type="dxa"/>
                  <w:noWrap w:val="0"/>
                  <w:vAlign w:val="center"/>
                </w:tcPr>
                <w:p w14:paraId="4B9E8E61">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3CE1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0D89A05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氯甲烷（mg/kg）</w:t>
                  </w:r>
                </w:p>
              </w:tc>
              <w:tc>
                <w:tcPr>
                  <w:tcW w:w="1200" w:type="dxa"/>
                  <w:noWrap w:val="0"/>
                  <w:vAlign w:val="center"/>
                </w:tcPr>
                <w:p w14:paraId="209F672D">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065B464D">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37</w:t>
                  </w:r>
                </w:p>
              </w:tc>
              <w:tc>
                <w:tcPr>
                  <w:tcW w:w="711" w:type="dxa"/>
                  <w:noWrap w:val="0"/>
                  <w:vAlign w:val="center"/>
                </w:tcPr>
                <w:p w14:paraId="551A9614">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09AF7D8B">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苯并[a]蒽（mg/kg）</w:t>
                  </w:r>
                </w:p>
              </w:tc>
              <w:tc>
                <w:tcPr>
                  <w:tcW w:w="1200" w:type="dxa"/>
                  <w:noWrap w:val="0"/>
                  <w:vAlign w:val="center"/>
                </w:tcPr>
                <w:p w14:paraId="2A975E26">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0D0305F1">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66" w:type="dxa"/>
                  <w:noWrap w:val="0"/>
                  <w:vAlign w:val="center"/>
                </w:tcPr>
                <w:p w14:paraId="3DFD48F4">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09A1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1DF2CBF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1,1-二氯乙烯（mg/kg）</w:t>
                  </w:r>
                </w:p>
              </w:tc>
              <w:tc>
                <w:tcPr>
                  <w:tcW w:w="1200" w:type="dxa"/>
                  <w:noWrap w:val="0"/>
                  <w:vAlign w:val="center"/>
                </w:tcPr>
                <w:p w14:paraId="578A3A8A">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779D6C09">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66</w:t>
                  </w:r>
                </w:p>
              </w:tc>
              <w:tc>
                <w:tcPr>
                  <w:tcW w:w="711" w:type="dxa"/>
                  <w:noWrap w:val="0"/>
                  <w:vAlign w:val="center"/>
                </w:tcPr>
                <w:p w14:paraId="48BD9E18">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23431D2E">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苯并[b]荧蒽（mg/kg）</w:t>
                  </w:r>
                </w:p>
              </w:tc>
              <w:tc>
                <w:tcPr>
                  <w:tcW w:w="1200" w:type="dxa"/>
                  <w:noWrap w:val="0"/>
                  <w:vAlign w:val="center"/>
                </w:tcPr>
                <w:p w14:paraId="2CB46797">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184FA538">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66" w:type="dxa"/>
                  <w:noWrap w:val="0"/>
                  <w:vAlign w:val="center"/>
                </w:tcPr>
                <w:p w14:paraId="3ED776E1">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0A84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28" w:type="dxa"/>
                  <w:noWrap w:val="0"/>
                  <w:vAlign w:val="center"/>
                </w:tcPr>
                <w:p w14:paraId="4559B07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二氯甲烷（mg/kg）</w:t>
                  </w:r>
                </w:p>
              </w:tc>
              <w:tc>
                <w:tcPr>
                  <w:tcW w:w="1200" w:type="dxa"/>
                  <w:noWrap w:val="0"/>
                  <w:vAlign w:val="center"/>
                </w:tcPr>
                <w:p w14:paraId="1B873297">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334E1814">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616</w:t>
                  </w:r>
                </w:p>
              </w:tc>
              <w:tc>
                <w:tcPr>
                  <w:tcW w:w="711" w:type="dxa"/>
                  <w:noWrap w:val="0"/>
                  <w:vAlign w:val="center"/>
                </w:tcPr>
                <w:p w14:paraId="18C38005">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399A6DFD">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苯并[k]荧蒽（mg/kg）</w:t>
                  </w:r>
                </w:p>
              </w:tc>
              <w:tc>
                <w:tcPr>
                  <w:tcW w:w="1200" w:type="dxa"/>
                  <w:noWrap w:val="0"/>
                  <w:vAlign w:val="center"/>
                </w:tcPr>
                <w:p w14:paraId="0FC7F2C0">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036C046F">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151</w:t>
                  </w:r>
                </w:p>
              </w:tc>
              <w:tc>
                <w:tcPr>
                  <w:tcW w:w="666" w:type="dxa"/>
                  <w:noWrap w:val="0"/>
                  <w:vAlign w:val="center"/>
                </w:tcPr>
                <w:p w14:paraId="1D9F53C6">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1FCA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06A7787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1,2-二氯丙烷（mg/kg）</w:t>
                  </w:r>
                </w:p>
              </w:tc>
              <w:tc>
                <w:tcPr>
                  <w:tcW w:w="1200" w:type="dxa"/>
                  <w:noWrap w:val="0"/>
                  <w:vAlign w:val="center"/>
                </w:tcPr>
                <w:p w14:paraId="4C6BCE85">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2265ED50">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p>
              </w:tc>
              <w:tc>
                <w:tcPr>
                  <w:tcW w:w="711" w:type="dxa"/>
                  <w:noWrap w:val="0"/>
                  <w:vAlign w:val="center"/>
                </w:tcPr>
                <w:p w14:paraId="42665550">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03E13AF9">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苯并[a]芘（mg/kg）</w:t>
                  </w:r>
                </w:p>
              </w:tc>
              <w:tc>
                <w:tcPr>
                  <w:tcW w:w="1200" w:type="dxa"/>
                  <w:noWrap w:val="0"/>
                  <w:vAlign w:val="center"/>
                </w:tcPr>
                <w:p w14:paraId="21B16BB1">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00B83430">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66" w:type="dxa"/>
                  <w:noWrap w:val="0"/>
                  <w:vAlign w:val="center"/>
                </w:tcPr>
                <w:p w14:paraId="0918E86E">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583F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28" w:type="dxa"/>
                  <w:noWrap w:val="0"/>
                  <w:vAlign w:val="center"/>
                </w:tcPr>
                <w:p w14:paraId="78D294F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1,1,1,2-四氯乙烷（mg/kg）</w:t>
                  </w:r>
                </w:p>
              </w:tc>
              <w:tc>
                <w:tcPr>
                  <w:tcW w:w="1200" w:type="dxa"/>
                  <w:noWrap w:val="0"/>
                  <w:vAlign w:val="center"/>
                </w:tcPr>
                <w:p w14:paraId="76FB012A">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52DE29CE">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711" w:type="dxa"/>
                  <w:noWrap w:val="0"/>
                  <w:vAlign w:val="center"/>
                </w:tcPr>
                <w:p w14:paraId="079734F0">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30702231">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䓛（mg/kg）</w:t>
                  </w:r>
                </w:p>
              </w:tc>
              <w:tc>
                <w:tcPr>
                  <w:tcW w:w="1200" w:type="dxa"/>
                  <w:noWrap w:val="0"/>
                  <w:vAlign w:val="center"/>
                </w:tcPr>
                <w:p w14:paraId="4DE885A5">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7A6D15CE">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1293</w:t>
                  </w:r>
                </w:p>
              </w:tc>
              <w:tc>
                <w:tcPr>
                  <w:tcW w:w="666" w:type="dxa"/>
                  <w:noWrap w:val="0"/>
                  <w:vAlign w:val="center"/>
                </w:tcPr>
                <w:p w14:paraId="0F047A23">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5469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28" w:type="dxa"/>
                  <w:noWrap w:val="0"/>
                  <w:vAlign w:val="center"/>
                </w:tcPr>
                <w:p w14:paraId="2DAFF95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1,1,2,2-四氯乙烷（mg/kg）</w:t>
                  </w:r>
                </w:p>
              </w:tc>
              <w:tc>
                <w:tcPr>
                  <w:tcW w:w="1200" w:type="dxa"/>
                  <w:noWrap w:val="0"/>
                  <w:vAlign w:val="center"/>
                </w:tcPr>
                <w:p w14:paraId="63FF1431">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464B6324">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6.8</w:t>
                  </w:r>
                </w:p>
              </w:tc>
              <w:tc>
                <w:tcPr>
                  <w:tcW w:w="711" w:type="dxa"/>
                  <w:noWrap w:val="0"/>
                  <w:vAlign w:val="center"/>
                </w:tcPr>
                <w:p w14:paraId="3C8C9001">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4847FA3B">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二苯并[a,h]蒽（mg/kg）</w:t>
                  </w:r>
                </w:p>
              </w:tc>
              <w:tc>
                <w:tcPr>
                  <w:tcW w:w="1200" w:type="dxa"/>
                  <w:noWrap w:val="0"/>
                  <w:vAlign w:val="center"/>
                </w:tcPr>
                <w:p w14:paraId="130D20BD">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7A00C219">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66" w:type="dxa"/>
                  <w:noWrap w:val="0"/>
                  <w:vAlign w:val="center"/>
                </w:tcPr>
                <w:p w14:paraId="52D9D8DB">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2A1E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150699F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四氯乙烯（mg/kg）</w:t>
                  </w:r>
                </w:p>
              </w:tc>
              <w:tc>
                <w:tcPr>
                  <w:tcW w:w="1200" w:type="dxa"/>
                  <w:noWrap w:val="0"/>
                  <w:vAlign w:val="center"/>
                </w:tcPr>
                <w:p w14:paraId="7DF92E3E">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481C2287">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53</w:t>
                  </w:r>
                </w:p>
              </w:tc>
              <w:tc>
                <w:tcPr>
                  <w:tcW w:w="711" w:type="dxa"/>
                  <w:noWrap w:val="0"/>
                  <w:vAlign w:val="center"/>
                </w:tcPr>
                <w:p w14:paraId="5AA5712B">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2E7791F2">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茚并[1,2,3,-c,d]芘（mg/kg）</w:t>
                  </w:r>
                </w:p>
              </w:tc>
              <w:tc>
                <w:tcPr>
                  <w:tcW w:w="1200" w:type="dxa"/>
                  <w:noWrap w:val="0"/>
                  <w:vAlign w:val="center"/>
                </w:tcPr>
                <w:p w14:paraId="40D3FDC5">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757358F6">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66" w:type="dxa"/>
                  <w:noWrap w:val="0"/>
                  <w:vAlign w:val="center"/>
                </w:tcPr>
                <w:p w14:paraId="4B3436F3">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36AB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3EA203B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1,1,1-三氯乙烷（mg/kg）</w:t>
                  </w:r>
                </w:p>
              </w:tc>
              <w:tc>
                <w:tcPr>
                  <w:tcW w:w="1200" w:type="dxa"/>
                  <w:noWrap w:val="0"/>
                  <w:vAlign w:val="center"/>
                </w:tcPr>
                <w:p w14:paraId="435F0696">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466A4CB5">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840</w:t>
                  </w:r>
                </w:p>
              </w:tc>
              <w:tc>
                <w:tcPr>
                  <w:tcW w:w="711" w:type="dxa"/>
                  <w:noWrap w:val="0"/>
                  <w:vAlign w:val="center"/>
                </w:tcPr>
                <w:p w14:paraId="69D06D7E">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05AFD98C">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萘（mg/kg）</w:t>
                  </w:r>
                </w:p>
              </w:tc>
              <w:tc>
                <w:tcPr>
                  <w:tcW w:w="1200" w:type="dxa"/>
                  <w:noWrap w:val="0"/>
                  <w:vAlign w:val="center"/>
                </w:tcPr>
                <w:p w14:paraId="53D3F419">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458FA9E3">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70</w:t>
                  </w:r>
                </w:p>
              </w:tc>
              <w:tc>
                <w:tcPr>
                  <w:tcW w:w="666" w:type="dxa"/>
                  <w:noWrap w:val="0"/>
                  <w:vAlign w:val="center"/>
                </w:tcPr>
                <w:p w14:paraId="033C219A">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56FC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04412A6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三氯乙烯（mg/kg）</w:t>
                  </w:r>
                </w:p>
              </w:tc>
              <w:tc>
                <w:tcPr>
                  <w:tcW w:w="1200" w:type="dxa"/>
                  <w:noWrap w:val="0"/>
                  <w:vAlign w:val="center"/>
                </w:tcPr>
                <w:p w14:paraId="372CEC5C">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69D45226">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2.8</w:t>
                  </w:r>
                </w:p>
              </w:tc>
              <w:tc>
                <w:tcPr>
                  <w:tcW w:w="711" w:type="dxa"/>
                  <w:noWrap w:val="0"/>
                  <w:vAlign w:val="center"/>
                </w:tcPr>
                <w:p w14:paraId="17FF9133">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146063E7">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1,2-二氯乙烷（mg/kg）</w:t>
                  </w:r>
                </w:p>
              </w:tc>
              <w:tc>
                <w:tcPr>
                  <w:tcW w:w="1200" w:type="dxa"/>
                  <w:noWrap w:val="0"/>
                  <w:vAlign w:val="center"/>
                </w:tcPr>
                <w:p w14:paraId="3D258D63">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35C84924">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p>
              </w:tc>
              <w:tc>
                <w:tcPr>
                  <w:tcW w:w="666" w:type="dxa"/>
                  <w:noWrap w:val="0"/>
                  <w:vAlign w:val="center"/>
                </w:tcPr>
                <w:p w14:paraId="59C4D927">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5618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775DD92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1,2,3-三氯丙烷（mg/kg）</w:t>
                  </w:r>
                </w:p>
              </w:tc>
              <w:tc>
                <w:tcPr>
                  <w:tcW w:w="1200" w:type="dxa"/>
                  <w:noWrap w:val="0"/>
                  <w:vAlign w:val="center"/>
                </w:tcPr>
                <w:p w14:paraId="112D9CA7">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3296EB4F">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0.5</w:t>
                  </w:r>
                </w:p>
              </w:tc>
              <w:tc>
                <w:tcPr>
                  <w:tcW w:w="711" w:type="dxa"/>
                  <w:noWrap w:val="0"/>
                  <w:vAlign w:val="center"/>
                </w:tcPr>
                <w:p w14:paraId="1A937187">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077C2CD0">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1,1,2-三氯乙烷（mg/kg）</w:t>
                  </w:r>
                </w:p>
              </w:tc>
              <w:tc>
                <w:tcPr>
                  <w:tcW w:w="1200" w:type="dxa"/>
                  <w:noWrap w:val="0"/>
                  <w:vAlign w:val="center"/>
                </w:tcPr>
                <w:p w14:paraId="475BAEBE">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40558610">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2.8</w:t>
                  </w:r>
                </w:p>
              </w:tc>
              <w:tc>
                <w:tcPr>
                  <w:tcW w:w="666" w:type="dxa"/>
                  <w:noWrap w:val="0"/>
                  <w:vAlign w:val="center"/>
                </w:tcPr>
                <w:p w14:paraId="5F733183">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48F5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5C0A08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氯乙烯（mg/kg）</w:t>
                  </w:r>
                </w:p>
              </w:tc>
              <w:tc>
                <w:tcPr>
                  <w:tcW w:w="1200" w:type="dxa"/>
                  <w:noWrap w:val="0"/>
                  <w:vAlign w:val="center"/>
                </w:tcPr>
                <w:p w14:paraId="50EDCF56">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2B0C6F95">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0.43</w:t>
                  </w:r>
                </w:p>
              </w:tc>
              <w:tc>
                <w:tcPr>
                  <w:tcW w:w="711" w:type="dxa"/>
                  <w:noWrap w:val="0"/>
                  <w:vAlign w:val="center"/>
                </w:tcPr>
                <w:p w14:paraId="1D084C02">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3521B4AD">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顺-1,2-二氯乙烯（mg/kg）</w:t>
                  </w:r>
                </w:p>
              </w:tc>
              <w:tc>
                <w:tcPr>
                  <w:tcW w:w="1200" w:type="dxa"/>
                  <w:noWrap w:val="0"/>
                  <w:vAlign w:val="center"/>
                </w:tcPr>
                <w:p w14:paraId="7983AF21">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66FA0877">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596</w:t>
                  </w:r>
                </w:p>
              </w:tc>
              <w:tc>
                <w:tcPr>
                  <w:tcW w:w="666" w:type="dxa"/>
                  <w:noWrap w:val="0"/>
                  <w:vAlign w:val="center"/>
                </w:tcPr>
                <w:p w14:paraId="3A66D8A2">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7B24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28" w:type="dxa"/>
                  <w:noWrap w:val="0"/>
                  <w:vAlign w:val="center"/>
                </w:tcPr>
                <w:p w14:paraId="35A8DBA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间,对二甲苯（mg/kg）</w:t>
                  </w:r>
                </w:p>
              </w:tc>
              <w:tc>
                <w:tcPr>
                  <w:tcW w:w="1200" w:type="dxa"/>
                  <w:noWrap w:val="0"/>
                  <w:vAlign w:val="center"/>
                </w:tcPr>
                <w:p w14:paraId="2FA5B6E7">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599100E3">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570</w:t>
                  </w:r>
                </w:p>
              </w:tc>
              <w:tc>
                <w:tcPr>
                  <w:tcW w:w="711" w:type="dxa"/>
                  <w:noWrap w:val="0"/>
                  <w:vAlign w:val="center"/>
                </w:tcPr>
                <w:p w14:paraId="6F440042">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317483CF">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反-1,2-二氯乙烯（mg/kg）</w:t>
                  </w:r>
                </w:p>
              </w:tc>
              <w:tc>
                <w:tcPr>
                  <w:tcW w:w="1200" w:type="dxa"/>
                  <w:noWrap w:val="0"/>
                  <w:vAlign w:val="center"/>
                </w:tcPr>
                <w:p w14:paraId="44A1E0B2">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705DE455">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54</w:t>
                  </w:r>
                </w:p>
              </w:tc>
              <w:tc>
                <w:tcPr>
                  <w:tcW w:w="666" w:type="dxa"/>
                  <w:noWrap w:val="0"/>
                  <w:vAlign w:val="center"/>
                </w:tcPr>
                <w:p w14:paraId="093124EC">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6841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0BC8B88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邻二甲苯（mg/kg）</w:t>
                  </w:r>
                </w:p>
              </w:tc>
              <w:tc>
                <w:tcPr>
                  <w:tcW w:w="1200" w:type="dxa"/>
                  <w:noWrap w:val="0"/>
                  <w:vAlign w:val="center"/>
                </w:tcPr>
                <w:p w14:paraId="12191328">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822" w:type="dxa"/>
                  <w:noWrap w:val="0"/>
                  <w:vAlign w:val="center"/>
                </w:tcPr>
                <w:p w14:paraId="65BC0B91">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640</w:t>
                  </w:r>
                </w:p>
              </w:tc>
              <w:tc>
                <w:tcPr>
                  <w:tcW w:w="711" w:type="dxa"/>
                  <w:noWrap w:val="0"/>
                  <w:vAlign w:val="center"/>
                </w:tcPr>
                <w:p w14:paraId="07DFB374">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1624" w:type="dxa"/>
                  <w:noWrap w:val="0"/>
                  <w:vAlign w:val="center"/>
                </w:tcPr>
                <w:p w14:paraId="3ACDE4BB">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1,1-二氯乙烷（mg/kg）</w:t>
                  </w:r>
                </w:p>
              </w:tc>
              <w:tc>
                <w:tcPr>
                  <w:tcW w:w="1200" w:type="dxa"/>
                  <w:noWrap w:val="0"/>
                  <w:vAlign w:val="center"/>
                </w:tcPr>
                <w:p w14:paraId="6E541140">
                  <w:pPr>
                    <w:spacing w:line="240" w:lineRule="atLeas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未检出</w:t>
                  </w:r>
                </w:p>
              </w:tc>
              <w:tc>
                <w:tcPr>
                  <w:tcW w:w="748" w:type="dxa"/>
                  <w:noWrap w:val="0"/>
                  <w:vAlign w:val="center"/>
                </w:tcPr>
                <w:p w14:paraId="09D03E20">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w:t>
                  </w:r>
                </w:p>
              </w:tc>
              <w:tc>
                <w:tcPr>
                  <w:tcW w:w="666" w:type="dxa"/>
                  <w:noWrap w:val="0"/>
                  <w:vAlign w:val="center"/>
                </w:tcPr>
                <w:p w14:paraId="1D40CE4E">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14:paraId="5515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8" w:type="dxa"/>
                  <w:noWrap w:val="0"/>
                  <w:vAlign w:val="center"/>
                </w:tcPr>
                <w:p w14:paraId="4543629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石油烃（C10-C40）（mg/kg）</w:t>
                  </w:r>
                </w:p>
              </w:tc>
              <w:tc>
                <w:tcPr>
                  <w:tcW w:w="1200" w:type="dxa"/>
                  <w:noWrap w:val="0"/>
                  <w:vAlign w:val="center"/>
                </w:tcPr>
                <w:p w14:paraId="38444AB7">
                  <w:pPr>
                    <w:spacing w:line="240" w:lineRule="atLeas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6L（低于检测线）</w:t>
                  </w:r>
                </w:p>
              </w:tc>
              <w:tc>
                <w:tcPr>
                  <w:tcW w:w="822" w:type="dxa"/>
                  <w:noWrap w:val="0"/>
                  <w:vAlign w:val="center"/>
                </w:tcPr>
                <w:p w14:paraId="19D555B0">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4500</w:t>
                  </w:r>
                </w:p>
              </w:tc>
              <w:tc>
                <w:tcPr>
                  <w:tcW w:w="711" w:type="dxa"/>
                  <w:noWrap w:val="0"/>
                  <w:vAlign w:val="center"/>
                </w:tcPr>
                <w:p w14:paraId="0EEA1092">
                  <w:pPr>
                    <w:spacing w:line="24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c>
                <w:tcPr>
                  <w:tcW w:w="4238" w:type="dxa"/>
                  <w:gridSpan w:val="4"/>
                  <w:noWrap w:val="0"/>
                  <w:vAlign w:val="center"/>
                </w:tcPr>
                <w:p w14:paraId="4FE6BA29">
                  <w:pPr>
                    <w:spacing w:line="240" w:lineRule="atLeas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bl>
          <w:p w14:paraId="56071945">
            <w:pPr>
              <w:keepNext w:val="0"/>
              <w:keepLines w:val="0"/>
              <w:pageBreakBefore w:val="0"/>
              <w:widowControl w:val="0"/>
              <w:kinsoku/>
              <w:wordWrap/>
              <w:overflowPunct/>
              <w:topLinePunct w:val="0"/>
              <w:autoSpaceDE/>
              <w:autoSpaceDN/>
              <w:bidi w:val="0"/>
              <w:adjustRightInd/>
              <w:snapToGrid/>
              <w:spacing w:line="360" w:lineRule="auto"/>
              <w:ind w:right="40" w:firstLine="480"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rPr>
              <w:t>由表3-</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可知，项目占地范围内的</w:t>
            </w:r>
            <w:r>
              <w:rPr>
                <w:rFonts w:hint="eastAsia" w:ascii="Times New Roman" w:hAnsi="Times New Roman" w:cs="Times New Roman"/>
                <w:color w:val="auto"/>
                <w:sz w:val="24"/>
                <w:lang w:val="en-US" w:eastAsia="zh-CN"/>
              </w:rPr>
              <w:t>土壤</w:t>
            </w:r>
            <w:r>
              <w:rPr>
                <w:rFonts w:hint="default" w:ascii="Times New Roman" w:hAnsi="Times New Roman" w:cs="Times New Roman"/>
                <w:color w:val="auto"/>
                <w:sz w:val="24"/>
              </w:rPr>
              <w:t>监测点指标含量能满足《土壤环境质量 建设用地土壤污染风险管控标准（试行）》（GB36600-2018）表1所列45项基本因子和1项特征因子（石油烃）的含量要求。</w:t>
            </w:r>
          </w:p>
          <w:p w14:paraId="6B2C1403">
            <w:pPr>
              <w:keepNext w:val="0"/>
              <w:keepLines w:val="0"/>
              <w:pageBreakBefore w:val="0"/>
              <w:widowControl w:val="0"/>
              <w:kinsoku/>
              <w:wordWrap/>
              <w:overflowPunct/>
              <w:topLinePunct w:val="0"/>
              <w:autoSpaceDE/>
              <w:autoSpaceDN/>
              <w:bidi w:val="0"/>
              <w:adjustRightInd/>
              <w:snapToGrid/>
              <w:spacing w:line="360" w:lineRule="auto"/>
              <w:ind w:right="40"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rPr>
              <w:t>生态环境现状</w:t>
            </w:r>
          </w:p>
          <w:p w14:paraId="074B53C8">
            <w:pPr>
              <w:spacing w:line="360" w:lineRule="auto"/>
              <w:ind w:firstLine="480" w:firstLineChars="200"/>
              <w:rPr>
                <w:rFonts w:hint="default" w:ascii="Times New Roman" w:hAnsi="Times New Roman" w:eastAsia="宋体" w:cs="Times New Roman"/>
                <w:i w:val="0"/>
                <w:caps w:val="0"/>
                <w:color w:val="auto"/>
                <w:spacing w:val="0"/>
                <w:sz w:val="24"/>
                <w:szCs w:val="24"/>
                <w:shd w:val="clear" w:color="auto" w:fill="FFFFFF"/>
              </w:rPr>
            </w:pPr>
            <w:r>
              <w:rPr>
                <w:rFonts w:hint="default" w:ascii="Times New Roman" w:hAnsi="Times New Roman" w:cs="Times New Roman"/>
                <w:color w:val="auto"/>
                <w:sz w:val="24"/>
                <w:szCs w:val="24"/>
                <w:lang w:val="en-US" w:eastAsia="zh-CN"/>
              </w:rPr>
              <w:t>根据现场调查，项目区位于</w:t>
            </w:r>
            <w:r>
              <w:rPr>
                <w:rFonts w:hint="eastAsia" w:cs="Times New Roman"/>
                <w:color w:val="auto"/>
                <w:sz w:val="24"/>
                <w:szCs w:val="24"/>
                <w:lang w:val="en-US" w:eastAsia="zh-CN"/>
              </w:rPr>
              <w:t>云南省昆明市寻甸县功山镇梧桐村</w:t>
            </w:r>
            <w:r>
              <w:rPr>
                <w:rFonts w:hint="default" w:ascii="Times New Roman" w:hAnsi="Times New Roman" w:cs="Times New Roman"/>
                <w:color w:val="auto"/>
                <w:sz w:val="24"/>
                <w:szCs w:val="24"/>
                <w:lang w:val="en-US" w:eastAsia="zh-CN"/>
              </w:rPr>
              <w:t>，周边</w:t>
            </w:r>
            <w:r>
              <w:rPr>
                <w:rFonts w:hint="default" w:ascii="Times New Roman" w:hAnsi="Times New Roman" w:cs="Times New Roman"/>
                <w:color w:val="auto"/>
                <w:sz w:val="24"/>
                <w:szCs w:val="24"/>
              </w:rPr>
              <w:t>植被多以</w:t>
            </w:r>
            <w:r>
              <w:rPr>
                <w:rFonts w:hint="default" w:ascii="Times New Roman" w:hAnsi="Times New Roman" w:cs="Times New Roman"/>
                <w:color w:val="auto"/>
                <w:sz w:val="24"/>
                <w:szCs w:val="24"/>
                <w:lang w:eastAsia="zh-CN"/>
              </w:rPr>
              <w:t>灌木</w:t>
            </w:r>
            <w:r>
              <w:rPr>
                <w:rFonts w:hint="default" w:ascii="Times New Roman" w:hAnsi="Times New Roman" w:cs="Times New Roman"/>
                <w:color w:val="auto"/>
                <w:sz w:val="24"/>
                <w:szCs w:val="24"/>
              </w:rPr>
              <w:t>以及</w:t>
            </w:r>
            <w:r>
              <w:rPr>
                <w:rFonts w:hint="default" w:ascii="Times New Roman" w:hAnsi="Times New Roman" w:cs="Times New Roman"/>
                <w:color w:val="auto"/>
                <w:sz w:val="24"/>
                <w:szCs w:val="24"/>
                <w:lang w:val="en-US" w:eastAsia="zh-CN"/>
              </w:rPr>
              <w:t>人工植被</w:t>
            </w:r>
            <w:r>
              <w:rPr>
                <w:rFonts w:hint="default" w:ascii="Times New Roman" w:hAnsi="Times New Roman" w:cs="Times New Roman"/>
                <w:color w:val="auto"/>
                <w:sz w:val="24"/>
                <w:szCs w:val="24"/>
              </w:rPr>
              <w:t>为主，项目所在区域由于受人类频繁活动和交通的影响，已无大型动物，仅有些小型常见动物，如常见鸟类、鼠类、蛇等与人伴居的物种</w:t>
            </w:r>
            <w:r>
              <w:rPr>
                <w:rFonts w:hint="default" w:ascii="Times New Roman" w:hAnsi="Times New Roman" w:eastAsia="宋体" w:cs="Times New Roman"/>
                <w:i w:val="0"/>
                <w:caps w:val="0"/>
                <w:color w:val="auto"/>
                <w:spacing w:val="0"/>
                <w:sz w:val="24"/>
                <w:szCs w:val="24"/>
                <w:shd w:val="clear" w:color="auto" w:fill="FFFFFF"/>
              </w:rPr>
              <w:t>等。生态环境自身调控能力一般。</w:t>
            </w:r>
            <w:r>
              <w:rPr>
                <w:rFonts w:hint="default" w:ascii="Times New Roman" w:hAnsi="Times New Roman" w:cs="Times New Roman"/>
                <w:color w:val="auto"/>
                <w:sz w:val="24"/>
              </w:rPr>
              <w:t>项目区已无原生植被，野生动物因缺乏隐蔽地、栖息地和活动场所已经逐渐减少，消失。</w:t>
            </w:r>
          </w:p>
          <w:p w14:paraId="65073168">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lang w:val="zh-CN" w:eastAsia="zh-CN"/>
              </w:rPr>
              <w:t>调查范围内无自然保护区、风景名胜区、森林公园、历史文化遗迹等需要特殊保护的生态敏感目标，无国家珍稀濒危保护物种、国家重点保护野生植物和云南省级重点野生保护动物，也没有特有种类存在。</w:t>
            </w:r>
          </w:p>
        </w:tc>
      </w:tr>
      <w:tr w14:paraId="28F8F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dxa"/>
            <w:noWrap w:val="0"/>
            <w:vAlign w:val="center"/>
          </w:tcPr>
          <w:p w14:paraId="799137AC">
            <w:pPr>
              <w:adjustRightInd w:val="0"/>
              <w:snapToGrid w:val="0"/>
              <w:jc w:val="center"/>
              <w:rPr>
                <w:rFonts w:hint="default" w:ascii="Times New Roman" w:hAnsi="Times New Roman" w:cs="Times New Roman"/>
                <w:color w:val="auto"/>
                <w:kern w:val="0"/>
                <w:sz w:val="24"/>
                <w:szCs w:val="24"/>
              </w:rPr>
            </w:pPr>
          </w:p>
          <w:p w14:paraId="0C9133B5">
            <w:pPr>
              <w:adjustRightInd w:val="0"/>
              <w:snapToGrid w:val="0"/>
              <w:jc w:val="center"/>
              <w:rPr>
                <w:rFonts w:hint="default" w:ascii="Times New Roman" w:hAnsi="Times New Roman" w:cs="Times New Roman"/>
                <w:color w:val="auto"/>
                <w:kern w:val="0"/>
                <w:sz w:val="24"/>
                <w:szCs w:val="24"/>
              </w:rPr>
            </w:pPr>
          </w:p>
          <w:p w14:paraId="701702BB">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14:paraId="49223D5E">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14:paraId="0DCE75C9">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目标</w:t>
            </w:r>
          </w:p>
        </w:tc>
        <w:tc>
          <w:tcPr>
            <w:tcW w:w="8672" w:type="dxa"/>
            <w:noWrap w:val="0"/>
            <w:vAlign w:val="center"/>
          </w:tcPr>
          <w:p w14:paraId="2E53D6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32"/>
                <w:lang w:eastAsia="zh-CN"/>
              </w:rPr>
            </w:pPr>
            <w:r>
              <w:rPr>
                <w:rFonts w:hint="default" w:ascii="Times New Roman" w:hAnsi="Times New Roman" w:cs="Times New Roman"/>
                <w:color w:val="auto"/>
                <w:sz w:val="24"/>
              </w:rPr>
              <w:t>根据《建设项目环境影响报告表编制技术指南（污染影响类）》（试行），</w:t>
            </w:r>
            <w:r>
              <w:rPr>
                <w:rFonts w:hint="default" w:ascii="Times New Roman" w:hAnsi="Times New Roman" w:cs="Times New Roman"/>
                <w:color w:val="auto"/>
                <w:sz w:val="24"/>
                <w:lang w:val="en-US" w:eastAsia="zh-CN"/>
              </w:rPr>
              <w:t>大气环境保护目标为</w:t>
            </w:r>
            <w:r>
              <w:rPr>
                <w:rFonts w:hint="default" w:ascii="Times New Roman" w:hAnsi="Times New Roman" w:cs="Times New Roman"/>
                <w:color w:val="auto"/>
                <w:sz w:val="24"/>
              </w:rPr>
              <w:t>500米范围内</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自然保护区、风景名胜区、居住区、文化区和农村地区中人群较集中的区域；</w:t>
            </w: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厂界外50米范围内</w:t>
            </w:r>
            <w:r>
              <w:rPr>
                <w:rFonts w:hint="default" w:ascii="Times New Roman" w:hAnsi="Times New Roman" w:cs="Times New Roman"/>
                <w:color w:val="auto"/>
                <w:sz w:val="24"/>
                <w:lang w:val="en-US" w:eastAsia="zh-CN"/>
              </w:rPr>
              <w:t>无</w:t>
            </w:r>
            <w:r>
              <w:rPr>
                <w:rFonts w:hint="default" w:ascii="Times New Roman" w:hAnsi="Times New Roman" w:cs="Times New Roman"/>
                <w:color w:val="auto"/>
                <w:sz w:val="24"/>
              </w:rPr>
              <w:t>环境保护目标</w:t>
            </w:r>
            <w:r>
              <w:rPr>
                <w:rFonts w:hint="eastAsia" w:cs="Times New Roman"/>
                <w:color w:val="auto"/>
                <w:sz w:val="24"/>
                <w:lang w:val="en-US" w:eastAsia="zh-CN"/>
              </w:rPr>
              <w:t>为梧桐村、菜地村</w:t>
            </w:r>
            <w:r>
              <w:rPr>
                <w:rFonts w:hint="default" w:ascii="Times New Roman" w:hAnsi="Times New Roman" w:cs="Times New Roman"/>
                <w:color w:val="auto"/>
                <w:sz w:val="24"/>
              </w:rPr>
              <w:t>；地表水环境保护目标为饮用水水源保护区、饮用水取水口，涉水的自然保护区、风景名胜区，重要湿地、重点保护与珍稀水生生物的栖息地、重要水生生物的自然产卵场及索饵场、越冬场和洄游通道，天然渔场等渔业水体，以及水产种质资源保护区等，本项目</w:t>
            </w:r>
            <w:r>
              <w:rPr>
                <w:rFonts w:hint="default" w:ascii="Times New Roman" w:hAnsi="Times New Roman" w:eastAsia="宋体" w:cs="Times New Roman"/>
                <w:color w:val="auto"/>
                <w:sz w:val="24"/>
                <w:szCs w:val="24"/>
                <w:lang w:val="en-US" w:eastAsia="zh-CN"/>
              </w:rPr>
              <w:t>最近地表水为西侧90m处的功山河</w:t>
            </w:r>
            <w:r>
              <w:rPr>
                <w:rFonts w:hint="default" w:ascii="Times New Roman" w:hAnsi="Times New Roman" w:cs="Times New Roman"/>
                <w:color w:val="auto"/>
                <w:sz w:val="24"/>
              </w:rPr>
              <w:t>，</w:t>
            </w:r>
            <w:r>
              <w:rPr>
                <w:rFonts w:hint="default" w:ascii="Times New Roman" w:hAnsi="Times New Roman" w:eastAsia="宋体" w:cs="Times New Roman"/>
                <w:color w:val="auto"/>
                <w:sz w:val="24"/>
                <w:szCs w:val="24"/>
              </w:rPr>
              <w:t>项目厂界外500m范围内无地下水集中式饮用水水源和热水、矿泉水、温泉等特殊地下水资源。</w:t>
            </w:r>
            <w:r>
              <w:rPr>
                <w:rFonts w:hint="default" w:ascii="Times New Roman" w:hAnsi="Times New Roman" w:cs="Times New Roman"/>
                <w:color w:val="auto"/>
                <w:sz w:val="24"/>
              </w:rPr>
              <w:t>地表水环境保护目标见表3-</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w:t>
            </w:r>
          </w:p>
          <w:p w14:paraId="79435B29">
            <w:pPr>
              <w:spacing w:line="240" w:lineRule="auto"/>
              <w:jc w:val="center"/>
              <w:rPr>
                <w:rFonts w:hint="default" w:ascii="Times New Roman" w:hAnsi="Times New Roman" w:cs="Times New Roman"/>
                <w:b/>
                <w:bCs/>
                <w:color w:val="auto"/>
                <w:sz w:val="21"/>
                <w:szCs w:val="24"/>
              </w:rPr>
            </w:pPr>
            <w:r>
              <w:rPr>
                <w:rFonts w:hint="default" w:ascii="Times New Roman" w:hAnsi="Times New Roman" w:cs="Times New Roman"/>
                <w:b/>
                <w:bCs/>
                <w:color w:val="auto"/>
                <w:sz w:val="21"/>
                <w:szCs w:val="24"/>
              </w:rPr>
              <w:t>表3-</w:t>
            </w:r>
            <w:r>
              <w:rPr>
                <w:rFonts w:hint="default" w:ascii="Times New Roman" w:hAnsi="Times New Roman" w:cs="Times New Roman"/>
                <w:b/>
                <w:bCs/>
                <w:color w:val="auto"/>
                <w:sz w:val="21"/>
                <w:szCs w:val="24"/>
                <w:lang w:val="en-US" w:eastAsia="zh-CN"/>
              </w:rPr>
              <w:t>6</w:t>
            </w:r>
            <w:r>
              <w:rPr>
                <w:rFonts w:hint="default" w:ascii="Times New Roman" w:hAnsi="Times New Roman" w:cs="Times New Roman"/>
                <w:b/>
                <w:bCs/>
                <w:color w:val="auto"/>
                <w:sz w:val="21"/>
                <w:szCs w:val="24"/>
              </w:rPr>
              <w:t xml:space="preserve"> 主要环境保护目标</w:t>
            </w:r>
          </w:p>
          <w:tbl>
            <w:tblPr>
              <w:tblStyle w:val="27"/>
              <w:tblW w:w="85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7"/>
              <w:gridCol w:w="877"/>
              <w:gridCol w:w="1983"/>
              <w:gridCol w:w="1086"/>
              <w:gridCol w:w="1165"/>
              <w:gridCol w:w="2559"/>
            </w:tblGrid>
            <w:tr w14:paraId="3C1B5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847" w:type="dxa"/>
                  <w:noWrap w:val="0"/>
                  <w:vAlign w:val="center"/>
                </w:tcPr>
                <w:p w14:paraId="5D8FA137">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pacing w:val="-10"/>
                      <w:sz w:val="21"/>
                      <w:szCs w:val="21"/>
                    </w:rPr>
                    <w:t>类  别</w:t>
                  </w:r>
                </w:p>
              </w:tc>
              <w:tc>
                <w:tcPr>
                  <w:tcW w:w="877" w:type="dxa"/>
                  <w:noWrap w:val="0"/>
                  <w:vAlign w:val="center"/>
                </w:tcPr>
                <w:p w14:paraId="770A020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pacing w:val="-10"/>
                      <w:sz w:val="21"/>
                      <w:szCs w:val="21"/>
                    </w:rPr>
                    <w:t>环境保护目标</w:t>
                  </w:r>
                </w:p>
              </w:tc>
              <w:tc>
                <w:tcPr>
                  <w:tcW w:w="1983" w:type="dxa"/>
                  <w:noWrap w:val="0"/>
                  <w:vAlign w:val="center"/>
                </w:tcPr>
                <w:p w14:paraId="012A6B6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eastAsia="宋体" w:cs="Times New Roman"/>
                      <w:b/>
                      <w:bCs/>
                      <w:color w:val="auto"/>
                      <w:spacing w:val="-10"/>
                      <w:sz w:val="21"/>
                      <w:szCs w:val="21"/>
                      <w:lang w:val="en-US" w:eastAsia="zh-CN"/>
                    </w:rPr>
                  </w:pPr>
                  <w:r>
                    <w:rPr>
                      <w:rFonts w:hint="default" w:ascii="Times New Roman" w:hAnsi="Times New Roman" w:cs="Times New Roman"/>
                      <w:b/>
                      <w:bCs/>
                      <w:color w:val="auto"/>
                      <w:spacing w:val="-10"/>
                      <w:sz w:val="21"/>
                      <w:szCs w:val="21"/>
                      <w:lang w:val="en-US" w:eastAsia="zh-CN"/>
                    </w:rPr>
                    <w:t>坐标</w:t>
                  </w:r>
                </w:p>
              </w:tc>
              <w:tc>
                <w:tcPr>
                  <w:tcW w:w="1086" w:type="dxa"/>
                  <w:noWrap w:val="0"/>
                  <w:vAlign w:val="center"/>
                </w:tcPr>
                <w:p w14:paraId="2A57FA0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pacing w:val="-10"/>
                      <w:sz w:val="21"/>
                      <w:szCs w:val="21"/>
                    </w:rPr>
                    <w:t>方位距离</w:t>
                  </w:r>
                </w:p>
              </w:tc>
              <w:tc>
                <w:tcPr>
                  <w:tcW w:w="1165" w:type="dxa"/>
                  <w:noWrap w:val="0"/>
                  <w:vAlign w:val="center"/>
                </w:tcPr>
                <w:p w14:paraId="46000253">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主要情况</w:t>
                  </w:r>
                </w:p>
              </w:tc>
              <w:tc>
                <w:tcPr>
                  <w:tcW w:w="2559" w:type="dxa"/>
                  <w:noWrap w:val="0"/>
                  <w:vAlign w:val="center"/>
                </w:tcPr>
                <w:p w14:paraId="235062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pacing w:val="-10"/>
                      <w:sz w:val="21"/>
                      <w:szCs w:val="21"/>
                    </w:rPr>
                    <w:t>保护级别</w:t>
                  </w:r>
                </w:p>
              </w:tc>
            </w:tr>
            <w:tr w14:paraId="5519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47" w:type="dxa"/>
                  <w:vMerge w:val="restart"/>
                  <w:noWrap w:val="0"/>
                  <w:vAlign w:val="center"/>
                </w:tcPr>
                <w:p w14:paraId="7D18620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大气</w:t>
                  </w:r>
                </w:p>
                <w:p w14:paraId="4C217BA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环境</w:t>
                  </w:r>
                </w:p>
              </w:tc>
              <w:tc>
                <w:tcPr>
                  <w:tcW w:w="877" w:type="dxa"/>
                  <w:noWrap w:val="0"/>
                  <w:vAlign w:val="center"/>
                </w:tcPr>
                <w:p w14:paraId="04BA8975">
                  <w:pPr>
                    <w:adjustRightInd w:val="0"/>
                    <w:jc w:val="center"/>
                    <w:textAlignment w:val="baseline"/>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梧桐村</w:t>
                  </w:r>
                </w:p>
              </w:tc>
              <w:tc>
                <w:tcPr>
                  <w:tcW w:w="1983" w:type="dxa"/>
                  <w:noWrap w:val="0"/>
                  <w:vAlign w:val="center"/>
                </w:tcPr>
                <w:p w14:paraId="2433629F">
                  <w:pPr>
                    <w:spacing w:before="78" w:beforeLines="25" w:after="78" w:afterLine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103°15′40.348″</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25°43′36.427″</w:t>
                  </w:r>
                </w:p>
              </w:tc>
              <w:tc>
                <w:tcPr>
                  <w:tcW w:w="1086" w:type="dxa"/>
                  <w:noWrap w:val="0"/>
                  <w:vAlign w:val="center"/>
                </w:tcPr>
                <w:p w14:paraId="7669D886">
                  <w:pPr>
                    <w:spacing w:before="78" w:beforeLines="25" w:after="78" w:afterLines="25"/>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w:t>
                  </w:r>
                  <w:r>
                    <w:rPr>
                      <w:rFonts w:hint="eastAsia" w:cs="Times New Roman"/>
                      <w:color w:val="auto"/>
                      <w:sz w:val="21"/>
                      <w:szCs w:val="21"/>
                      <w:lang w:val="en-US" w:eastAsia="zh-CN"/>
                    </w:rPr>
                    <w:t>侧10m、北侧5m</w:t>
                  </w:r>
                </w:p>
              </w:tc>
              <w:tc>
                <w:tcPr>
                  <w:tcW w:w="1165" w:type="dxa"/>
                  <w:noWrap w:val="0"/>
                  <w:vAlign w:val="center"/>
                </w:tcPr>
                <w:p w14:paraId="6B50670F">
                  <w:pPr>
                    <w:spacing w:before="78" w:beforeLines="25" w:after="78" w:afterLine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500</w:t>
                  </w:r>
                  <w:r>
                    <w:rPr>
                      <w:rFonts w:hint="default" w:ascii="Times New Roman" w:hAnsi="Times New Roman" w:eastAsia="宋体" w:cs="Times New Roman"/>
                      <w:color w:val="auto"/>
                      <w:sz w:val="21"/>
                      <w:szCs w:val="21"/>
                      <w:lang w:val="en-US" w:eastAsia="zh-CN"/>
                    </w:rPr>
                    <w:t>户，</w:t>
                  </w:r>
                </w:p>
                <w:p w14:paraId="7DF9A94B">
                  <w:pPr>
                    <w:spacing w:before="78" w:beforeLines="25" w:after="78" w:afterLine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2200</w:t>
                  </w:r>
                  <w:r>
                    <w:rPr>
                      <w:rFonts w:hint="default" w:ascii="Times New Roman" w:hAnsi="Times New Roman" w:eastAsia="宋体" w:cs="Times New Roman"/>
                      <w:color w:val="auto"/>
                      <w:sz w:val="21"/>
                      <w:szCs w:val="21"/>
                      <w:lang w:val="en-US" w:eastAsia="zh-CN"/>
                    </w:rPr>
                    <w:t>人</w:t>
                  </w:r>
                </w:p>
              </w:tc>
              <w:tc>
                <w:tcPr>
                  <w:tcW w:w="2559" w:type="dxa"/>
                  <w:vMerge w:val="restart"/>
                  <w:noWrap w:val="0"/>
                  <w:vAlign w:val="center"/>
                </w:tcPr>
                <w:p w14:paraId="51A15B4B">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GB3095-2012《环境空气质量标准》二级标准；</w:t>
                  </w:r>
                </w:p>
              </w:tc>
            </w:tr>
            <w:tr w14:paraId="32CFC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847" w:type="dxa"/>
                  <w:vMerge w:val="continue"/>
                  <w:noWrap w:val="0"/>
                  <w:vAlign w:val="center"/>
                </w:tcPr>
                <w:p w14:paraId="26005C2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p>
              </w:tc>
              <w:tc>
                <w:tcPr>
                  <w:tcW w:w="877" w:type="dxa"/>
                  <w:noWrap w:val="0"/>
                  <w:vAlign w:val="center"/>
                </w:tcPr>
                <w:p w14:paraId="65487523">
                  <w:pPr>
                    <w:adjustRightInd w:val="0"/>
                    <w:jc w:val="center"/>
                    <w:textAlignment w:val="baseline"/>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菜地村</w:t>
                  </w:r>
                </w:p>
              </w:tc>
              <w:tc>
                <w:tcPr>
                  <w:tcW w:w="1983" w:type="dxa"/>
                  <w:noWrap w:val="0"/>
                  <w:vAlign w:val="center"/>
                </w:tcPr>
                <w:p w14:paraId="4ECB4F5B">
                  <w:pPr>
                    <w:spacing w:before="78" w:beforeLines="25" w:after="78" w:afterLines="25"/>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103°15′33.473″</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25°43′21.186″</w:t>
                  </w:r>
                </w:p>
              </w:tc>
              <w:tc>
                <w:tcPr>
                  <w:tcW w:w="1086" w:type="dxa"/>
                  <w:noWrap w:val="0"/>
                  <w:vAlign w:val="center"/>
                </w:tcPr>
                <w:p w14:paraId="51C8994D">
                  <w:pPr>
                    <w:spacing w:before="78" w:beforeLines="25" w:after="78" w:afterLines="25"/>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南侧7</w:t>
                  </w:r>
                  <w:r>
                    <w:rPr>
                      <w:rFonts w:hint="default" w:ascii="Times New Roman" w:hAnsi="Times New Roman" w:cs="Times New Roman"/>
                      <w:color w:val="auto"/>
                      <w:kern w:val="0"/>
                      <w:sz w:val="21"/>
                      <w:szCs w:val="21"/>
                      <w:lang w:val="en-US" w:eastAsia="zh-CN" w:bidi="ar"/>
                    </w:rPr>
                    <w:t>m</w:t>
                  </w:r>
                </w:p>
              </w:tc>
              <w:tc>
                <w:tcPr>
                  <w:tcW w:w="1165" w:type="dxa"/>
                  <w:shd w:val="clear" w:color="auto" w:fill="auto"/>
                  <w:noWrap w:val="0"/>
                  <w:vAlign w:val="center"/>
                </w:tcPr>
                <w:p w14:paraId="5F2587A2">
                  <w:pPr>
                    <w:spacing w:before="78" w:beforeLines="25" w:after="78" w:afterLine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110</w:t>
                  </w:r>
                  <w:r>
                    <w:rPr>
                      <w:rFonts w:hint="default" w:ascii="Times New Roman" w:hAnsi="Times New Roman" w:eastAsia="宋体" w:cs="Times New Roman"/>
                      <w:color w:val="auto"/>
                      <w:sz w:val="21"/>
                      <w:szCs w:val="21"/>
                      <w:lang w:val="en-US" w:eastAsia="zh-CN"/>
                    </w:rPr>
                    <w:t>户，</w:t>
                  </w:r>
                </w:p>
                <w:p w14:paraId="3D6A724A">
                  <w:pPr>
                    <w:spacing w:before="78" w:beforeLines="25" w:after="78" w:afterLines="25"/>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495</w:t>
                  </w:r>
                  <w:r>
                    <w:rPr>
                      <w:rFonts w:hint="default" w:ascii="Times New Roman" w:hAnsi="Times New Roman" w:eastAsia="宋体" w:cs="Times New Roman"/>
                      <w:color w:val="auto"/>
                      <w:sz w:val="21"/>
                      <w:szCs w:val="21"/>
                      <w:lang w:val="en-US" w:eastAsia="zh-CN"/>
                    </w:rPr>
                    <w:t>人</w:t>
                  </w:r>
                </w:p>
              </w:tc>
              <w:tc>
                <w:tcPr>
                  <w:tcW w:w="2559" w:type="dxa"/>
                  <w:vMerge w:val="continue"/>
                  <w:noWrap w:val="0"/>
                  <w:vAlign w:val="center"/>
                </w:tcPr>
                <w:p w14:paraId="7E9ECB5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p>
              </w:tc>
            </w:tr>
            <w:tr w14:paraId="13ECC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847" w:type="dxa"/>
                  <w:vMerge w:val="continue"/>
                  <w:noWrap w:val="0"/>
                  <w:vAlign w:val="center"/>
                </w:tcPr>
                <w:p w14:paraId="1755ECB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p>
              </w:tc>
              <w:tc>
                <w:tcPr>
                  <w:tcW w:w="877" w:type="dxa"/>
                  <w:noWrap w:val="0"/>
                  <w:vAlign w:val="center"/>
                </w:tcPr>
                <w:p w14:paraId="17C465B7">
                  <w:pPr>
                    <w:adjustRightInd w:val="0"/>
                    <w:jc w:val="center"/>
                    <w:textAlignment w:val="baseline"/>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大菜地</w:t>
                  </w:r>
                </w:p>
              </w:tc>
              <w:tc>
                <w:tcPr>
                  <w:tcW w:w="1983" w:type="dxa"/>
                  <w:noWrap w:val="0"/>
                  <w:vAlign w:val="center"/>
                </w:tcPr>
                <w:p w14:paraId="6D865B96">
                  <w:pPr>
                    <w:spacing w:before="78" w:beforeLines="25" w:after="78" w:afterLines="25"/>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103°15′35.153″</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25°43′15.723″</w:t>
                  </w:r>
                </w:p>
              </w:tc>
              <w:tc>
                <w:tcPr>
                  <w:tcW w:w="1086" w:type="dxa"/>
                  <w:noWrap w:val="0"/>
                  <w:vAlign w:val="center"/>
                </w:tcPr>
                <w:p w14:paraId="09257C2E">
                  <w:pPr>
                    <w:spacing w:before="78" w:beforeLines="25" w:after="78" w:afterLines="25"/>
                    <w:jc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南侧250m</w:t>
                  </w:r>
                </w:p>
              </w:tc>
              <w:tc>
                <w:tcPr>
                  <w:tcW w:w="1165" w:type="dxa"/>
                  <w:noWrap w:val="0"/>
                  <w:vAlign w:val="center"/>
                </w:tcPr>
                <w:p w14:paraId="72CC04E5">
                  <w:pPr>
                    <w:spacing w:before="78" w:beforeLines="25" w:after="78" w:afterLines="25"/>
                    <w:jc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约580户，2450人</w:t>
                  </w:r>
                </w:p>
              </w:tc>
              <w:tc>
                <w:tcPr>
                  <w:tcW w:w="2559" w:type="dxa"/>
                  <w:vMerge w:val="continue"/>
                  <w:noWrap w:val="0"/>
                  <w:vAlign w:val="center"/>
                </w:tcPr>
                <w:p w14:paraId="68B0F28B">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p>
              </w:tc>
            </w:tr>
            <w:tr w14:paraId="49C1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847" w:type="dxa"/>
                  <w:vMerge w:val="continue"/>
                  <w:noWrap w:val="0"/>
                  <w:vAlign w:val="center"/>
                </w:tcPr>
                <w:p w14:paraId="5D9F47D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p>
              </w:tc>
              <w:tc>
                <w:tcPr>
                  <w:tcW w:w="877" w:type="dxa"/>
                  <w:noWrap w:val="0"/>
                  <w:vAlign w:val="center"/>
                </w:tcPr>
                <w:p w14:paraId="430888B1">
                  <w:pPr>
                    <w:adjustRightInd w:val="0"/>
                    <w:jc w:val="center"/>
                    <w:textAlignment w:val="baseline"/>
                    <w:rPr>
                      <w:rFonts w:hint="default" w:cs="Times New Roman"/>
                      <w:color w:val="auto"/>
                      <w:sz w:val="21"/>
                      <w:szCs w:val="21"/>
                      <w:lang w:val="en-US" w:eastAsia="zh-CN"/>
                    </w:rPr>
                  </w:pPr>
                  <w:r>
                    <w:rPr>
                      <w:rFonts w:hint="eastAsia" w:cs="Times New Roman"/>
                      <w:color w:val="auto"/>
                      <w:sz w:val="21"/>
                      <w:szCs w:val="21"/>
                      <w:lang w:val="en-US" w:eastAsia="zh-CN"/>
                    </w:rPr>
                    <w:t>郭家村</w:t>
                  </w:r>
                </w:p>
              </w:tc>
              <w:tc>
                <w:tcPr>
                  <w:tcW w:w="1983" w:type="dxa"/>
                  <w:noWrap w:val="0"/>
                  <w:vAlign w:val="center"/>
                </w:tcPr>
                <w:p w14:paraId="593F1D3B">
                  <w:pPr>
                    <w:spacing w:before="78" w:beforeLines="25" w:after="78" w:afterLines="25"/>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103°15′19.665″</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25°43′26.893″</w:t>
                  </w:r>
                </w:p>
              </w:tc>
              <w:tc>
                <w:tcPr>
                  <w:tcW w:w="1086" w:type="dxa"/>
                  <w:noWrap w:val="0"/>
                  <w:vAlign w:val="center"/>
                </w:tcPr>
                <w:p w14:paraId="30D176A7">
                  <w:pPr>
                    <w:spacing w:before="78" w:beforeLines="25" w:after="78" w:afterLines="25"/>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西侧310m</w:t>
                  </w:r>
                </w:p>
              </w:tc>
              <w:tc>
                <w:tcPr>
                  <w:tcW w:w="1165" w:type="dxa"/>
                  <w:noWrap w:val="0"/>
                  <w:vAlign w:val="center"/>
                </w:tcPr>
                <w:p w14:paraId="46EFD92C">
                  <w:pPr>
                    <w:spacing w:before="78" w:beforeLines="25" w:after="78" w:afterLines="25"/>
                    <w:jc w:val="center"/>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约600户，2530人</w:t>
                  </w:r>
                </w:p>
              </w:tc>
              <w:tc>
                <w:tcPr>
                  <w:tcW w:w="2559" w:type="dxa"/>
                  <w:vMerge w:val="continue"/>
                  <w:noWrap w:val="0"/>
                  <w:vAlign w:val="center"/>
                </w:tcPr>
                <w:p w14:paraId="0918562C">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p>
              </w:tc>
            </w:tr>
            <w:tr w14:paraId="04E85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847" w:type="dxa"/>
                  <w:noWrap w:val="0"/>
                  <w:vAlign w:val="center"/>
                </w:tcPr>
                <w:p w14:paraId="1E99AAA7">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地表水</w:t>
                  </w:r>
                </w:p>
                <w:p w14:paraId="04CDC18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环境</w:t>
                  </w:r>
                </w:p>
              </w:tc>
              <w:tc>
                <w:tcPr>
                  <w:tcW w:w="877" w:type="dxa"/>
                  <w:noWrap w:val="0"/>
                  <w:vAlign w:val="center"/>
                </w:tcPr>
                <w:p w14:paraId="67153F3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功山河</w:t>
                  </w:r>
                </w:p>
              </w:tc>
              <w:tc>
                <w:tcPr>
                  <w:tcW w:w="1983" w:type="dxa"/>
                  <w:noWrap w:val="0"/>
                  <w:vAlign w:val="center"/>
                </w:tcPr>
                <w:p w14:paraId="0C682D23">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103°15′30.876″</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25°43′26.310″</w:t>
                  </w:r>
                </w:p>
              </w:tc>
              <w:tc>
                <w:tcPr>
                  <w:tcW w:w="1086" w:type="dxa"/>
                  <w:noWrap w:val="0"/>
                  <w:vAlign w:val="center"/>
                </w:tcPr>
                <w:p w14:paraId="2079B5E5">
                  <w:pPr>
                    <w:spacing w:before="78" w:beforeLines="25" w:after="78" w:afterLines="25"/>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西侧80m</w:t>
                  </w:r>
                </w:p>
              </w:tc>
              <w:tc>
                <w:tcPr>
                  <w:tcW w:w="1165" w:type="dxa"/>
                  <w:noWrap w:val="0"/>
                  <w:vAlign w:val="center"/>
                </w:tcPr>
                <w:p w14:paraId="0B29C8CA">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559" w:type="dxa"/>
                  <w:noWrap w:val="0"/>
                  <w:vAlign w:val="center"/>
                </w:tcPr>
                <w:p w14:paraId="3C7EFC83">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r>
                    <w:rPr>
                      <w:rFonts w:hint="default" w:ascii="Times New Roman" w:hAnsi="Times New Roman" w:cs="Times New Roman"/>
                      <w:color w:val="auto"/>
                      <w:spacing w:val="-10"/>
                      <w:sz w:val="21"/>
                      <w:szCs w:val="21"/>
                    </w:rPr>
                    <w:t>GB3838-2002《地表水环境质</w:t>
                  </w:r>
                  <w:r>
                    <w:rPr>
                      <w:rFonts w:hint="default" w:ascii="Times New Roman" w:hAnsi="Times New Roman" w:cs="Times New Roman"/>
                      <w:color w:val="auto"/>
                      <w:spacing w:val="-10"/>
                      <w:sz w:val="21"/>
                      <w:szCs w:val="21"/>
                      <w:lang w:val="en-US" w:eastAsia="zh-CN"/>
                    </w:rPr>
                    <w:t>量》</w:t>
                  </w:r>
                  <w:r>
                    <w:rPr>
                      <w:rFonts w:hint="eastAsia" w:ascii="Times New Roman" w:hAnsi="Times New Roman" w:cs="Times New Roman"/>
                      <w:color w:val="auto"/>
                      <w:spacing w:val="-10"/>
                      <w:sz w:val="21"/>
                      <w:szCs w:val="21"/>
                      <w:lang w:val="en-US" w:eastAsia="zh-CN"/>
                    </w:rPr>
                    <w:t>Ⅱ</w:t>
                  </w:r>
                  <w:r>
                    <w:rPr>
                      <w:rFonts w:hint="default" w:ascii="Times New Roman" w:hAnsi="Times New Roman" w:cs="Times New Roman"/>
                      <w:color w:val="auto"/>
                      <w:spacing w:val="-10"/>
                      <w:sz w:val="21"/>
                      <w:szCs w:val="21"/>
                      <w:lang w:val="en-US" w:eastAsia="zh-CN"/>
                    </w:rPr>
                    <w:t>类标</w:t>
                  </w:r>
                  <w:r>
                    <w:rPr>
                      <w:rFonts w:hint="default" w:ascii="Times New Roman" w:hAnsi="Times New Roman" w:cs="Times New Roman"/>
                      <w:color w:val="auto"/>
                      <w:spacing w:val="-10"/>
                      <w:sz w:val="21"/>
                      <w:szCs w:val="21"/>
                    </w:rPr>
                    <w:t>准</w:t>
                  </w:r>
                </w:p>
              </w:tc>
            </w:tr>
            <w:tr w14:paraId="4CBD4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847" w:type="dxa"/>
                  <w:vMerge w:val="restart"/>
                  <w:noWrap w:val="0"/>
                  <w:vAlign w:val="center"/>
                </w:tcPr>
                <w:p w14:paraId="0977D5D2">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lang w:val="en-US" w:eastAsia="zh-CN"/>
                    </w:rPr>
                  </w:pPr>
                  <w:r>
                    <w:rPr>
                      <w:rFonts w:hint="default" w:ascii="Times New Roman" w:hAnsi="Times New Roman" w:cs="Times New Roman"/>
                      <w:color w:val="auto"/>
                      <w:spacing w:val="-10"/>
                      <w:sz w:val="21"/>
                      <w:szCs w:val="21"/>
                    </w:rPr>
                    <w:t>声环境</w:t>
                  </w:r>
                </w:p>
              </w:tc>
              <w:tc>
                <w:tcPr>
                  <w:tcW w:w="877" w:type="dxa"/>
                  <w:noWrap w:val="0"/>
                  <w:vAlign w:val="center"/>
                </w:tcPr>
                <w:p w14:paraId="0AB76CB8">
                  <w:pPr>
                    <w:adjustRightInd w:val="0"/>
                    <w:jc w:val="center"/>
                    <w:textAlignment w:val="baseline"/>
                    <w:rPr>
                      <w:rFonts w:hint="default" w:ascii="Times New Roman" w:hAnsi="Times New Roman" w:cs="Times New Roman"/>
                      <w:color w:val="auto"/>
                      <w:sz w:val="21"/>
                      <w:szCs w:val="21"/>
                      <w:lang w:val="zh-CN"/>
                    </w:rPr>
                  </w:pPr>
                  <w:r>
                    <w:rPr>
                      <w:rFonts w:hint="eastAsia" w:cs="Times New Roman"/>
                      <w:color w:val="auto"/>
                      <w:sz w:val="21"/>
                      <w:szCs w:val="21"/>
                      <w:lang w:val="en-US" w:eastAsia="zh-CN"/>
                    </w:rPr>
                    <w:t>梧桐村</w:t>
                  </w:r>
                </w:p>
              </w:tc>
              <w:tc>
                <w:tcPr>
                  <w:tcW w:w="1983" w:type="dxa"/>
                  <w:noWrap w:val="0"/>
                  <w:vAlign w:val="center"/>
                </w:tcPr>
                <w:p w14:paraId="04D12808">
                  <w:pPr>
                    <w:spacing w:before="78" w:beforeLines="25" w:after="78" w:afterLines="25"/>
                    <w:jc w:val="center"/>
                    <w:rPr>
                      <w:rFonts w:hint="default" w:ascii="Times New Roman" w:hAnsi="Times New Roman" w:cs="Times New Roman"/>
                      <w:color w:val="auto"/>
                      <w:sz w:val="21"/>
                      <w:szCs w:val="21"/>
                      <w:lang w:val="zh-CN"/>
                    </w:rPr>
                  </w:pPr>
                  <w:r>
                    <w:rPr>
                      <w:rFonts w:hint="default" w:ascii="Times New Roman" w:hAnsi="Times New Roman" w:eastAsia="宋体" w:cs="Times New Roman"/>
                      <w:color w:val="auto"/>
                      <w:sz w:val="21"/>
                      <w:szCs w:val="21"/>
                      <w:lang w:val="en-US" w:eastAsia="zh-CN"/>
                    </w:rPr>
                    <w:t>103°15′40.348″</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25°43′36.427″</w:t>
                  </w:r>
                </w:p>
              </w:tc>
              <w:tc>
                <w:tcPr>
                  <w:tcW w:w="1086" w:type="dxa"/>
                  <w:noWrap w:val="0"/>
                  <w:vAlign w:val="center"/>
                </w:tcPr>
                <w:p w14:paraId="09B0BFAD">
                  <w:pPr>
                    <w:spacing w:before="78" w:beforeLines="25" w:after="78" w:afterLines="25"/>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en-US" w:eastAsia="zh-CN"/>
                    </w:rPr>
                    <w:t>西</w:t>
                  </w:r>
                  <w:r>
                    <w:rPr>
                      <w:rFonts w:hint="eastAsia" w:cs="Times New Roman"/>
                      <w:color w:val="auto"/>
                      <w:sz w:val="21"/>
                      <w:szCs w:val="21"/>
                      <w:lang w:val="en-US" w:eastAsia="zh-CN"/>
                    </w:rPr>
                    <w:t>侧10m、北侧5m</w:t>
                  </w:r>
                </w:p>
              </w:tc>
              <w:tc>
                <w:tcPr>
                  <w:tcW w:w="1165" w:type="dxa"/>
                  <w:noWrap w:val="0"/>
                  <w:vAlign w:val="center"/>
                </w:tcPr>
                <w:p w14:paraId="2BBC4AC8">
                  <w:pPr>
                    <w:spacing w:before="78" w:beforeLines="25" w:after="78" w:afterLine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500</w:t>
                  </w:r>
                  <w:r>
                    <w:rPr>
                      <w:rFonts w:hint="default" w:ascii="Times New Roman" w:hAnsi="Times New Roman" w:eastAsia="宋体" w:cs="Times New Roman"/>
                      <w:color w:val="auto"/>
                      <w:sz w:val="21"/>
                      <w:szCs w:val="21"/>
                      <w:lang w:val="en-US" w:eastAsia="zh-CN"/>
                    </w:rPr>
                    <w:t>户，</w:t>
                  </w:r>
                </w:p>
                <w:p w14:paraId="624FDE4C">
                  <w:pPr>
                    <w:spacing w:before="78" w:beforeLines="25" w:after="78" w:afterLines="25"/>
                    <w:jc w:val="center"/>
                    <w:rPr>
                      <w:rFonts w:hint="default" w:ascii="Times New Roman" w:hAnsi="Times New Roman" w:cs="Times New Roman"/>
                      <w:color w:val="auto"/>
                      <w:sz w:val="21"/>
                      <w:szCs w:val="21"/>
                      <w:lang w:val="zh-CN"/>
                    </w:rPr>
                  </w:pPr>
                  <w:r>
                    <w:rPr>
                      <w:rFonts w:hint="eastAsia" w:cs="Times New Roman"/>
                      <w:color w:val="auto"/>
                      <w:sz w:val="21"/>
                      <w:szCs w:val="21"/>
                      <w:lang w:val="en-US" w:eastAsia="zh-CN"/>
                    </w:rPr>
                    <w:t>2200</w:t>
                  </w:r>
                  <w:r>
                    <w:rPr>
                      <w:rFonts w:hint="default" w:ascii="Times New Roman" w:hAnsi="Times New Roman" w:eastAsia="宋体" w:cs="Times New Roman"/>
                      <w:color w:val="auto"/>
                      <w:sz w:val="21"/>
                      <w:szCs w:val="21"/>
                      <w:lang w:val="en-US" w:eastAsia="zh-CN"/>
                    </w:rPr>
                    <w:t>人</w:t>
                  </w:r>
                </w:p>
              </w:tc>
              <w:tc>
                <w:tcPr>
                  <w:tcW w:w="2559" w:type="dxa"/>
                  <w:vMerge w:val="restart"/>
                  <w:noWrap w:val="0"/>
                  <w:vAlign w:val="center"/>
                </w:tcPr>
                <w:p w14:paraId="43B1394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z w:val="21"/>
                      <w:szCs w:val="21"/>
                      <w:lang w:val="zh-CN"/>
                    </w:rPr>
                  </w:pPr>
                  <w:r>
                    <w:rPr>
                      <w:rFonts w:hint="default" w:ascii="Times New Roman" w:hAnsi="Times New Roman" w:cs="Times New Roman"/>
                      <w:color w:val="auto"/>
                      <w:spacing w:val="-10"/>
                      <w:sz w:val="21"/>
                      <w:szCs w:val="21"/>
                    </w:rPr>
                    <w:t>GB3096-2008《声环境质量标准》</w:t>
                  </w:r>
                  <w:r>
                    <w:rPr>
                      <w:rFonts w:hint="default" w:ascii="Times New Roman" w:hAnsi="Times New Roman" w:cs="Times New Roman"/>
                      <w:color w:val="auto"/>
                      <w:spacing w:val="-10"/>
                      <w:sz w:val="21"/>
                      <w:szCs w:val="21"/>
                      <w:lang w:val="en-US" w:eastAsia="zh-CN"/>
                    </w:rPr>
                    <w:t>2</w:t>
                  </w:r>
                  <w:r>
                    <w:rPr>
                      <w:rFonts w:hint="default" w:ascii="Times New Roman" w:hAnsi="Times New Roman" w:cs="Times New Roman"/>
                      <w:color w:val="auto"/>
                      <w:spacing w:val="-10"/>
                      <w:sz w:val="21"/>
                      <w:szCs w:val="21"/>
                    </w:rPr>
                    <w:t>类标准</w:t>
                  </w:r>
                </w:p>
              </w:tc>
            </w:tr>
            <w:tr w14:paraId="1738D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847" w:type="dxa"/>
                  <w:vMerge w:val="continue"/>
                  <w:noWrap w:val="0"/>
                  <w:vAlign w:val="center"/>
                </w:tcPr>
                <w:p w14:paraId="59BD6AAD">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p>
              </w:tc>
              <w:tc>
                <w:tcPr>
                  <w:tcW w:w="877" w:type="dxa"/>
                  <w:noWrap w:val="0"/>
                  <w:vAlign w:val="center"/>
                </w:tcPr>
                <w:p w14:paraId="6775AE69">
                  <w:pPr>
                    <w:adjustRightInd w:val="0"/>
                    <w:jc w:val="center"/>
                    <w:textAlignment w:val="baseline"/>
                    <w:rPr>
                      <w:rFonts w:hint="eastAsia" w:cs="Times New Roman"/>
                      <w:color w:val="auto"/>
                      <w:sz w:val="21"/>
                      <w:szCs w:val="21"/>
                      <w:lang w:val="en-US" w:eastAsia="zh-CN"/>
                    </w:rPr>
                  </w:pPr>
                  <w:r>
                    <w:rPr>
                      <w:rFonts w:hint="eastAsia" w:cs="Times New Roman"/>
                      <w:color w:val="auto"/>
                      <w:sz w:val="21"/>
                      <w:szCs w:val="21"/>
                      <w:lang w:val="en-US" w:eastAsia="zh-CN"/>
                    </w:rPr>
                    <w:t>菜地村</w:t>
                  </w:r>
                </w:p>
              </w:tc>
              <w:tc>
                <w:tcPr>
                  <w:tcW w:w="1983" w:type="dxa"/>
                  <w:noWrap w:val="0"/>
                  <w:vAlign w:val="center"/>
                </w:tcPr>
                <w:p w14:paraId="1B07AFF4">
                  <w:pPr>
                    <w:spacing w:before="78" w:beforeLines="25" w:after="78" w:afterLines="25"/>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103°15′33.473″</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25°43′21.186″</w:t>
                  </w:r>
                </w:p>
              </w:tc>
              <w:tc>
                <w:tcPr>
                  <w:tcW w:w="1086" w:type="dxa"/>
                  <w:noWrap w:val="0"/>
                  <w:vAlign w:val="center"/>
                </w:tcPr>
                <w:p w14:paraId="021A4CF4">
                  <w:pPr>
                    <w:spacing w:before="78" w:beforeLines="25" w:after="78" w:afterLines="25"/>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南侧7</w:t>
                  </w:r>
                  <w:r>
                    <w:rPr>
                      <w:rFonts w:hint="default" w:ascii="Times New Roman" w:hAnsi="Times New Roman" w:cs="Times New Roman"/>
                      <w:color w:val="auto"/>
                      <w:kern w:val="0"/>
                      <w:sz w:val="21"/>
                      <w:szCs w:val="21"/>
                      <w:lang w:val="en-US" w:eastAsia="zh-CN" w:bidi="ar"/>
                    </w:rPr>
                    <w:t>m</w:t>
                  </w:r>
                </w:p>
              </w:tc>
              <w:tc>
                <w:tcPr>
                  <w:tcW w:w="1165" w:type="dxa"/>
                  <w:noWrap w:val="0"/>
                  <w:vAlign w:val="center"/>
                </w:tcPr>
                <w:p w14:paraId="2B606AB7">
                  <w:pPr>
                    <w:spacing w:before="78" w:beforeLines="25" w:after="78" w:afterLines="25"/>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110</w:t>
                  </w:r>
                  <w:r>
                    <w:rPr>
                      <w:rFonts w:hint="default" w:ascii="Times New Roman" w:hAnsi="Times New Roman" w:eastAsia="宋体" w:cs="Times New Roman"/>
                      <w:color w:val="auto"/>
                      <w:sz w:val="21"/>
                      <w:szCs w:val="21"/>
                      <w:lang w:val="en-US" w:eastAsia="zh-CN"/>
                    </w:rPr>
                    <w:t>户，</w:t>
                  </w:r>
                </w:p>
                <w:p w14:paraId="7276EE56">
                  <w:pPr>
                    <w:spacing w:before="78" w:beforeLines="25" w:after="78" w:afterLines="25"/>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495</w:t>
                  </w:r>
                  <w:r>
                    <w:rPr>
                      <w:rFonts w:hint="default" w:ascii="Times New Roman" w:hAnsi="Times New Roman" w:eastAsia="宋体" w:cs="Times New Roman"/>
                      <w:color w:val="auto"/>
                      <w:sz w:val="21"/>
                      <w:szCs w:val="21"/>
                      <w:lang w:val="en-US" w:eastAsia="zh-CN"/>
                    </w:rPr>
                    <w:t>人</w:t>
                  </w:r>
                </w:p>
              </w:tc>
              <w:tc>
                <w:tcPr>
                  <w:tcW w:w="2559" w:type="dxa"/>
                  <w:vMerge w:val="continue"/>
                  <w:noWrap w:val="0"/>
                  <w:vAlign w:val="center"/>
                </w:tcPr>
                <w:p w14:paraId="1431E43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p>
              </w:tc>
            </w:tr>
            <w:tr w14:paraId="18AAC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847" w:type="dxa"/>
                  <w:noWrap w:val="0"/>
                  <w:vAlign w:val="center"/>
                </w:tcPr>
                <w:p w14:paraId="6F4EB21B">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eastAsia="宋体" w:cs="Times New Roman"/>
                      <w:color w:val="auto"/>
                      <w:spacing w:val="-10"/>
                      <w:sz w:val="21"/>
                      <w:szCs w:val="21"/>
                      <w:lang w:val="en-US" w:eastAsia="zh-CN"/>
                    </w:rPr>
                  </w:pPr>
                  <w:r>
                    <w:rPr>
                      <w:rFonts w:hint="default" w:ascii="Times New Roman" w:hAnsi="Times New Roman" w:cs="Times New Roman"/>
                      <w:color w:val="auto"/>
                      <w:spacing w:val="-10"/>
                      <w:sz w:val="21"/>
                      <w:szCs w:val="21"/>
                      <w:lang w:val="en-US" w:eastAsia="zh-CN"/>
                    </w:rPr>
                    <w:t>地下水</w:t>
                  </w:r>
                </w:p>
              </w:tc>
              <w:tc>
                <w:tcPr>
                  <w:tcW w:w="5111" w:type="dxa"/>
                  <w:gridSpan w:val="4"/>
                  <w:noWrap w:val="0"/>
                  <w:vAlign w:val="center"/>
                </w:tcPr>
                <w:p w14:paraId="207EFD6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z w:val="21"/>
                      <w:szCs w:val="21"/>
                      <w:lang w:val="zh-CN"/>
                    </w:rPr>
                  </w:pPr>
                  <w:r>
                    <w:rPr>
                      <w:rFonts w:hint="default" w:ascii="Times New Roman" w:hAnsi="Times New Roman" w:cs="Times New Roman"/>
                      <w:color w:val="auto"/>
                      <w:kern w:val="0"/>
                      <w:szCs w:val="21"/>
                      <w:lang w:val="en-US" w:eastAsia="zh-CN"/>
                    </w:rPr>
                    <w:t>项目</w:t>
                  </w:r>
                  <w:r>
                    <w:rPr>
                      <w:rFonts w:hint="eastAsia" w:cs="Times New Roman"/>
                      <w:color w:val="auto"/>
                      <w:kern w:val="0"/>
                      <w:szCs w:val="21"/>
                      <w:lang w:val="en-US" w:eastAsia="zh-CN"/>
                    </w:rPr>
                    <w:t>涉及的</w:t>
                  </w:r>
                  <w:r>
                    <w:rPr>
                      <w:rFonts w:hint="default" w:ascii="Times New Roman" w:hAnsi="Times New Roman" w:cs="Times New Roman"/>
                      <w:color w:val="auto"/>
                      <w:kern w:val="0"/>
                      <w:szCs w:val="21"/>
                      <w:lang w:val="en-US" w:eastAsia="zh-CN"/>
                    </w:rPr>
                    <w:t>地下水含水层</w:t>
                  </w:r>
                </w:p>
              </w:tc>
              <w:tc>
                <w:tcPr>
                  <w:tcW w:w="2559" w:type="dxa"/>
                  <w:noWrap w:val="0"/>
                  <w:vAlign w:val="center"/>
                </w:tcPr>
                <w:p w14:paraId="6CCC05FE">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r>
                    <w:rPr>
                      <w:rFonts w:hint="default" w:ascii="Times New Roman" w:hAnsi="Times New Roman" w:cs="Times New Roman"/>
                      <w:color w:val="auto"/>
                      <w:sz w:val="21"/>
                      <w:szCs w:val="21"/>
                      <w:lang w:val="zh-CN"/>
                    </w:rPr>
                    <w:t>执行《地下水质量标准》（GB/T14848-93）中</w:t>
                  </w:r>
                  <w:r>
                    <w:rPr>
                      <w:rFonts w:hint="eastAsia" w:ascii="Times New Roman" w:hAnsi="Times New Roman" w:cs="Times New Roman"/>
                      <w:color w:val="auto"/>
                      <w:spacing w:val="-10"/>
                      <w:sz w:val="21"/>
                      <w:szCs w:val="21"/>
                      <w:lang w:val="en-US" w:eastAsia="zh-CN"/>
                    </w:rPr>
                    <w:t>Ⅱ</w:t>
                  </w:r>
                  <w:r>
                    <w:rPr>
                      <w:rFonts w:hint="default" w:ascii="Times New Roman" w:hAnsi="Times New Roman" w:cs="Times New Roman"/>
                      <w:color w:val="auto"/>
                      <w:spacing w:val="-10"/>
                      <w:sz w:val="21"/>
                      <w:szCs w:val="21"/>
                      <w:lang w:val="zh-CN"/>
                    </w:rPr>
                    <w:t>类</w:t>
                  </w:r>
                  <w:r>
                    <w:rPr>
                      <w:rFonts w:hint="default" w:ascii="Times New Roman" w:hAnsi="Times New Roman" w:cs="Times New Roman"/>
                      <w:color w:val="auto"/>
                      <w:sz w:val="21"/>
                      <w:szCs w:val="21"/>
                      <w:lang w:val="zh-CN"/>
                    </w:rPr>
                    <w:t>标准</w:t>
                  </w:r>
                </w:p>
              </w:tc>
            </w:tr>
            <w:tr w14:paraId="1A4A4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4" w:hRule="atLeast"/>
                <w:jc w:val="center"/>
              </w:trPr>
              <w:tc>
                <w:tcPr>
                  <w:tcW w:w="847" w:type="dxa"/>
                  <w:noWrap w:val="0"/>
                  <w:vAlign w:val="center"/>
                </w:tcPr>
                <w:p w14:paraId="6918CED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eastAsia="宋体" w:cs="Times New Roman"/>
                      <w:color w:val="auto"/>
                      <w:spacing w:val="-10"/>
                      <w:sz w:val="21"/>
                      <w:szCs w:val="21"/>
                      <w:lang w:val="en-US" w:eastAsia="zh-CN"/>
                    </w:rPr>
                  </w:pPr>
                  <w:r>
                    <w:rPr>
                      <w:rFonts w:hint="default" w:ascii="Times New Roman" w:hAnsi="Times New Roman" w:cs="Times New Roman"/>
                      <w:color w:val="auto"/>
                      <w:spacing w:val="-10"/>
                      <w:sz w:val="21"/>
                      <w:szCs w:val="21"/>
                      <w:lang w:val="en-US" w:eastAsia="zh-CN"/>
                    </w:rPr>
                    <w:t>土壤</w:t>
                  </w:r>
                </w:p>
              </w:tc>
              <w:tc>
                <w:tcPr>
                  <w:tcW w:w="5111" w:type="dxa"/>
                  <w:gridSpan w:val="4"/>
                  <w:noWrap w:val="0"/>
                  <w:vAlign w:val="center"/>
                </w:tcPr>
                <w:p w14:paraId="10509139">
                  <w:pPr>
                    <w:keepNext w:val="0"/>
                    <w:keepLines w:val="0"/>
                    <w:widowControl/>
                    <w:suppressLineNumbers w:val="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项目</w:t>
                  </w:r>
                  <w:r>
                    <w:rPr>
                      <w:rFonts w:hint="default" w:ascii="Times New Roman" w:hAnsi="Times New Roman" w:cs="Times New Roman"/>
                      <w:color w:val="auto"/>
                      <w:sz w:val="21"/>
                      <w:szCs w:val="21"/>
                      <w:lang w:val="en-US" w:eastAsia="zh-CN"/>
                    </w:rPr>
                    <w:t>区范围内</w:t>
                  </w:r>
                </w:p>
              </w:tc>
              <w:tc>
                <w:tcPr>
                  <w:tcW w:w="2559" w:type="dxa"/>
                  <w:noWrap w:val="0"/>
                  <w:vAlign w:val="center"/>
                </w:tcPr>
                <w:p w14:paraId="534F3BE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textAlignment w:val="baseline"/>
                    <w:rPr>
                      <w:rFonts w:hint="default" w:ascii="Times New Roman" w:hAnsi="Times New Roman" w:cs="Times New Roman"/>
                      <w:color w:val="auto"/>
                      <w:spacing w:val="-10"/>
                      <w:sz w:val="21"/>
                      <w:szCs w:val="21"/>
                    </w:rPr>
                  </w:pPr>
                  <w:r>
                    <w:rPr>
                      <w:rFonts w:hint="default" w:ascii="Times New Roman" w:hAnsi="Times New Roman" w:cs="Times New Roman"/>
                      <w:color w:val="auto"/>
                      <w:szCs w:val="21"/>
                    </w:rPr>
                    <w:t>《土壤环境质量 建设用地土壤污染风险管控标准（试行）》（GB36600-2018）第二类用地标准</w:t>
                  </w:r>
                </w:p>
              </w:tc>
            </w:tr>
          </w:tbl>
          <w:p w14:paraId="0EB8B680">
            <w:pPr>
              <w:pStyle w:val="26"/>
              <w:numPr>
                <w:ilvl w:val="0"/>
                <w:numId w:val="0"/>
              </w:numPr>
              <w:rPr>
                <w:rFonts w:hint="default" w:ascii="Times New Roman" w:hAnsi="Times New Roman" w:cs="Times New Roman"/>
                <w:color w:val="auto"/>
              </w:rPr>
            </w:pPr>
          </w:p>
        </w:tc>
      </w:tr>
      <w:tr w14:paraId="57FB2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47" w:type="dxa"/>
            <w:noWrap w:val="0"/>
            <w:tcMar>
              <w:left w:w="28" w:type="dxa"/>
              <w:right w:w="28" w:type="dxa"/>
            </w:tcMar>
            <w:vAlign w:val="center"/>
          </w:tcPr>
          <w:p w14:paraId="707A441B">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污染</w:t>
            </w:r>
          </w:p>
          <w:p w14:paraId="2D41E2F2">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物排</w:t>
            </w:r>
          </w:p>
          <w:p w14:paraId="3AFABCA7">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放控</w:t>
            </w:r>
          </w:p>
          <w:p w14:paraId="4A81C88E">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制标</w:t>
            </w:r>
          </w:p>
          <w:p w14:paraId="2109F1B9">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准</w:t>
            </w:r>
          </w:p>
        </w:tc>
        <w:tc>
          <w:tcPr>
            <w:tcW w:w="8672" w:type="dxa"/>
            <w:noWrap w:val="0"/>
            <w:vAlign w:val="center"/>
          </w:tcPr>
          <w:p w14:paraId="5E936DF2">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废气</w:t>
            </w:r>
          </w:p>
          <w:p w14:paraId="73E01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（1）施工期</w:t>
            </w:r>
          </w:p>
          <w:p w14:paraId="228ABAAA">
            <w:pPr>
              <w:pStyle w:val="47"/>
              <w:keepNext w:val="0"/>
              <w:keepLines w:val="0"/>
              <w:pageBreakBefore w:val="0"/>
              <w:widowControl w:val="0"/>
              <w:kinsoku/>
              <w:wordWrap/>
              <w:overflowPunct/>
              <w:topLinePunct w:val="0"/>
              <w:autoSpaceDE/>
              <w:autoSpaceDN/>
              <w:bidi w:val="0"/>
              <w:adjustRightInd/>
              <w:snapToGrid/>
              <w:spacing w:before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建筑施工粉尘执行GB16297-1996《大气污染物综合排放标准》，无组织排放颗粒物周界最大浓度≤1.0mg/m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详见表</w:t>
            </w:r>
            <w:r>
              <w:rPr>
                <w:rFonts w:hint="default" w:ascii="Times New Roman" w:hAnsi="Times New Roman" w:eastAsia="宋体"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w:t>
            </w:r>
          </w:p>
          <w:p w14:paraId="0B650F50">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7</w:t>
            </w:r>
            <w:r>
              <w:rPr>
                <w:rFonts w:hint="default" w:ascii="Times New Roman" w:hAnsi="Times New Roman" w:cs="Times New Roman"/>
                <w:b/>
                <w:color w:val="auto"/>
                <w:sz w:val="21"/>
                <w:szCs w:val="21"/>
              </w:rPr>
              <w:t xml:space="preserve">  《大气污染物综合排放标准》（GB16279-1996）</w:t>
            </w:r>
          </w:p>
          <w:tbl>
            <w:tblPr>
              <w:tblStyle w:val="27"/>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230"/>
              <w:gridCol w:w="1169"/>
              <w:gridCol w:w="918"/>
              <w:gridCol w:w="1732"/>
              <w:gridCol w:w="1646"/>
            </w:tblGrid>
            <w:tr w14:paraId="65E7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303" w:type="dxa"/>
                  <w:noWrap w:val="0"/>
                  <w:vAlign w:val="center"/>
                </w:tcPr>
                <w:p w14:paraId="5E59AC39">
                  <w:pPr>
                    <w:pStyle w:val="17"/>
                    <w:snapToGrid/>
                    <w:spacing w:line="24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1230" w:type="dxa"/>
                  <w:noWrap w:val="0"/>
                  <w:vAlign w:val="center"/>
                </w:tcPr>
                <w:p w14:paraId="18E7A025">
                  <w:pPr>
                    <w:pStyle w:val="17"/>
                    <w:snapToGrid/>
                    <w:spacing w:line="24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169" w:type="dxa"/>
                  <w:noWrap w:val="0"/>
                  <w:vAlign w:val="center"/>
                </w:tcPr>
                <w:p w14:paraId="07997B76">
                  <w:pPr>
                    <w:pStyle w:val="17"/>
                    <w:snapToGrid/>
                    <w:spacing w:line="24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排放速率（kg/h）</w:t>
                  </w:r>
                </w:p>
              </w:tc>
              <w:tc>
                <w:tcPr>
                  <w:tcW w:w="918" w:type="dxa"/>
                  <w:noWrap w:val="0"/>
                  <w:vAlign w:val="center"/>
                </w:tcPr>
                <w:p w14:paraId="23BA48AD">
                  <w:pPr>
                    <w:pStyle w:val="17"/>
                    <w:snapToGrid/>
                    <w:spacing w:line="24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排气筒高度（m）</w:t>
                  </w:r>
                </w:p>
              </w:tc>
              <w:tc>
                <w:tcPr>
                  <w:tcW w:w="1732" w:type="dxa"/>
                  <w:noWrap w:val="0"/>
                  <w:vAlign w:val="center"/>
                </w:tcPr>
                <w:p w14:paraId="36A8FE45">
                  <w:pPr>
                    <w:pStyle w:val="17"/>
                    <w:snapToGrid/>
                    <w:spacing w:line="24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646" w:type="dxa"/>
                  <w:noWrap w:val="0"/>
                  <w:vAlign w:val="center"/>
                </w:tcPr>
                <w:p w14:paraId="712E42B3">
                  <w:pPr>
                    <w:pStyle w:val="17"/>
                    <w:snapToGrid/>
                    <w:spacing w:line="24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标准来源</w:t>
                  </w:r>
                </w:p>
              </w:tc>
            </w:tr>
            <w:tr w14:paraId="00B3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03" w:type="dxa"/>
                  <w:noWrap w:val="0"/>
                  <w:vAlign w:val="center"/>
                </w:tcPr>
                <w:p w14:paraId="74614302">
                  <w:pPr>
                    <w:pStyle w:val="17"/>
                    <w:snapToGrid/>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230" w:type="dxa"/>
                  <w:noWrap w:val="0"/>
                  <w:vAlign w:val="center"/>
                </w:tcPr>
                <w:p w14:paraId="26119E36">
                  <w:pPr>
                    <w:pStyle w:val="17"/>
                    <w:snapToGrid/>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69" w:type="dxa"/>
                  <w:noWrap w:val="0"/>
                  <w:vAlign w:val="center"/>
                </w:tcPr>
                <w:p w14:paraId="491B9B7C">
                  <w:pPr>
                    <w:pStyle w:val="17"/>
                    <w:snapToGrid/>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8" w:type="dxa"/>
                  <w:noWrap w:val="0"/>
                  <w:vAlign w:val="center"/>
                </w:tcPr>
                <w:p w14:paraId="6415E524">
                  <w:pPr>
                    <w:pStyle w:val="17"/>
                    <w:snapToGrid/>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32" w:type="dxa"/>
                  <w:noWrap w:val="0"/>
                  <w:vAlign w:val="center"/>
                </w:tcPr>
                <w:p w14:paraId="56B9766F">
                  <w:pPr>
                    <w:pStyle w:val="17"/>
                    <w:snapToGrid/>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46" w:type="dxa"/>
                  <w:noWrap w:val="0"/>
                  <w:vAlign w:val="center"/>
                </w:tcPr>
                <w:p w14:paraId="7796122D">
                  <w:pPr>
                    <w:pStyle w:val="17"/>
                    <w:snapToGrid/>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GB16297-1996</w:t>
                  </w:r>
                </w:p>
              </w:tc>
            </w:tr>
          </w:tbl>
          <w:p w14:paraId="170B82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运营期</w:t>
            </w:r>
          </w:p>
          <w:p w14:paraId="2ECBAE18">
            <w:pPr>
              <w:widowControl/>
              <w:spacing w:line="360" w:lineRule="auto"/>
              <w:ind w:firstLine="480" w:firstLineChars="200"/>
              <w:jc w:val="left"/>
              <w:rPr>
                <w:rFonts w:hint="default" w:ascii="Times New Roman" w:hAnsi="Times New Roman" w:eastAsia="宋体" w:cs="Times New Roman"/>
                <w:color w:val="auto"/>
                <w:sz w:val="24"/>
                <w:szCs w:val="24"/>
              </w:rPr>
            </w:pPr>
            <w:r>
              <w:rPr>
                <w:rFonts w:hint="default" w:ascii="Calibri" w:hAnsi="Calibri" w:eastAsia="宋体" w:cs="Calibri"/>
                <w:color w:val="auto"/>
                <w:sz w:val="24"/>
                <w:szCs w:val="24"/>
              </w:rPr>
              <w:t>①</w:t>
            </w:r>
            <w:r>
              <w:rPr>
                <w:rFonts w:hint="default" w:ascii="Times New Roman" w:hAnsi="Times New Roman" w:eastAsia="宋体" w:cs="Times New Roman"/>
                <w:color w:val="auto"/>
                <w:sz w:val="24"/>
                <w:szCs w:val="24"/>
              </w:rPr>
              <w:t>项目运营期厂区内无组织</w:t>
            </w:r>
            <w:r>
              <w:rPr>
                <w:rFonts w:hint="default" w:ascii="Times New Roman" w:hAnsi="Times New Roman" w:cs="Times New Roman"/>
                <w:color w:val="auto"/>
                <w:sz w:val="24"/>
                <w:szCs w:val="24"/>
                <w:lang w:val="en-US" w:eastAsia="zh-CN"/>
              </w:rPr>
              <w:t>挥发性有机物（非甲烷总烃）</w:t>
            </w:r>
            <w:r>
              <w:rPr>
                <w:rFonts w:hint="default" w:ascii="Times New Roman" w:hAnsi="Times New Roman" w:eastAsia="宋体" w:cs="Times New Roman"/>
                <w:color w:val="auto"/>
                <w:sz w:val="24"/>
                <w:szCs w:val="24"/>
              </w:rPr>
              <w:t>执行《挥发性有机物无组织排放控制标准》（GB37822—2019）中表 A.1 排放限值，标准值见表</w:t>
            </w:r>
            <w:r>
              <w:rPr>
                <w:rFonts w:hint="default" w:ascii="Times New Roman" w:hAnsi="Times New Roman" w:eastAsia="宋体" w:cs="Times New Roman"/>
                <w:color w:val="auto"/>
                <w:sz w:val="24"/>
                <w:szCs w:val="24"/>
                <w:lang w:val="en-US" w:eastAsia="zh-CN"/>
              </w:rPr>
              <w:t>3</w:t>
            </w:r>
            <w:r>
              <w:rPr>
                <w:rFonts w:hint="default" w:ascii="Times New Roman" w:hAnsi="Times New Roman" w:cs="Times New Roman"/>
                <w:color w:val="auto"/>
                <w:sz w:val="24"/>
                <w:szCs w:val="24"/>
              </w:rPr>
              <w:t>-</w:t>
            </w:r>
            <w:r>
              <w:rPr>
                <w:rFonts w:hint="eastAsia" w:cs="Times New Roman"/>
                <w:color w:val="auto"/>
                <w:sz w:val="24"/>
                <w:szCs w:val="24"/>
                <w:lang w:val="en-US" w:eastAsia="zh-CN"/>
              </w:rPr>
              <w:t>8</w:t>
            </w:r>
            <w:r>
              <w:rPr>
                <w:rFonts w:hint="default" w:ascii="Times New Roman" w:hAnsi="Times New Roman" w:cs="Times New Roman"/>
                <w:color w:val="auto"/>
                <w:kern w:val="0"/>
                <w:sz w:val="24"/>
                <w:lang w:bidi="ar"/>
              </w:rPr>
              <w:t>。</w:t>
            </w:r>
          </w:p>
          <w:p w14:paraId="2C4C195D">
            <w:pPr>
              <w:pStyle w:val="48"/>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 xml:space="preserve">  挥发性有机物无组织排放控制标准限值</w:t>
            </w:r>
          </w:p>
          <w:tbl>
            <w:tblPr>
              <w:tblStyle w:val="27"/>
              <w:tblW w:w="8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297"/>
              <w:gridCol w:w="2612"/>
              <w:gridCol w:w="2224"/>
            </w:tblGrid>
            <w:tr w14:paraId="192D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14:paraId="6778855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297" w:type="dxa"/>
                  <w:tcBorders>
                    <w:top w:val="single" w:color="auto" w:sz="4" w:space="0"/>
                    <w:left w:val="nil"/>
                    <w:bottom w:val="single" w:color="auto" w:sz="4" w:space="0"/>
                    <w:right w:val="single" w:color="auto" w:sz="4" w:space="0"/>
                  </w:tcBorders>
                  <w:noWrap w:val="0"/>
                  <w:vAlign w:val="center"/>
                </w:tcPr>
                <w:p w14:paraId="1B757B50">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排放限值</w:t>
                  </w:r>
                </w:p>
                <w:p w14:paraId="464CD77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2612" w:type="dxa"/>
                  <w:tcBorders>
                    <w:top w:val="single" w:color="auto" w:sz="4" w:space="0"/>
                    <w:left w:val="nil"/>
                    <w:bottom w:val="single" w:color="auto" w:sz="4" w:space="0"/>
                    <w:right w:val="single" w:color="auto" w:sz="4" w:space="0"/>
                  </w:tcBorders>
                  <w:noWrap w:val="0"/>
                  <w:vAlign w:val="center"/>
                </w:tcPr>
                <w:p w14:paraId="79E178D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限值含义</w:t>
                  </w:r>
                </w:p>
              </w:tc>
              <w:tc>
                <w:tcPr>
                  <w:tcW w:w="2224" w:type="dxa"/>
                  <w:tcBorders>
                    <w:top w:val="single" w:color="auto" w:sz="4" w:space="0"/>
                    <w:left w:val="nil"/>
                    <w:bottom w:val="single" w:color="auto" w:sz="4" w:space="0"/>
                    <w:right w:val="single" w:color="auto" w:sz="4" w:space="0"/>
                  </w:tcBorders>
                  <w:noWrap w:val="0"/>
                  <w:vAlign w:val="center"/>
                </w:tcPr>
                <w:p w14:paraId="1B1AC4B0">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无组织排放监控位置</w:t>
                  </w:r>
                </w:p>
              </w:tc>
            </w:tr>
            <w:tr w14:paraId="3D22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46" w:type="dxa"/>
                  <w:vMerge w:val="restart"/>
                  <w:tcBorders>
                    <w:top w:val="nil"/>
                    <w:left w:val="single" w:color="auto" w:sz="4" w:space="0"/>
                    <w:bottom w:val="single" w:color="auto" w:sz="4" w:space="0"/>
                    <w:right w:val="single" w:color="auto" w:sz="4" w:space="0"/>
                  </w:tcBorders>
                  <w:noWrap w:val="0"/>
                  <w:vAlign w:val="center"/>
                </w:tcPr>
                <w:p w14:paraId="184B12E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挥发性有机物</w:t>
                  </w:r>
                </w:p>
              </w:tc>
              <w:tc>
                <w:tcPr>
                  <w:tcW w:w="1297" w:type="dxa"/>
                  <w:tcBorders>
                    <w:top w:val="single" w:color="auto" w:sz="4" w:space="0"/>
                    <w:left w:val="nil"/>
                    <w:bottom w:val="single" w:color="auto" w:sz="4" w:space="0"/>
                    <w:right w:val="single" w:color="auto" w:sz="4" w:space="0"/>
                  </w:tcBorders>
                  <w:noWrap w:val="0"/>
                  <w:vAlign w:val="center"/>
                </w:tcPr>
                <w:p w14:paraId="586E778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612" w:type="dxa"/>
                  <w:tcBorders>
                    <w:top w:val="single" w:color="auto" w:sz="4" w:space="0"/>
                    <w:left w:val="nil"/>
                    <w:bottom w:val="single" w:color="auto" w:sz="4" w:space="0"/>
                    <w:right w:val="single" w:color="auto" w:sz="4" w:space="0"/>
                  </w:tcBorders>
                  <w:noWrap w:val="0"/>
                  <w:vAlign w:val="center"/>
                </w:tcPr>
                <w:p w14:paraId="3BF70DA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监控点处1h平均浓度值</w:t>
                  </w:r>
                </w:p>
              </w:tc>
              <w:tc>
                <w:tcPr>
                  <w:tcW w:w="2224" w:type="dxa"/>
                  <w:vMerge w:val="restart"/>
                  <w:tcBorders>
                    <w:top w:val="nil"/>
                    <w:left w:val="nil"/>
                    <w:bottom w:val="single" w:color="auto" w:sz="4" w:space="0"/>
                    <w:right w:val="single" w:color="auto" w:sz="4" w:space="0"/>
                  </w:tcBorders>
                  <w:noWrap w:val="0"/>
                  <w:vAlign w:val="center"/>
                </w:tcPr>
                <w:p w14:paraId="6E84ABD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厂房外设置监控点</w:t>
                  </w:r>
                </w:p>
              </w:tc>
            </w:tr>
            <w:tr w14:paraId="4410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046" w:type="dxa"/>
                  <w:vMerge w:val="continue"/>
                  <w:tcBorders>
                    <w:top w:val="nil"/>
                    <w:left w:val="single" w:color="auto" w:sz="4" w:space="0"/>
                    <w:bottom w:val="single" w:color="auto" w:sz="4" w:space="0"/>
                    <w:right w:val="single" w:color="auto" w:sz="4" w:space="0"/>
                  </w:tcBorders>
                  <w:noWrap w:val="0"/>
                  <w:vAlign w:val="center"/>
                </w:tcPr>
                <w:p w14:paraId="0702076D">
                  <w:pPr>
                    <w:rPr>
                      <w:rFonts w:hint="default" w:ascii="Times New Roman" w:hAnsi="Times New Roman" w:cs="Times New Roman"/>
                      <w:color w:val="auto"/>
                      <w:sz w:val="21"/>
                      <w:szCs w:val="21"/>
                    </w:rPr>
                  </w:pPr>
                </w:p>
              </w:tc>
              <w:tc>
                <w:tcPr>
                  <w:tcW w:w="1297" w:type="dxa"/>
                  <w:tcBorders>
                    <w:top w:val="single" w:color="auto" w:sz="4" w:space="0"/>
                    <w:left w:val="nil"/>
                    <w:bottom w:val="single" w:color="auto" w:sz="4" w:space="0"/>
                    <w:right w:val="single" w:color="auto" w:sz="4" w:space="0"/>
                  </w:tcBorders>
                  <w:noWrap w:val="0"/>
                  <w:vAlign w:val="center"/>
                </w:tcPr>
                <w:p w14:paraId="6B476D2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2612" w:type="dxa"/>
                  <w:tcBorders>
                    <w:top w:val="single" w:color="auto" w:sz="4" w:space="0"/>
                    <w:left w:val="nil"/>
                    <w:bottom w:val="single" w:color="auto" w:sz="4" w:space="0"/>
                    <w:right w:val="single" w:color="auto" w:sz="4" w:space="0"/>
                  </w:tcBorders>
                  <w:noWrap w:val="0"/>
                  <w:vAlign w:val="center"/>
                </w:tcPr>
                <w:p w14:paraId="2D6173A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监控点处任意一次浓度值</w:t>
                  </w:r>
                </w:p>
              </w:tc>
              <w:tc>
                <w:tcPr>
                  <w:tcW w:w="2224" w:type="dxa"/>
                  <w:vMerge w:val="continue"/>
                  <w:tcBorders>
                    <w:top w:val="nil"/>
                    <w:left w:val="nil"/>
                    <w:bottom w:val="single" w:color="auto" w:sz="4" w:space="0"/>
                    <w:right w:val="single" w:color="auto" w:sz="4" w:space="0"/>
                  </w:tcBorders>
                  <w:noWrap w:val="0"/>
                  <w:vAlign w:val="center"/>
                </w:tcPr>
                <w:p w14:paraId="154BFF31">
                  <w:pPr>
                    <w:rPr>
                      <w:rFonts w:hint="default" w:ascii="Times New Roman" w:hAnsi="Times New Roman" w:cs="Times New Roman"/>
                      <w:color w:val="auto"/>
                      <w:sz w:val="21"/>
                      <w:szCs w:val="21"/>
                    </w:rPr>
                  </w:pPr>
                </w:p>
              </w:tc>
            </w:tr>
          </w:tbl>
          <w:p w14:paraId="3A4209A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cs="Times New Roman"/>
                <w:color w:val="auto"/>
                <w:kern w:val="0"/>
                <w:sz w:val="24"/>
                <w:lang w:bidi="ar"/>
              </w:rPr>
              <w:t>企业边界油气浓度无组织排放限值</w:t>
            </w:r>
            <w:r>
              <w:rPr>
                <w:rFonts w:hint="default" w:ascii="Times New Roman" w:hAnsi="Times New Roman" w:eastAsia="宋体" w:cs="Times New Roman"/>
                <w:color w:val="auto"/>
                <w:sz w:val="24"/>
                <w:szCs w:val="24"/>
              </w:rPr>
              <w:t>执行《加油站大气污染物排放标准》（GB20952-2020）中的相关标准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详见表</w:t>
            </w:r>
            <w:r>
              <w:rPr>
                <w:rFonts w:hint="default" w:ascii="Times New Roman" w:hAnsi="Times New Roman" w:eastAsia="宋体" w:cs="Times New Roman"/>
                <w:color w:val="auto"/>
                <w:sz w:val="24"/>
                <w:szCs w:val="24"/>
                <w:lang w:val="en-US" w:eastAsia="zh-CN"/>
              </w:rPr>
              <w:t>3</w:t>
            </w:r>
            <w:r>
              <w:rPr>
                <w:rFonts w:hint="default" w:ascii="Times New Roman" w:hAnsi="Times New Roman" w:cs="Times New Roman"/>
                <w:color w:val="auto"/>
                <w:sz w:val="24"/>
                <w:szCs w:val="24"/>
              </w:rPr>
              <w:t>-</w:t>
            </w:r>
            <w:r>
              <w:rPr>
                <w:rFonts w:hint="eastAsia" w:cs="Times New Roman"/>
                <w:color w:val="auto"/>
                <w:sz w:val="24"/>
                <w:szCs w:val="24"/>
                <w:lang w:val="en-US" w:eastAsia="zh-CN"/>
              </w:rPr>
              <w:t>9</w:t>
            </w:r>
            <w:r>
              <w:rPr>
                <w:rFonts w:hint="default" w:ascii="Times New Roman" w:hAnsi="Times New Roman" w:cs="Times New Roman"/>
                <w:color w:val="auto"/>
                <w:kern w:val="0"/>
                <w:sz w:val="24"/>
                <w:lang w:bidi="ar"/>
              </w:rPr>
              <w:t>。</w:t>
            </w:r>
          </w:p>
          <w:p w14:paraId="20AC432D">
            <w:pPr>
              <w:spacing w:line="240" w:lineRule="auto"/>
              <w:jc w:val="center"/>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eastAsia="宋体" w:cs="Times New Roman"/>
                <w:b/>
                <w:bCs w:val="0"/>
                <w:color w:val="auto"/>
                <w:kern w:val="0"/>
                <w:sz w:val="21"/>
                <w:szCs w:val="21"/>
                <w:lang w:val="en-US" w:eastAsia="zh-CN" w:bidi="ar-SA"/>
              </w:rPr>
              <w:t>表3-</w:t>
            </w:r>
            <w:r>
              <w:rPr>
                <w:rFonts w:hint="eastAsia" w:cs="Times New Roman"/>
                <w:b/>
                <w:bCs w:val="0"/>
                <w:color w:val="auto"/>
                <w:kern w:val="0"/>
                <w:sz w:val="21"/>
                <w:szCs w:val="21"/>
                <w:lang w:val="en-US" w:eastAsia="zh-CN" w:bidi="ar-SA"/>
              </w:rPr>
              <w:t>9</w:t>
            </w:r>
            <w:r>
              <w:rPr>
                <w:rFonts w:hint="default" w:ascii="Times New Roman" w:hAnsi="Times New Roman" w:eastAsia="宋体" w:cs="Times New Roman"/>
                <w:b/>
                <w:bCs w:val="0"/>
                <w:color w:val="auto"/>
                <w:kern w:val="0"/>
                <w:sz w:val="21"/>
                <w:szCs w:val="21"/>
                <w:lang w:val="en-US" w:eastAsia="zh-CN" w:bidi="ar-SA"/>
              </w:rPr>
              <w:t xml:space="preserve">  油气浓度无组织排放限值</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200"/>
              <w:gridCol w:w="2683"/>
              <w:gridCol w:w="2683"/>
            </w:tblGrid>
            <w:tr w14:paraId="297B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13" w:type="dxa"/>
                  <w:noWrap w:val="0"/>
                  <w:vAlign w:val="center"/>
                </w:tcPr>
                <w:p w14:paraId="1D1FE43C">
                  <w:pPr>
                    <w:pStyle w:val="11"/>
                    <w:spacing w:after="0"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污染物</w:t>
                  </w:r>
                  <w:r>
                    <w:rPr>
                      <w:rFonts w:hint="default" w:ascii="Times New Roman" w:hAnsi="Times New Roman" w:eastAsia="宋体" w:cs="Times New Roman"/>
                      <w:b/>
                      <w:bCs w:val="0"/>
                      <w:color w:val="auto"/>
                      <w:sz w:val="21"/>
                      <w:szCs w:val="21"/>
                    </w:rPr>
                    <w:t>项目</w:t>
                  </w:r>
                </w:p>
              </w:tc>
              <w:tc>
                <w:tcPr>
                  <w:tcW w:w="1200" w:type="dxa"/>
                  <w:noWrap w:val="0"/>
                  <w:vAlign w:val="center"/>
                </w:tcPr>
                <w:p w14:paraId="26221ABF">
                  <w:pPr>
                    <w:pStyle w:val="11"/>
                    <w:spacing w:after="0"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排放限值</w:t>
                  </w:r>
                </w:p>
              </w:tc>
              <w:tc>
                <w:tcPr>
                  <w:tcW w:w="2683" w:type="dxa"/>
                  <w:noWrap w:val="0"/>
                  <w:vAlign w:val="center"/>
                </w:tcPr>
                <w:p w14:paraId="0643FD75">
                  <w:pPr>
                    <w:pStyle w:val="11"/>
                    <w:spacing w:after="0" w:line="240" w:lineRule="auto"/>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限值含义</w:t>
                  </w:r>
                </w:p>
              </w:tc>
              <w:tc>
                <w:tcPr>
                  <w:tcW w:w="2683" w:type="dxa"/>
                  <w:noWrap w:val="0"/>
                  <w:vAlign w:val="center"/>
                </w:tcPr>
                <w:p w14:paraId="2F08B129">
                  <w:pPr>
                    <w:pStyle w:val="11"/>
                    <w:spacing w:after="0" w:line="240" w:lineRule="auto"/>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无组织排放监控位置</w:t>
                  </w:r>
                </w:p>
              </w:tc>
            </w:tr>
            <w:tr w14:paraId="6418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13" w:type="dxa"/>
                  <w:noWrap w:val="0"/>
                  <w:vAlign w:val="center"/>
                </w:tcPr>
                <w:p w14:paraId="4F3D2F2D">
                  <w:pPr>
                    <w:pStyle w:val="11"/>
                    <w:spacing w:after="0" w:line="240" w:lineRule="auto"/>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非甲烷总烃</w:t>
                  </w:r>
                </w:p>
              </w:tc>
              <w:tc>
                <w:tcPr>
                  <w:tcW w:w="1200" w:type="dxa"/>
                  <w:noWrap w:val="0"/>
                  <w:vAlign w:val="center"/>
                </w:tcPr>
                <w:p w14:paraId="58B2E8E9">
                  <w:pPr>
                    <w:pStyle w:val="11"/>
                    <w:spacing w:after="0" w:line="240" w:lineRule="auto"/>
                    <w:jc w:val="center"/>
                    <w:rPr>
                      <w:rFonts w:hint="default" w:ascii="Times New Roman" w:hAnsi="Times New Roman" w:eastAsia="宋体" w:cs="Times New Roman"/>
                      <w:b w:val="0"/>
                      <w:bCs/>
                      <w:color w:val="auto"/>
                      <w:sz w:val="21"/>
                      <w:szCs w:val="21"/>
                      <w:vertAlign w:val="superscript"/>
                      <w:lang w:val="en-US" w:eastAsia="zh-CN"/>
                    </w:rPr>
                  </w:pPr>
                  <w:r>
                    <w:rPr>
                      <w:rFonts w:hint="default" w:ascii="Times New Roman" w:hAnsi="Times New Roman" w:eastAsia="宋体" w:cs="Times New Roman"/>
                      <w:b w:val="0"/>
                      <w:bCs/>
                      <w:color w:val="auto"/>
                      <w:sz w:val="21"/>
                      <w:szCs w:val="21"/>
                      <w:lang w:val="en-US" w:eastAsia="zh-CN"/>
                    </w:rPr>
                    <w:t>4.0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2683" w:type="dxa"/>
                  <w:noWrap w:val="0"/>
                  <w:vAlign w:val="center"/>
                </w:tcPr>
                <w:p w14:paraId="775BE509">
                  <w:pPr>
                    <w:pStyle w:val="1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监控点处1小时平均浓度</w:t>
                  </w:r>
                </w:p>
              </w:tc>
              <w:tc>
                <w:tcPr>
                  <w:tcW w:w="2683" w:type="dxa"/>
                  <w:noWrap w:val="0"/>
                  <w:vAlign w:val="center"/>
                </w:tcPr>
                <w:p w14:paraId="68F39B8B">
                  <w:pPr>
                    <w:pStyle w:val="1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参照HJ/T55规定</w:t>
                  </w:r>
                </w:p>
              </w:tc>
            </w:tr>
          </w:tbl>
          <w:p w14:paraId="23E1FECF">
            <w:pPr>
              <w:spacing w:line="360" w:lineRule="auto"/>
              <w:ind w:firstLine="480" w:firstLineChars="200"/>
              <w:jc w:val="both"/>
              <w:rPr>
                <w:rFonts w:hint="default" w:ascii="Times New Roman" w:hAnsi="Times New Roman" w:cs="Times New Roman"/>
                <w:color w:val="auto"/>
                <w:kern w:val="0"/>
                <w:sz w:val="24"/>
              </w:rPr>
            </w:pPr>
            <w:r>
              <w:rPr>
                <w:rFonts w:hint="default" w:ascii="Times New Roman" w:hAnsi="Times New Roman" w:cs="Times New Roman"/>
                <w:color w:val="auto"/>
                <w:sz w:val="24"/>
                <w:szCs w:val="24"/>
              </w:rPr>
              <w:t>④</w:t>
            </w:r>
            <w:r>
              <w:rPr>
                <w:rFonts w:hint="default" w:ascii="Times New Roman" w:hAnsi="Times New Roman" w:cs="Times New Roman"/>
                <w:color w:val="auto"/>
                <w:kern w:val="0"/>
                <w:sz w:val="24"/>
                <w:lang w:val="en-US" w:eastAsia="zh-CN"/>
              </w:rPr>
              <w:t>卸油</w:t>
            </w:r>
            <w:r>
              <w:rPr>
                <w:rFonts w:hint="default" w:ascii="Times New Roman" w:hAnsi="Times New Roman" w:cs="Times New Roman"/>
                <w:color w:val="auto"/>
                <w:kern w:val="0"/>
                <w:sz w:val="24"/>
              </w:rPr>
              <w:t>油气排放执行《加油站大气污染物排放标准》（GB20952-2020），加油油气回收系统的气液比均应在大于等于1.0和小于等于1.2范围内；油气处理装置的油气排放浓度1小时平均浓度值应小于等于25g/m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；采用氢火焰离子化检测仪（以甲烷或丙烷为校准气体）检验油气回收系统密闭点位，油气</w:t>
            </w:r>
            <w:r>
              <w:rPr>
                <w:rFonts w:hint="default" w:ascii="Times New Roman" w:hAnsi="Times New Roman" w:cs="Times New Roman"/>
                <w:color w:val="auto"/>
                <w:kern w:val="0"/>
                <w:sz w:val="24"/>
                <w:lang w:val="en-US" w:eastAsia="zh-CN"/>
              </w:rPr>
              <w:t>泄漏</w:t>
            </w:r>
            <w:r>
              <w:rPr>
                <w:rFonts w:hint="default" w:ascii="Times New Roman" w:hAnsi="Times New Roman" w:cs="Times New Roman"/>
                <w:color w:val="auto"/>
                <w:kern w:val="0"/>
                <w:sz w:val="24"/>
              </w:rPr>
              <w:t>检测值应小于等于500μmol/mol。</w:t>
            </w:r>
            <w:r>
              <w:rPr>
                <w:rFonts w:hint="eastAsia" w:cs="Times New Roman"/>
                <w:color w:val="auto"/>
                <w:kern w:val="0"/>
                <w:sz w:val="24"/>
                <w:lang w:eastAsia="zh-CN"/>
              </w:rPr>
              <w:t>油气回收系统</w:t>
            </w:r>
            <w:r>
              <w:rPr>
                <w:rFonts w:hint="default" w:ascii="Times New Roman" w:hAnsi="Times New Roman" w:cs="Times New Roman"/>
                <w:color w:val="auto"/>
                <w:kern w:val="0"/>
                <w:sz w:val="24"/>
              </w:rPr>
              <w:t>废气排放执行《加油站大气污染物排放标准》（GB20952-2020），具体标准限值见</w:t>
            </w:r>
            <w:r>
              <w:rPr>
                <w:rFonts w:hint="default" w:ascii="Times New Roman" w:hAnsi="Times New Roman" w:cs="Times New Roman"/>
                <w:color w:val="auto"/>
                <w:kern w:val="0"/>
                <w:sz w:val="24"/>
                <w:lang w:val="en-US" w:eastAsia="zh-CN"/>
              </w:rPr>
              <w:t>下</w:t>
            </w:r>
            <w:r>
              <w:rPr>
                <w:rFonts w:hint="default" w:ascii="Times New Roman" w:hAnsi="Times New Roman" w:cs="Times New Roman"/>
                <w:color w:val="auto"/>
                <w:kern w:val="0"/>
                <w:sz w:val="24"/>
              </w:rPr>
              <w:t>表。</w:t>
            </w:r>
          </w:p>
          <w:p w14:paraId="2ED7405C">
            <w:pPr>
              <w:widowControl/>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cs="Times New Roman"/>
                <w:b/>
                <w:bCs/>
                <w:color w:val="auto"/>
                <w:szCs w:val="21"/>
                <w:lang w:val="en-US" w:eastAsia="zh-CN"/>
              </w:rPr>
              <w:t>10</w:t>
            </w:r>
            <w:r>
              <w:rPr>
                <w:rFonts w:hint="default" w:ascii="Times New Roman" w:hAnsi="Times New Roman" w:cs="Times New Roman"/>
                <w:b/>
                <w:bCs/>
                <w:color w:val="auto"/>
                <w:szCs w:val="21"/>
              </w:rPr>
              <w:t xml:space="preserve"> </w:t>
            </w:r>
            <w:r>
              <w:rPr>
                <w:rFonts w:hint="eastAsia" w:cs="Times New Roman"/>
                <w:b/>
                <w:bCs/>
                <w:color w:val="auto"/>
                <w:kern w:val="0"/>
                <w:szCs w:val="21"/>
                <w:lang w:eastAsia="zh-CN" w:bidi="ar"/>
              </w:rPr>
              <w:t>油气回收系统</w:t>
            </w:r>
            <w:r>
              <w:rPr>
                <w:rFonts w:hint="default" w:ascii="Times New Roman" w:hAnsi="Times New Roman" w:cs="Times New Roman"/>
                <w:b/>
                <w:bCs/>
                <w:color w:val="auto"/>
                <w:kern w:val="0"/>
                <w:szCs w:val="21"/>
                <w:lang w:bidi="ar"/>
              </w:rPr>
              <w:t>监测执行标准一览表  单位：mg/m³</w:t>
            </w:r>
          </w:p>
          <w:tbl>
            <w:tblPr>
              <w:tblStyle w:val="27"/>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486"/>
              <w:gridCol w:w="1553"/>
              <w:gridCol w:w="1507"/>
              <w:gridCol w:w="2362"/>
            </w:tblGrid>
            <w:tr w14:paraId="1DF4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noWrap w:val="0"/>
                  <w:vAlign w:val="center"/>
                </w:tcPr>
                <w:p w14:paraId="56B9BDB5">
                  <w:pPr>
                    <w:pStyle w:val="48"/>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486" w:type="dxa"/>
                  <w:noWrap w:val="0"/>
                  <w:vAlign w:val="center"/>
                </w:tcPr>
                <w:p w14:paraId="548B4031">
                  <w:pPr>
                    <w:pStyle w:val="48"/>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3060" w:type="dxa"/>
                  <w:gridSpan w:val="2"/>
                  <w:noWrap w:val="0"/>
                  <w:vAlign w:val="center"/>
                </w:tcPr>
                <w:p w14:paraId="01BF0DFE">
                  <w:pPr>
                    <w:pStyle w:val="48"/>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排放限值</w:t>
                  </w:r>
                </w:p>
              </w:tc>
              <w:tc>
                <w:tcPr>
                  <w:tcW w:w="2362" w:type="dxa"/>
                  <w:noWrap w:val="0"/>
                  <w:vAlign w:val="center"/>
                </w:tcPr>
                <w:p w14:paraId="375E1687">
                  <w:pPr>
                    <w:pStyle w:val="48"/>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标准来源</w:t>
                  </w:r>
                </w:p>
              </w:tc>
            </w:tr>
            <w:tr w14:paraId="05CA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restart"/>
                  <w:noWrap w:val="0"/>
                  <w:vAlign w:val="center"/>
                </w:tcPr>
                <w:p w14:paraId="705BE6A0">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油气回收</w:t>
                  </w:r>
                </w:p>
              </w:tc>
              <w:tc>
                <w:tcPr>
                  <w:tcW w:w="1486" w:type="dxa"/>
                  <w:vMerge w:val="restart"/>
                  <w:noWrap w:val="0"/>
                  <w:vAlign w:val="center"/>
                </w:tcPr>
                <w:p w14:paraId="35D183B2">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液阻</w:t>
                  </w:r>
                </w:p>
              </w:tc>
              <w:tc>
                <w:tcPr>
                  <w:tcW w:w="1553" w:type="dxa"/>
                  <w:noWrap w:val="0"/>
                  <w:vAlign w:val="center"/>
                </w:tcPr>
                <w:p w14:paraId="61DBE95C">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氮气流量（L/min）</w:t>
                  </w:r>
                </w:p>
              </w:tc>
              <w:tc>
                <w:tcPr>
                  <w:tcW w:w="1507" w:type="dxa"/>
                  <w:noWrap w:val="0"/>
                  <w:vAlign w:val="center"/>
                </w:tcPr>
                <w:p w14:paraId="6AE61140">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液阻压降Pa</w:t>
                  </w:r>
                </w:p>
              </w:tc>
              <w:tc>
                <w:tcPr>
                  <w:tcW w:w="2362" w:type="dxa"/>
                  <w:vMerge w:val="restart"/>
                  <w:noWrap w:val="0"/>
                  <w:vAlign w:val="center"/>
                </w:tcPr>
                <w:p w14:paraId="09110A32">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油气回收系统的液阻、密闭性、气液比执行《加油站大气污染物排放标准》（GB20952-2020）中相关标准要求。</w:t>
                  </w:r>
                </w:p>
                <w:p w14:paraId="7C85BA0B">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r>
            <w:tr w14:paraId="07FB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continue"/>
                  <w:noWrap w:val="0"/>
                  <w:vAlign w:val="center"/>
                </w:tcPr>
                <w:p w14:paraId="3750BF9C">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c>
                <w:tcPr>
                  <w:tcW w:w="1486" w:type="dxa"/>
                  <w:vMerge w:val="continue"/>
                  <w:noWrap w:val="0"/>
                  <w:vAlign w:val="center"/>
                </w:tcPr>
                <w:p w14:paraId="2BA305A3">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c>
                <w:tcPr>
                  <w:tcW w:w="1553" w:type="dxa"/>
                  <w:noWrap w:val="0"/>
                  <w:vAlign w:val="center"/>
                </w:tcPr>
                <w:p w14:paraId="66BDEE79">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18</w:t>
                  </w:r>
                </w:p>
              </w:tc>
              <w:tc>
                <w:tcPr>
                  <w:tcW w:w="1507" w:type="dxa"/>
                  <w:noWrap w:val="0"/>
                  <w:vAlign w:val="center"/>
                </w:tcPr>
                <w:p w14:paraId="128FD638">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≤40</w:t>
                  </w:r>
                </w:p>
              </w:tc>
              <w:tc>
                <w:tcPr>
                  <w:tcW w:w="2362" w:type="dxa"/>
                  <w:vMerge w:val="continue"/>
                  <w:noWrap w:val="0"/>
                  <w:vAlign w:val="center"/>
                </w:tcPr>
                <w:p w14:paraId="6FFBD227">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r>
            <w:tr w14:paraId="14ED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continue"/>
                  <w:noWrap w:val="0"/>
                  <w:vAlign w:val="center"/>
                </w:tcPr>
                <w:p w14:paraId="24DC73FC">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c>
                <w:tcPr>
                  <w:tcW w:w="1486" w:type="dxa"/>
                  <w:vMerge w:val="continue"/>
                  <w:noWrap w:val="0"/>
                  <w:vAlign w:val="center"/>
                </w:tcPr>
                <w:p w14:paraId="276E9BFD">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c>
                <w:tcPr>
                  <w:tcW w:w="1553" w:type="dxa"/>
                  <w:noWrap w:val="0"/>
                  <w:vAlign w:val="center"/>
                </w:tcPr>
                <w:p w14:paraId="079E37D7">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28</w:t>
                  </w:r>
                </w:p>
              </w:tc>
              <w:tc>
                <w:tcPr>
                  <w:tcW w:w="1507" w:type="dxa"/>
                  <w:noWrap w:val="0"/>
                  <w:vAlign w:val="center"/>
                </w:tcPr>
                <w:p w14:paraId="431431B8">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≤90</w:t>
                  </w:r>
                </w:p>
              </w:tc>
              <w:tc>
                <w:tcPr>
                  <w:tcW w:w="2362" w:type="dxa"/>
                  <w:vMerge w:val="continue"/>
                  <w:noWrap w:val="0"/>
                  <w:vAlign w:val="center"/>
                </w:tcPr>
                <w:p w14:paraId="57944631">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r>
            <w:tr w14:paraId="4BE7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continue"/>
                  <w:noWrap w:val="0"/>
                  <w:vAlign w:val="center"/>
                </w:tcPr>
                <w:p w14:paraId="4DFD6191">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c>
                <w:tcPr>
                  <w:tcW w:w="1486" w:type="dxa"/>
                  <w:vMerge w:val="continue"/>
                  <w:noWrap w:val="0"/>
                  <w:vAlign w:val="center"/>
                </w:tcPr>
                <w:p w14:paraId="59A146DD">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c>
                <w:tcPr>
                  <w:tcW w:w="1553" w:type="dxa"/>
                  <w:noWrap w:val="0"/>
                  <w:vAlign w:val="center"/>
                </w:tcPr>
                <w:p w14:paraId="5C5BA33D">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38</w:t>
                  </w:r>
                </w:p>
              </w:tc>
              <w:tc>
                <w:tcPr>
                  <w:tcW w:w="1507" w:type="dxa"/>
                  <w:noWrap w:val="0"/>
                  <w:vAlign w:val="center"/>
                </w:tcPr>
                <w:p w14:paraId="102D76A4">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≤155</w:t>
                  </w:r>
                </w:p>
              </w:tc>
              <w:tc>
                <w:tcPr>
                  <w:tcW w:w="2362" w:type="dxa"/>
                  <w:vMerge w:val="continue"/>
                  <w:noWrap w:val="0"/>
                  <w:vAlign w:val="center"/>
                </w:tcPr>
                <w:p w14:paraId="2F40FE26">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r>
            <w:tr w14:paraId="043B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continue"/>
                  <w:noWrap w:val="0"/>
                  <w:vAlign w:val="center"/>
                </w:tcPr>
                <w:p w14:paraId="3827488C">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c>
                <w:tcPr>
                  <w:tcW w:w="1486" w:type="dxa"/>
                  <w:noWrap w:val="0"/>
                  <w:vAlign w:val="center"/>
                </w:tcPr>
                <w:p w14:paraId="061BDE5F">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密闭性</w:t>
                  </w:r>
                </w:p>
              </w:tc>
              <w:tc>
                <w:tcPr>
                  <w:tcW w:w="3060" w:type="dxa"/>
                  <w:gridSpan w:val="2"/>
                  <w:noWrap w:val="0"/>
                  <w:vAlign w:val="center"/>
                </w:tcPr>
                <w:p w14:paraId="3166689D">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油气回收系统密闭性压力检测值应大于等于表2规定的最小剩余压力限值</w:t>
                  </w:r>
                </w:p>
              </w:tc>
              <w:tc>
                <w:tcPr>
                  <w:tcW w:w="2362" w:type="dxa"/>
                  <w:vMerge w:val="continue"/>
                  <w:noWrap w:val="0"/>
                  <w:vAlign w:val="center"/>
                </w:tcPr>
                <w:p w14:paraId="4F9AC935">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r>
            <w:tr w14:paraId="6954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continue"/>
                  <w:noWrap w:val="0"/>
                  <w:vAlign w:val="center"/>
                </w:tcPr>
                <w:p w14:paraId="334C47C9">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c>
                <w:tcPr>
                  <w:tcW w:w="1486" w:type="dxa"/>
                  <w:noWrap w:val="0"/>
                  <w:vAlign w:val="center"/>
                </w:tcPr>
                <w:p w14:paraId="37BEA785">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气液比</w:t>
                  </w:r>
                </w:p>
              </w:tc>
              <w:tc>
                <w:tcPr>
                  <w:tcW w:w="3060" w:type="dxa"/>
                  <w:gridSpan w:val="2"/>
                  <w:noWrap w:val="0"/>
                  <w:vAlign w:val="center"/>
                </w:tcPr>
                <w:p w14:paraId="27CCEFC0">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≥1.0，≤1.2</w:t>
                  </w:r>
                </w:p>
              </w:tc>
              <w:tc>
                <w:tcPr>
                  <w:tcW w:w="2362" w:type="dxa"/>
                  <w:vMerge w:val="continue"/>
                  <w:noWrap w:val="0"/>
                  <w:vAlign w:val="center"/>
                </w:tcPr>
                <w:p w14:paraId="07A8B1A6">
                  <w:pPr>
                    <w:pStyle w:val="48"/>
                    <w:adjustRightInd w:val="0"/>
                    <w:snapToGrid w:val="0"/>
                    <w:spacing w:line="240" w:lineRule="auto"/>
                    <w:ind w:firstLine="0" w:firstLineChars="0"/>
                    <w:jc w:val="center"/>
                    <w:rPr>
                      <w:rFonts w:hint="default" w:ascii="Times New Roman" w:hAnsi="Times New Roman" w:cs="Times New Roman"/>
                      <w:b w:val="0"/>
                      <w:bCs w:val="0"/>
                      <w:color w:val="auto"/>
                      <w:sz w:val="21"/>
                      <w:szCs w:val="21"/>
                    </w:rPr>
                  </w:pPr>
                </w:p>
              </w:tc>
            </w:tr>
          </w:tbl>
          <w:p w14:paraId="3B1E560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⑤</w:t>
            </w:r>
            <w:r>
              <w:rPr>
                <w:rFonts w:hint="default" w:ascii="Times New Roman" w:hAnsi="Times New Roman" w:cs="Times New Roman"/>
                <w:color w:val="auto"/>
                <w:sz w:val="24"/>
                <w:szCs w:val="24"/>
              </w:rPr>
              <w:t>运营期食堂废气排放参照《饮食业油烟排放标准（试行）》（GB18483-2001），具体标准限值见表</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1</w:t>
            </w:r>
            <w:r>
              <w:rPr>
                <w:rFonts w:hint="default" w:ascii="Times New Roman" w:hAnsi="Times New Roman" w:cs="Times New Roman"/>
                <w:color w:val="auto"/>
                <w:sz w:val="24"/>
                <w:szCs w:val="24"/>
              </w:rPr>
              <w:t>。</w:t>
            </w:r>
          </w:p>
          <w:p w14:paraId="0F9CB45D">
            <w:pPr>
              <w:spacing w:line="240" w:lineRule="auto"/>
              <w:ind w:firstLine="422" w:firstLineChars="20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1</w:t>
            </w:r>
            <w:r>
              <w:rPr>
                <w:rFonts w:hint="eastAsia" w:cs="Times New Roman"/>
                <w:b/>
                <w:color w:val="auto"/>
                <w:sz w:val="21"/>
                <w:szCs w:val="21"/>
                <w:lang w:val="en-US" w:eastAsia="zh-CN"/>
              </w:rPr>
              <w:t>1</w:t>
            </w:r>
            <w:r>
              <w:rPr>
                <w:rFonts w:hint="default" w:ascii="Times New Roman" w:hAnsi="Times New Roman" w:cs="Times New Roman"/>
                <w:b/>
                <w:color w:val="auto"/>
                <w:sz w:val="21"/>
                <w:szCs w:val="21"/>
              </w:rPr>
              <w:t xml:space="preserve"> 饮食业油烟排放标准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739"/>
              <w:gridCol w:w="2741"/>
            </w:tblGrid>
            <w:tr w14:paraId="158C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739" w:type="dxa"/>
                  <w:noWrap w:val="0"/>
                  <w:vAlign w:val="center"/>
                </w:tcPr>
                <w:p w14:paraId="328F7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2739" w:type="dxa"/>
                  <w:noWrap w:val="0"/>
                  <w:vAlign w:val="center"/>
                </w:tcPr>
                <w:p w14:paraId="28F8BF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排放浓度限值</w:t>
                  </w:r>
                </w:p>
              </w:tc>
              <w:tc>
                <w:tcPr>
                  <w:tcW w:w="2741" w:type="dxa"/>
                  <w:noWrap w:val="0"/>
                  <w:vAlign w:val="center"/>
                </w:tcPr>
                <w:p w14:paraId="34B701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净化设施最低去除效率</w:t>
                  </w:r>
                </w:p>
              </w:tc>
            </w:tr>
            <w:tr w14:paraId="05F3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739" w:type="dxa"/>
                  <w:noWrap w:val="0"/>
                  <w:vAlign w:val="center"/>
                </w:tcPr>
                <w:p w14:paraId="7FB1A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油烟</w:t>
                  </w:r>
                </w:p>
              </w:tc>
              <w:tc>
                <w:tcPr>
                  <w:tcW w:w="2739" w:type="dxa"/>
                  <w:noWrap w:val="0"/>
                  <w:vAlign w:val="center"/>
                </w:tcPr>
                <w:p w14:paraId="413506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r>
                    <w:rPr>
                      <w:rFonts w:hint="default" w:ascii="Times New Roman" w:hAnsi="Times New Roman" w:cs="Times New Roman"/>
                      <w:bCs/>
                      <w:color w:val="auto"/>
                      <w:sz w:val="21"/>
                      <w:szCs w:val="21"/>
                    </w:rPr>
                    <w:t>g/m³</w:t>
                  </w:r>
                </w:p>
              </w:tc>
              <w:tc>
                <w:tcPr>
                  <w:tcW w:w="2741" w:type="dxa"/>
                  <w:noWrap w:val="0"/>
                  <w:vAlign w:val="center"/>
                </w:tcPr>
                <w:p w14:paraId="3E3A1B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r>
          </w:tbl>
          <w:p w14:paraId="04826B1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废水</w:t>
            </w:r>
          </w:p>
          <w:p w14:paraId="06CE4BE8">
            <w:pPr>
              <w:keepNext w:val="0"/>
              <w:keepLines w:val="0"/>
              <w:pageBreakBefore w:val="0"/>
              <w:widowControl w:val="0"/>
              <w:tabs>
                <w:tab w:val="left" w:pos="4404"/>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区排水采用“雨污分流”排水制度，</w:t>
            </w:r>
            <w:r>
              <w:rPr>
                <w:rFonts w:hint="default" w:ascii="Times New Roman" w:hAnsi="Times New Roman" w:eastAsia="宋体" w:cs="Times New Roman"/>
                <w:color w:val="auto"/>
                <w:kern w:val="2"/>
                <w:sz w:val="24"/>
                <w:szCs w:val="24"/>
                <w:lang w:val="en-US" w:eastAsia="zh-CN" w:bidi="ar-SA"/>
              </w:rPr>
              <w:t>食堂含油废水经隔油池预处理后与其余办公生活废水及外来人员冲厕废水一同进入化粪池处理，地面冲洗废水</w:t>
            </w:r>
            <w:r>
              <w:rPr>
                <w:rFonts w:hint="eastAsia" w:cs="Times New Roman"/>
                <w:color w:val="auto"/>
                <w:kern w:val="2"/>
                <w:sz w:val="24"/>
                <w:szCs w:val="24"/>
                <w:lang w:val="en-US" w:eastAsia="zh-CN" w:bidi="ar-SA"/>
              </w:rPr>
              <w:t>、初期雨水</w:t>
            </w:r>
            <w:r>
              <w:rPr>
                <w:rFonts w:hint="default" w:ascii="Times New Roman" w:hAnsi="Times New Roman" w:eastAsia="宋体" w:cs="Times New Roman"/>
                <w:color w:val="auto"/>
                <w:kern w:val="2"/>
                <w:sz w:val="24"/>
                <w:szCs w:val="24"/>
                <w:lang w:val="en-US" w:eastAsia="zh-CN" w:bidi="ar-SA"/>
              </w:rPr>
              <w:t>经三级油水分离池处理，上述所有废水</w:t>
            </w:r>
            <w:r>
              <w:rPr>
                <w:rFonts w:hint="eastAsia" w:cs="Times New Roman"/>
                <w:color w:val="auto"/>
                <w:kern w:val="2"/>
                <w:sz w:val="24"/>
                <w:szCs w:val="24"/>
                <w:lang w:val="en-US" w:eastAsia="zh-CN" w:bidi="ar-SA"/>
              </w:rPr>
              <w:t>委托寻甸绿运垃圾清运有限公司清运处置</w:t>
            </w:r>
            <w:r>
              <w:rPr>
                <w:rFonts w:hint="default" w:ascii="Times New Roman" w:hAnsi="Times New Roman" w:cs="Times New Roman"/>
                <w:color w:val="auto"/>
                <w:kern w:val="2"/>
                <w:sz w:val="24"/>
                <w:szCs w:val="24"/>
                <w:lang w:val="en-US" w:eastAsia="zh-CN" w:bidi="ar-SA"/>
              </w:rPr>
              <w:t>。</w:t>
            </w:r>
          </w:p>
          <w:p w14:paraId="03B81D38">
            <w:pPr>
              <w:keepNext w:val="0"/>
              <w:keepLines w:val="0"/>
              <w:pageBreakBefore w:val="0"/>
              <w:widowControl w:val="0"/>
              <w:tabs>
                <w:tab w:val="left" w:pos="4404"/>
              </w:tabs>
              <w:kinsoku/>
              <w:wordWrap/>
              <w:overflowPunct/>
              <w:topLinePunct w:val="0"/>
              <w:autoSpaceDE w:val="0"/>
              <w:autoSpaceDN w:val="0"/>
              <w:bidi w:val="0"/>
              <w:adjustRightInd w:val="0"/>
              <w:snapToGrid/>
              <w:spacing w:line="360" w:lineRule="auto"/>
              <w:ind w:firstLine="482" w:firstLineChars="200"/>
              <w:jc w:val="left"/>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lang w:val="en-US" w:eastAsia="zh-CN"/>
              </w:rPr>
              <w:t>3、</w:t>
            </w:r>
            <w:r>
              <w:rPr>
                <w:rFonts w:hint="default" w:ascii="Times New Roman" w:hAnsi="Times New Roman" w:cs="Times New Roman"/>
                <w:b/>
                <w:color w:val="auto"/>
                <w:kern w:val="0"/>
                <w:sz w:val="24"/>
                <w:szCs w:val="24"/>
              </w:rPr>
              <w:t>噪声</w:t>
            </w:r>
          </w:p>
          <w:p w14:paraId="60D9CE9C">
            <w:pPr>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（1）施工期</w:t>
            </w:r>
          </w:p>
          <w:p w14:paraId="274A1A8E">
            <w:pPr>
              <w:pStyle w:val="12"/>
              <w:adjustRightInd w:val="0"/>
              <w:snapToGrid w:val="0"/>
              <w:spacing w:line="360" w:lineRule="auto"/>
              <w:ind w:left="0" w:leftChars="0"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施工期厂界噪声执行《建筑施工场界环境噪声排放标准》（GB12523-2011），标准限值见</w:t>
            </w:r>
            <w:r>
              <w:rPr>
                <w:rFonts w:hint="default"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rPr>
              <w:t>表。</w:t>
            </w:r>
          </w:p>
          <w:p w14:paraId="71097357">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建筑施工场界环境噪声排放标准  单位：dB（A）</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3"/>
              <w:gridCol w:w="2493"/>
              <w:gridCol w:w="2963"/>
            </w:tblGrid>
            <w:tr w14:paraId="411C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03" w:type="dxa"/>
                  <w:noWrap w:val="0"/>
                  <w:vAlign w:val="center"/>
                </w:tcPr>
                <w:p w14:paraId="1ABA6810">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时段</w:t>
                  </w:r>
                </w:p>
              </w:tc>
              <w:tc>
                <w:tcPr>
                  <w:tcW w:w="2493" w:type="dxa"/>
                  <w:noWrap w:val="0"/>
                  <w:vAlign w:val="center"/>
                </w:tcPr>
                <w:p w14:paraId="6E10835E">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963" w:type="dxa"/>
                  <w:noWrap w:val="0"/>
                  <w:vAlign w:val="center"/>
                </w:tcPr>
                <w:p w14:paraId="5C50B8B1">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3A2A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03" w:type="dxa"/>
                  <w:noWrap w:val="0"/>
                  <w:vAlign w:val="center"/>
                </w:tcPr>
                <w:p w14:paraId="1D17846F">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排放噪声</w:t>
                  </w:r>
                  <w:r>
                    <w:rPr>
                      <w:rFonts w:hint="eastAsia" w:cs="Times New Roman"/>
                      <w:color w:val="auto"/>
                      <w:sz w:val="21"/>
                      <w:szCs w:val="21"/>
                      <w:lang w:eastAsia="zh-CN"/>
                    </w:rPr>
                    <w:t>限值</w:t>
                  </w:r>
                  <w:r>
                    <w:rPr>
                      <w:rFonts w:hint="default" w:ascii="Times New Roman" w:hAnsi="Times New Roman" w:cs="Times New Roman"/>
                      <w:color w:val="auto"/>
                      <w:sz w:val="21"/>
                      <w:szCs w:val="21"/>
                    </w:rPr>
                    <w:t>dB（A）</w:t>
                  </w:r>
                </w:p>
              </w:tc>
              <w:tc>
                <w:tcPr>
                  <w:tcW w:w="2493" w:type="dxa"/>
                  <w:noWrap w:val="0"/>
                  <w:vAlign w:val="center"/>
                </w:tcPr>
                <w:p w14:paraId="05B6093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2963" w:type="dxa"/>
                  <w:noWrap w:val="0"/>
                  <w:vAlign w:val="center"/>
                </w:tcPr>
                <w:p w14:paraId="4B0DED8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14:paraId="1827717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（2）运营期</w:t>
            </w:r>
          </w:p>
          <w:p w14:paraId="082BA9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项目运营期</w:t>
            </w:r>
            <w:r>
              <w:rPr>
                <w:rFonts w:hint="eastAsia" w:cs="Times New Roman"/>
                <w:color w:val="auto"/>
                <w:sz w:val="24"/>
                <w:lang w:val="en-US" w:eastAsia="zh-CN"/>
              </w:rPr>
              <w:t>西侧</w:t>
            </w:r>
            <w:r>
              <w:rPr>
                <w:rFonts w:hint="default" w:ascii="Times New Roman" w:hAnsi="Times New Roman" w:cs="Times New Roman"/>
                <w:color w:val="auto"/>
                <w:sz w:val="24"/>
                <w:lang w:val="en-US" w:eastAsia="zh-CN"/>
              </w:rPr>
              <w:t>道路</w:t>
            </w:r>
            <w:r>
              <w:rPr>
                <w:rFonts w:hint="default" w:ascii="Times New Roman" w:hAnsi="Times New Roman" w:cs="Times New Roman"/>
                <w:color w:val="auto"/>
                <w:sz w:val="24"/>
              </w:rPr>
              <w:t>，执行《工业企业厂界环境噪声排放标准》</w:t>
            </w:r>
            <w:r>
              <w:rPr>
                <w:rFonts w:hint="eastAsia" w:cs="Times New Roman"/>
                <w:color w:val="auto"/>
                <w:sz w:val="24"/>
                <w:lang w:eastAsia="zh-CN"/>
              </w:rPr>
              <w:t>（</w:t>
            </w:r>
            <w:r>
              <w:rPr>
                <w:rFonts w:hint="default" w:ascii="Times New Roman" w:hAnsi="Times New Roman" w:cs="Times New Roman"/>
                <w:color w:val="auto"/>
                <w:sz w:val="24"/>
              </w:rPr>
              <w:t>GB12348-2008</w:t>
            </w:r>
            <w:r>
              <w:rPr>
                <w:rFonts w:hint="eastAsia" w:cs="Times New Roman"/>
                <w:color w:val="auto"/>
                <w:sz w:val="24"/>
                <w:lang w:eastAsia="zh-CN"/>
              </w:rPr>
              <w:t>）</w:t>
            </w:r>
            <w:r>
              <w:rPr>
                <w:rFonts w:hint="default" w:ascii="Times New Roman" w:hAnsi="Times New Roman" w:cs="Times New Roman"/>
                <w:color w:val="auto"/>
                <w:sz w:val="24"/>
              </w:rPr>
              <w:t>4类标准，其余周边执行《工业企业厂界环境噪声排放标准》（GB12348-2008）中的</w:t>
            </w:r>
            <w:r>
              <w:rPr>
                <w:rFonts w:hint="eastAsia" w:cs="Times New Roman"/>
                <w:color w:val="auto"/>
                <w:sz w:val="24"/>
                <w:lang w:val="en-US" w:eastAsia="zh-CN"/>
              </w:rPr>
              <w:t>2</w:t>
            </w:r>
            <w:r>
              <w:rPr>
                <w:rFonts w:hint="default" w:ascii="Times New Roman" w:hAnsi="Times New Roman" w:cs="Times New Roman"/>
                <w:color w:val="auto"/>
                <w:sz w:val="24"/>
              </w:rPr>
              <w:t>类标准，标准值见表</w:t>
            </w:r>
            <w:r>
              <w:rPr>
                <w:rFonts w:hint="default" w:ascii="Times New Roman" w:hAnsi="Times New Roman" w:cs="Times New Roman"/>
                <w:color w:val="auto"/>
                <w:sz w:val="24"/>
                <w:lang w:val="en-US" w:eastAsia="zh-CN"/>
              </w:rPr>
              <w:t>3-1</w:t>
            </w:r>
            <w:r>
              <w:rPr>
                <w:rFonts w:hint="eastAsia" w:cs="Times New Roman"/>
                <w:color w:val="auto"/>
                <w:sz w:val="24"/>
                <w:lang w:val="en-US" w:eastAsia="zh-CN"/>
              </w:rPr>
              <w:t>3</w:t>
            </w:r>
            <w:r>
              <w:rPr>
                <w:rFonts w:hint="default" w:ascii="Times New Roman" w:hAnsi="Times New Roman" w:cs="Times New Roman"/>
                <w:color w:val="auto"/>
                <w:sz w:val="24"/>
              </w:rPr>
              <w:t>。</w:t>
            </w:r>
          </w:p>
          <w:p w14:paraId="0F6F1CE3">
            <w:pPr>
              <w:pStyle w:val="11"/>
              <w:spacing w:after="0" w:line="240" w:lineRule="atLeast"/>
              <w:jc w:val="center"/>
              <w:rPr>
                <w:rFonts w:hint="default" w:ascii="Times New Roman" w:hAnsi="Times New Roman" w:cs="Times New Roman"/>
                <w:b/>
                <w:bCs/>
                <w:color w:val="auto"/>
                <w:sz w:val="21"/>
                <w:szCs w:val="24"/>
              </w:rPr>
            </w:pPr>
            <w:r>
              <w:rPr>
                <w:rFonts w:hint="default" w:ascii="Times New Roman" w:hAnsi="Times New Roman" w:cs="Times New Roman"/>
                <w:b/>
                <w:color w:val="auto"/>
                <w:sz w:val="21"/>
                <w:szCs w:val="24"/>
              </w:rPr>
              <w:t>表</w:t>
            </w:r>
            <w:r>
              <w:rPr>
                <w:rFonts w:hint="default" w:ascii="Times New Roman" w:hAnsi="Times New Roman" w:cs="Times New Roman"/>
                <w:b/>
                <w:color w:val="auto"/>
                <w:sz w:val="21"/>
                <w:szCs w:val="24"/>
                <w:lang w:val="en-US" w:eastAsia="zh-CN"/>
              </w:rPr>
              <w:t>3-1</w:t>
            </w:r>
            <w:r>
              <w:rPr>
                <w:rFonts w:hint="eastAsia" w:cs="Times New Roman"/>
                <w:b/>
                <w:color w:val="auto"/>
                <w:sz w:val="21"/>
                <w:szCs w:val="24"/>
                <w:lang w:val="en-US" w:eastAsia="zh-CN"/>
              </w:rPr>
              <w:t>3</w:t>
            </w:r>
            <w:r>
              <w:rPr>
                <w:rFonts w:hint="default" w:ascii="Times New Roman" w:hAnsi="Times New Roman" w:cs="Times New Roman"/>
                <w:b/>
                <w:color w:val="auto"/>
                <w:sz w:val="21"/>
                <w:szCs w:val="24"/>
              </w:rPr>
              <w:t xml:space="preserve"> 工业企业厂界环境噪声排放标准   （Leq[dB(A)]）</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602"/>
              <w:gridCol w:w="1969"/>
              <w:gridCol w:w="1331"/>
              <w:gridCol w:w="1396"/>
            </w:tblGrid>
            <w:tr w14:paraId="586C3B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3602" w:type="dxa"/>
                  <w:vMerge w:val="restart"/>
                  <w:noWrap w:val="0"/>
                  <w:vAlign w:val="center"/>
                </w:tcPr>
                <w:p w14:paraId="2EDA9260">
                  <w:pPr>
                    <w:pStyle w:val="12"/>
                    <w:spacing w:after="0" w:line="240" w:lineRule="atLeast"/>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执行区域</w:t>
                  </w:r>
                </w:p>
              </w:tc>
              <w:tc>
                <w:tcPr>
                  <w:tcW w:w="1969" w:type="dxa"/>
                  <w:vMerge w:val="restart"/>
                  <w:tcBorders>
                    <w:right w:val="single" w:color="auto" w:sz="4" w:space="0"/>
                  </w:tcBorders>
                  <w:noWrap w:val="0"/>
                  <w:vAlign w:val="center"/>
                </w:tcPr>
                <w:p w14:paraId="7977E15F">
                  <w:pPr>
                    <w:pStyle w:val="12"/>
                    <w:spacing w:after="0" w:line="240" w:lineRule="atLeast"/>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类 别</w:t>
                  </w:r>
                </w:p>
              </w:tc>
              <w:tc>
                <w:tcPr>
                  <w:tcW w:w="2727" w:type="dxa"/>
                  <w:gridSpan w:val="2"/>
                  <w:tcBorders>
                    <w:left w:val="single" w:color="auto" w:sz="4" w:space="0"/>
                    <w:bottom w:val="single" w:color="auto" w:sz="4" w:space="0"/>
                  </w:tcBorders>
                  <w:noWrap w:val="0"/>
                  <w:vAlign w:val="center"/>
                </w:tcPr>
                <w:p w14:paraId="76E4AC4D">
                  <w:pPr>
                    <w:pStyle w:val="12"/>
                    <w:spacing w:after="0" w:line="240" w:lineRule="atLeast"/>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环境噪声标准限值</w:t>
                  </w:r>
                </w:p>
              </w:tc>
            </w:tr>
            <w:tr w14:paraId="0D936C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6" w:hRule="atLeast"/>
                <w:jc w:val="center"/>
              </w:trPr>
              <w:tc>
                <w:tcPr>
                  <w:tcW w:w="3602" w:type="dxa"/>
                  <w:vMerge w:val="continue"/>
                  <w:noWrap w:val="0"/>
                  <w:vAlign w:val="center"/>
                </w:tcPr>
                <w:p w14:paraId="2B5B9CDF">
                  <w:pPr>
                    <w:pStyle w:val="12"/>
                    <w:spacing w:after="0" w:line="240" w:lineRule="atLeast"/>
                    <w:ind w:left="0" w:leftChars="0"/>
                    <w:jc w:val="center"/>
                    <w:rPr>
                      <w:rFonts w:hint="default" w:ascii="Times New Roman" w:hAnsi="Times New Roman" w:cs="Times New Roman"/>
                      <w:b/>
                      <w:bCs w:val="0"/>
                      <w:color w:val="auto"/>
                      <w:sz w:val="21"/>
                      <w:szCs w:val="21"/>
                    </w:rPr>
                  </w:pPr>
                </w:p>
              </w:tc>
              <w:tc>
                <w:tcPr>
                  <w:tcW w:w="1969" w:type="dxa"/>
                  <w:vMerge w:val="continue"/>
                  <w:tcBorders>
                    <w:right w:val="single" w:color="auto" w:sz="4" w:space="0"/>
                  </w:tcBorders>
                  <w:noWrap w:val="0"/>
                  <w:vAlign w:val="center"/>
                </w:tcPr>
                <w:p w14:paraId="1F35F67E">
                  <w:pPr>
                    <w:pStyle w:val="12"/>
                    <w:spacing w:after="0" w:line="240" w:lineRule="atLeast"/>
                    <w:ind w:left="0" w:leftChars="0"/>
                    <w:jc w:val="center"/>
                    <w:rPr>
                      <w:rFonts w:hint="default" w:ascii="Times New Roman" w:hAnsi="Times New Roman" w:cs="Times New Roman"/>
                      <w:b/>
                      <w:bCs w:val="0"/>
                      <w:color w:val="auto"/>
                      <w:sz w:val="21"/>
                      <w:szCs w:val="21"/>
                    </w:rPr>
                  </w:pPr>
                </w:p>
              </w:tc>
              <w:tc>
                <w:tcPr>
                  <w:tcW w:w="1331" w:type="dxa"/>
                  <w:tcBorders>
                    <w:top w:val="single" w:color="auto" w:sz="4" w:space="0"/>
                    <w:left w:val="single" w:color="auto" w:sz="4" w:space="0"/>
                  </w:tcBorders>
                  <w:noWrap w:val="0"/>
                  <w:vAlign w:val="center"/>
                </w:tcPr>
                <w:p w14:paraId="5434178D">
                  <w:pPr>
                    <w:pStyle w:val="12"/>
                    <w:spacing w:after="0" w:line="240" w:lineRule="atLeast"/>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昼 间</w:t>
                  </w:r>
                </w:p>
              </w:tc>
              <w:tc>
                <w:tcPr>
                  <w:tcW w:w="1396" w:type="dxa"/>
                  <w:tcBorders>
                    <w:top w:val="single" w:color="auto" w:sz="4" w:space="0"/>
                  </w:tcBorders>
                  <w:noWrap w:val="0"/>
                  <w:vAlign w:val="center"/>
                </w:tcPr>
                <w:p w14:paraId="0F212A3E">
                  <w:pPr>
                    <w:pStyle w:val="12"/>
                    <w:spacing w:after="0" w:line="240" w:lineRule="atLeast"/>
                    <w:ind w:left="0" w:leftChars="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夜 间</w:t>
                  </w:r>
                </w:p>
              </w:tc>
            </w:tr>
            <w:tr w14:paraId="3C901E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02" w:type="dxa"/>
                  <w:noWrap w:val="0"/>
                  <w:vAlign w:val="center"/>
                </w:tcPr>
                <w:p w14:paraId="463BE72A">
                  <w:pPr>
                    <w:pStyle w:val="12"/>
                    <w:spacing w:after="0" w:line="240" w:lineRule="atLeast"/>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项目区</w:t>
                  </w:r>
                  <w:r>
                    <w:rPr>
                      <w:rFonts w:hint="eastAsia" w:cs="Times New Roman"/>
                      <w:color w:val="auto"/>
                      <w:sz w:val="21"/>
                      <w:szCs w:val="21"/>
                      <w:lang w:val="en-US" w:eastAsia="zh-CN"/>
                    </w:rPr>
                    <w:t>西侧</w:t>
                  </w:r>
                  <w:r>
                    <w:rPr>
                      <w:rFonts w:hint="default" w:ascii="Times New Roman" w:hAnsi="Times New Roman" w:cs="Times New Roman"/>
                      <w:color w:val="auto"/>
                      <w:sz w:val="21"/>
                      <w:szCs w:val="21"/>
                    </w:rPr>
                    <w:t>道路</w:t>
                  </w:r>
                </w:p>
              </w:tc>
              <w:tc>
                <w:tcPr>
                  <w:tcW w:w="1969" w:type="dxa"/>
                  <w:tcBorders>
                    <w:right w:val="single" w:color="auto" w:sz="4" w:space="0"/>
                  </w:tcBorders>
                  <w:noWrap w:val="0"/>
                  <w:vAlign w:val="center"/>
                </w:tcPr>
                <w:p w14:paraId="688FEC65">
                  <w:pPr>
                    <w:pStyle w:val="12"/>
                    <w:spacing w:after="0" w:line="240" w:lineRule="atLeast"/>
                    <w:ind w:left="0" w:left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4类标准</w:t>
                  </w:r>
                </w:p>
              </w:tc>
              <w:tc>
                <w:tcPr>
                  <w:tcW w:w="1331" w:type="dxa"/>
                  <w:tcBorders>
                    <w:left w:val="single" w:color="auto" w:sz="4" w:space="0"/>
                  </w:tcBorders>
                  <w:noWrap w:val="0"/>
                  <w:vAlign w:val="center"/>
                </w:tcPr>
                <w:p w14:paraId="69EFD241">
                  <w:pPr>
                    <w:pStyle w:val="12"/>
                    <w:spacing w:after="0" w:line="240" w:lineRule="atLeast"/>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70</w:t>
                  </w:r>
                </w:p>
              </w:tc>
              <w:tc>
                <w:tcPr>
                  <w:tcW w:w="1396" w:type="dxa"/>
                  <w:noWrap w:val="0"/>
                  <w:vAlign w:val="center"/>
                </w:tcPr>
                <w:p w14:paraId="47BCB67D">
                  <w:pPr>
                    <w:pStyle w:val="12"/>
                    <w:spacing w:after="0" w:line="240" w:lineRule="atLeast"/>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55</w:t>
                  </w:r>
                </w:p>
              </w:tc>
            </w:tr>
            <w:tr w14:paraId="783FD6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8" w:hRule="atLeast"/>
                <w:jc w:val="center"/>
              </w:trPr>
              <w:tc>
                <w:tcPr>
                  <w:tcW w:w="3602" w:type="dxa"/>
                  <w:noWrap w:val="0"/>
                  <w:vAlign w:val="center"/>
                </w:tcPr>
                <w:p w14:paraId="060C6E06">
                  <w:pPr>
                    <w:pStyle w:val="12"/>
                    <w:spacing w:after="0" w:line="240" w:lineRule="atLeast"/>
                    <w:ind w:left="0" w:lef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项目区其余周边</w:t>
                  </w:r>
                </w:p>
              </w:tc>
              <w:tc>
                <w:tcPr>
                  <w:tcW w:w="1969" w:type="dxa"/>
                  <w:tcBorders>
                    <w:right w:val="single" w:color="auto" w:sz="4" w:space="0"/>
                  </w:tcBorders>
                  <w:noWrap w:val="0"/>
                  <w:vAlign w:val="center"/>
                </w:tcPr>
                <w:p w14:paraId="438629D4">
                  <w:pPr>
                    <w:pStyle w:val="12"/>
                    <w:spacing w:after="0" w:line="240" w:lineRule="atLeast"/>
                    <w:ind w:left="0" w:left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2</w:t>
                  </w:r>
                  <w:r>
                    <w:rPr>
                      <w:rFonts w:hint="default" w:ascii="Times New Roman" w:hAnsi="Times New Roman" w:cs="Times New Roman"/>
                      <w:color w:val="auto"/>
                      <w:sz w:val="21"/>
                      <w:szCs w:val="21"/>
                    </w:rPr>
                    <w:t>类标准</w:t>
                  </w:r>
                </w:p>
              </w:tc>
              <w:tc>
                <w:tcPr>
                  <w:tcW w:w="1331" w:type="dxa"/>
                  <w:tcBorders>
                    <w:left w:val="single" w:color="auto" w:sz="4" w:space="0"/>
                  </w:tcBorders>
                  <w:noWrap w:val="0"/>
                  <w:vAlign w:val="center"/>
                </w:tcPr>
                <w:p w14:paraId="17E46BEA">
                  <w:pPr>
                    <w:pStyle w:val="12"/>
                    <w:spacing w:after="0" w:line="240" w:lineRule="atLeas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r>
                    <w:rPr>
                      <w:rFonts w:hint="eastAsia" w:cs="Times New Roman"/>
                      <w:bCs/>
                      <w:color w:val="auto"/>
                      <w:sz w:val="21"/>
                      <w:szCs w:val="21"/>
                      <w:lang w:val="en-US" w:eastAsia="zh-CN"/>
                    </w:rPr>
                    <w:t>0</w:t>
                  </w:r>
                </w:p>
              </w:tc>
              <w:tc>
                <w:tcPr>
                  <w:tcW w:w="1396" w:type="dxa"/>
                  <w:noWrap w:val="0"/>
                  <w:vAlign w:val="center"/>
                </w:tcPr>
                <w:p w14:paraId="373B33B0">
                  <w:pPr>
                    <w:pStyle w:val="12"/>
                    <w:spacing w:after="0" w:line="240" w:lineRule="atLeas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r>
                    <w:rPr>
                      <w:rFonts w:hint="eastAsia" w:cs="Times New Roman"/>
                      <w:bCs/>
                      <w:color w:val="auto"/>
                      <w:sz w:val="21"/>
                      <w:szCs w:val="21"/>
                      <w:lang w:val="en-US" w:eastAsia="zh-CN"/>
                    </w:rPr>
                    <w:t>0</w:t>
                  </w:r>
                </w:p>
              </w:tc>
            </w:tr>
          </w:tbl>
          <w:p w14:paraId="41EFC0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固体废物</w:t>
            </w:r>
          </w:p>
          <w:p w14:paraId="25044E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2"/>
              </w:rPr>
              <w:t>项目产生的一般固体废物处置执行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一般工业固体废物贮存和填埋 污染控制标准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GB 18599-2020</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危险废物处置</w:t>
            </w:r>
            <w:r>
              <w:rPr>
                <w:rFonts w:hint="default" w:ascii="Times New Roman" w:hAnsi="Times New Roman" w:eastAsia="宋体" w:cs="Times New Roman"/>
                <w:color w:val="auto"/>
                <w:sz w:val="24"/>
                <w:szCs w:val="24"/>
              </w:rPr>
              <w:t>执行《危险废物贮存污染控制</w:t>
            </w:r>
            <w:r>
              <w:rPr>
                <w:rFonts w:hint="default" w:ascii="Times New Roman" w:hAnsi="Times New Roman" w:eastAsia="宋体" w:cs="Times New Roman"/>
                <w:color w:val="auto"/>
                <w:sz w:val="24"/>
                <w:szCs w:val="24"/>
                <w:lang w:val="en-US" w:eastAsia="zh-CN"/>
              </w:rPr>
              <w:t>标准</w:t>
            </w:r>
            <w:r>
              <w:rPr>
                <w:rFonts w:hint="default" w:ascii="Times New Roman" w:hAnsi="Times New Roman" w:eastAsia="宋体" w:cs="Times New Roman"/>
                <w:color w:val="auto"/>
                <w:sz w:val="24"/>
                <w:szCs w:val="24"/>
              </w:rPr>
              <w:t>》（GB18597-20</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2"/>
              </w:rPr>
              <w:t>。</w:t>
            </w:r>
          </w:p>
        </w:tc>
      </w:tr>
      <w:tr w14:paraId="42637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dxa"/>
            <w:noWrap w:val="0"/>
            <w:vAlign w:val="center"/>
          </w:tcPr>
          <w:p w14:paraId="47D676B7">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14:paraId="05F70545">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14:paraId="5798195B">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指标</w:t>
            </w:r>
          </w:p>
        </w:tc>
        <w:tc>
          <w:tcPr>
            <w:tcW w:w="8672" w:type="dxa"/>
            <w:noWrap w:val="0"/>
            <w:vAlign w:val="center"/>
          </w:tcPr>
          <w:p w14:paraId="147AB70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本项目总量建议控制指标如下：</w:t>
            </w:r>
          </w:p>
          <w:p w14:paraId="76349B75">
            <w:pPr>
              <w:spacing w:line="348"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1、废气</w:t>
            </w:r>
          </w:p>
          <w:p w14:paraId="18F7AC0E">
            <w:pPr>
              <w:pStyle w:val="11"/>
              <w:spacing w:after="0" w:line="348"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项目运营期废气主要是在卸油、油罐贮存、加油机加油过程中产生的非甲烷总烃，</w:t>
            </w:r>
            <w:r>
              <w:rPr>
                <w:rFonts w:hint="default" w:ascii="Times New Roman" w:hAnsi="Times New Roman" w:cs="Times New Roman"/>
                <w:bCs/>
                <w:color w:val="auto"/>
                <w:sz w:val="24"/>
                <w:szCs w:val="24"/>
              </w:rPr>
              <w:t>排放量</w:t>
            </w:r>
            <w:r>
              <w:rPr>
                <w:rFonts w:hint="default" w:ascii="Times New Roman" w:hAnsi="Times New Roman" w:cs="Times New Roman"/>
                <w:color w:val="auto"/>
                <w:sz w:val="24"/>
                <w:szCs w:val="24"/>
              </w:rPr>
              <w:t>为</w:t>
            </w:r>
            <w:r>
              <w:rPr>
                <w:rFonts w:hint="eastAsia" w:cs="Times New Roman"/>
                <w:color w:val="auto"/>
                <w:sz w:val="24"/>
                <w:szCs w:val="28"/>
                <w:lang w:val="en-US" w:eastAsia="zh-CN"/>
              </w:rPr>
              <w:t>0.544612</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呈无组织排放。</w:t>
            </w:r>
          </w:p>
          <w:p w14:paraId="79072AEB">
            <w:pPr>
              <w:spacing w:line="348"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2、废水</w:t>
            </w:r>
          </w:p>
          <w:p w14:paraId="2D545933">
            <w:pPr>
              <w:pStyle w:val="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根据工程分析可知，项目废水产生量为</w:t>
            </w:r>
            <w:r>
              <w:rPr>
                <w:rFonts w:hint="eastAsia" w:cs="Times New Roman"/>
                <w:color w:val="auto"/>
                <w:kern w:val="0"/>
                <w:sz w:val="24"/>
                <w:szCs w:val="24"/>
                <w:lang w:val="en-US" w:eastAsia="zh-CN" w:bidi="ar-SA"/>
              </w:rPr>
              <w:t>1205.244</w:t>
            </w:r>
            <w:r>
              <w:rPr>
                <w:rFonts w:hint="default" w:ascii="Times New Roman" w:hAnsi="Times New Roman" w:eastAsia="宋体" w:cs="Times New Roman"/>
                <w:color w:val="auto"/>
                <w:kern w:val="0"/>
                <w:sz w:val="24"/>
                <w:szCs w:val="24"/>
                <w:lang w:val="en-US" w:eastAsia="zh-CN" w:bidi="ar-SA"/>
              </w:rPr>
              <w:t>m³/a。项目区排水采用“雨污分流”排水制度，食堂含油废水经隔油池预处理后与其余办公生活废水及外来人员冲厕废水一同进入化粪池处理，地面冲洗废水</w:t>
            </w:r>
            <w:r>
              <w:rPr>
                <w:rFonts w:hint="eastAsia" w:cs="Times New Roman"/>
                <w:color w:val="auto"/>
                <w:kern w:val="0"/>
                <w:sz w:val="24"/>
                <w:szCs w:val="24"/>
                <w:lang w:val="en-US" w:eastAsia="zh-CN" w:bidi="ar-SA"/>
              </w:rPr>
              <w:t>、初期雨水</w:t>
            </w:r>
            <w:r>
              <w:rPr>
                <w:rFonts w:hint="default" w:ascii="Times New Roman" w:hAnsi="Times New Roman" w:eastAsia="宋体" w:cs="Times New Roman"/>
                <w:color w:val="auto"/>
                <w:kern w:val="0"/>
                <w:sz w:val="24"/>
                <w:szCs w:val="24"/>
                <w:lang w:val="en-US" w:eastAsia="zh-CN" w:bidi="ar-SA"/>
              </w:rPr>
              <w:t>经三级油水分离池处理，上述所有废水</w:t>
            </w:r>
            <w:r>
              <w:rPr>
                <w:rFonts w:hint="eastAsia" w:cs="Times New Roman"/>
                <w:color w:val="auto"/>
                <w:kern w:val="0"/>
                <w:sz w:val="24"/>
                <w:szCs w:val="24"/>
                <w:lang w:val="en-US" w:eastAsia="zh-CN" w:bidi="ar-SA"/>
              </w:rPr>
              <w:t>委托有资质单位清运，</w:t>
            </w:r>
            <w:r>
              <w:rPr>
                <w:rFonts w:hint="default" w:ascii="Times New Roman" w:hAnsi="Times New Roman" w:eastAsia="宋体" w:cs="Times New Roman"/>
                <w:color w:val="auto"/>
                <w:kern w:val="0"/>
                <w:sz w:val="24"/>
                <w:szCs w:val="24"/>
                <w:lang w:val="en-US" w:eastAsia="zh-CN" w:bidi="ar-SA"/>
              </w:rPr>
              <w:t>不外排，不设置总量控制指标。</w:t>
            </w:r>
          </w:p>
          <w:p w14:paraId="4990C6D5">
            <w:pPr>
              <w:spacing w:line="348"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3、固体废物</w:t>
            </w:r>
          </w:p>
          <w:p w14:paraId="13954625">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固废处置率100%，不设总量控制指标</w:t>
            </w:r>
            <w:r>
              <w:rPr>
                <w:rFonts w:hint="default" w:ascii="Times New Roman" w:hAnsi="Times New Roman" w:cs="Times New Roman"/>
                <w:color w:val="auto"/>
                <w:sz w:val="24"/>
                <w:szCs w:val="24"/>
                <w:lang w:eastAsia="zh-CN"/>
              </w:rPr>
              <w:t>。</w:t>
            </w:r>
          </w:p>
          <w:p w14:paraId="4EFCB26D">
            <w:pPr>
              <w:spacing w:line="360" w:lineRule="auto"/>
              <w:ind w:firstLine="480" w:firstLineChars="200"/>
              <w:rPr>
                <w:rFonts w:hint="default" w:ascii="Times New Roman" w:hAnsi="Times New Roman" w:cs="Times New Roman"/>
                <w:color w:val="auto"/>
                <w:sz w:val="24"/>
                <w:szCs w:val="24"/>
              </w:rPr>
            </w:pPr>
          </w:p>
          <w:p w14:paraId="4E26793C">
            <w:pPr>
              <w:spacing w:line="360" w:lineRule="auto"/>
              <w:ind w:firstLine="480" w:firstLineChars="200"/>
              <w:rPr>
                <w:rFonts w:hint="default" w:ascii="Times New Roman" w:hAnsi="Times New Roman" w:eastAsia="宋体" w:cs="Times New Roman"/>
                <w:color w:val="auto"/>
                <w:kern w:val="0"/>
                <w:sz w:val="24"/>
                <w:szCs w:val="24"/>
                <w:lang w:val="en-US" w:eastAsia="zh-CN"/>
              </w:rPr>
            </w:pPr>
          </w:p>
        </w:tc>
      </w:tr>
    </w:tbl>
    <w:p w14:paraId="0DD8D54E">
      <w:pPr>
        <w:pStyle w:val="2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20" w:name="_Toc16510"/>
      <w:bookmarkStart w:id="21" w:name="_Toc16053"/>
      <w:r>
        <w:rPr>
          <w:rFonts w:hint="default" w:ascii="Times New Roman" w:hAnsi="Times New Roman" w:eastAsia="黑体" w:cs="Times New Roman"/>
          <w:snapToGrid w:val="0"/>
          <w:color w:val="auto"/>
          <w:sz w:val="30"/>
          <w:szCs w:val="30"/>
        </w:rPr>
        <w:t>四、主要环境影响和保护措施</w:t>
      </w:r>
      <w:bookmarkEnd w:id="20"/>
      <w:bookmarkEnd w:id="21"/>
    </w:p>
    <w:tbl>
      <w:tblPr>
        <w:tblStyle w:val="27"/>
        <w:tblW w:w="98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237"/>
      </w:tblGrid>
      <w:tr w14:paraId="2F62A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646" w:type="dxa"/>
            <w:noWrap w:val="0"/>
            <w:tcMar>
              <w:left w:w="28" w:type="dxa"/>
              <w:right w:w="28" w:type="dxa"/>
            </w:tcMar>
            <w:vAlign w:val="center"/>
          </w:tcPr>
          <w:p w14:paraId="5ADAE2AB">
            <w:pPr>
              <w:pStyle w:val="24"/>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7D702AA2">
            <w:pPr>
              <w:pStyle w:val="24"/>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2FFAB32D">
            <w:pPr>
              <w:pStyle w:val="24"/>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02F05335">
            <w:pPr>
              <w:pStyle w:val="24"/>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49904974">
            <w:pPr>
              <w:pStyle w:val="24"/>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9237" w:type="dxa"/>
            <w:noWrap w:val="0"/>
            <w:vAlign w:val="center"/>
          </w:tcPr>
          <w:p w14:paraId="370F9A6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cs="Times New Roman"/>
                <w:b/>
                <w:bCs w:val="0"/>
                <w:color w:val="auto"/>
                <w:spacing w:val="-10"/>
                <w:sz w:val="24"/>
                <w:szCs w:val="24"/>
                <w:lang w:val="en-US" w:eastAsia="zh-CN"/>
              </w:rPr>
            </w:pPr>
            <w:r>
              <w:rPr>
                <w:rFonts w:hint="default" w:ascii="Times New Roman" w:hAnsi="Times New Roman" w:cs="Times New Roman"/>
                <w:b/>
                <w:bCs w:val="0"/>
                <w:color w:val="auto"/>
                <w:spacing w:val="-10"/>
                <w:sz w:val="24"/>
                <w:szCs w:val="24"/>
                <w:lang w:val="en-US" w:eastAsia="zh-CN"/>
              </w:rPr>
              <w:t>施工期大气环境保护措施：</w:t>
            </w:r>
          </w:p>
          <w:p w14:paraId="41AEDE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cs="Times New Roman"/>
                <w:b/>
                <w:bCs w:val="0"/>
                <w:color w:val="auto"/>
                <w:spacing w:val="-10"/>
                <w:sz w:val="24"/>
                <w:szCs w:val="24"/>
                <w:lang w:val="en-US" w:eastAsia="zh-CN"/>
              </w:rPr>
            </w:pPr>
            <w:r>
              <w:rPr>
                <w:rFonts w:hint="default" w:ascii="Times New Roman" w:hAnsi="Times New Roman" w:cs="Times New Roman"/>
                <w:b/>
                <w:bCs w:val="0"/>
                <w:color w:val="auto"/>
                <w:spacing w:val="-10"/>
                <w:sz w:val="24"/>
                <w:szCs w:val="24"/>
                <w:lang w:val="en-US" w:eastAsia="zh-CN"/>
              </w:rPr>
              <w:t>（1）施工扬尘：</w:t>
            </w:r>
          </w:p>
          <w:p w14:paraId="3F2A520D">
            <w:pPr>
              <w:spacing w:line="360" w:lineRule="auto"/>
              <w:ind w:firstLine="480" w:firstLineChars="200"/>
              <w:rPr>
                <w:rFonts w:hint="default" w:ascii="Times New Roman" w:hAnsi="Times New Roman" w:cs="Times New Roman"/>
                <w:color w:val="auto"/>
                <w:kern w:val="1"/>
                <w:sz w:val="24"/>
                <w:szCs w:val="24"/>
              </w:rPr>
            </w:pPr>
            <w:r>
              <w:rPr>
                <w:rFonts w:hint="default" w:ascii="Times New Roman" w:hAnsi="Times New Roman" w:cs="Times New Roman"/>
                <w:color w:val="auto"/>
                <w:kern w:val="1"/>
                <w:sz w:val="24"/>
                <w:szCs w:val="24"/>
              </w:rPr>
              <w:t>为</w:t>
            </w:r>
            <w:r>
              <w:rPr>
                <w:rFonts w:hint="default" w:ascii="Times New Roman" w:hAnsi="Times New Roman" w:cs="Times New Roman"/>
                <w:color w:val="auto"/>
                <w:kern w:val="1"/>
                <w:sz w:val="24"/>
                <w:szCs w:val="24"/>
                <w:lang w:eastAsia="zh-CN"/>
              </w:rPr>
              <w:t>进一步减小施工扬尘对周围大气环境的影响</w:t>
            </w:r>
            <w:r>
              <w:rPr>
                <w:rFonts w:hint="default" w:ascii="Times New Roman" w:hAnsi="Times New Roman" w:cs="Times New Roman"/>
                <w:color w:val="auto"/>
                <w:kern w:val="1"/>
                <w:sz w:val="24"/>
                <w:szCs w:val="24"/>
              </w:rPr>
              <w:t>，环评提出如下对策措施：</w:t>
            </w:r>
          </w:p>
          <w:p w14:paraId="7352A8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①施工过程中使用的水泥和其他细粒散装材料，应统一堆放，且采用篷布遮盖，避免露天堆放，对洒落的水泥等粉尘及时清扫；项目使用商品混凝土。 </w:t>
            </w:r>
          </w:p>
          <w:p w14:paraId="0F899D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②对运输粉料建筑材料等易产生扬尘的车辆覆盖蓬布，建筑材料轻装轻卸，尽量降低装卸高度。 </w:t>
            </w:r>
          </w:p>
          <w:p w14:paraId="2C7860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③对露天施工场地进行洒水降尘，及时清运垃圾，避免大风产生扬尘； </w:t>
            </w:r>
          </w:p>
          <w:p w14:paraId="6EC9F2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④施工过程中产生的建筑垃圾定点堆放，且采用篷布遮盖。 </w:t>
            </w:r>
          </w:p>
          <w:p w14:paraId="6F0089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⑤</w:t>
            </w:r>
            <w:r>
              <w:rPr>
                <w:rFonts w:hint="eastAsia" w:cs="Times New Roman"/>
                <w:color w:val="auto"/>
                <w:kern w:val="0"/>
                <w:sz w:val="24"/>
                <w:szCs w:val="24"/>
                <w:lang w:val="en-US" w:eastAsia="zh-CN" w:bidi="ar"/>
              </w:rPr>
              <w:t>构筑物拆除过程</w:t>
            </w:r>
            <w:r>
              <w:rPr>
                <w:rFonts w:hint="default" w:ascii="Times New Roman" w:hAnsi="Times New Roman" w:eastAsia="宋体" w:cs="Times New Roman"/>
                <w:color w:val="auto"/>
                <w:kern w:val="0"/>
                <w:sz w:val="24"/>
                <w:szCs w:val="24"/>
                <w:lang w:val="en-US" w:eastAsia="zh-CN" w:bidi="ar"/>
              </w:rPr>
              <w:t>采取洒水降尘；</w:t>
            </w:r>
          </w:p>
          <w:p w14:paraId="262D9E6A">
            <w:pPr>
              <w:widowControl/>
              <w:snapToGrid w:val="0"/>
              <w:spacing w:line="360" w:lineRule="auto"/>
              <w:ind w:firstLine="480" w:firstLineChars="200"/>
              <w:jc w:val="left"/>
              <w:rPr>
                <w:rFonts w:hint="default" w:ascii="Times New Roman" w:hAnsi="Times New Roman" w:eastAsia="CIDFont" w:cs="Times New Roman"/>
                <w:color w:val="auto"/>
                <w:kern w:val="0"/>
                <w:sz w:val="24"/>
                <w:lang w:bidi="ar"/>
              </w:rPr>
            </w:pPr>
            <w:r>
              <w:rPr>
                <w:rFonts w:hint="default" w:ascii="Times New Roman" w:hAnsi="Times New Roman" w:eastAsia="CIDFont" w:cs="Times New Roman"/>
                <w:color w:val="auto"/>
                <w:kern w:val="0"/>
                <w:sz w:val="24"/>
                <w:lang w:bidi="ar"/>
              </w:rPr>
              <w:t>⑥</w:t>
            </w:r>
            <w:r>
              <w:rPr>
                <w:rFonts w:hint="default" w:ascii="Times New Roman" w:hAnsi="Times New Roman" w:cs="Times New Roman"/>
                <w:color w:val="auto"/>
                <w:sz w:val="24"/>
              </w:rPr>
              <w:t>施工单位应严格执行 HJ/T393-2007《防治城市扬尘污染技术规范》的相关规定，施工工地周围应当设置围护和喷雾装置；</w:t>
            </w:r>
          </w:p>
          <w:p w14:paraId="434E871B">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通过采取以上措施，可有效减小施工扬尘对周围环境的影响。</w:t>
            </w:r>
          </w:p>
          <w:p w14:paraId="7CB23539">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（2）运输扬尘</w:t>
            </w:r>
          </w:p>
          <w:p w14:paraId="67E549A1">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运输扬尘主要来自建筑材料运输过程泼洒，对沿途环境空气及敏感点产生不良影响，针对运输扬尘，环评提出如下对策措施：</w:t>
            </w:r>
          </w:p>
          <w:p w14:paraId="37D62440">
            <w:pPr>
              <w:pStyle w:val="11"/>
              <w:adjustRightInd w:val="0"/>
              <w:snapToGrid w:val="0"/>
              <w:spacing w:after="0"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kern w:val="1"/>
                <w:sz w:val="24"/>
              </w:rPr>
              <w:t>①</w:t>
            </w:r>
            <w:r>
              <w:rPr>
                <w:rFonts w:hint="default" w:ascii="Times New Roman" w:hAnsi="Times New Roman" w:cs="Times New Roman"/>
                <w:color w:val="auto"/>
                <w:sz w:val="24"/>
                <w:lang w:val="zh-CN"/>
              </w:rPr>
              <w:t>运输车辆车厢使用篷布严密遮盖，严禁在装运过程中沿途抛、洒、滴、漏；</w:t>
            </w:r>
          </w:p>
          <w:p w14:paraId="6BF2A89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1"/>
                <w:sz w:val="24"/>
              </w:rPr>
              <w:t>②</w:t>
            </w:r>
            <w:r>
              <w:rPr>
                <w:rFonts w:hint="default" w:ascii="Times New Roman" w:hAnsi="Times New Roman" w:cs="Times New Roman"/>
                <w:color w:val="auto"/>
                <w:sz w:val="24"/>
                <w:lang w:val="zh-CN"/>
              </w:rPr>
              <w:t>运输车辆禁止超载，运输建筑材料堆放不应高出车厢箱体高度；</w:t>
            </w:r>
          </w:p>
          <w:p w14:paraId="130908E9">
            <w:pPr>
              <w:autoSpaceDE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1"/>
                <w:sz w:val="24"/>
              </w:rPr>
              <w:t>③</w:t>
            </w:r>
            <w:r>
              <w:rPr>
                <w:rFonts w:hint="default" w:ascii="Times New Roman" w:hAnsi="Times New Roman" w:cs="Times New Roman"/>
                <w:color w:val="auto"/>
                <w:sz w:val="24"/>
              </w:rPr>
              <w:t>运输过程中散落在路面上的泥土要及时清扫，以减少运行过程中的扬尘。</w:t>
            </w:r>
          </w:p>
          <w:p w14:paraId="2C31E028">
            <w:pPr>
              <w:autoSpaceDE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④工地出口5m内必须进行混凝土硬化，并设置车辆冲洗设施，运输车辆必须冲洗后出场。</w:t>
            </w:r>
          </w:p>
          <w:p w14:paraId="1A7BBC7C">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采取以上扬尘污染防治措施落实后，可有效减少运输过程扬尘产生量，对运输道路沿线敏感点影响较小。</w:t>
            </w:r>
          </w:p>
          <w:p w14:paraId="5B1421B5">
            <w:pPr>
              <w:spacing w:line="360" w:lineRule="auto"/>
              <w:ind w:firstLine="482" w:firstLineChars="200"/>
              <w:rPr>
                <w:rFonts w:hint="default" w:ascii="Times New Roman" w:hAnsi="Times New Roman" w:cs="Times New Roman"/>
                <w:b/>
                <w:bCs/>
                <w:color w:val="auto"/>
                <w:kern w:val="1"/>
                <w:sz w:val="24"/>
                <w:szCs w:val="24"/>
              </w:rPr>
            </w:pPr>
            <w:r>
              <w:rPr>
                <w:rFonts w:hint="default" w:ascii="Times New Roman" w:hAnsi="Times New Roman" w:cs="Times New Roman"/>
                <w:b/>
                <w:bCs/>
                <w:color w:val="auto"/>
                <w:kern w:val="1"/>
                <w:sz w:val="24"/>
                <w:szCs w:val="24"/>
                <w:lang w:val="en-US" w:eastAsia="zh-CN"/>
              </w:rPr>
              <w:t>（3）</w:t>
            </w:r>
            <w:r>
              <w:rPr>
                <w:rFonts w:hint="default" w:ascii="Times New Roman" w:hAnsi="Times New Roman" w:cs="Times New Roman"/>
                <w:b/>
                <w:bCs/>
                <w:color w:val="auto"/>
                <w:kern w:val="1"/>
                <w:sz w:val="24"/>
                <w:szCs w:val="24"/>
              </w:rPr>
              <w:t>施工机械尾气</w:t>
            </w:r>
          </w:p>
          <w:p w14:paraId="7AD419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1"/>
                <w:sz w:val="24"/>
                <w:szCs w:val="24"/>
                <w:lang w:val="zh-CN"/>
              </w:rPr>
            </w:pPr>
            <w:r>
              <w:rPr>
                <w:rFonts w:hint="default" w:ascii="Times New Roman" w:hAnsi="Times New Roman" w:cs="Times New Roman"/>
                <w:color w:val="auto"/>
                <w:kern w:val="1"/>
                <w:sz w:val="24"/>
                <w:szCs w:val="24"/>
                <w:lang w:val="zh-CN"/>
              </w:rPr>
              <w:t>施工机械和运输车辆在施工期间产生的废气主要是NO</w:t>
            </w:r>
            <w:r>
              <w:rPr>
                <w:rFonts w:hint="default" w:ascii="Times New Roman" w:hAnsi="Times New Roman" w:cs="Times New Roman"/>
                <w:color w:val="auto"/>
                <w:kern w:val="1"/>
                <w:sz w:val="24"/>
                <w:szCs w:val="24"/>
                <w:vertAlign w:val="subscript"/>
                <w:lang w:val="zh-CN"/>
              </w:rPr>
              <w:t>X</w:t>
            </w:r>
            <w:r>
              <w:rPr>
                <w:rFonts w:hint="default" w:ascii="Times New Roman" w:hAnsi="Times New Roman" w:cs="Times New Roman"/>
                <w:color w:val="auto"/>
                <w:kern w:val="1"/>
                <w:sz w:val="24"/>
                <w:szCs w:val="24"/>
                <w:lang w:val="zh-CN"/>
              </w:rPr>
              <w:t>、CO和THC等，也将对周围环境产生影响。由于施工区域相对开阔，而施工机械和运输车辆尾气排放相对较小，因此施工机械和运输车辆所排放的尾气在空气中经自然扩散和稀释后，对评价区域的空气环境质量影响不大。</w:t>
            </w:r>
          </w:p>
          <w:p w14:paraId="42655EE2">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b/>
                <w:bCs/>
                <w:color w:val="auto"/>
                <w:kern w:val="1"/>
                <w:sz w:val="24"/>
                <w:szCs w:val="24"/>
                <w:lang w:val="en-US" w:eastAsia="zh-CN"/>
              </w:rPr>
            </w:pPr>
            <w:r>
              <w:rPr>
                <w:rFonts w:hint="default" w:ascii="Times New Roman" w:hAnsi="Times New Roman" w:cs="Times New Roman"/>
                <w:b/>
                <w:bCs/>
                <w:color w:val="auto"/>
                <w:kern w:val="1"/>
                <w:sz w:val="24"/>
                <w:szCs w:val="24"/>
                <w:lang w:val="en-US" w:eastAsia="zh-CN"/>
              </w:rPr>
              <w:t>施工期地表水环境保护措施：</w:t>
            </w:r>
          </w:p>
          <w:p w14:paraId="26A0EFFE">
            <w:pPr>
              <w:spacing w:line="360" w:lineRule="auto"/>
              <w:ind w:firstLine="482"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施工</w:t>
            </w:r>
            <w:r>
              <w:rPr>
                <w:rFonts w:hint="default" w:ascii="Times New Roman" w:hAnsi="Times New Roman" w:cs="Times New Roman"/>
                <w:b/>
                <w:bCs/>
                <w:color w:val="auto"/>
                <w:sz w:val="24"/>
                <w:szCs w:val="24"/>
                <w:lang w:val="en-US" w:eastAsia="zh-CN"/>
              </w:rPr>
              <w:t>废水</w:t>
            </w:r>
          </w:p>
          <w:p w14:paraId="67B412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项目施工期涉及用水和排水的阶段主要是浇筑</w:t>
            </w:r>
            <w:r>
              <w:rPr>
                <w:rFonts w:hint="eastAsia" w:cs="Times New Roman"/>
                <w:color w:val="auto"/>
                <w:kern w:val="0"/>
                <w:sz w:val="24"/>
                <w:szCs w:val="24"/>
                <w:lang w:val="en-US" w:eastAsia="zh-CN" w:bidi="ar"/>
              </w:rPr>
              <w:t>混凝土</w:t>
            </w:r>
            <w:r>
              <w:rPr>
                <w:rFonts w:hint="default" w:ascii="Times New Roman" w:hAnsi="Times New Roman" w:eastAsia="宋体" w:cs="Times New Roman"/>
                <w:color w:val="auto"/>
                <w:kern w:val="0"/>
                <w:sz w:val="24"/>
                <w:szCs w:val="24"/>
                <w:lang w:val="en-US" w:eastAsia="zh-CN" w:bidi="ar"/>
              </w:rPr>
              <w:t>，在土石方阶段几乎不产生施工废水，施工废水主要来自于混凝土养护、机械冲洗、场地冲洗等。项目施工时拟设置1个施工废水</w:t>
            </w:r>
            <w:r>
              <w:rPr>
                <w:rFonts w:hint="default" w:ascii="Times New Roman" w:hAnsi="Times New Roman" w:cs="Times New Roman"/>
                <w:color w:val="auto"/>
                <w:sz w:val="24"/>
                <w:szCs w:val="24"/>
                <w:lang w:val="en-US" w:eastAsia="zh-CN"/>
              </w:rPr>
              <w:t>临时</w:t>
            </w:r>
            <w:r>
              <w:rPr>
                <w:rFonts w:hint="default" w:ascii="Times New Roman" w:hAnsi="Times New Roman" w:eastAsia="宋体" w:cs="Times New Roman"/>
                <w:color w:val="auto"/>
                <w:kern w:val="0"/>
                <w:sz w:val="24"/>
                <w:szCs w:val="24"/>
                <w:lang w:val="en-US" w:eastAsia="zh-CN" w:bidi="ar"/>
              </w:rPr>
              <w:t>沉淀池（</w:t>
            </w:r>
            <w:r>
              <w:rPr>
                <w:rFonts w:hint="default" w:ascii="Times New Roman" w:hAnsi="Times New Roman" w:cs="Times New Roman"/>
                <w:color w:val="auto"/>
                <w:sz w:val="24"/>
                <w:szCs w:val="24"/>
                <w:lang w:val="en-US" w:eastAsia="zh-CN"/>
              </w:rPr>
              <w:t>容积5m³</w:t>
            </w:r>
            <w:r>
              <w:rPr>
                <w:rFonts w:hint="default" w:ascii="Times New Roman" w:hAnsi="Times New Roman" w:eastAsia="宋体" w:cs="Times New Roman"/>
                <w:color w:val="auto"/>
                <w:kern w:val="0"/>
                <w:sz w:val="24"/>
                <w:szCs w:val="24"/>
                <w:lang w:val="en-US" w:eastAsia="zh-CN" w:bidi="ar"/>
              </w:rPr>
              <w:t>），将引入池中的施工废水进行沉淀处理，大大降低废水中SS的含量，经过沉淀处理后的施工废水用于施工场地洒水降尘。</w:t>
            </w:r>
          </w:p>
          <w:p w14:paraId="314370DB">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施工期生活污水</w:t>
            </w:r>
          </w:p>
          <w:p w14:paraId="31EFE6A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本项目施工期生活污水主要是施工人员少量的洗手废水（</w:t>
            </w:r>
            <w:r>
              <w:rPr>
                <w:rFonts w:hint="default" w:ascii="Times New Roman" w:hAnsi="Times New Roman" w:cs="Times New Roman"/>
                <w:color w:val="auto"/>
                <w:sz w:val="24"/>
                <w:szCs w:val="24"/>
                <w:lang w:val="en-US" w:eastAsia="zh-CN"/>
              </w:rPr>
              <w:t>不在施工场地食宿</w:t>
            </w:r>
            <w:r>
              <w:rPr>
                <w:rFonts w:hint="default" w:ascii="Times New Roman" w:hAnsi="Times New Roman" w:cs="Times New Roman"/>
                <w:color w:val="auto"/>
                <w:sz w:val="24"/>
                <w:szCs w:val="24"/>
                <w:lang w:eastAsia="zh-CN"/>
              </w:rPr>
              <w:t>），产生量较少，</w:t>
            </w:r>
            <w:r>
              <w:rPr>
                <w:rFonts w:hint="default" w:ascii="Times New Roman" w:hAnsi="Times New Roman" w:cs="Times New Roman"/>
                <w:color w:val="auto"/>
                <w:sz w:val="24"/>
                <w:szCs w:val="24"/>
                <w:lang w:val="en-US" w:eastAsia="zh-CN"/>
              </w:rPr>
              <w:t>和施工废水使用同一个临时沉淀池（容积5m³）处理后，回用于</w:t>
            </w:r>
            <w:r>
              <w:rPr>
                <w:rFonts w:hint="default" w:ascii="Times New Roman" w:hAnsi="Times New Roman" w:cs="Times New Roman"/>
                <w:color w:val="auto"/>
                <w:sz w:val="24"/>
                <w:szCs w:val="24"/>
                <w:lang w:eastAsia="zh-CN"/>
              </w:rPr>
              <w:t>施工场地洒水降尘，</w:t>
            </w:r>
            <w:r>
              <w:rPr>
                <w:rFonts w:hint="default" w:ascii="Times New Roman" w:hAnsi="Times New Roman" w:cs="Times New Roman"/>
                <w:color w:val="auto"/>
                <w:sz w:val="24"/>
                <w:szCs w:val="24"/>
                <w:highlight w:val="none"/>
              </w:rPr>
              <w:t>不外排</w:t>
            </w:r>
            <w:r>
              <w:rPr>
                <w:rFonts w:hint="default" w:ascii="Times New Roman" w:hAnsi="Times New Roman" w:cs="Times New Roman"/>
                <w:color w:val="auto"/>
                <w:sz w:val="24"/>
                <w:szCs w:val="24"/>
              </w:rPr>
              <w:t>。</w:t>
            </w:r>
          </w:p>
          <w:p w14:paraId="5DCAA3A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（3）</w:t>
            </w:r>
            <w:r>
              <w:rPr>
                <w:rFonts w:hint="default" w:ascii="Times New Roman" w:hAnsi="Times New Roman" w:cs="Times New Roman"/>
                <w:color w:val="auto"/>
                <w:sz w:val="24"/>
                <w:szCs w:val="24"/>
              </w:rPr>
              <w:t>雨天地表径流</w:t>
            </w:r>
          </w:p>
          <w:p w14:paraId="588717F4">
            <w:pPr>
              <w:keepNext w:val="0"/>
              <w:keepLines w:val="0"/>
              <w:pageBreakBefore w:val="0"/>
              <w:widowControl/>
              <w:suppressLineNumbers w:val="0"/>
              <w:kinsoku/>
              <w:wordWrap/>
              <w:overflowPunct/>
              <w:topLinePunct w:val="0"/>
              <w:autoSpaceDE/>
              <w:autoSpaceDN/>
              <w:bidi w:val="0"/>
              <w:adjustRightInd/>
              <w:snapToGrid w:val="0"/>
              <w:spacing w:line="360" w:lineRule="auto"/>
              <w:ind w:firstLine="51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8"/>
                <w:sz w:val="24"/>
                <w:szCs w:val="24"/>
              </w:rPr>
              <w:t>施工期遇到下雨天气时，施工场地不可避免的会遭遇雨水的冲刷，使得施工场地成为面源污染源。降雨冲刷地面浮土、建筑砂石等，降雨冲刷后形成的地表径流会携带泥沙，主要污染物为悬浮物。可通过采取及时清扫场地减少地面浮土量，规范砂石堆放，加盖篷布，减小场地坡度等措施加以控制，同时项目施工场内拟沿场地周边设置临时排水沟，将施工场地内悬浮物浓度较高的初期地表径流雨水截留，导入临时沉淀池，经临时沉淀池沉淀后回用于施工或洒水降尘。</w:t>
            </w:r>
            <w:r>
              <w:rPr>
                <w:rFonts w:hint="default" w:ascii="Times New Roman" w:hAnsi="Times New Roman" w:cs="Times New Roman"/>
                <w:color w:val="auto"/>
                <w:sz w:val="24"/>
                <w:szCs w:val="24"/>
              </w:rPr>
              <w:t>场内设置排水沟，将雨天形成的地表径流收集至沉砂池（1个，容积</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），雨天地表径流经沉淀后回用作施工用水。</w:t>
            </w:r>
          </w:p>
          <w:p w14:paraId="3B7DD62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lang w:eastAsia="zh-CN"/>
              </w:rPr>
            </w:pPr>
            <w:r>
              <w:rPr>
                <w:rFonts w:hint="default" w:ascii="Times New Roman" w:hAnsi="Times New Roman" w:eastAsia="CIDFont" w:cs="Times New Roman"/>
                <w:b w:val="0"/>
                <w:bCs w:val="0"/>
                <w:color w:val="auto"/>
                <w:kern w:val="0"/>
                <w:sz w:val="24"/>
                <w:szCs w:val="24"/>
                <w:lang w:val="en-US" w:eastAsia="zh-CN" w:bidi="ar"/>
              </w:rPr>
              <w:t>总之，本项目施工期废水均能得到妥善处理，施工期产生的废水对地表水体的影响属短期影响，施工结束后即可终止。</w:t>
            </w:r>
          </w:p>
          <w:p w14:paraId="0D5D0102">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b/>
                <w:bCs/>
                <w:color w:val="auto"/>
                <w:kern w:val="1"/>
                <w:sz w:val="24"/>
                <w:szCs w:val="24"/>
                <w:lang w:val="en-US" w:eastAsia="zh-CN"/>
              </w:rPr>
            </w:pPr>
            <w:r>
              <w:rPr>
                <w:rFonts w:hint="default" w:ascii="Times New Roman" w:hAnsi="Times New Roman" w:cs="Times New Roman"/>
                <w:b/>
                <w:bCs/>
                <w:color w:val="auto"/>
                <w:kern w:val="1"/>
                <w:sz w:val="24"/>
                <w:szCs w:val="24"/>
                <w:lang w:val="en-US" w:eastAsia="zh-CN"/>
              </w:rPr>
              <w:t>施工期噪声环境保护措施</w:t>
            </w:r>
          </w:p>
          <w:p w14:paraId="37A8789A">
            <w:pPr>
              <w:spacing w:line="360" w:lineRule="auto"/>
              <w:ind w:firstLine="480"/>
              <w:rPr>
                <w:rFonts w:hint="default" w:ascii="Times New Roman" w:hAnsi="Times New Roman" w:cs="Times New Roman"/>
                <w:color w:val="auto"/>
                <w:kern w:val="1"/>
                <w:sz w:val="24"/>
                <w:szCs w:val="24"/>
              </w:rPr>
            </w:pPr>
            <w:r>
              <w:rPr>
                <w:rFonts w:hint="default" w:ascii="Times New Roman" w:hAnsi="Times New Roman" w:cs="Times New Roman"/>
                <w:bCs/>
                <w:color w:val="auto"/>
                <w:sz w:val="24"/>
              </w:rPr>
              <w:t>施工期噪声主要来源于施工机械和运输车辆产生的噪声和振动，施工噪声主要来自于施工机械噪声和施工运输车辆的流动噪声。在不同施工阶段，由于施工机械的数量、构成动作等的随机性，导致了噪声产生的随机性和无规律性，施工期间噪声成无组织、不连续排放；车辆运输中产生的噪声则只与车辆发动机有关，更具有不规律性，为无组织、不连续排放。根据项目特点，提出以下治理措施和建议：</w:t>
            </w:r>
          </w:p>
          <w:p w14:paraId="4246BA46">
            <w:pPr>
              <w:spacing w:line="348"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①避免多个高噪声设备同时施工，对一些固定的、噪声强度较大的施工设备如电锯、切割机等单独搭建隔音棚，或建一定高度的夹层中空墙隔音降噪，可降噪5～10dB(A)；</w:t>
            </w:r>
          </w:p>
          <w:p w14:paraId="43059E73">
            <w:pPr>
              <w:spacing w:line="348"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②选用低噪声设备，并安装减震设施，源强可降低2～3dB(A)；</w:t>
            </w:r>
          </w:p>
          <w:p w14:paraId="6A8AA0AB">
            <w:pPr>
              <w:spacing w:line="348"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③运输车应保持低速匀速行驶，以降低施工噪声对周围环境的影响；</w:t>
            </w:r>
          </w:p>
          <w:p w14:paraId="03D4C355">
            <w:pPr>
              <w:spacing w:line="348"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④合理安排高噪声设备施工时间，禁止在中午（12:00～14:30）和夜间（22:00～次日6:00）施工</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如特殊情况下必须连续作业时，项目建设方应在周边地区张贴安民告示，且有县级以上人民政府或其有关主管部门的证明后，方可开始施工，避免扰民事件的发生</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 xml:space="preserve"> </w:t>
            </w:r>
          </w:p>
          <w:p w14:paraId="2D4204F2">
            <w:pPr>
              <w:spacing w:line="348"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⑤各种木材、金属的切割工作一律在现场的作业棚内进行，作业棚搭成封闭式；</w:t>
            </w:r>
          </w:p>
          <w:p w14:paraId="1EF034C4">
            <w:pPr>
              <w:autoSpaceDE w:val="0"/>
              <w:autoSpaceDN w:val="0"/>
              <w:spacing w:line="348"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⑥</w:t>
            </w:r>
            <w:r>
              <w:rPr>
                <w:rFonts w:hint="default" w:ascii="Times New Roman" w:hAnsi="Times New Roman" w:cs="Times New Roman"/>
                <w:color w:val="auto"/>
                <w:sz w:val="24"/>
                <w:lang w:val="en-US" w:eastAsia="zh-CN"/>
              </w:rPr>
              <w:t>合理安排物料运输时间及路线，尽可能远离居民区。</w:t>
            </w:r>
          </w:p>
          <w:p w14:paraId="58118672">
            <w:pPr>
              <w:autoSpaceDE w:val="0"/>
              <w:autoSpaceDN w:val="0"/>
              <w:spacing w:line="348"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⑦加强管理，降低人为噪声影响：按操作规范操作机械设备等过程中减少碰撞噪声，并对工人进行环保方面的教育，做到文明作业，减少作业噪声。</w:t>
            </w:r>
          </w:p>
          <w:p w14:paraId="676812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施工期间噪声多产生于昼间，为短期、无规律性的行为，施工期结束后，相应的噪声污染即随之消失，不会对周围环境产生长期不良影响。</w:t>
            </w:r>
          </w:p>
          <w:p w14:paraId="57FB6322">
            <w:pPr>
              <w:adjustRightInd w:val="0"/>
              <w:snapToGrid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施工期间噪声主要可以分为施工机械噪声、施工作业噪声及施工车辆噪声。在这些噪声中施工机械噪声对声环境影响最大。施工过程每天工作8小时。各施工机械噪声源的噪声值见表 4-1。</w:t>
            </w:r>
          </w:p>
          <w:p w14:paraId="4015C3DE">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 4-1 施工期机械噪声源强值</w:t>
            </w:r>
          </w:p>
          <w:tbl>
            <w:tblPr>
              <w:tblStyle w:val="28"/>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765"/>
              <w:gridCol w:w="764"/>
              <w:gridCol w:w="954"/>
              <w:gridCol w:w="764"/>
              <w:gridCol w:w="900"/>
              <w:gridCol w:w="982"/>
              <w:gridCol w:w="831"/>
              <w:gridCol w:w="729"/>
              <w:gridCol w:w="730"/>
            </w:tblGrid>
            <w:tr w14:paraId="5C54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14:paraId="7905C544">
                  <w:pPr>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噪声源</w:t>
                  </w:r>
                </w:p>
              </w:tc>
              <w:tc>
                <w:tcPr>
                  <w:tcW w:w="765" w:type="dxa"/>
                  <w:noWrap w:val="0"/>
                  <w:vAlign w:val="top"/>
                </w:tcPr>
                <w:p w14:paraId="365CA486">
                  <w:pPr>
                    <w:bidi w:val="0"/>
                    <w:jc w:val="center"/>
                    <w:rPr>
                      <w:rFonts w:hint="default" w:ascii="Times New Roman" w:hAnsi="Times New Roman" w:cs="Times New Roman"/>
                      <w:color w:val="auto"/>
                    </w:rPr>
                  </w:pPr>
                  <w:r>
                    <w:rPr>
                      <w:rFonts w:hint="default" w:ascii="Times New Roman" w:hAnsi="Times New Roman" w:cs="Times New Roman"/>
                      <w:color w:val="auto"/>
                      <w:lang w:eastAsia="zh-CN"/>
                    </w:rPr>
                    <w:t>源强</w:t>
                  </w:r>
                </w:p>
              </w:tc>
              <w:tc>
                <w:tcPr>
                  <w:tcW w:w="764" w:type="dxa"/>
                  <w:noWrap w:val="0"/>
                  <w:vAlign w:val="top"/>
                </w:tcPr>
                <w:p w14:paraId="07542670">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10m</w:t>
                  </w:r>
                </w:p>
              </w:tc>
              <w:tc>
                <w:tcPr>
                  <w:tcW w:w="954" w:type="dxa"/>
                  <w:noWrap w:val="0"/>
                  <w:vAlign w:val="top"/>
                </w:tcPr>
                <w:p w14:paraId="42A51627">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20m</w:t>
                  </w:r>
                </w:p>
              </w:tc>
              <w:tc>
                <w:tcPr>
                  <w:tcW w:w="764" w:type="dxa"/>
                  <w:noWrap w:val="0"/>
                  <w:vAlign w:val="top"/>
                </w:tcPr>
                <w:p w14:paraId="5F96DE0C">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40m</w:t>
                  </w:r>
                </w:p>
              </w:tc>
              <w:tc>
                <w:tcPr>
                  <w:tcW w:w="900" w:type="dxa"/>
                  <w:noWrap w:val="0"/>
                  <w:vAlign w:val="top"/>
                </w:tcPr>
                <w:p w14:paraId="12C620D8">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60m</w:t>
                  </w:r>
                </w:p>
              </w:tc>
              <w:tc>
                <w:tcPr>
                  <w:tcW w:w="982" w:type="dxa"/>
                  <w:noWrap w:val="0"/>
                  <w:vAlign w:val="top"/>
                </w:tcPr>
                <w:p w14:paraId="34F5BB36">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80m</w:t>
                  </w:r>
                </w:p>
              </w:tc>
              <w:tc>
                <w:tcPr>
                  <w:tcW w:w="831" w:type="dxa"/>
                  <w:noWrap w:val="0"/>
                  <w:vAlign w:val="top"/>
                </w:tcPr>
                <w:p w14:paraId="4542D65E">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100m</w:t>
                  </w:r>
                </w:p>
              </w:tc>
              <w:tc>
                <w:tcPr>
                  <w:tcW w:w="729" w:type="dxa"/>
                  <w:noWrap w:val="0"/>
                  <w:vAlign w:val="top"/>
                </w:tcPr>
                <w:p w14:paraId="28DE935A">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150m</w:t>
                  </w:r>
                </w:p>
              </w:tc>
              <w:tc>
                <w:tcPr>
                  <w:tcW w:w="730" w:type="dxa"/>
                  <w:noWrap w:val="0"/>
                  <w:vAlign w:val="center"/>
                </w:tcPr>
                <w:p w14:paraId="0891DB50">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200</w:t>
                  </w:r>
                  <w:r>
                    <w:rPr>
                      <w:rFonts w:hint="default" w:ascii="Times New Roman" w:hAnsi="Times New Roman" w:cs="Times New Roman"/>
                      <w:color w:val="auto"/>
                      <w:lang w:val="en-US" w:eastAsia="zh-CN"/>
                    </w:rPr>
                    <w:t>m</w:t>
                  </w:r>
                </w:p>
              </w:tc>
            </w:tr>
            <w:tr w14:paraId="0F29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14:paraId="06E95A17">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挖掘机</w:t>
                  </w:r>
                </w:p>
              </w:tc>
              <w:tc>
                <w:tcPr>
                  <w:tcW w:w="765" w:type="dxa"/>
                  <w:noWrap w:val="0"/>
                  <w:vAlign w:val="top"/>
                </w:tcPr>
                <w:p w14:paraId="1AC26009">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w:t>
                  </w:r>
                </w:p>
              </w:tc>
              <w:tc>
                <w:tcPr>
                  <w:tcW w:w="764" w:type="dxa"/>
                  <w:noWrap w:val="0"/>
                  <w:vAlign w:val="center"/>
                </w:tcPr>
                <w:p w14:paraId="7CBB54DC">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65.00</w:t>
                  </w:r>
                </w:p>
              </w:tc>
              <w:tc>
                <w:tcPr>
                  <w:tcW w:w="954" w:type="dxa"/>
                  <w:noWrap w:val="0"/>
                  <w:vAlign w:val="center"/>
                </w:tcPr>
                <w:p w14:paraId="3CFB00AA">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58.98</w:t>
                  </w:r>
                </w:p>
              </w:tc>
              <w:tc>
                <w:tcPr>
                  <w:tcW w:w="764" w:type="dxa"/>
                  <w:noWrap w:val="0"/>
                  <w:vAlign w:val="center"/>
                </w:tcPr>
                <w:p w14:paraId="0EB203C2">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55.46</w:t>
                  </w:r>
                </w:p>
              </w:tc>
              <w:tc>
                <w:tcPr>
                  <w:tcW w:w="900" w:type="dxa"/>
                  <w:noWrap w:val="0"/>
                  <w:vAlign w:val="center"/>
                </w:tcPr>
                <w:p w14:paraId="5C5D5D39">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52.96</w:t>
                  </w:r>
                </w:p>
              </w:tc>
              <w:tc>
                <w:tcPr>
                  <w:tcW w:w="982" w:type="dxa"/>
                  <w:noWrap w:val="0"/>
                  <w:vAlign w:val="center"/>
                </w:tcPr>
                <w:p w14:paraId="6CCD0C8D">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51.02</w:t>
                  </w:r>
                </w:p>
              </w:tc>
              <w:tc>
                <w:tcPr>
                  <w:tcW w:w="831" w:type="dxa"/>
                  <w:noWrap w:val="0"/>
                  <w:vAlign w:val="center"/>
                </w:tcPr>
                <w:p w14:paraId="30E9FD6C">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45.00</w:t>
                  </w:r>
                </w:p>
              </w:tc>
              <w:tc>
                <w:tcPr>
                  <w:tcW w:w="729" w:type="dxa"/>
                  <w:noWrap w:val="0"/>
                  <w:vAlign w:val="center"/>
                </w:tcPr>
                <w:p w14:paraId="26122CD3">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41.48</w:t>
                  </w:r>
                </w:p>
              </w:tc>
              <w:tc>
                <w:tcPr>
                  <w:tcW w:w="730" w:type="dxa"/>
                  <w:noWrap w:val="0"/>
                  <w:vAlign w:val="center"/>
                </w:tcPr>
                <w:p w14:paraId="11217846">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38.98</w:t>
                  </w:r>
                </w:p>
              </w:tc>
            </w:tr>
            <w:tr w14:paraId="6957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14:paraId="157F2643">
                  <w:pPr>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运输车辆</w:t>
                  </w:r>
                </w:p>
              </w:tc>
              <w:tc>
                <w:tcPr>
                  <w:tcW w:w="765" w:type="dxa"/>
                  <w:noWrap w:val="0"/>
                  <w:vAlign w:val="top"/>
                </w:tcPr>
                <w:p w14:paraId="129FACE3">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85</w:t>
                  </w:r>
                </w:p>
              </w:tc>
              <w:tc>
                <w:tcPr>
                  <w:tcW w:w="764" w:type="dxa"/>
                  <w:noWrap w:val="0"/>
                  <w:vAlign w:val="center"/>
                </w:tcPr>
                <w:p w14:paraId="41E38FBA">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65.00</w:t>
                  </w:r>
                </w:p>
              </w:tc>
              <w:tc>
                <w:tcPr>
                  <w:tcW w:w="954" w:type="dxa"/>
                  <w:noWrap w:val="0"/>
                  <w:vAlign w:val="center"/>
                </w:tcPr>
                <w:p w14:paraId="4621D952">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58.98</w:t>
                  </w:r>
                </w:p>
              </w:tc>
              <w:tc>
                <w:tcPr>
                  <w:tcW w:w="764" w:type="dxa"/>
                  <w:noWrap w:val="0"/>
                  <w:vAlign w:val="center"/>
                </w:tcPr>
                <w:p w14:paraId="62F08CF2">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55.46</w:t>
                  </w:r>
                </w:p>
              </w:tc>
              <w:tc>
                <w:tcPr>
                  <w:tcW w:w="900" w:type="dxa"/>
                  <w:noWrap w:val="0"/>
                  <w:vAlign w:val="center"/>
                </w:tcPr>
                <w:p w14:paraId="2DB6A6C3">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52.96</w:t>
                  </w:r>
                </w:p>
              </w:tc>
              <w:tc>
                <w:tcPr>
                  <w:tcW w:w="982" w:type="dxa"/>
                  <w:noWrap w:val="0"/>
                  <w:vAlign w:val="center"/>
                </w:tcPr>
                <w:p w14:paraId="01F50604">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51.02</w:t>
                  </w:r>
                </w:p>
              </w:tc>
              <w:tc>
                <w:tcPr>
                  <w:tcW w:w="831" w:type="dxa"/>
                  <w:noWrap w:val="0"/>
                  <w:vAlign w:val="center"/>
                </w:tcPr>
                <w:p w14:paraId="236C5066">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45.00</w:t>
                  </w:r>
                </w:p>
              </w:tc>
              <w:tc>
                <w:tcPr>
                  <w:tcW w:w="729" w:type="dxa"/>
                  <w:noWrap w:val="0"/>
                  <w:vAlign w:val="center"/>
                </w:tcPr>
                <w:p w14:paraId="0EEFFBEE">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41.48</w:t>
                  </w:r>
                </w:p>
              </w:tc>
              <w:tc>
                <w:tcPr>
                  <w:tcW w:w="730" w:type="dxa"/>
                  <w:noWrap w:val="0"/>
                  <w:vAlign w:val="center"/>
                </w:tcPr>
                <w:p w14:paraId="2B8AB7DF">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38.98</w:t>
                  </w:r>
                </w:p>
              </w:tc>
            </w:tr>
            <w:tr w14:paraId="7375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14:paraId="14154FFE">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电焊机</w:t>
                  </w:r>
                </w:p>
              </w:tc>
              <w:tc>
                <w:tcPr>
                  <w:tcW w:w="765" w:type="dxa"/>
                  <w:noWrap w:val="0"/>
                  <w:vAlign w:val="top"/>
                </w:tcPr>
                <w:p w14:paraId="7B75C7DD">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w:t>
                  </w:r>
                </w:p>
              </w:tc>
              <w:tc>
                <w:tcPr>
                  <w:tcW w:w="764" w:type="dxa"/>
                  <w:noWrap w:val="0"/>
                  <w:vAlign w:val="center"/>
                </w:tcPr>
                <w:p w14:paraId="1E5A5ABE">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75.00</w:t>
                  </w:r>
                </w:p>
              </w:tc>
              <w:tc>
                <w:tcPr>
                  <w:tcW w:w="954" w:type="dxa"/>
                  <w:noWrap w:val="0"/>
                  <w:vAlign w:val="center"/>
                </w:tcPr>
                <w:p w14:paraId="3268DFCE">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68.98</w:t>
                  </w:r>
                </w:p>
              </w:tc>
              <w:tc>
                <w:tcPr>
                  <w:tcW w:w="764" w:type="dxa"/>
                  <w:noWrap w:val="0"/>
                  <w:vAlign w:val="center"/>
                </w:tcPr>
                <w:p w14:paraId="7C9745BC">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65.46</w:t>
                  </w:r>
                </w:p>
              </w:tc>
              <w:tc>
                <w:tcPr>
                  <w:tcW w:w="900" w:type="dxa"/>
                  <w:noWrap w:val="0"/>
                  <w:vAlign w:val="center"/>
                </w:tcPr>
                <w:p w14:paraId="251F2BD7">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62.96</w:t>
                  </w:r>
                </w:p>
              </w:tc>
              <w:tc>
                <w:tcPr>
                  <w:tcW w:w="982" w:type="dxa"/>
                  <w:noWrap w:val="0"/>
                  <w:vAlign w:val="center"/>
                </w:tcPr>
                <w:p w14:paraId="54547F8F">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61.02</w:t>
                  </w:r>
                </w:p>
              </w:tc>
              <w:tc>
                <w:tcPr>
                  <w:tcW w:w="831" w:type="dxa"/>
                  <w:noWrap w:val="0"/>
                  <w:vAlign w:val="center"/>
                </w:tcPr>
                <w:p w14:paraId="21BAE776">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55.00</w:t>
                  </w:r>
                </w:p>
              </w:tc>
              <w:tc>
                <w:tcPr>
                  <w:tcW w:w="729" w:type="dxa"/>
                  <w:noWrap w:val="0"/>
                  <w:vAlign w:val="center"/>
                </w:tcPr>
                <w:p w14:paraId="70626A7D">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51.48</w:t>
                  </w:r>
                </w:p>
              </w:tc>
              <w:tc>
                <w:tcPr>
                  <w:tcW w:w="730" w:type="dxa"/>
                  <w:noWrap w:val="0"/>
                  <w:vAlign w:val="center"/>
                </w:tcPr>
                <w:p w14:paraId="306F5520">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48.98</w:t>
                  </w:r>
                </w:p>
              </w:tc>
            </w:tr>
            <w:tr w14:paraId="1692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14:paraId="7CE99884">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振捣机</w:t>
                  </w:r>
                </w:p>
              </w:tc>
              <w:tc>
                <w:tcPr>
                  <w:tcW w:w="765" w:type="dxa"/>
                  <w:noWrap w:val="0"/>
                  <w:vAlign w:val="top"/>
                </w:tcPr>
                <w:p w14:paraId="09A5A012">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w:t>
                  </w:r>
                </w:p>
              </w:tc>
              <w:tc>
                <w:tcPr>
                  <w:tcW w:w="764" w:type="dxa"/>
                  <w:noWrap w:val="0"/>
                  <w:vAlign w:val="center"/>
                </w:tcPr>
                <w:p w14:paraId="31F372B7">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75.00</w:t>
                  </w:r>
                </w:p>
              </w:tc>
              <w:tc>
                <w:tcPr>
                  <w:tcW w:w="954" w:type="dxa"/>
                  <w:noWrap w:val="0"/>
                  <w:vAlign w:val="center"/>
                </w:tcPr>
                <w:p w14:paraId="5B5F7BEC">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68.98</w:t>
                  </w:r>
                </w:p>
              </w:tc>
              <w:tc>
                <w:tcPr>
                  <w:tcW w:w="764" w:type="dxa"/>
                  <w:noWrap w:val="0"/>
                  <w:vAlign w:val="center"/>
                </w:tcPr>
                <w:p w14:paraId="0725A2AF">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65.46</w:t>
                  </w:r>
                </w:p>
              </w:tc>
              <w:tc>
                <w:tcPr>
                  <w:tcW w:w="900" w:type="dxa"/>
                  <w:noWrap w:val="0"/>
                  <w:vAlign w:val="center"/>
                </w:tcPr>
                <w:p w14:paraId="3019214D">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62.96</w:t>
                  </w:r>
                </w:p>
              </w:tc>
              <w:tc>
                <w:tcPr>
                  <w:tcW w:w="982" w:type="dxa"/>
                  <w:noWrap w:val="0"/>
                  <w:vAlign w:val="center"/>
                </w:tcPr>
                <w:p w14:paraId="33C7F3E1">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61.02</w:t>
                  </w:r>
                </w:p>
              </w:tc>
              <w:tc>
                <w:tcPr>
                  <w:tcW w:w="831" w:type="dxa"/>
                  <w:noWrap w:val="0"/>
                  <w:vAlign w:val="center"/>
                </w:tcPr>
                <w:p w14:paraId="0EDF68A1">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55.00</w:t>
                  </w:r>
                </w:p>
              </w:tc>
              <w:tc>
                <w:tcPr>
                  <w:tcW w:w="729" w:type="dxa"/>
                  <w:noWrap w:val="0"/>
                  <w:vAlign w:val="center"/>
                </w:tcPr>
                <w:p w14:paraId="5287CE24">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51.48</w:t>
                  </w:r>
                </w:p>
              </w:tc>
              <w:tc>
                <w:tcPr>
                  <w:tcW w:w="730" w:type="dxa"/>
                  <w:noWrap w:val="0"/>
                  <w:vAlign w:val="center"/>
                </w:tcPr>
                <w:p w14:paraId="4479D264">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48.98</w:t>
                  </w:r>
                </w:p>
              </w:tc>
            </w:tr>
            <w:tr w14:paraId="4D26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noWrap w:val="0"/>
                  <w:vAlign w:val="top"/>
                </w:tcPr>
                <w:p w14:paraId="257BB001">
                  <w:pPr>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声源叠加值</w:t>
                  </w:r>
                </w:p>
              </w:tc>
              <w:tc>
                <w:tcPr>
                  <w:tcW w:w="765" w:type="dxa"/>
                  <w:noWrap w:val="0"/>
                  <w:vAlign w:val="top"/>
                </w:tcPr>
                <w:p w14:paraId="3038E34F">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64" w:type="dxa"/>
                  <w:noWrap w:val="0"/>
                  <w:vAlign w:val="center"/>
                </w:tcPr>
                <w:p w14:paraId="0532A39F">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98.42</w:t>
                  </w:r>
                </w:p>
              </w:tc>
              <w:tc>
                <w:tcPr>
                  <w:tcW w:w="954" w:type="dxa"/>
                  <w:noWrap w:val="0"/>
                  <w:vAlign w:val="center"/>
                </w:tcPr>
                <w:p w14:paraId="5514E537">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78.42</w:t>
                  </w:r>
                </w:p>
              </w:tc>
              <w:tc>
                <w:tcPr>
                  <w:tcW w:w="764" w:type="dxa"/>
                  <w:noWrap w:val="0"/>
                  <w:vAlign w:val="center"/>
                </w:tcPr>
                <w:p w14:paraId="266E0C7B">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72.40</w:t>
                  </w:r>
                </w:p>
              </w:tc>
              <w:tc>
                <w:tcPr>
                  <w:tcW w:w="900" w:type="dxa"/>
                  <w:noWrap w:val="0"/>
                  <w:vAlign w:val="center"/>
                </w:tcPr>
                <w:p w14:paraId="2593DC0D">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68.88</w:t>
                  </w:r>
                </w:p>
              </w:tc>
              <w:tc>
                <w:tcPr>
                  <w:tcW w:w="982" w:type="dxa"/>
                  <w:noWrap w:val="0"/>
                  <w:vAlign w:val="center"/>
                </w:tcPr>
                <w:p w14:paraId="53FB568B">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66.38</w:t>
                  </w:r>
                </w:p>
              </w:tc>
              <w:tc>
                <w:tcPr>
                  <w:tcW w:w="831" w:type="dxa"/>
                  <w:noWrap w:val="0"/>
                  <w:vAlign w:val="center"/>
                </w:tcPr>
                <w:p w14:paraId="7A5258DF">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64.44</w:t>
                  </w:r>
                </w:p>
              </w:tc>
              <w:tc>
                <w:tcPr>
                  <w:tcW w:w="729" w:type="dxa"/>
                  <w:noWrap w:val="0"/>
                  <w:vAlign w:val="center"/>
                </w:tcPr>
                <w:p w14:paraId="263404C2">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58.42</w:t>
                  </w:r>
                </w:p>
              </w:tc>
              <w:tc>
                <w:tcPr>
                  <w:tcW w:w="730" w:type="dxa"/>
                  <w:noWrap w:val="0"/>
                  <w:vAlign w:val="center"/>
                </w:tcPr>
                <w:p w14:paraId="0598D68A">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54.90</w:t>
                  </w:r>
                </w:p>
              </w:tc>
            </w:tr>
          </w:tbl>
          <w:p w14:paraId="1593E31E">
            <w:pPr>
              <w:bidi w:val="0"/>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仅考虑距离衰减的情况下</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施工机械超标范围在20</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m以内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项目夜间不施工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昼间施工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昼间施工场界以外能达到《建筑施工场界环境噪声排放标准(GB12523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2011)标准要求。</w:t>
            </w:r>
          </w:p>
          <w:p w14:paraId="2638B2C3">
            <w:pPr>
              <w:bidi w:val="0"/>
              <w:spacing w:line="360" w:lineRule="auto"/>
              <w:ind w:firstLine="480" w:firstLineChars="200"/>
              <w:jc w:val="both"/>
              <w:rPr>
                <w:rFonts w:hint="default" w:ascii="Times New Roman" w:hAnsi="Times New Roman" w:cs="Times New Roman"/>
                <w:b/>
                <w:bCs/>
                <w:color w:val="auto"/>
                <w:kern w:val="1"/>
                <w:sz w:val="24"/>
                <w:szCs w:val="24"/>
                <w:lang w:val="en-US" w:eastAsia="zh-CN"/>
              </w:rPr>
            </w:pPr>
            <w:r>
              <w:rPr>
                <w:rFonts w:hint="default" w:ascii="Times New Roman" w:hAnsi="Times New Roman" w:cs="Times New Roman"/>
                <w:color w:val="auto"/>
                <w:sz w:val="24"/>
                <w:szCs w:val="24"/>
              </w:rPr>
              <w:t>项目200m范围内</w:t>
            </w:r>
            <w:r>
              <w:rPr>
                <w:rFonts w:hint="eastAsia" w:cs="Times New Roman"/>
                <w:color w:val="auto"/>
                <w:sz w:val="24"/>
                <w:szCs w:val="24"/>
                <w:lang w:val="en-US" w:eastAsia="zh-CN"/>
              </w:rPr>
              <w:t>有</w:t>
            </w:r>
            <w:r>
              <w:rPr>
                <w:rFonts w:hint="default" w:ascii="Times New Roman" w:hAnsi="Times New Roman" w:cs="Times New Roman"/>
                <w:color w:val="auto"/>
                <w:sz w:val="24"/>
                <w:szCs w:val="24"/>
              </w:rPr>
              <w:t>声环境保护目标</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施工</w:t>
            </w:r>
            <w:r>
              <w:rPr>
                <w:rFonts w:hint="eastAsia" w:cs="Times New Roman"/>
                <w:color w:val="auto"/>
                <w:sz w:val="24"/>
                <w:szCs w:val="24"/>
                <w:lang w:val="en-US" w:eastAsia="zh-CN"/>
              </w:rPr>
              <w:t>应加强管理，</w:t>
            </w:r>
            <w:r>
              <w:rPr>
                <w:rFonts w:hint="default" w:ascii="Times New Roman" w:hAnsi="Times New Roman" w:cs="Times New Roman"/>
                <w:color w:val="auto"/>
                <w:sz w:val="24"/>
              </w:rPr>
              <w:t>禁止在中午（12:00～14:30）和夜间（22:00～次日6:00）施工</w:t>
            </w:r>
            <w:r>
              <w:rPr>
                <w:rFonts w:hint="eastAsia" w:cs="Times New Roman"/>
                <w:color w:val="auto"/>
                <w:sz w:val="24"/>
                <w:lang w:eastAsia="zh-CN"/>
              </w:rPr>
              <w:t>，</w:t>
            </w:r>
            <w:r>
              <w:rPr>
                <w:rFonts w:hint="eastAsia" w:cs="Times New Roman"/>
                <w:color w:val="auto"/>
                <w:sz w:val="24"/>
                <w:lang w:val="en-US" w:eastAsia="zh-CN"/>
              </w:rPr>
              <w:t>避免扰民</w:t>
            </w:r>
            <w:r>
              <w:rPr>
                <w:rFonts w:hint="default" w:ascii="Times New Roman" w:hAnsi="Times New Roman" w:cs="Times New Roman"/>
                <w:color w:val="auto"/>
                <w:lang w:eastAsia="zh-CN"/>
              </w:rPr>
              <w:t>。</w:t>
            </w:r>
          </w:p>
          <w:p w14:paraId="11260D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kern w:val="1"/>
                <w:sz w:val="24"/>
                <w:szCs w:val="24"/>
                <w:lang w:val="en-US" w:eastAsia="zh-CN"/>
              </w:rPr>
            </w:pPr>
            <w:r>
              <w:rPr>
                <w:rFonts w:hint="default" w:ascii="Times New Roman" w:hAnsi="Times New Roman" w:cs="Times New Roman"/>
                <w:b/>
                <w:bCs/>
                <w:color w:val="auto"/>
                <w:kern w:val="1"/>
                <w:sz w:val="24"/>
                <w:szCs w:val="24"/>
                <w:lang w:val="en-US" w:eastAsia="zh-CN"/>
              </w:rPr>
              <w:t>4、施工期固体废物环境保护措施</w:t>
            </w:r>
          </w:p>
          <w:p w14:paraId="13303D3C">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（1）废弃土石方</w:t>
            </w:r>
          </w:p>
          <w:p w14:paraId="60695F9F">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lang w:val="en-US" w:eastAsia="zh-CN"/>
              </w:rPr>
              <w:t>站房及油罐区</w:t>
            </w:r>
            <w:r>
              <w:rPr>
                <w:rFonts w:hint="default" w:ascii="Times New Roman" w:hAnsi="Times New Roman" w:cs="Times New Roman"/>
                <w:color w:val="auto"/>
                <w:sz w:val="24"/>
                <w:szCs w:val="24"/>
                <w:lang w:eastAsia="zh-CN"/>
              </w:rPr>
              <w:t>挖掘建设</w:t>
            </w:r>
            <w:r>
              <w:rPr>
                <w:rFonts w:hint="default" w:ascii="Times New Roman" w:hAnsi="Times New Roman" w:cs="Times New Roman"/>
                <w:color w:val="auto"/>
                <w:sz w:val="24"/>
                <w:szCs w:val="24"/>
                <w:lang w:val="en-US" w:eastAsia="zh-CN"/>
              </w:rPr>
              <w:t>过程中</w:t>
            </w:r>
            <w:r>
              <w:rPr>
                <w:rFonts w:hint="default" w:ascii="Times New Roman" w:hAnsi="Times New Roman" w:cs="Times New Roman"/>
                <w:color w:val="auto"/>
                <w:sz w:val="24"/>
                <w:szCs w:val="24"/>
                <w:lang w:eastAsia="zh-CN"/>
              </w:rPr>
              <w:t>，会产生废弃土石方，由于建设规模小，废弃土石方产生量较少，项目施工期不设置取土场和废土场，施工开挖的土石方</w:t>
            </w:r>
            <w:r>
              <w:rPr>
                <w:rFonts w:hint="default" w:ascii="Times New Roman" w:hAnsi="Times New Roman" w:cs="Times New Roman"/>
                <w:color w:val="auto"/>
                <w:sz w:val="24"/>
                <w:szCs w:val="24"/>
                <w:lang w:val="en-US" w:eastAsia="zh-CN"/>
              </w:rPr>
              <w:t>全部在项目区</w:t>
            </w:r>
            <w:r>
              <w:rPr>
                <w:rFonts w:hint="default" w:ascii="Times New Roman" w:hAnsi="Times New Roman" w:cs="Times New Roman"/>
                <w:color w:val="auto"/>
                <w:sz w:val="24"/>
                <w:szCs w:val="24"/>
                <w:lang w:eastAsia="zh-CN"/>
              </w:rPr>
              <w:t xml:space="preserve">回填。                                                              </w:t>
            </w:r>
          </w:p>
          <w:p w14:paraId="2989912E">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建筑垃圾</w:t>
            </w:r>
          </w:p>
          <w:p w14:paraId="21C4D8B7">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本项目建筑垃圾主要</w:t>
            </w:r>
            <w:r>
              <w:rPr>
                <w:rFonts w:hint="eastAsia" w:cs="Times New Roman"/>
                <w:color w:val="auto"/>
                <w:sz w:val="24"/>
                <w:szCs w:val="24"/>
                <w:lang w:val="en-US" w:eastAsia="zh-CN"/>
              </w:rPr>
              <w:t>为现有建筑拆除的</w:t>
            </w:r>
            <w:r>
              <w:rPr>
                <w:rFonts w:hint="default" w:ascii="Times New Roman" w:hAnsi="Times New Roman" w:cs="Times New Roman"/>
                <w:color w:val="auto"/>
                <w:sz w:val="24"/>
                <w:szCs w:val="24"/>
                <w:lang w:eastAsia="zh-CN"/>
              </w:rPr>
              <w:t>废弃钢结构材料、水泥凝结废渣</w:t>
            </w:r>
            <w:r>
              <w:rPr>
                <w:rFonts w:hint="eastAsia" w:cs="Times New Roman"/>
                <w:color w:val="auto"/>
                <w:sz w:val="24"/>
                <w:szCs w:val="24"/>
                <w:lang w:eastAsia="zh-CN"/>
              </w:rPr>
              <w:t>，</w:t>
            </w:r>
            <w:r>
              <w:rPr>
                <w:rFonts w:hint="eastAsia" w:cs="Times New Roman"/>
                <w:color w:val="auto"/>
                <w:sz w:val="24"/>
                <w:szCs w:val="24"/>
                <w:lang w:val="en-US" w:eastAsia="zh-CN"/>
              </w:rPr>
              <w:t>及建设过程中产生</w:t>
            </w:r>
            <w:r>
              <w:rPr>
                <w:rFonts w:hint="default" w:ascii="Times New Roman" w:hAnsi="Times New Roman" w:cs="Times New Roman"/>
                <w:color w:val="auto"/>
                <w:sz w:val="24"/>
                <w:szCs w:val="24"/>
                <w:lang w:eastAsia="zh-CN"/>
              </w:rPr>
              <w:t>一些废弃钢结构材料、水泥凝结废渣和各种包装材料等。本项目工程较为简单，项目在建筑物的建造过程中产生的建筑垃圾可利用的回收利用或外售给废品收购站，其余运至建设管理部门指定地点。</w:t>
            </w:r>
          </w:p>
          <w:p w14:paraId="527CB0A7">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eastAsia="zh-CN"/>
              </w:rPr>
              <w:t>生活垃圾</w:t>
            </w:r>
          </w:p>
          <w:p w14:paraId="59C50AE0">
            <w:pPr>
              <w:widowControl/>
              <w:suppressLineNumbers/>
              <w:spacing w:line="360" w:lineRule="auto"/>
              <w:ind w:firstLine="480" w:firstLineChars="200"/>
              <w:rPr>
                <w:rFonts w:hint="default" w:ascii="Times New Roman" w:hAnsi="Times New Roman" w:cs="Times New Roman"/>
                <w:color w:val="auto"/>
                <w:kern w:val="1"/>
                <w:sz w:val="24"/>
                <w:szCs w:val="24"/>
              </w:rPr>
            </w:pPr>
            <w:r>
              <w:rPr>
                <w:rFonts w:hint="default" w:ascii="Times New Roman" w:hAnsi="Times New Roman" w:cs="Times New Roman"/>
                <w:color w:val="auto"/>
                <w:sz w:val="24"/>
                <w:szCs w:val="24"/>
                <w:lang w:eastAsia="zh-CN"/>
              </w:rPr>
              <w:t>本项目施工人员主要聘用项目周边的建筑工人，施工期生活垃圾多为果皮、纸屑和塑料袋等，收集于垃圾桶内，定期运往环卫部门指定地点，由环卫部门清运处置</w:t>
            </w:r>
            <w:r>
              <w:rPr>
                <w:rFonts w:hint="default" w:ascii="Times New Roman" w:hAnsi="Times New Roman" w:cs="Times New Roman"/>
                <w:color w:val="auto"/>
                <w:kern w:val="1"/>
                <w:sz w:val="24"/>
                <w:szCs w:val="24"/>
              </w:rPr>
              <w:t>。</w:t>
            </w:r>
          </w:p>
          <w:p w14:paraId="60A12E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b/>
                <w:bCs/>
                <w:color w:val="auto"/>
                <w:kern w:val="1"/>
                <w:sz w:val="24"/>
                <w:szCs w:val="24"/>
                <w:lang w:val="en-US" w:eastAsia="zh-CN"/>
              </w:rPr>
            </w:pPr>
            <w:r>
              <w:rPr>
                <w:rFonts w:hint="default" w:ascii="Times New Roman" w:hAnsi="Times New Roman" w:cs="Times New Roman"/>
                <w:b/>
                <w:bCs/>
                <w:color w:val="auto"/>
                <w:kern w:val="1"/>
                <w:sz w:val="24"/>
                <w:szCs w:val="24"/>
                <w:lang w:val="en-US" w:eastAsia="zh-CN"/>
              </w:rPr>
              <w:t>5、施工期生态环境保护措施</w:t>
            </w:r>
          </w:p>
          <w:p w14:paraId="76D47582">
            <w:pPr>
              <w:spacing w:line="360" w:lineRule="auto"/>
              <w:ind w:firstLine="480" w:firstLineChars="200"/>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color w:val="auto"/>
                <w:sz w:val="24"/>
                <w:szCs w:val="24"/>
              </w:rPr>
              <w:t>本项目施工期临时占地和土石开挖将对施工场地区域的植被造成破坏，泥土松散，很容易造成水土流失，本环评提出以下措施，防治水土流失。施工期开挖临时排水沟截留泥沙，重点按照要求做好临时拦挡措施，</w:t>
            </w:r>
            <w:r>
              <w:rPr>
                <w:rFonts w:hint="default" w:ascii="Times New Roman" w:hAnsi="Times New Roman" w:cs="Times New Roman"/>
                <w:color w:val="auto"/>
                <w:sz w:val="24"/>
                <w:szCs w:val="24"/>
                <w:lang w:val="en-US" w:eastAsia="zh-CN"/>
              </w:rPr>
              <w:t>针对施工期初期雨水，设置1个4m³临时沉淀池沉淀处理后回用于施工用水，</w:t>
            </w:r>
            <w:r>
              <w:rPr>
                <w:rFonts w:hint="default" w:ascii="Times New Roman" w:hAnsi="Times New Roman" w:cs="Times New Roman"/>
                <w:color w:val="auto"/>
                <w:sz w:val="24"/>
                <w:szCs w:val="24"/>
              </w:rPr>
              <w:t>防止造成施工期水土流失</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施工中后期，及时做好地面硬化措施，减少地表裸露面积和时间，减少水土流失。</w:t>
            </w:r>
          </w:p>
        </w:tc>
      </w:tr>
      <w:tr w14:paraId="22B62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97" w:hRule="atLeast"/>
          <w:jc w:val="center"/>
        </w:trPr>
        <w:tc>
          <w:tcPr>
            <w:tcW w:w="646" w:type="dxa"/>
            <w:noWrap w:val="0"/>
            <w:tcMar>
              <w:left w:w="28" w:type="dxa"/>
              <w:right w:w="28" w:type="dxa"/>
            </w:tcMar>
            <w:vAlign w:val="center"/>
          </w:tcPr>
          <w:p w14:paraId="32A9150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74BD7DA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5ABA2BB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72608986">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26F98CB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4B60A95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9237" w:type="dxa"/>
            <w:noWrap w:val="0"/>
            <w:vAlign w:val="center"/>
          </w:tcPr>
          <w:p w14:paraId="76A6E9BF">
            <w:pPr>
              <w:widowControl/>
              <w:suppressLineNumbers/>
              <w:spacing w:line="360" w:lineRule="auto"/>
              <w:ind w:firstLine="482" w:firstLineChars="200"/>
              <w:outlineLvl w:val="0"/>
              <w:rPr>
                <w:rFonts w:hint="default" w:ascii="Times New Roman" w:hAnsi="Times New Roman" w:cs="Times New Roman"/>
                <w:b/>
                <w:bCs/>
                <w:color w:val="auto"/>
                <w:sz w:val="24"/>
                <w:szCs w:val="24"/>
                <w:lang w:val="en-US"/>
              </w:rPr>
            </w:pPr>
            <w:bookmarkStart w:id="22" w:name="_Toc25261"/>
            <w:bookmarkStart w:id="23" w:name="_Toc17091"/>
            <w:r>
              <w:rPr>
                <w:rFonts w:hint="default" w:ascii="Times New Roman" w:hAnsi="Times New Roman" w:cs="Times New Roman"/>
                <w:b/>
                <w:color w:val="auto"/>
                <w:sz w:val="24"/>
                <w:szCs w:val="24"/>
                <w:lang w:val="en-US" w:eastAsia="zh-CN"/>
              </w:rPr>
              <w:t>1、大气环境影响分析</w:t>
            </w:r>
            <w:bookmarkEnd w:id="22"/>
            <w:bookmarkEnd w:id="23"/>
          </w:p>
          <w:p w14:paraId="24317099">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（1）产排污环节及污染物排放量</w:t>
            </w:r>
          </w:p>
          <w:p w14:paraId="76F144A8">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32"/>
                <w:lang w:bidi="ar"/>
              </w:rPr>
              <w:t>项目区的大气污染源包括油罐车卸油、储油罐储油、加油机加油过程中排放油气，</w:t>
            </w:r>
            <w:r>
              <w:rPr>
                <w:rFonts w:hint="eastAsia" w:cs="Times New Roman"/>
                <w:color w:val="auto"/>
                <w:sz w:val="24"/>
                <w:szCs w:val="32"/>
                <w:lang w:eastAsia="zh-CN" w:bidi="ar"/>
              </w:rPr>
              <w:t>主要成分为</w:t>
            </w:r>
            <w:r>
              <w:rPr>
                <w:rFonts w:hint="default" w:ascii="Times New Roman" w:hAnsi="Times New Roman" w:cs="Times New Roman"/>
                <w:color w:val="auto"/>
                <w:sz w:val="24"/>
                <w:szCs w:val="32"/>
                <w:lang w:bidi="ar"/>
              </w:rPr>
              <w:t>非甲烷总烃，除此之外还有车辆尾气、</w:t>
            </w:r>
            <w:r>
              <w:rPr>
                <w:rFonts w:hint="default" w:ascii="Times New Roman" w:hAnsi="Times New Roman" w:cs="Times New Roman"/>
                <w:color w:val="auto"/>
                <w:sz w:val="24"/>
                <w:szCs w:val="22"/>
              </w:rPr>
              <w:t>厨房油烟</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32"/>
              </w:rPr>
              <w:t>柴油发电机废气</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污水处理站挥发性有机废气</w:t>
            </w:r>
            <w:r>
              <w:rPr>
                <w:rFonts w:hint="default" w:ascii="Times New Roman" w:hAnsi="Times New Roman" w:cs="Times New Roman"/>
                <w:color w:val="auto"/>
                <w:sz w:val="24"/>
                <w:szCs w:val="22"/>
              </w:rPr>
              <w:t>。</w:t>
            </w:r>
          </w:p>
          <w:p w14:paraId="1F52864F">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bCs/>
                <w:color w:val="auto"/>
                <w:sz w:val="24"/>
                <w:szCs w:val="22"/>
              </w:rPr>
              <w:t>（1）</w:t>
            </w:r>
            <w:r>
              <w:rPr>
                <w:rFonts w:hint="default" w:ascii="Times New Roman" w:hAnsi="Times New Roman" w:cs="Times New Roman"/>
                <w:color w:val="auto"/>
                <w:sz w:val="24"/>
                <w:szCs w:val="32"/>
              </w:rPr>
              <w:t>贮存损耗</w:t>
            </w:r>
          </w:p>
          <w:p w14:paraId="551C32E3">
            <w:pPr>
              <w:tabs>
                <w:tab w:val="left" w:pos="2520"/>
              </w:tabs>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cs="Times New Roman"/>
                <w:color w:val="auto"/>
                <w:sz w:val="24"/>
                <w:szCs w:val="22"/>
              </w:rPr>
              <w:t>①储油罐大呼吸损失</w:t>
            </w:r>
          </w:p>
          <w:p w14:paraId="0A38DDFE">
            <w:pPr>
              <w:tabs>
                <w:tab w:val="left" w:pos="2520"/>
              </w:tab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储罐大呼吸损失是指油罐进行进油作业时所呼出的油蒸汽而造成的油品蒸发损失。油罐进油时，由于油面逐渐升高，气体空间逐渐减少，罐内压力增大，当压力超过呼吸阀控制压力时，一定浓度的油蒸汽开始从呼吸阀呼出，直到油罐停止收油。根据查阅“环境影响评价工程师职业资格等级培训教材《社会区域类》”可知，储油罐大呼吸烃类有机物排放率为0.88kg/m³通过量。本项目加装</w:t>
            </w:r>
            <w:r>
              <w:rPr>
                <w:rFonts w:hint="eastAsia" w:cs="Times New Roman"/>
                <w:color w:val="auto"/>
                <w:sz w:val="24"/>
                <w:szCs w:val="22"/>
                <w:lang w:eastAsia="zh-CN"/>
              </w:rPr>
              <w:t>油气回收系统</w:t>
            </w:r>
            <w:r>
              <w:rPr>
                <w:rFonts w:hint="default" w:ascii="Times New Roman" w:hAnsi="Times New Roman" w:cs="Times New Roman"/>
                <w:color w:val="auto"/>
                <w:sz w:val="24"/>
                <w:szCs w:val="22"/>
              </w:rPr>
              <w:t>，回收率为95%，因此本加油站作业时气体排放率取0.044kg/m³通过量。</w:t>
            </w:r>
          </w:p>
          <w:p w14:paraId="78CDAE9E">
            <w:pPr>
              <w:tabs>
                <w:tab w:val="left" w:pos="2520"/>
              </w:tab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②储罐小呼吸损失</w:t>
            </w:r>
          </w:p>
          <w:p w14:paraId="5074D985">
            <w:pPr>
              <w:tabs>
                <w:tab w:val="left" w:pos="2520"/>
              </w:tab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油罐在没有收发油作业的情况下，随着外界气温、压力在一天内的升降周期变化，罐内气体空间温度、油品蒸发速度、油气浓度和蒸汽压力也随之变化。这种排出油蒸汽和呼入空气的过程造成的油气损失，叫小呼吸损失。根据查阅“环境影响评价工程师职业资格等级培训教材《社会区域类》”可知，储油罐小呼吸造成的烃类有机物排放率0.12kg/m³通过量。</w:t>
            </w:r>
          </w:p>
          <w:p w14:paraId="0EB1637B">
            <w:pPr>
              <w:tabs>
                <w:tab w:val="left" w:pos="2520"/>
              </w:tabs>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③油罐车卸油损失</w:t>
            </w:r>
          </w:p>
          <w:p w14:paraId="7E743DF5">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eastAsia="宋体" w:cs="Times New Roman"/>
                <w:color w:val="auto"/>
                <w:sz w:val="24"/>
              </w:rPr>
              <w:t>加油站的埋地油罐，按其分类，属于隐蔽罐。油罐车卸油时，由于油罐车与地下油罐的液位不断变化，气体的呼入和呼出会对油品造成一定扰动蒸发，另外随着油罐车油罐的液位下降，管壁蒸发面积扩大，外部的高气温也会对其管壁和空间造成一定的蒸发。根据查阅“环境影响评价工程师职业资格等级培训教材《社会区域类》”可知，油罐车卸油时烃类有机物排放率</w:t>
            </w:r>
            <w:r>
              <w:rPr>
                <w:rFonts w:hint="default" w:ascii="Times New Roman" w:hAnsi="Times New Roman" w:eastAsia="宋体" w:cs="Times New Roman"/>
                <w:color w:val="auto"/>
                <w:sz w:val="24"/>
                <w:lang w:val="en-US" w:eastAsia="zh-CN"/>
              </w:rPr>
              <w:t>0.60kg/m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vertAlign w:val="baseline"/>
                <w:lang w:val="en-US" w:eastAsia="zh-CN"/>
              </w:rPr>
              <w:t>·</w:t>
            </w:r>
            <w:r>
              <w:rPr>
                <w:rFonts w:hint="default" w:ascii="Times New Roman" w:hAnsi="Times New Roman" w:eastAsia="宋体" w:cs="Times New Roman"/>
                <w:color w:val="auto"/>
                <w:sz w:val="24"/>
              </w:rPr>
              <w:t>通过量，核算为产生量</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油罐车都装有</w:t>
            </w:r>
            <w:r>
              <w:rPr>
                <w:rFonts w:hint="eastAsia" w:cs="Times New Roman"/>
                <w:color w:val="auto"/>
                <w:sz w:val="24"/>
                <w:lang w:eastAsia="zh-CN"/>
              </w:rPr>
              <w:t>油气回收系统</w:t>
            </w:r>
            <w:r>
              <w:rPr>
                <w:rFonts w:hint="default" w:ascii="Times New Roman" w:hAnsi="Times New Roman" w:eastAsia="宋体" w:cs="Times New Roman"/>
                <w:color w:val="auto"/>
                <w:sz w:val="24"/>
              </w:rPr>
              <w:t>，回收率为95%，平均排放率降低为0.03kg/m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vertAlign w:val="baseline"/>
                <w:lang w:val="en-US" w:eastAsia="zh-CN"/>
              </w:rPr>
              <w:t>·</w:t>
            </w:r>
            <w:r>
              <w:rPr>
                <w:rFonts w:hint="default" w:ascii="Times New Roman" w:hAnsi="Times New Roman" w:eastAsia="宋体" w:cs="Times New Roman"/>
                <w:color w:val="auto"/>
                <w:sz w:val="24"/>
              </w:rPr>
              <w:t>通过量，核算为排放量。</w:t>
            </w:r>
          </w:p>
          <w:p w14:paraId="2CBC8C33">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eastAsia="宋体" w:cs="Times New Roman"/>
                <w:color w:val="auto"/>
                <w:sz w:val="24"/>
              </w:rPr>
              <w:t>④</w:t>
            </w:r>
            <w:r>
              <w:rPr>
                <w:rFonts w:hint="default" w:ascii="Times New Roman" w:hAnsi="Times New Roman" w:cs="Times New Roman"/>
                <w:color w:val="auto"/>
                <w:sz w:val="24"/>
                <w:szCs w:val="22"/>
              </w:rPr>
              <w:t>加油作业损失</w:t>
            </w:r>
          </w:p>
          <w:p w14:paraId="0515741F">
            <w:pPr>
              <w:tabs>
                <w:tab w:val="left" w:pos="2520"/>
              </w:tab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加油机为车辆加油时，油品进入汽车油箱，油箱内的烃类气体被油品置换排入大气。根据查阅“环境影响评价工程师职业资格等级培训教材《社会区域类》”可知，车辆加油时造成的烃类有机物排放率分别为：置换损失未加控制时是1.08kg/m³通过量，置换损失控制时0.11kg/m³通过量。本加油站加油枪都具有一定的自封功能，因此本加油站加油作业时烃类气体排放率取0.11kg/m³通过量。本项目加装</w:t>
            </w:r>
            <w:r>
              <w:rPr>
                <w:rFonts w:hint="eastAsia" w:cs="Times New Roman"/>
                <w:color w:val="auto"/>
                <w:sz w:val="24"/>
                <w:szCs w:val="22"/>
                <w:lang w:eastAsia="zh-CN"/>
              </w:rPr>
              <w:t>油气回收系统</w:t>
            </w:r>
            <w:r>
              <w:rPr>
                <w:rFonts w:hint="default" w:ascii="Times New Roman" w:hAnsi="Times New Roman" w:cs="Times New Roman"/>
                <w:color w:val="auto"/>
                <w:sz w:val="24"/>
                <w:szCs w:val="22"/>
              </w:rPr>
              <w:t>，回收率为95%，因此本加油站作业时气体排放率取0.0055kg/m³通过量。</w:t>
            </w:r>
          </w:p>
          <w:p w14:paraId="5B9FE628">
            <w:pPr>
              <w:tabs>
                <w:tab w:val="left" w:pos="2520"/>
              </w:tab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eastAsia="宋体" w:cs="Times New Roman"/>
                <w:color w:val="auto"/>
                <w:sz w:val="24"/>
              </w:rPr>
              <w:t>⑤</w:t>
            </w:r>
            <w:r>
              <w:rPr>
                <w:rFonts w:hint="default" w:ascii="Times New Roman" w:hAnsi="Times New Roman" w:cs="Times New Roman"/>
                <w:color w:val="auto"/>
                <w:sz w:val="24"/>
                <w:szCs w:val="22"/>
              </w:rPr>
              <w:t>加油作业跑冒滴漏损失</w:t>
            </w:r>
          </w:p>
          <w:p w14:paraId="090330BF">
            <w:pPr>
              <w:tabs>
                <w:tab w:val="left" w:pos="2520"/>
              </w:tab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在加油作业过程中，不可避免地有一些成品油跑、冒、滴、漏现象的发生，跑冒滴漏量与加油站的管理、加油工人的操作水平等诸多因素有关，根据查阅“环境影响评价工程师职业资格等级培训教材《社会区域类》”可知，成品油的跑、冒、滴、漏一般平均损失量为0.084kg/m³通过量。</w:t>
            </w:r>
          </w:p>
          <w:p w14:paraId="43614701">
            <w:pPr>
              <w:tabs>
                <w:tab w:val="left" w:pos="2520"/>
              </w:tabs>
              <w:spacing w:line="360" w:lineRule="auto"/>
              <w:ind w:firstLine="480" w:firstLineChars="200"/>
              <w:rPr>
                <w:rFonts w:hint="default" w:ascii="Times New Roman" w:hAnsi="Times New Roman" w:cs="Times New Roman"/>
                <w:b/>
                <w:color w:val="auto"/>
                <w:sz w:val="24"/>
                <w:szCs w:val="22"/>
              </w:rPr>
            </w:pPr>
            <w:r>
              <w:rPr>
                <w:rFonts w:hint="default" w:ascii="Times New Roman" w:hAnsi="Times New Roman" w:eastAsia="宋体" w:cs="Times New Roman"/>
                <w:color w:val="auto"/>
                <w:sz w:val="24"/>
              </w:rPr>
              <w:t>⑥</w:t>
            </w:r>
            <w:r>
              <w:rPr>
                <w:rFonts w:hint="default" w:ascii="Times New Roman" w:hAnsi="Times New Roman" w:cs="Times New Roman"/>
                <w:color w:val="auto"/>
                <w:sz w:val="24"/>
                <w:szCs w:val="22"/>
              </w:rPr>
              <w:t>以上</w:t>
            </w:r>
            <w:r>
              <w:rPr>
                <w:rFonts w:hint="default" w:ascii="Times New Roman" w:hAnsi="Times New Roman" w:cs="Times New Roman"/>
                <w:color w:val="auto"/>
                <w:sz w:val="24"/>
                <w:szCs w:val="22"/>
                <w:lang w:val="en-US" w:eastAsia="zh-CN"/>
              </w:rPr>
              <w:t>5</w:t>
            </w:r>
            <w:r>
              <w:rPr>
                <w:rFonts w:hint="default" w:ascii="Times New Roman" w:hAnsi="Times New Roman" w:cs="Times New Roman"/>
                <w:color w:val="auto"/>
                <w:sz w:val="24"/>
                <w:szCs w:val="22"/>
              </w:rPr>
              <w:t>项为汽油损耗，柴油由于密度较大，损耗较汽油较少，综合损耗系数</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工作损失排放系数</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取《</w:t>
            </w:r>
            <w:r>
              <w:rPr>
                <w:rFonts w:hint="default" w:ascii="Times New Roman" w:hAnsi="Times New Roman" w:cs="Times New Roman"/>
                <w:color w:val="auto"/>
                <w:sz w:val="24"/>
                <w:szCs w:val="22"/>
              </w:rPr>
              <w:t>工业源挥发性有机物通用源项核算系数手册</w:t>
            </w:r>
            <w:r>
              <w:rPr>
                <w:rFonts w:hint="default" w:ascii="Times New Roman" w:hAnsi="Times New Roman" w:cs="Times New Roman"/>
                <w:color w:val="auto"/>
                <w:sz w:val="24"/>
                <w:szCs w:val="22"/>
                <w:lang w:val="en-US" w:eastAsia="zh-CN"/>
              </w:rPr>
              <w:t>》中附表6固定顶罐油品挥发性有机物产污系数表中柴油（储罐容积≤100、储存温度：常温）</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0.07</w:t>
            </w:r>
            <w:r>
              <w:rPr>
                <w:rFonts w:hint="default" w:ascii="Times New Roman" w:hAnsi="Times New Roman" w:cs="Times New Roman"/>
                <w:color w:val="auto"/>
                <w:sz w:val="24"/>
                <w:szCs w:val="22"/>
                <w:lang w:val="en-US" w:eastAsia="zh-CN"/>
              </w:rPr>
              <w:t>463</w:t>
            </w:r>
            <w:r>
              <w:rPr>
                <w:rFonts w:hint="default" w:ascii="Times New Roman" w:hAnsi="Times New Roman" w:cs="Times New Roman"/>
                <w:color w:val="auto"/>
                <w:sz w:val="24"/>
                <w:szCs w:val="22"/>
              </w:rPr>
              <w:t>kg/t。汽油相对密度（水=1）。0.70~0.79t/m³，本项目取0.75t/m³，柴油相对密度（水=1）0.81~0.9t/m³，本项目取0.85t/m³，项目运营后年销售汽油</w:t>
            </w:r>
            <w:r>
              <w:rPr>
                <w:rFonts w:hint="eastAsia" w:cs="Times New Roman"/>
                <w:color w:val="auto"/>
                <w:sz w:val="24"/>
                <w:szCs w:val="22"/>
                <w:lang w:val="en-US" w:eastAsia="zh-CN"/>
              </w:rPr>
              <w:t>1254</w:t>
            </w:r>
            <w:r>
              <w:rPr>
                <w:rFonts w:hint="default" w:ascii="Times New Roman" w:hAnsi="Times New Roman" w:cs="Times New Roman"/>
                <w:color w:val="auto"/>
                <w:sz w:val="24"/>
                <w:szCs w:val="22"/>
              </w:rPr>
              <w:t>t，柴油</w:t>
            </w:r>
            <w:r>
              <w:rPr>
                <w:rFonts w:hint="eastAsia" w:cs="Times New Roman"/>
                <w:color w:val="auto"/>
                <w:sz w:val="24"/>
                <w:szCs w:val="22"/>
                <w:lang w:val="en-US" w:eastAsia="zh-CN"/>
              </w:rPr>
              <w:t>946</w:t>
            </w:r>
            <w:r>
              <w:rPr>
                <w:rFonts w:hint="default" w:ascii="Times New Roman" w:hAnsi="Times New Roman" w:cs="Times New Roman"/>
                <w:color w:val="auto"/>
                <w:sz w:val="24"/>
                <w:szCs w:val="22"/>
              </w:rPr>
              <w:t>t，汽油油品年通过或转过量=</w:t>
            </w:r>
            <w:r>
              <w:rPr>
                <w:rFonts w:hint="eastAsia" w:cs="Times New Roman"/>
                <w:color w:val="auto"/>
                <w:sz w:val="24"/>
                <w:szCs w:val="22"/>
                <w:lang w:val="en-US" w:eastAsia="zh-CN"/>
              </w:rPr>
              <w:t>1254</w:t>
            </w:r>
            <w:r>
              <w:rPr>
                <w:rFonts w:hint="default" w:ascii="Times New Roman" w:hAnsi="Times New Roman" w:cs="Times New Roman"/>
                <w:color w:val="auto"/>
                <w:sz w:val="24"/>
                <w:szCs w:val="22"/>
              </w:rPr>
              <w:t>/0.75</w:t>
            </w:r>
            <w:r>
              <w:rPr>
                <w:rFonts w:hint="default" w:ascii="Times New Roman" w:hAnsi="Times New Roman" w:cs="Times New Roman"/>
                <w:color w:val="auto"/>
                <w:sz w:val="24"/>
                <w:szCs w:val="22"/>
                <w:lang w:val="en-US" w:eastAsia="zh-CN"/>
              </w:rPr>
              <w:t>=</w:t>
            </w:r>
            <w:r>
              <w:rPr>
                <w:rFonts w:hint="eastAsia" w:cs="Times New Roman"/>
                <w:color w:val="auto"/>
                <w:sz w:val="24"/>
                <w:szCs w:val="22"/>
                <w:lang w:val="en-US" w:eastAsia="zh-CN"/>
              </w:rPr>
              <w:t>1672</w:t>
            </w:r>
            <w:r>
              <w:rPr>
                <w:rFonts w:hint="default" w:ascii="Times New Roman" w:hAnsi="Times New Roman" w:cs="Times New Roman"/>
                <w:color w:val="auto"/>
                <w:sz w:val="24"/>
                <w:szCs w:val="22"/>
              </w:rPr>
              <w:t>m³/a。根据《中国加油站VOC排放污染物现状及控制》（清华大学环境科学与工程系，环境科学第27卷第8期2006.8）中相关计算方法进行计算。项目运营期年排放非甲烷总烃的量见表</w:t>
            </w: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w:t>
            </w:r>
          </w:p>
          <w:p w14:paraId="4705BC3A">
            <w:pPr>
              <w:spacing w:line="240" w:lineRule="atLeast"/>
              <w:jc w:val="center"/>
              <w:rPr>
                <w:rFonts w:hint="default" w:ascii="Times New Roman" w:hAnsi="Times New Roman" w:cs="Times New Roman"/>
                <w:b/>
                <w:color w:val="auto"/>
                <w:sz w:val="20"/>
                <w:szCs w:val="21"/>
              </w:rPr>
            </w:pPr>
            <w:r>
              <w:rPr>
                <w:rFonts w:hint="default" w:ascii="Times New Roman" w:hAnsi="Times New Roman" w:cs="Times New Roman"/>
                <w:b/>
                <w:color w:val="auto"/>
                <w:sz w:val="21"/>
                <w:szCs w:val="22"/>
              </w:rPr>
              <w:t>表</w:t>
            </w:r>
            <w:r>
              <w:rPr>
                <w:rFonts w:hint="default" w:ascii="Times New Roman" w:hAnsi="Times New Roman" w:cs="Times New Roman"/>
                <w:b/>
                <w:color w:val="auto"/>
                <w:sz w:val="21"/>
                <w:szCs w:val="22"/>
                <w:lang w:val="en-US" w:eastAsia="zh-CN"/>
              </w:rPr>
              <w:t>4</w:t>
            </w:r>
            <w:r>
              <w:rPr>
                <w:rFonts w:hint="default" w:ascii="Times New Roman" w:hAnsi="Times New Roman" w:cs="Times New Roman"/>
                <w:b/>
                <w:color w:val="auto"/>
                <w:sz w:val="21"/>
                <w:szCs w:val="22"/>
              </w:rPr>
              <w:t>-</w:t>
            </w:r>
            <w:r>
              <w:rPr>
                <w:rFonts w:hint="default" w:ascii="Times New Roman" w:hAnsi="Times New Roman" w:cs="Times New Roman"/>
                <w:b/>
                <w:color w:val="auto"/>
                <w:sz w:val="21"/>
                <w:szCs w:val="22"/>
                <w:lang w:val="en-US" w:eastAsia="zh-CN"/>
              </w:rPr>
              <w:t>2</w:t>
            </w:r>
            <w:r>
              <w:rPr>
                <w:rFonts w:hint="default" w:ascii="Times New Roman" w:hAnsi="Times New Roman" w:cs="Times New Roman"/>
                <w:b/>
                <w:color w:val="auto"/>
                <w:sz w:val="21"/>
                <w:szCs w:val="22"/>
              </w:rPr>
              <w:t xml:space="preserve"> 项目运营期非甲烷总烃排放量计算一览表</w:t>
            </w:r>
          </w:p>
          <w:tbl>
            <w:tblPr>
              <w:tblStyle w:val="27"/>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82"/>
              <w:gridCol w:w="860"/>
              <w:gridCol w:w="1587"/>
              <w:gridCol w:w="1110"/>
              <w:gridCol w:w="1094"/>
              <w:gridCol w:w="1041"/>
              <w:gridCol w:w="1533"/>
              <w:gridCol w:w="1009"/>
            </w:tblGrid>
            <w:tr w14:paraId="010B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8" w:hRule="atLeast"/>
                <w:jc w:val="center"/>
              </w:trPr>
              <w:tc>
                <w:tcPr>
                  <w:tcW w:w="3029" w:type="dxa"/>
                  <w:gridSpan w:val="3"/>
                  <w:noWrap w:val="0"/>
                  <w:vAlign w:val="center"/>
                </w:tcPr>
                <w:p w14:paraId="2DBDD260">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项目</w:t>
                  </w:r>
                </w:p>
              </w:tc>
              <w:tc>
                <w:tcPr>
                  <w:tcW w:w="1110" w:type="dxa"/>
                  <w:noWrap w:val="0"/>
                  <w:vAlign w:val="center"/>
                </w:tcPr>
                <w:p w14:paraId="52DDEBF4">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排放系数</w:t>
                  </w:r>
                </w:p>
              </w:tc>
              <w:tc>
                <w:tcPr>
                  <w:tcW w:w="1094" w:type="dxa"/>
                  <w:noWrap w:val="0"/>
                  <w:vAlign w:val="center"/>
                </w:tcPr>
                <w:p w14:paraId="1F06A72B">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通过量或转过量（m³/a）</w:t>
                  </w:r>
                </w:p>
              </w:tc>
              <w:tc>
                <w:tcPr>
                  <w:tcW w:w="1041" w:type="dxa"/>
                  <w:noWrap w:val="0"/>
                  <w:vAlign w:val="center"/>
                </w:tcPr>
                <w:p w14:paraId="64EABBB0">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烃产生量（t/a）</w:t>
                  </w:r>
                </w:p>
              </w:tc>
              <w:tc>
                <w:tcPr>
                  <w:tcW w:w="1533" w:type="dxa"/>
                  <w:noWrap w:val="0"/>
                  <w:vAlign w:val="center"/>
                </w:tcPr>
                <w:p w14:paraId="6512363D">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措施</w:t>
                  </w:r>
                </w:p>
              </w:tc>
              <w:tc>
                <w:tcPr>
                  <w:tcW w:w="1009" w:type="dxa"/>
                  <w:noWrap w:val="0"/>
                  <w:vAlign w:val="center"/>
                </w:tcPr>
                <w:p w14:paraId="5654998C">
                  <w:pPr>
                    <w:jc w:val="center"/>
                    <w:textAlignment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lang w:bidi="ar"/>
                    </w:rPr>
                    <w:t>烃排放量（t/a）</w:t>
                  </w:r>
                </w:p>
              </w:tc>
            </w:tr>
            <w:tr w14:paraId="1E95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7" w:hRule="atLeast"/>
                <w:jc w:val="center"/>
              </w:trPr>
              <w:tc>
                <w:tcPr>
                  <w:tcW w:w="582" w:type="dxa"/>
                  <w:vMerge w:val="restart"/>
                  <w:noWrap w:val="0"/>
                  <w:vAlign w:val="center"/>
                </w:tcPr>
                <w:p w14:paraId="512F82F1">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汽油</w:t>
                  </w:r>
                </w:p>
              </w:tc>
              <w:tc>
                <w:tcPr>
                  <w:tcW w:w="860" w:type="dxa"/>
                  <w:vMerge w:val="restart"/>
                  <w:noWrap w:val="0"/>
                  <w:vAlign w:val="center"/>
                </w:tcPr>
                <w:p w14:paraId="23A5CE33">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储油罐</w:t>
                  </w:r>
                </w:p>
              </w:tc>
              <w:tc>
                <w:tcPr>
                  <w:tcW w:w="1587" w:type="dxa"/>
                  <w:noWrap w:val="0"/>
                  <w:vAlign w:val="center"/>
                </w:tcPr>
                <w:p w14:paraId="3B9B83DC">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大呼吸损失</w:t>
                  </w:r>
                </w:p>
              </w:tc>
              <w:tc>
                <w:tcPr>
                  <w:tcW w:w="1110" w:type="dxa"/>
                  <w:noWrap w:val="0"/>
                  <w:vAlign w:val="center"/>
                </w:tcPr>
                <w:p w14:paraId="368481B9">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0.88kg/m³通过量</w:t>
                  </w:r>
                </w:p>
              </w:tc>
              <w:tc>
                <w:tcPr>
                  <w:tcW w:w="1094" w:type="dxa"/>
                  <w:vMerge w:val="restart"/>
                  <w:noWrap w:val="0"/>
                  <w:vAlign w:val="center"/>
                </w:tcPr>
                <w:p w14:paraId="048A57D8">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1672</w:t>
                  </w:r>
                </w:p>
              </w:tc>
              <w:tc>
                <w:tcPr>
                  <w:tcW w:w="1041" w:type="dxa"/>
                  <w:noWrap w:val="0"/>
                  <w:vAlign w:val="center"/>
                </w:tcPr>
                <w:p w14:paraId="2C64982F">
                  <w:pPr>
                    <w:jc w:val="center"/>
                    <w:rPr>
                      <w:rFonts w:hint="default" w:cs="Times New Roman"/>
                      <w:color w:val="auto"/>
                      <w:sz w:val="21"/>
                      <w:szCs w:val="22"/>
                      <w:lang w:val="en-US" w:eastAsia="zh-CN"/>
                    </w:rPr>
                  </w:pPr>
                  <w:r>
                    <w:rPr>
                      <w:rFonts w:hint="eastAsia" w:cs="Times New Roman"/>
                      <w:color w:val="auto"/>
                      <w:sz w:val="21"/>
                      <w:szCs w:val="22"/>
                      <w:lang w:val="en-US" w:eastAsia="zh-CN"/>
                    </w:rPr>
                    <w:t xml:space="preserve">1.47136 </w:t>
                  </w:r>
                </w:p>
              </w:tc>
              <w:tc>
                <w:tcPr>
                  <w:tcW w:w="1533" w:type="dxa"/>
                  <w:noWrap w:val="0"/>
                  <w:vAlign w:val="center"/>
                </w:tcPr>
                <w:p w14:paraId="6A99A969">
                  <w:pPr>
                    <w:jc w:val="center"/>
                    <w:rPr>
                      <w:rFonts w:hint="default" w:ascii="Times New Roman" w:hAnsi="Times New Roman" w:cs="Times New Roman"/>
                      <w:color w:val="auto"/>
                      <w:sz w:val="21"/>
                      <w:szCs w:val="22"/>
                    </w:rPr>
                  </w:pPr>
                  <w:r>
                    <w:rPr>
                      <w:rFonts w:hint="eastAsia" w:cs="Times New Roman"/>
                      <w:color w:val="auto"/>
                      <w:sz w:val="21"/>
                      <w:szCs w:val="22"/>
                      <w:lang w:eastAsia="zh-CN"/>
                    </w:rPr>
                    <w:t>油气回收系统</w:t>
                  </w:r>
                  <w:r>
                    <w:rPr>
                      <w:rFonts w:hint="default" w:ascii="Times New Roman" w:hAnsi="Times New Roman" w:cs="Times New Roman"/>
                      <w:color w:val="auto"/>
                      <w:sz w:val="21"/>
                      <w:szCs w:val="22"/>
                    </w:rPr>
                    <w:t>（95%）</w:t>
                  </w:r>
                </w:p>
              </w:tc>
              <w:tc>
                <w:tcPr>
                  <w:tcW w:w="1009" w:type="dxa"/>
                  <w:noWrap w:val="0"/>
                  <w:vAlign w:val="center"/>
                </w:tcPr>
                <w:p w14:paraId="62096D75">
                  <w:pPr>
                    <w:jc w:val="center"/>
                    <w:rPr>
                      <w:rFonts w:hint="default" w:cs="Times New Roman"/>
                      <w:color w:val="auto"/>
                      <w:sz w:val="21"/>
                      <w:szCs w:val="22"/>
                      <w:lang w:val="en-US" w:eastAsia="zh-CN"/>
                    </w:rPr>
                  </w:pPr>
                  <w:r>
                    <w:rPr>
                      <w:rFonts w:hint="default" w:cs="Times New Roman"/>
                      <w:color w:val="auto"/>
                      <w:sz w:val="21"/>
                      <w:szCs w:val="22"/>
                      <w:lang w:val="en-US" w:eastAsia="zh-CN"/>
                    </w:rPr>
                    <w:t xml:space="preserve">0.073568 </w:t>
                  </w:r>
                </w:p>
              </w:tc>
            </w:tr>
            <w:tr w14:paraId="355A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6" w:hRule="atLeast"/>
                <w:jc w:val="center"/>
              </w:trPr>
              <w:tc>
                <w:tcPr>
                  <w:tcW w:w="582" w:type="dxa"/>
                  <w:vMerge w:val="continue"/>
                  <w:noWrap w:val="0"/>
                  <w:vAlign w:val="center"/>
                </w:tcPr>
                <w:p w14:paraId="7042DAE5">
                  <w:pPr>
                    <w:jc w:val="center"/>
                    <w:rPr>
                      <w:rFonts w:hint="default" w:ascii="Times New Roman" w:hAnsi="Times New Roman" w:cs="Times New Roman"/>
                      <w:bCs/>
                      <w:color w:val="auto"/>
                      <w:sz w:val="21"/>
                      <w:szCs w:val="22"/>
                    </w:rPr>
                  </w:pPr>
                </w:p>
              </w:tc>
              <w:tc>
                <w:tcPr>
                  <w:tcW w:w="860" w:type="dxa"/>
                  <w:vMerge w:val="continue"/>
                  <w:noWrap w:val="0"/>
                  <w:vAlign w:val="center"/>
                </w:tcPr>
                <w:p w14:paraId="604D2F44">
                  <w:pPr>
                    <w:jc w:val="center"/>
                    <w:rPr>
                      <w:rFonts w:hint="default" w:ascii="Times New Roman" w:hAnsi="Times New Roman" w:cs="Times New Roman"/>
                      <w:bCs/>
                      <w:color w:val="auto"/>
                      <w:sz w:val="21"/>
                      <w:szCs w:val="22"/>
                    </w:rPr>
                  </w:pPr>
                </w:p>
              </w:tc>
              <w:tc>
                <w:tcPr>
                  <w:tcW w:w="1587" w:type="dxa"/>
                  <w:noWrap w:val="0"/>
                  <w:vAlign w:val="center"/>
                </w:tcPr>
                <w:p w14:paraId="4036A5D2">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小呼吸损失</w:t>
                  </w:r>
                </w:p>
              </w:tc>
              <w:tc>
                <w:tcPr>
                  <w:tcW w:w="1110" w:type="dxa"/>
                  <w:noWrap w:val="0"/>
                  <w:vAlign w:val="center"/>
                </w:tcPr>
                <w:p w14:paraId="103F2BCF">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0.12kg/m³·通过量</w:t>
                  </w:r>
                </w:p>
              </w:tc>
              <w:tc>
                <w:tcPr>
                  <w:tcW w:w="1094" w:type="dxa"/>
                  <w:vMerge w:val="continue"/>
                  <w:noWrap w:val="0"/>
                  <w:vAlign w:val="center"/>
                </w:tcPr>
                <w:p w14:paraId="72CDAA95">
                  <w:pPr>
                    <w:jc w:val="center"/>
                    <w:rPr>
                      <w:rFonts w:hint="default" w:ascii="Times New Roman" w:hAnsi="Times New Roman" w:cs="Times New Roman"/>
                      <w:bCs/>
                      <w:color w:val="auto"/>
                      <w:sz w:val="21"/>
                      <w:szCs w:val="22"/>
                    </w:rPr>
                  </w:pPr>
                </w:p>
              </w:tc>
              <w:tc>
                <w:tcPr>
                  <w:tcW w:w="1041" w:type="dxa"/>
                  <w:noWrap w:val="0"/>
                  <w:vAlign w:val="center"/>
                </w:tcPr>
                <w:p w14:paraId="7DE95B10">
                  <w:pPr>
                    <w:jc w:val="center"/>
                    <w:rPr>
                      <w:rFonts w:hint="default" w:cs="Times New Roman"/>
                      <w:color w:val="auto"/>
                      <w:sz w:val="21"/>
                      <w:szCs w:val="22"/>
                      <w:lang w:val="en-US" w:eastAsia="zh-CN"/>
                    </w:rPr>
                  </w:pPr>
                  <w:r>
                    <w:rPr>
                      <w:rFonts w:hint="eastAsia" w:cs="Times New Roman"/>
                      <w:color w:val="auto"/>
                      <w:sz w:val="21"/>
                      <w:szCs w:val="22"/>
                      <w:lang w:val="en-US" w:eastAsia="zh-CN"/>
                    </w:rPr>
                    <w:t xml:space="preserve">0.20064 </w:t>
                  </w:r>
                </w:p>
              </w:tc>
              <w:tc>
                <w:tcPr>
                  <w:tcW w:w="1533" w:type="dxa"/>
                  <w:noWrap w:val="0"/>
                  <w:vAlign w:val="center"/>
                </w:tcPr>
                <w:p w14:paraId="2E46D91F">
                  <w:pPr>
                    <w:jc w:val="center"/>
                    <w:rPr>
                      <w:rFonts w:hint="default" w:ascii="Times New Roman" w:hAnsi="Times New Roman" w:cs="Times New Roman"/>
                      <w:bCs/>
                      <w:color w:val="auto"/>
                      <w:sz w:val="21"/>
                      <w:szCs w:val="22"/>
                    </w:rPr>
                  </w:pPr>
                  <w:r>
                    <w:rPr>
                      <w:rFonts w:hint="default" w:ascii="Times New Roman" w:hAnsi="Times New Roman" w:cs="Times New Roman"/>
                      <w:color w:val="auto"/>
                      <w:sz w:val="21"/>
                      <w:szCs w:val="22"/>
                    </w:rPr>
                    <w:t>—</w:t>
                  </w:r>
                </w:p>
              </w:tc>
              <w:tc>
                <w:tcPr>
                  <w:tcW w:w="1009" w:type="dxa"/>
                  <w:noWrap w:val="0"/>
                  <w:vAlign w:val="center"/>
                </w:tcPr>
                <w:p w14:paraId="477E6955">
                  <w:pPr>
                    <w:jc w:val="center"/>
                    <w:rPr>
                      <w:rFonts w:hint="default" w:cs="Times New Roman"/>
                      <w:color w:val="auto"/>
                      <w:sz w:val="21"/>
                      <w:szCs w:val="22"/>
                      <w:lang w:val="en-US" w:eastAsia="zh-CN"/>
                    </w:rPr>
                  </w:pPr>
                  <w:r>
                    <w:rPr>
                      <w:rFonts w:hint="default" w:cs="Times New Roman"/>
                      <w:color w:val="auto"/>
                      <w:sz w:val="21"/>
                      <w:szCs w:val="22"/>
                      <w:lang w:val="en-US" w:eastAsia="zh-CN"/>
                    </w:rPr>
                    <w:t xml:space="preserve">0.20064 </w:t>
                  </w:r>
                </w:p>
              </w:tc>
            </w:tr>
            <w:tr w14:paraId="557E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6" w:hRule="atLeast"/>
                <w:jc w:val="center"/>
              </w:trPr>
              <w:tc>
                <w:tcPr>
                  <w:tcW w:w="582" w:type="dxa"/>
                  <w:vMerge w:val="continue"/>
                  <w:noWrap w:val="0"/>
                  <w:vAlign w:val="center"/>
                </w:tcPr>
                <w:p w14:paraId="3A606BA8">
                  <w:pPr>
                    <w:jc w:val="center"/>
                    <w:rPr>
                      <w:rFonts w:hint="default" w:ascii="Times New Roman" w:hAnsi="Times New Roman" w:cs="Times New Roman"/>
                      <w:bCs/>
                      <w:color w:val="auto"/>
                      <w:sz w:val="21"/>
                      <w:szCs w:val="22"/>
                    </w:rPr>
                  </w:pPr>
                </w:p>
              </w:tc>
              <w:tc>
                <w:tcPr>
                  <w:tcW w:w="860" w:type="dxa"/>
                  <w:noWrap w:val="0"/>
                  <w:vAlign w:val="center"/>
                </w:tcPr>
                <w:p w14:paraId="0FFDA406">
                  <w:pPr>
                    <w:jc w:val="center"/>
                    <w:rPr>
                      <w:rFonts w:hint="default" w:ascii="Times New Roman" w:hAnsi="Times New Roman" w:eastAsia="宋体" w:cs="Times New Roman"/>
                      <w:bCs/>
                      <w:color w:val="auto"/>
                      <w:sz w:val="21"/>
                      <w:szCs w:val="22"/>
                      <w:lang w:val="en-US" w:eastAsia="zh-CN"/>
                    </w:rPr>
                  </w:pPr>
                  <w:r>
                    <w:rPr>
                      <w:rFonts w:hint="default" w:ascii="Times New Roman" w:hAnsi="Times New Roman" w:cs="Times New Roman"/>
                      <w:bCs/>
                      <w:color w:val="auto"/>
                      <w:sz w:val="21"/>
                      <w:szCs w:val="22"/>
                      <w:lang w:val="en-US" w:eastAsia="zh-CN"/>
                    </w:rPr>
                    <w:t>油罐区</w:t>
                  </w:r>
                </w:p>
              </w:tc>
              <w:tc>
                <w:tcPr>
                  <w:tcW w:w="1587" w:type="dxa"/>
                  <w:noWrap w:val="0"/>
                  <w:vAlign w:val="center"/>
                </w:tcPr>
                <w:p w14:paraId="4F4AB61D">
                  <w:pPr>
                    <w:jc w:val="center"/>
                    <w:textAlignment w:val="center"/>
                    <w:rPr>
                      <w:rFonts w:hint="default" w:ascii="Times New Roman" w:hAnsi="Times New Roman" w:eastAsia="宋体" w:cs="Times New Roman"/>
                      <w:bCs/>
                      <w:color w:val="auto"/>
                      <w:sz w:val="21"/>
                      <w:szCs w:val="22"/>
                      <w:lang w:val="en-US" w:eastAsia="zh-CN" w:bidi="ar"/>
                    </w:rPr>
                  </w:pPr>
                  <w:r>
                    <w:rPr>
                      <w:rFonts w:hint="default" w:ascii="Times New Roman" w:hAnsi="Times New Roman" w:cs="Times New Roman"/>
                      <w:bCs/>
                      <w:color w:val="auto"/>
                      <w:sz w:val="21"/>
                      <w:szCs w:val="22"/>
                      <w:lang w:val="en-US" w:eastAsia="zh-CN" w:bidi="ar"/>
                    </w:rPr>
                    <w:t>卸油损失</w:t>
                  </w:r>
                </w:p>
              </w:tc>
              <w:tc>
                <w:tcPr>
                  <w:tcW w:w="1110" w:type="dxa"/>
                  <w:noWrap w:val="0"/>
                  <w:vAlign w:val="center"/>
                </w:tcPr>
                <w:p w14:paraId="72C633BE">
                  <w:pPr>
                    <w:jc w:val="center"/>
                    <w:textAlignment w:val="center"/>
                    <w:rPr>
                      <w:rFonts w:hint="default" w:ascii="Times New Roman" w:hAnsi="Times New Roman" w:cs="Times New Roman"/>
                      <w:bCs/>
                      <w:color w:val="auto"/>
                      <w:sz w:val="21"/>
                      <w:szCs w:val="22"/>
                      <w:lang w:bidi="ar"/>
                    </w:rPr>
                  </w:pPr>
                  <w:r>
                    <w:rPr>
                      <w:rFonts w:hint="default" w:ascii="Times New Roman" w:hAnsi="Times New Roman" w:eastAsia="宋体" w:cs="Times New Roman"/>
                      <w:color w:val="auto"/>
                      <w:szCs w:val="21"/>
                      <w:lang w:val="en-US" w:eastAsia="zh-CN"/>
                    </w:rPr>
                    <w:t>0.60</w:t>
                  </w:r>
                  <w:r>
                    <w:rPr>
                      <w:rFonts w:hint="default" w:ascii="Times New Roman" w:hAnsi="Times New Roman" w:eastAsia="宋体" w:cs="Times New Roman"/>
                      <w:color w:val="auto"/>
                      <w:szCs w:val="21"/>
                    </w:rPr>
                    <w:t>kg/m³</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通过量</w:t>
                  </w:r>
                </w:p>
              </w:tc>
              <w:tc>
                <w:tcPr>
                  <w:tcW w:w="1094" w:type="dxa"/>
                  <w:vMerge w:val="continue"/>
                  <w:noWrap w:val="0"/>
                  <w:vAlign w:val="center"/>
                </w:tcPr>
                <w:p w14:paraId="0B52E19A">
                  <w:pPr>
                    <w:jc w:val="center"/>
                    <w:rPr>
                      <w:rFonts w:hint="default" w:ascii="Times New Roman" w:hAnsi="Times New Roman" w:cs="Times New Roman"/>
                      <w:bCs/>
                      <w:color w:val="auto"/>
                      <w:sz w:val="21"/>
                      <w:szCs w:val="22"/>
                    </w:rPr>
                  </w:pPr>
                </w:p>
              </w:tc>
              <w:tc>
                <w:tcPr>
                  <w:tcW w:w="1041" w:type="dxa"/>
                  <w:noWrap w:val="0"/>
                  <w:vAlign w:val="center"/>
                </w:tcPr>
                <w:p w14:paraId="63BC204A">
                  <w:pPr>
                    <w:jc w:val="center"/>
                    <w:rPr>
                      <w:rFonts w:hint="default" w:cs="Times New Roman"/>
                      <w:color w:val="auto"/>
                      <w:sz w:val="21"/>
                      <w:szCs w:val="22"/>
                      <w:lang w:val="en-US" w:eastAsia="zh-CN"/>
                    </w:rPr>
                  </w:pPr>
                  <w:r>
                    <w:rPr>
                      <w:rFonts w:hint="eastAsia" w:cs="Times New Roman"/>
                      <w:color w:val="auto"/>
                      <w:sz w:val="21"/>
                      <w:szCs w:val="22"/>
                      <w:lang w:val="en-US" w:eastAsia="zh-CN"/>
                    </w:rPr>
                    <w:t xml:space="preserve">1.0032 </w:t>
                  </w:r>
                </w:p>
              </w:tc>
              <w:tc>
                <w:tcPr>
                  <w:tcW w:w="1533" w:type="dxa"/>
                  <w:noWrap w:val="0"/>
                  <w:vAlign w:val="center"/>
                </w:tcPr>
                <w:p w14:paraId="625D8272">
                  <w:pPr>
                    <w:jc w:val="center"/>
                    <w:rPr>
                      <w:rFonts w:hint="default" w:ascii="Times New Roman" w:hAnsi="Times New Roman" w:cs="Times New Roman"/>
                      <w:color w:val="auto"/>
                      <w:sz w:val="21"/>
                      <w:szCs w:val="22"/>
                    </w:rPr>
                  </w:pPr>
                  <w:r>
                    <w:rPr>
                      <w:rFonts w:hint="eastAsia" w:cs="Times New Roman"/>
                      <w:color w:val="auto"/>
                      <w:sz w:val="21"/>
                      <w:szCs w:val="22"/>
                      <w:lang w:eastAsia="zh-CN"/>
                    </w:rPr>
                    <w:t>油气回收系统</w:t>
                  </w:r>
                  <w:r>
                    <w:rPr>
                      <w:rFonts w:hint="default" w:ascii="Times New Roman" w:hAnsi="Times New Roman" w:cs="Times New Roman"/>
                      <w:color w:val="auto"/>
                      <w:sz w:val="21"/>
                      <w:szCs w:val="22"/>
                    </w:rPr>
                    <w:t>（95%）</w:t>
                  </w:r>
                </w:p>
              </w:tc>
              <w:tc>
                <w:tcPr>
                  <w:tcW w:w="1009" w:type="dxa"/>
                  <w:noWrap w:val="0"/>
                  <w:vAlign w:val="center"/>
                </w:tcPr>
                <w:p w14:paraId="0BBDDDDC">
                  <w:pPr>
                    <w:jc w:val="center"/>
                    <w:rPr>
                      <w:rFonts w:hint="default" w:cs="Times New Roman"/>
                      <w:color w:val="auto"/>
                      <w:sz w:val="21"/>
                      <w:szCs w:val="22"/>
                      <w:lang w:val="en-US" w:eastAsia="zh-CN"/>
                    </w:rPr>
                  </w:pPr>
                  <w:r>
                    <w:rPr>
                      <w:rFonts w:hint="default" w:cs="Times New Roman"/>
                      <w:color w:val="auto"/>
                      <w:sz w:val="21"/>
                      <w:szCs w:val="22"/>
                      <w:lang w:val="en-US" w:eastAsia="zh-CN"/>
                    </w:rPr>
                    <w:t xml:space="preserve">0.05016 </w:t>
                  </w:r>
                </w:p>
              </w:tc>
            </w:tr>
            <w:tr w14:paraId="0FD6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7" w:hRule="atLeast"/>
                <w:jc w:val="center"/>
              </w:trPr>
              <w:tc>
                <w:tcPr>
                  <w:tcW w:w="582" w:type="dxa"/>
                  <w:vMerge w:val="continue"/>
                  <w:noWrap w:val="0"/>
                  <w:vAlign w:val="center"/>
                </w:tcPr>
                <w:p w14:paraId="3C38CC1E">
                  <w:pPr>
                    <w:jc w:val="center"/>
                    <w:rPr>
                      <w:rFonts w:hint="default" w:ascii="Times New Roman" w:hAnsi="Times New Roman" w:cs="Times New Roman"/>
                      <w:bCs/>
                      <w:color w:val="auto"/>
                      <w:sz w:val="21"/>
                      <w:szCs w:val="22"/>
                    </w:rPr>
                  </w:pPr>
                </w:p>
              </w:tc>
              <w:tc>
                <w:tcPr>
                  <w:tcW w:w="860" w:type="dxa"/>
                  <w:vMerge w:val="restart"/>
                  <w:noWrap w:val="0"/>
                  <w:vAlign w:val="center"/>
                </w:tcPr>
                <w:p w14:paraId="1D56D910">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加油机</w:t>
                  </w:r>
                </w:p>
              </w:tc>
              <w:tc>
                <w:tcPr>
                  <w:tcW w:w="1587" w:type="dxa"/>
                  <w:noWrap w:val="0"/>
                  <w:vAlign w:val="center"/>
                </w:tcPr>
                <w:p w14:paraId="78C00315">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加油作业损失</w:t>
                  </w:r>
                </w:p>
              </w:tc>
              <w:tc>
                <w:tcPr>
                  <w:tcW w:w="1110" w:type="dxa"/>
                  <w:noWrap w:val="0"/>
                  <w:vAlign w:val="center"/>
                </w:tcPr>
                <w:p w14:paraId="4096E201">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0.11kg/m³通过量</w:t>
                  </w:r>
                </w:p>
              </w:tc>
              <w:tc>
                <w:tcPr>
                  <w:tcW w:w="1094" w:type="dxa"/>
                  <w:vMerge w:val="continue"/>
                  <w:noWrap w:val="0"/>
                  <w:vAlign w:val="center"/>
                </w:tcPr>
                <w:p w14:paraId="5B674618">
                  <w:pPr>
                    <w:jc w:val="center"/>
                    <w:rPr>
                      <w:rFonts w:hint="default" w:ascii="Times New Roman" w:hAnsi="Times New Roman" w:cs="Times New Roman"/>
                      <w:bCs/>
                      <w:color w:val="auto"/>
                      <w:sz w:val="21"/>
                      <w:szCs w:val="22"/>
                    </w:rPr>
                  </w:pPr>
                </w:p>
              </w:tc>
              <w:tc>
                <w:tcPr>
                  <w:tcW w:w="1041" w:type="dxa"/>
                  <w:noWrap w:val="0"/>
                  <w:vAlign w:val="center"/>
                </w:tcPr>
                <w:p w14:paraId="2E1EB602">
                  <w:pPr>
                    <w:jc w:val="center"/>
                    <w:rPr>
                      <w:rFonts w:hint="default" w:cs="Times New Roman"/>
                      <w:color w:val="auto"/>
                      <w:sz w:val="21"/>
                      <w:szCs w:val="22"/>
                      <w:lang w:val="en-US" w:eastAsia="zh-CN"/>
                    </w:rPr>
                  </w:pPr>
                  <w:r>
                    <w:rPr>
                      <w:rFonts w:hint="eastAsia" w:cs="Times New Roman"/>
                      <w:color w:val="auto"/>
                      <w:sz w:val="21"/>
                      <w:szCs w:val="22"/>
                      <w:lang w:val="en-US" w:eastAsia="zh-CN"/>
                    </w:rPr>
                    <w:t xml:space="preserve">0.18392 </w:t>
                  </w:r>
                </w:p>
              </w:tc>
              <w:tc>
                <w:tcPr>
                  <w:tcW w:w="1533" w:type="dxa"/>
                  <w:noWrap w:val="0"/>
                  <w:vAlign w:val="center"/>
                </w:tcPr>
                <w:p w14:paraId="68B80107">
                  <w:pPr>
                    <w:jc w:val="center"/>
                    <w:rPr>
                      <w:rFonts w:hint="default" w:ascii="Times New Roman" w:hAnsi="Times New Roman" w:cs="Times New Roman"/>
                      <w:bCs/>
                      <w:color w:val="auto"/>
                      <w:sz w:val="21"/>
                      <w:szCs w:val="22"/>
                    </w:rPr>
                  </w:pPr>
                  <w:r>
                    <w:rPr>
                      <w:rFonts w:hint="eastAsia" w:cs="Times New Roman"/>
                      <w:color w:val="auto"/>
                      <w:sz w:val="21"/>
                      <w:szCs w:val="22"/>
                      <w:lang w:eastAsia="zh-CN"/>
                    </w:rPr>
                    <w:t>油气回收系统</w:t>
                  </w:r>
                  <w:r>
                    <w:rPr>
                      <w:rFonts w:hint="default" w:ascii="Times New Roman" w:hAnsi="Times New Roman" w:cs="Times New Roman"/>
                      <w:color w:val="auto"/>
                      <w:sz w:val="21"/>
                      <w:szCs w:val="22"/>
                    </w:rPr>
                    <w:t>（95%）</w:t>
                  </w:r>
                </w:p>
              </w:tc>
              <w:tc>
                <w:tcPr>
                  <w:tcW w:w="1009" w:type="dxa"/>
                  <w:noWrap w:val="0"/>
                  <w:vAlign w:val="center"/>
                </w:tcPr>
                <w:p w14:paraId="2A50FD84">
                  <w:pPr>
                    <w:jc w:val="center"/>
                    <w:rPr>
                      <w:rFonts w:hint="default" w:cs="Times New Roman"/>
                      <w:color w:val="auto"/>
                      <w:sz w:val="21"/>
                      <w:szCs w:val="22"/>
                      <w:lang w:val="en-US" w:eastAsia="zh-CN"/>
                    </w:rPr>
                  </w:pPr>
                  <w:r>
                    <w:rPr>
                      <w:rFonts w:hint="default" w:cs="Times New Roman"/>
                      <w:color w:val="auto"/>
                      <w:sz w:val="21"/>
                      <w:szCs w:val="22"/>
                      <w:lang w:val="en-US" w:eastAsia="zh-CN"/>
                    </w:rPr>
                    <w:t xml:space="preserve">0.009196 </w:t>
                  </w:r>
                </w:p>
              </w:tc>
            </w:tr>
            <w:tr w14:paraId="0419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7" w:hRule="atLeast"/>
                <w:jc w:val="center"/>
              </w:trPr>
              <w:tc>
                <w:tcPr>
                  <w:tcW w:w="582" w:type="dxa"/>
                  <w:vMerge w:val="continue"/>
                  <w:noWrap w:val="0"/>
                  <w:vAlign w:val="center"/>
                </w:tcPr>
                <w:p w14:paraId="77C8E30F">
                  <w:pPr>
                    <w:jc w:val="center"/>
                    <w:rPr>
                      <w:rFonts w:hint="default" w:ascii="Times New Roman" w:hAnsi="Times New Roman" w:cs="Times New Roman"/>
                      <w:bCs/>
                      <w:color w:val="auto"/>
                      <w:sz w:val="21"/>
                      <w:szCs w:val="22"/>
                    </w:rPr>
                  </w:pPr>
                </w:p>
              </w:tc>
              <w:tc>
                <w:tcPr>
                  <w:tcW w:w="860" w:type="dxa"/>
                  <w:vMerge w:val="continue"/>
                  <w:noWrap w:val="0"/>
                  <w:vAlign w:val="center"/>
                </w:tcPr>
                <w:p w14:paraId="1C6B4BCC">
                  <w:pPr>
                    <w:jc w:val="center"/>
                    <w:rPr>
                      <w:rFonts w:hint="default" w:ascii="Times New Roman" w:hAnsi="Times New Roman" w:cs="Times New Roman"/>
                      <w:bCs/>
                      <w:color w:val="auto"/>
                      <w:sz w:val="21"/>
                      <w:szCs w:val="22"/>
                    </w:rPr>
                  </w:pPr>
                </w:p>
              </w:tc>
              <w:tc>
                <w:tcPr>
                  <w:tcW w:w="1587" w:type="dxa"/>
                  <w:noWrap w:val="0"/>
                  <w:vAlign w:val="center"/>
                </w:tcPr>
                <w:p w14:paraId="7A856C00">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跑冒滴漏损失</w:t>
                  </w:r>
                </w:p>
              </w:tc>
              <w:tc>
                <w:tcPr>
                  <w:tcW w:w="1110" w:type="dxa"/>
                  <w:noWrap w:val="0"/>
                  <w:vAlign w:val="center"/>
                </w:tcPr>
                <w:p w14:paraId="30FA0D5B">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0.084kg/m³通过量</w:t>
                  </w:r>
                </w:p>
              </w:tc>
              <w:tc>
                <w:tcPr>
                  <w:tcW w:w="1094" w:type="dxa"/>
                  <w:vMerge w:val="continue"/>
                  <w:noWrap w:val="0"/>
                  <w:vAlign w:val="center"/>
                </w:tcPr>
                <w:p w14:paraId="39CE1058">
                  <w:pPr>
                    <w:jc w:val="center"/>
                    <w:rPr>
                      <w:rFonts w:hint="default" w:ascii="Times New Roman" w:hAnsi="Times New Roman" w:cs="Times New Roman"/>
                      <w:bCs/>
                      <w:color w:val="auto"/>
                      <w:sz w:val="21"/>
                      <w:szCs w:val="22"/>
                    </w:rPr>
                  </w:pPr>
                </w:p>
              </w:tc>
              <w:tc>
                <w:tcPr>
                  <w:tcW w:w="1041" w:type="dxa"/>
                  <w:noWrap w:val="0"/>
                  <w:vAlign w:val="center"/>
                </w:tcPr>
                <w:p w14:paraId="51C1171B">
                  <w:pPr>
                    <w:jc w:val="center"/>
                    <w:rPr>
                      <w:rFonts w:hint="default" w:cs="Times New Roman"/>
                      <w:color w:val="auto"/>
                      <w:sz w:val="21"/>
                      <w:szCs w:val="22"/>
                      <w:lang w:val="en-US" w:eastAsia="zh-CN"/>
                    </w:rPr>
                  </w:pPr>
                  <w:r>
                    <w:rPr>
                      <w:rFonts w:hint="eastAsia" w:cs="Times New Roman"/>
                      <w:color w:val="auto"/>
                      <w:sz w:val="21"/>
                      <w:szCs w:val="22"/>
                      <w:lang w:val="en-US" w:eastAsia="zh-CN"/>
                    </w:rPr>
                    <w:t xml:space="preserve">0.140448 </w:t>
                  </w:r>
                </w:p>
              </w:tc>
              <w:tc>
                <w:tcPr>
                  <w:tcW w:w="1533" w:type="dxa"/>
                  <w:noWrap w:val="0"/>
                  <w:vAlign w:val="center"/>
                </w:tcPr>
                <w:p w14:paraId="3617F92E">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color w:val="auto"/>
                      <w:sz w:val="21"/>
                      <w:szCs w:val="22"/>
                    </w:rPr>
                    <w:t>—</w:t>
                  </w:r>
                </w:p>
              </w:tc>
              <w:tc>
                <w:tcPr>
                  <w:tcW w:w="1009" w:type="dxa"/>
                  <w:noWrap w:val="0"/>
                  <w:vAlign w:val="center"/>
                </w:tcPr>
                <w:p w14:paraId="5FA751F3">
                  <w:pPr>
                    <w:jc w:val="center"/>
                    <w:rPr>
                      <w:rFonts w:hint="default" w:cs="Times New Roman"/>
                      <w:color w:val="auto"/>
                      <w:sz w:val="21"/>
                      <w:szCs w:val="22"/>
                      <w:lang w:val="en-US" w:eastAsia="zh-CN"/>
                    </w:rPr>
                  </w:pPr>
                  <w:r>
                    <w:rPr>
                      <w:rFonts w:hint="default" w:cs="Times New Roman"/>
                      <w:color w:val="auto"/>
                      <w:sz w:val="21"/>
                      <w:szCs w:val="22"/>
                      <w:lang w:val="en-US" w:eastAsia="zh-CN"/>
                    </w:rPr>
                    <w:t xml:space="preserve">0.140448 </w:t>
                  </w:r>
                </w:p>
              </w:tc>
            </w:tr>
            <w:tr w14:paraId="1F46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1" w:hRule="atLeast"/>
                <w:jc w:val="center"/>
              </w:trPr>
              <w:tc>
                <w:tcPr>
                  <w:tcW w:w="3029" w:type="dxa"/>
                  <w:gridSpan w:val="3"/>
                  <w:noWrap w:val="0"/>
                  <w:vAlign w:val="center"/>
                </w:tcPr>
                <w:p w14:paraId="163792CA">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柴油损耗</w:t>
                  </w:r>
                </w:p>
              </w:tc>
              <w:tc>
                <w:tcPr>
                  <w:tcW w:w="1110" w:type="dxa"/>
                  <w:noWrap w:val="0"/>
                  <w:vAlign w:val="center"/>
                </w:tcPr>
                <w:p w14:paraId="68667212">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val="en-US" w:eastAsia="zh-CN" w:bidi="ar"/>
                    </w:rPr>
                    <w:t>0.07463kg/t</w:t>
                  </w:r>
                </w:p>
              </w:tc>
              <w:tc>
                <w:tcPr>
                  <w:tcW w:w="1094" w:type="dxa"/>
                  <w:noWrap w:val="0"/>
                  <w:vAlign w:val="center"/>
                </w:tcPr>
                <w:p w14:paraId="628D47B6">
                  <w:pPr>
                    <w:jc w:val="center"/>
                    <w:rPr>
                      <w:rFonts w:hint="default" w:ascii="Times New Roman" w:hAnsi="Times New Roman" w:cs="Times New Roman"/>
                      <w:color w:val="auto"/>
                      <w:sz w:val="21"/>
                      <w:szCs w:val="22"/>
                      <w:lang w:val="en-US"/>
                    </w:rPr>
                  </w:pPr>
                  <w:r>
                    <w:rPr>
                      <w:rFonts w:hint="eastAsia" w:cs="Times New Roman"/>
                      <w:color w:val="auto"/>
                      <w:sz w:val="21"/>
                      <w:szCs w:val="22"/>
                      <w:lang w:val="en-US" w:eastAsia="zh-CN"/>
                    </w:rPr>
                    <w:t>946t/a</w:t>
                  </w:r>
                </w:p>
              </w:tc>
              <w:tc>
                <w:tcPr>
                  <w:tcW w:w="1041" w:type="dxa"/>
                  <w:noWrap w:val="0"/>
                  <w:vAlign w:val="center"/>
                </w:tcPr>
                <w:p w14:paraId="7668DFD5">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0.0706</w:t>
                  </w:r>
                </w:p>
              </w:tc>
              <w:tc>
                <w:tcPr>
                  <w:tcW w:w="1533" w:type="dxa"/>
                  <w:noWrap w:val="0"/>
                  <w:vAlign w:val="center"/>
                </w:tcPr>
                <w:p w14:paraId="46FD00ED">
                  <w:pPr>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w:t>
                  </w:r>
                </w:p>
              </w:tc>
              <w:tc>
                <w:tcPr>
                  <w:tcW w:w="1009" w:type="dxa"/>
                  <w:noWrap w:val="0"/>
                  <w:vAlign w:val="center"/>
                </w:tcPr>
                <w:p w14:paraId="328F37C1">
                  <w:pPr>
                    <w:jc w:val="center"/>
                    <w:rPr>
                      <w:rFonts w:hint="default" w:cs="Times New Roman"/>
                      <w:color w:val="auto"/>
                      <w:sz w:val="21"/>
                      <w:szCs w:val="22"/>
                      <w:lang w:val="en-US" w:eastAsia="zh-CN"/>
                    </w:rPr>
                  </w:pPr>
                  <w:r>
                    <w:rPr>
                      <w:rFonts w:hint="eastAsia" w:cs="Times New Roman"/>
                      <w:color w:val="auto"/>
                      <w:sz w:val="21"/>
                      <w:szCs w:val="22"/>
                      <w:lang w:val="en-US" w:eastAsia="zh-CN"/>
                    </w:rPr>
                    <w:t>0.0706</w:t>
                  </w:r>
                  <w:r>
                    <w:rPr>
                      <w:rFonts w:hint="default" w:cs="Times New Roman"/>
                      <w:color w:val="auto"/>
                      <w:sz w:val="21"/>
                      <w:szCs w:val="22"/>
                      <w:lang w:val="en-US" w:eastAsia="zh-CN"/>
                    </w:rPr>
                    <w:t xml:space="preserve"> </w:t>
                  </w:r>
                </w:p>
              </w:tc>
            </w:tr>
            <w:tr w14:paraId="153E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3" w:hRule="atLeast"/>
                <w:jc w:val="center"/>
              </w:trPr>
              <w:tc>
                <w:tcPr>
                  <w:tcW w:w="582" w:type="dxa"/>
                  <w:noWrap w:val="0"/>
                  <w:vAlign w:val="center"/>
                </w:tcPr>
                <w:p w14:paraId="45E1CBD0">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合计</w:t>
                  </w:r>
                </w:p>
              </w:tc>
              <w:tc>
                <w:tcPr>
                  <w:tcW w:w="4651" w:type="dxa"/>
                  <w:gridSpan w:val="4"/>
                  <w:noWrap w:val="0"/>
                  <w:vAlign w:val="center"/>
                </w:tcPr>
                <w:p w14:paraId="49AE0FA8">
                  <w:pPr>
                    <w:jc w:val="center"/>
                    <w:textAlignment w:val="center"/>
                    <w:rPr>
                      <w:rFonts w:hint="default" w:ascii="Times New Roman" w:hAnsi="Times New Roman" w:cs="Times New Roman"/>
                      <w:bCs/>
                      <w:color w:val="auto"/>
                      <w:sz w:val="21"/>
                      <w:szCs w:val="22"/>
                    </w:rPr>
                  </w:pPr>
                  <w:r>
                    <w:rPr>
                      <w:rFonts w:hint="default" w:ascii="Times New Roman" w:hAnsi="Times New Roman" w:cs="Times New Roman"/>
                      <w:bCs/>
                      <w:color w:val="auto"/>
                      <w:sz w:val="21"/>
                      <w:szCs w:val="22"/>
                      <w:lang w:bidi="ar"/>
                    </w:rPr>
                    <w:t>—</w:t>
                  </w:r>
                </w:p>
              </w:tc>
              <w:tc>
                <w:tcPr>
                  <w:tcW w:w="1041" w:type="dxa"/>
                  <w:noWrap w:val="0"/>
                  <w:vAlign w:val="center"/>
                </w:tcPr>
                <w:p w14:paraId="2607DC10">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3.07016798</w:t>
                  </w:r>
                </w:p>
              </w:tc>
              <w:tc>
                <w:tcPr>
                  <w:tcW w:w="1533" w:type="dxa"/>
                  <w:noWrap w:val="0"/>
                  <w:vAlign w:val="center"/>
                </w:tcPr>
                <w:p w14:paraId="575A300F">
                  <w:pPr>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　</w:t>
                  </w:r>
                </w:p>
              </w:tc>
              <w:tc>
                <w:tcPr>
                  <w:tcW w:w="1009" w:type="dxa"/>
                  <w:noWrap w:val="0"/>
                  <w:vAlign w:val="center"/>
                </w:tcPr>
                <w:p w14:paraId="0276FE7C">
                  <w:pPr>
                    <w:jc w:val="center"/>
                    <w:rPr>
                      <w:rFonts w:hint="default" w:ascii="Times New Roman" w:hAnsi="Times New Roman" w:eastAsia="宋体" w:cs="Times New Roman"/>
                      <w:color w:val="auto"/>
                      <w:sz w:val="21"/>
                      <w:szCs w:val="22"/>
                      <w:lang w:val="en-US" w:eastAsia="zh-CN"/>
                    </w:rPr>
                  </w:pPr>
                  <w:r>
                    <w:rPr>
                      <w:rFonts w:hint="eastAsia" w:cs="Times New Roman"/>
                      <w:color w:val="auto"/>
                      <w:sz w:val="21"/>
                      <w:szCs w:val="22"/>
                      <w:lang w:val="en-US" w:eastAsia="zh-CN"/>
                    </w:rPr>
                    <w:t>0.544612</w:t>
                  </w:r>
                </w:p>
              </w:tc>
            </w:tr>
          </w:tbl>
          <w:p w14:paraId="5332887E">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2"/>
              </w:rPr>
              <w:t>由表</w:t>
            </w: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可知，本项目</w:t>
            </w:r>
            <w:r>
              <w:rPr>
                <w:rFonts w:hint="default" w:ascii="Times New Roman" w:hAnsi="Times New Roman" w:eastAsia="宋体" w:cs="Times New Roman"/>
                <w:color w:val="auto"/>
                <w:sz w:val="24"/>
                <w:lang w:val="en-US" w:eastAsia="zh-CN"/>
              </w:rPr>
              <w:t>产生的挥发烃类有机污染物为</w:t>
            </w:r>
            <w:r>
              <w:rPr>
                <w:rFonts w:hint="eastAsia" w:cs="Times New Roman"/>
                <w:color w:val="auto"/>
                <w:sz w:val="24"/>
                <w:lang w:val="en-US" w:eastAsia="zh-CN"/>
              </w:rPr>
              <w:t>3.0701679</w:t>
            </w:r>
            <w:r>
              <w:rPr>
                <w:rFonts w:hint="default" w:ascii="Times New Roman" w:hAnsi="Times New Roman" w:eastAsia="宋体" w:cs="Times New Roman"/>
                <w:color w:val="auto"/>
                <w:sz w:val="24"/>
                <w:lang w:val="en-US" w:eastAsia="zh-CN"/>
              </w:rPr>
              <w:t>t/a，经油气回收系统回收后，非甲烷总烃排放量为</w:t>
            </w:r>
            <w:r>
              <w:rPr>
                <w:rFonts w:hint="eastAsia" w:cs="Times New Roman"/>
                <w:color w:val="auto"/>
                <w:sz w:val="24"/>
                <w:lang w:val="en-US" w:eastAsia="zh-CN"/>
              </w:rPr>
              <w:t>0.544612</w:t>
            </w:r>
            <w:r>
              <w:rPr>
                <w:rFonts w:hint="default" w:ascii="Times New Roman" w:hAnsi="Times New Roman" w:eastAsia="宋体" w:cs="Times New Roman"/>
                <w:color w:val="auto"/>
                <w:sz w:val="24"/>
                <w:lang w:val="en-US" w:eastAsia="zh-CN"/>
              </w:rPr>
              <w:t>t/a。</w:t>
            </w:r>
          </w:p>
          <w:p w14:paraId="3C179B85">
            <w:pPr>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color w:val="auto"/>
                <w:sz w:val="24"/>
                <w:szCs w:val="24"/>
              </w:rPr>
              <w:t>⑥</w:t>
            </w:r>
            <w:r>
              <w:rPr>
                <w:rFonts w:hint="default" w:ascii="Times New Roman" w:hAnsi="Times New Roman" w:eastAsia="宋体" w:cs="Times New Roman"/>
                <w:b w:val="0"/>
                <w:bCs w:val="0"/>
                <w:color w:val="auto"/>
                <w:sz w:val="24"/>
              </w:rPr>
              <w:t>污染物排放量核算</w:t>
            </w:r>
          </w:p>
          <w:p w14:paraId="7005E6C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根据工程分析，项目废气污染物主要为加油卸油过程中产生的无组织非甲烷总烃，项目运行过程中经</w:t>
            </w:r>
            <w:r>
              <w:rPr>
                <w:rFonts w:hint="eastAsia" w:cs="Times New Roman"/>
                <w:color w:val="auto"/>
                <w:sz w:val="24"/>
                <w:szCs w:val="24"/>
                <w:lang w:eastAsia="zh-CN"/>
              </w:rPr>
              <w:t>油气回收系统</w:t>
            </w:r>
            <w:r>
              <w:rPr>
                <w:rFonts w:hint="default" w:ascii="Times New Roman" w:hAnsi="Times New Roman" w:eastAsia="宋体" w:cs="Times New Roman"/>
                <w:color w:val="auto"/>
                <w:sz w:val="24"/>
                <w:szCs w:val="24"/>
              </w:rPr>
              <w:t>处理后非甲烷总烃排放量为</w:t>
            </w:r>
            <w:r>
              <w:rPr>
                <w:rFonts w:hint="eastAsia" w:cs="Times New Roman"/>
                <w:color w:val="auto"/>
                <w:sz w:val="24"/>
                <w:szCs w:val="24"/>
                <w:lang w:eastAsia="zh-CN"/>
              </w:rPr>
              <w:t>0.544612</w:t>
            </w:r>
            <w:r>
              <w:rPr>
                <w:rFonts w:hint="default" w:ascii="Times New Roman" w:hAnsi="Times New Roman" w:eastAsia="宋体" w:cs="Times New Roman"/>
                <w:color w:val="auto"/>
                <w:sz w:val="24"/>
                <w:szCs w:val="24"/>
              </w:rPr>
              <w:t>t/a。</w:t>
            </w:r>
          </w:p>
          <w:p w14:paraId="77F6704B">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rPr>
              <w:t>大气污染物无组织排放量核算见表</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w:t>
            </w:r>
          </w:p>
          <w:p w14:paraId="28C47973">
            <w:pPr>
              <w:spacing w:line="240" w:lineRule="auto"/>
              <w:ind w:firstLine="527" w:firstLineChars="250"/>
              <w:jc w:val="center"/>
              <w:rPr>
                <w:rFonts w:hint="default" w:ascii="Times New Roman" w:hAnsi="Times New Roman" w:eastAsia="宋体" w:cs="Times New Roman"/>
                <w:b/>
                <w:color w:val="auto"/>
                <w:szCs w:val="18"/>
                <w:highlight w:val="none"/>
              </w:rPr>
            </w:pPr>
            <w:r>
              <w:rPr>
                <w:rFonts w:hint="default" w:ascii="Times New Roman" w:hAnsi="Times New Roman" w:eastAsia="宋体" w:cs="Times New Roman"/>
                <w:b/>
                <w:color w:val="auto"/>
                <w:szCs w:val="18"/>
                <w:highlight w:val="none"/>
              </w:rPr>
              <w:t>表</w:t>
            </w:r>
            <w:r>
              <w:rPr>
                <w:rFonts w:hint="default" w:ascii="Times New Roman" w:hAnsi="Times New Roman" w:eastAsia="宋体" w:cs="Times New Roman"/>
                <w:b/>
                <w:color w:val="auto"/>
                <w:szCs w:val="18"/>
                <w:highlight w:val="none"/>
                <w:lang w:val="en-US" w:eastAsia="zh-CN"/>
              </w:rPr>
              <w:t>4</w:t>
            </w:r>
            <w:r>
              <w:rPr>
                <w:rFonts w:hint="default" w:ascii="Times New Roman" w:hAnsi="Times New Roman" w:eastAsia="宋体" w:cs="Times New Roman"/>
                <w:b/>
                <w:color w:val="auto"/>
                <w:szCs w:val="18"/>
                <w:highlight w:val="none"/>
              </w:rPr>
              <w:t>-</w:t>
            </w:r>
            <w:r>
              <w:rPr>
                <w:rFonts w:hint="default" w:ascii="Times New Roman" w:hAnsi="Times New Roman" w:cs="Times New Roman"/>
                <w:b/>
                <w:color w:val="auto"/>
                <w:szCs w:val="18"/>
                <w:highlight w:val="none"/>
                <w:lang w:val="en-US" w:eastAsia="zh-CN"/>
              </w:rPr>
              <w:t>3</w:t>
            </w:r>
            <w:r>
              <w:rPr>
                <w:rFonts w:hint="default" w:ascii="Times New Roman" w:hAnsi="Times New Roman" w:eastAsia="宋体" w:cs="Times New Roman"/>
                <w:b/>
                <w:color w:val="auto"/>
                <w:szCs w:val="18"/>
                <w:highlight w:val="none"/>
                <w:lang w:val="en-US" w:eastAsia="zh-CN"/>
              </w:rPr>
              <w:t xml:space="preserve"> </w:t>
            </w:r>
            <w:r>
              <w:rPr>
                <w:rFonts w:hint="default" w:ascii="Times New Roman" w:hAnsi="Times New Roman" w:eastAsia="宋体" w:cs="Times New Roman"/>
                <w:b/>
                <w:color w:val="auto"/>
                <w:szCs w:val="18"/>
                <w:highlight w:val="none"/>
              </w:rPr>
              <w:t xml:space="preserve"> </w:t>
            </w:r>
            <w:r>
              <w:rPr>
                <w:rFonts w:hint="default" w:ascii="Times New Roman" w:hAnsi="Times New Roman" w:cs="Times New Roman"/>
                <w:b/>
                <w:color w:val="auto"/>
                <w:szCs w:val="21"/>
              </w:rPr>
              <w:t>项目</w:t>
            </w:r>
            <w:r>
              <w:rPr>
                <w:rFonts w:hint="default" w:ascii="Times New Roman" w:hAnsi="Times New Roman" w:cs="Times New Roman"/>
                <w:b/>
                <w:color w:val="auto"/>
                <w:szCs w:val="21"/>
                <w:lang w:eastAsia="zh-CN"/>
              </w:rPr>
              <w:t>大气污染物无组织</w:t>
            </w:r>
            <w:r>
              <w:rPr>
                <w:rFonts w:hint="default" w:ascii="Times New Roman" w:hAnsi="Times New Roman" w:cs="Times New Roman"/>
                <w:b/>
                <w:color w:val="auto"/>
                <w:szCs w:val="21"/>
              </w:rPr>
              <w:t>排放量</w:t>
            </w:r>
            <w:r>
              <w:rPr>
                <w:rFonts w:hint="default" w:ascii="Times New Roman" w:hAnsi="Times New Roman" w:cs="Times New Roman"/>
                <w:b/>
                <w:color w:val="auto"/>
                <w:szCs w:val="21"/>
                <w:lang w:eastAsia="zh-CN"/>
              </w:rPr>
              <w:t>核算一览表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075"/>
              <w:gridCol w:w="1013"/>
              <w:gridCol w:w="812"/>
              <w:gridCol w:w="1241"/>
              <w:gridCol w:w="1023"/>
              <w:gridCol w:w="777"/>
              <w:gridCol w:w="1221"/>
              <w:gridCol w:w="980"/>
            </w:tblGrid>
            <w:tr w14:paraId="41B6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755" w:type="dxa"/>
                  <w:vMerge w:val="restart"/>
                  <w:tcBorders>
                    <w:tl2br w:val="nil"/>
                    <w:tr2bl w:val="nil"/>
                  </w:tcBorders>
                  <w:noWrap w:val="0"/>
                  <w:vAlign w:val="center"/>
                </w:tcPr>
                <w:p w14:paraId="58C53DDA">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75" w:type="dxa"/>
                  <w:vMerge w:val="restart"/>
                  <w:tcBorders>
                    <w:tl2br w:val="nil"/>
                    <w:tr2bl w:val="nil"/>
                  </w:tcBorders>
                  <w:noWrap w:val="0"/>
                  <w:vAlign w:val="center"/>
                </w:tcPr>
                <w:p w14:paraId="0F9674B7">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tc>
              <w:tc>
                <w:tcPr>
                  <w:tcW w:w="1013" w:type="dxa"/>
                  <w:vMerge w:val="restart"/>
                  <w:tcBorders>
                    <w:tl2br w:val="nil"/>
                    <w:tr2bl w:val="nil"/>
                  </w:tcBorders>
                  <w:noWrap w:val="0"/>
                  <w:vAlign w:val="center"/>
                </w:tcPr>
                <w:p w14:paraId="1D355FC3">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812" w:type="dxa"/>
                  <w:vMerge w:val="restart"/>
                  <w:tcBorders>
                    <w:tl2br w:val="nil"/>
                    <w:tr2bl w:val="nil"/>
                  </w:tcBorders>
                  <w:noWrap w:val="0"/>
                  <w:vAlign w:val="center"/>
                </w:tcPr>
                <w:p w14:paraId="0EC75E71">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241" w:type="dxa"/>
                  <w:vMerge w:val="restart"/>
                  <w:tcBorders>
                    <w:tl2br w:val="nil"/>
                    <w:tr2bl w:val="nil"/>
                  </w:tcBorders>
                  <w:noWrap w:val="0"/>
                  <w:vAlign w:val="center"/>
                </w:tcPr>
                <w:p w14:paraId="1F99C50C">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主要污染防治措施</w:t>
                  </w:r>
                </w:p>
              </w:tc>
              <w:tc>
                <w:tcPr>
                  <w:tcW w:w="3021" w:type="dxa"/>
                  <w:gridSpan w:val="3"/>
                  <w:tcBorders>
                    <w:tl2br w:val="nil"/>
                    <w:tr2bl w:val="nil"/>
                  </w:tcBorders>
                  <w:noWrap w:val="0"/>
                  <w:vAlign w:val="center"/>
                </w:tcPr>
                <w:p w14:paraId="70255FA7">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国家或地方污染物排放标准</w:t>
                  </w:r>
                </w:p>
              </w:tc>
              <w:tc>
                <w:tcPr>
                  <w:tcW w:w="980" w:type="dxa"/>
                  <w:vMerge w:val="restart"/>
                  <w:tcBorders>
                    <w:tl2br w:val="nil"/>
                    <w:tr2bl w:val="nil"/>
                  </w:tcBorders>
                  <w:noWrap w:val="0"/>
                  <w:vAlign w:val="center"/>
                </w:tcPr>
                <w:p w14:paraId="4FD92481">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年排放量（t/a）</w:t>
                  </w:r>
                </w:p>
              </w:tc>
            </w:tr>
            <w:tr w14:paraId="1583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755" w:type="dxa"/>
                  <w:vMerge w:val="continue"/>
                  <w:tcBorders>
                    <w:tl2br w:val="nil"/>
                    <w:tr2bl w:val="nil"/>
                  </w:tcBorders>
                  <w:noWrap w:val="0"/>
                  <w:vAlign w:val="center"/>
                </w:tcPr>
                <w:p w14:paraId="3F719839">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p>
              </w:tc>
              <w:tc>
                <w:tcPr>
                  <w:tcW w:w="1075" w:type="dxa"/>
                  <w:vMerge w:val="continue"/>
                  <w:tcBorders>
                    <w:tl2br w:val="nil"/>
                    <w:tr2bl w:val="nil"/>
                  </w:tcBorders>
                  <w:noWrap w:val="0"/>
                  <w:vAlign w:val="center"/>
                </w:tcPr>
                <w:p w14:paraId="5765E109">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p>
              </w:tc>
              <w:tc>
                <w:tcPr>
                  <w:tcW w:w="1013" w:type="dxa"/>
                  <w:vMerge w:val="continue"/>
                  <w:tcBorders>
                    <w:tl2br w:val="nil"/>
                    <w:tr2bl w:val="nil"/>
                  </w:tcBorders>
                  <w:noWrap w:val="0"/>
                  <w:vAlign w:val="center"/>
                </w:tcPr>
                <w:p w14:paraId="573AC171">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p>
              </w:tc>
              <w:tc>
                <w:tcPr>
                  <w:tcW w:w="812" w:type="dxa"/>
                  <w:vMerge w:val="continue"/>
                  <w:tcBorders>
                    <w:tl2br w:val="nil"/>
                    <w:tr2bl w:val="nil"/>
                  </w:tcBorders>
                  <w:noWrap w:val="0"/>
                  <w:vAlign w:val="center"/>
                </w:tcPr>
                <w:p w14:paraId="7960CC9D">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p>
              </w:tc>
              <w:tc>
                <w:tcPr>
                  <w:tcW w:w="1241" w:type="dxa"/>
                  <w:vMerge w:val="continue"/>
                  <w:tcBorders>
                    <w:tl2br w:val="nil"/>
                    <w:tr2bl w:val="nil"/>
                  </w:tcBorders>
                  <w:noWrap w:val="0"/>
                  <w:vAlign w:val="center"/>
                </w:tcPr>
                <w:p w14:paraId="0A488BDD">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p>
              </w:tc>
              <w:tc>
                <w:tcPr>
                  <w:tcW w:w="1800" w:type="dxa"/>
                  <w:gridSpan w:val="2"/>
                  <w:tcBorders>
                    <w:tl2br w:val="nil"/>
                    <w:tr2bl w:val="nil"/>
                  </w:tcBorders>
                  <w:noWrap w:val="0"/>
                  <w:vAlign w:val="center"/>
                </w:tcPr>
                <w:p w14:paraId="71C6554F">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w:t>
                  </w:r>
                </w:p>
              </w:tc>
              <w:tc>
                <w:tcPr>
                  <w:tcW w:w="1221" w:type="dxa"/>
                  <w:tcBorders>
                    <w:tl2br w:val="nil"/>
                    <w:tr2bl w:val="nil"/>
                  </w:tcBorders>
                  <w:noWrap w:val="0"/>
                  <w:vAlign w:val="center"/>
                </w:tcPr>
                <w:p w14:paraId="34B29CE5">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r>
                    <w:rPr>
                      <w:rFonts w:hint="default" w:ascii="Times New Roman" w:hAnsi="Times New Roman"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80" w:type="dxa"/>
                  <w:vMerge w:val="continue"/>
                  <w:tcBorders>
                    <w:tl2br w:val="nil"/>
                    <w:tr2bl w:val="nil"/>
                  </w:tcBorders>
                  <w:noWrap w:val="0"/>
                  <w:vAlign w:val="center"/>
                </w:tcPr>
                <w:p w14:paraId="36FEDC63">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p>
              </w:tc>
            </w:tr>
            <w:tr w14:paraId="6684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755" w:type="dxa"/>
                  <w:tcBorders>
                    <w:tl2br w:val="nil"/>
                    <w:tr2bl w:val="nil"/>
                  </w:tcBorders>
                  <w:noWrap w:val="0"/>
                  <w:vAlign w:val="center"/>
                </w:tcPr>
                <w:p w14:paraId="6DE0422C">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1075" w:type="dxa"/>
                  <w:tcBorders>
                    <w:tl2br w:val="nil"/>
                    <w:tr2bl w:val="nil"/>
                  </w:tcBorders>
                  <w:noWrap w:val="0"/>
                  <w:vAlign w:val="center"/>
                </w:tcPr>
                <w:p w14:paraId="1B7E1BFF">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w:t>
                  </w:r>
                </w:p>
              </w:tc>
              <w:tc>
                <w:tcPr>
                  <w:tcW w:w="1013" w:type="dxa"/>
                  <w:tcBorders>
                    <w:tl2br w:val="nil"/>
                    <w:tr2bl w:val="nil"/>
                  </w:tcBorders>
                  <w:noWrap w:val="0"/>
                  <w:vAlign w:val="center"/>
                </w:tcPr>
                <w:p w14:paraId="443378F6">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加油、储油、卸油</w:t>
                  </w:r>
                </w:p>
              </w:tc>
              <w:tc>
                <w:tcPr>
                  <w:tcW w:w="812" w:type="dxa"/>
                  <w:tcBorders>
                    <w:tl2br w:val="nil"/>
                    <w:tr2bl w:val="nil"/>
                  </w:tcBorders>
                  <w:noWrap w:val="0"/>
                  <w:vAlign w:val="center"/>
                </w:tcPr>
                <w:p w14:paraId="7FDC3922">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非甲烷总烃</w:t>
                  </w:r>
                </w:p>
              </w:tc>
              <w:tc>
                <w:tcPr>
                  <w:tcW w:w="1241" w:type="dxa"/>
                  <w:tcBorders>
                    <w:tl2br w:val="nil"/>
                    <w:tr2bl w:val="nil"/>
                  </w:tcBorders>
                  <w:noWrap w:val="0"/>
                  <w:vAlign w:val="center"/>
                </w:tcPr>
                <w:p w14:paraId="6F8C77B0">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加油枪、卸油口油气回收</w:t>
                  </w:r>
                </w:p>
              </w:tc>
              <w:tc>
                <w:tcPr>
                  <w:tcW w:w="1800" w:type="dxa"/>
                  <w:gridSpan w:val="2"/>
                  <w:tcBorders>
                    <w:tl2br w:val="nil"/>
                    <w:tr2bl w:val="nil"/>
                  </w:tcBorders>
                  <w:noWrap w:val="0"/>
                  <w:vAlign w:val="center"/>
                </w:tcPr>
                <w:p w14:paraId="21450B2B">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《加油站大气污染物排放标准》GB20952-2020</w:t>
                  </w:r>
                </w:p>
              </w:tc>
              <w:tc>
                <w:tcPr>
                  <w:tcW w:w="1221" w:type="dxa"/>
                  <w:tcBorders>
                    <w:tl2br w:val="nil"/>
                    <w:tr2bl w:val="nil"/>
                  </w:tcBorders>
                  <w:noWrap w:val="0"/>
                  <w:vAlign w:val="center"/>
                </w:tcPr>
                <w:p w14:paraId="59B0BFE9">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4.0</w:t>
                  </w:r>
                </w:p>
              </w:tc>
              <w:tc>
                <w:tcPr>
                  <w:tcW w:w="980" w:type="dxa"/>
                  <w:tcBorders>
                    <w:tl2br w:val="nil"/>
                    <w:tr2bl w:val="nil"/>
                  </w:tcBorders>
                  <w:noWrap w:val="0"/>
                  <w:vAlign w:val="center"/>
                </w:tcPr>
                <w:p w14:paraId="346293C6">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0.544612</w:t>
                  </w:r>
                </w:p>
              </w:tc>
            </w:tr>
            <w:tr w14:paraId="4B58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blHeader/>
                <w:jc w:val="center"/>
              </w:trPr>
              <w:tc>
                <w:tcPr>
                  <w:tcW w:w="8897" w:type="dxa"/>
                  <w:gridSpan w:val="9"/>
                  <w:tcBorders>
                    <w:tl2br w:val="nil"/>
                    <w:tr2bl w:val="nil"/>
                  </w:tcBorders>
                  <w:noWrap w:val="0"/>
                  <w:vAlign w:val="center"/>
                </w:tcPr>
                <w:p w14:paraId="5177992B">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无组织排放总计</w:t>
                  </w:r>
                </w:p>
              </w:tc>
            </w:tr>
            <w:tr w14:paraId="16C0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3655" w:type="dxa"/>
                  <w:gridSpan w:val="4"/>
                  <w:tcBorders>
                    <w:tl2br w:val="nil"/>
                    <w:tr2bl w:val="nil"/>
                  </w:tcBorders>
                  <w:noWrap w:val="0"/>
                  <w:vAlign w:val="center"/>
                </w:tcPr>
                <w:p w14:paraId="1C264F0A">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无组织排放总计</w:t>
                  </w:r>
                </w:p>
              </w:tc>
              <w:tc>
                <w:tcPr>
                  <w:tcW w:w="2264" w:type="dxa"/>
                  <w:gridSpan w:val="2"/>
                  <w:tcBorders>
                    <w:tl2br w:val="nil"/>
                    <w:tr2bl w:val="nil"/>
                  </w:tcBorders>
                  <w:noWrap w:val="0"/>
                  <w:vAlign w:val="center"/>
                </w:tcPr>
                <w:p w14:paraId="590AF11A">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非甲烷总烃</w:t>
                  </w:r>
                </w:p>
              </w:tc>
              <w:tc>
                <w:tcPr>
                  <w:tcW w:w="2978" w:type="dxa"/>
                  <w:gridSpan w:val="3"/>
                  <w:tcBorders>
                    <w:tl2br w:val="nil"/>
                    <w:tr2bl w:val="nil"/>
                  </w:tcBorders>
                  <w:noWrap w:val="0"/>
                  <w:vAlign w:val="center"/>
                </w:tcPr>
                <w:p w14:paraId="7546B0B2">
                  <w:pPr>
                    <w:pStyle w:val="52"/>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0.544612</w:t>
                  </w:r>
                  <w:r>
                    <w:rPr>
                      <w:rFonts w:hint="default" w:ascii="Times New Roman" w:hAnsi="Times New Roman" w:eastAsia="宋体" w:cs="Times New Roman"/>
                      <w:b w:val="0"/>
                      <w:bCs/>
                      <w:color w:val="auto"/>
                      <w:sz w:val="21"/>
                      <w:szCs w:val="21"/>
                      <w:lang w:val="en-US" w:eastAsia="zh-CN"/>
                    </w:rPr>
                    <w:t>t/a</w:t>
                  </w:r>
                </w:p>
              </w:tc>
            </w:tr>
          </w:tbl>
          <w:p w14:paraId="343B5FF1">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⑦非正常工况</w:t>
            </w:r>
          </w:p>
          <w:p w14:paraId="584F45C9">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考虑非正常情况，</w:t>
            </w:r>
            <w:r>
              <w:rPr>
                <w:rFonts w:hint="eastAsia" w:cs="Times New Roman"/>
                <w:color w:val="auto"/>
                <w:sz w:val="24"/>
                <w:szCs w:val="24"/>
                <w:lang w:eastAsia="zh-CN"/>
              </w:rPr>
              <w:t>油气回收系统</w:t>
            </w:r>
            <w:r>
              <w:rPr>
                <w:rFonts w:hint="default" w:ascii="Times New Roman" w:hAnsi="Times New Roman" w:eastAsia="宋体" w:cs="Times New Roman"/>
                <w:color w:val="auto"/>
                <w:sz w:val="24"/>
                <w:szCs w:val="24"/>
              </w:rPr>
              <w:t>故障失效，非甲烷总烃年排放总量为</w:t>
            </w:r>
            <w:r>
              <w:rPr>
                <w:rFonts w:hint="eastAsia" w:cs="Times New Roman"/>
                <w:color w:val="auto"/>
                <w:sz w:val="24"/>
                <w:szCs w:val="24"/>
                <w:lang w:eastAsia="zh-CN"/>
              </w:rPr>
              <w:t>3.0701679</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p>
          <w:p w14:paraId="1400CF4B">
            <w:pPr>
              <w:spacing w:line="240" w:lineRule="atLeast"/>
              <w:jc w:val="center"/>
              <w:rPr>
                <w:rFonts w:hint="default" w:ascii="Times New Roman" w:hAnsi="Times New Roman" w:eastAsia="宋体" w:cs="Times New Roman"/>
                <w:b/>
                <w:color w:val="auto"/>
                <w:sz w:val="21"/>
                <w:szCs w:val="22"/>
                <w:lang w:eastAsia="zh-CN"/>
              </w:rPr>
            </w:pPr>
            <w:r>
              <w:rPr>
                <w:rFonts w:hint="default" w:ascii="Times New Roman" w:hAnsi="Times New Roman" w:eastAsia="宋体" w:cs="Times New Roman"/>
                <w:b/>
                <w:color w:val="auto"/>
                <w:sz w:val="21"/>
                <w:szCs w:val="22"/>
              </w:rPr>
              <w:t>表4-</w:t>
            </w:r>
            <w:r>
              <w:rPr>
                <w:rFonts w:hint="default" w:ascii="Times New Roman" w:hAnsi="Times New Roman" w:cs="Times New Roman"/>
                <w:b/>
                <w:color w:val="auto"/>
                <w:sz w:val="21"/>
                <w:szCs w:val="22"/>
                <w:lang w:val="en-US" w:eastAsia="zh-CN"/>
              </w:rPr>
              <w:t>4</w:t>
            </w:r>
            <w:r>
              <w:rPr>
                <w:rFonts w:hint="default" w:ascii="Times New Roman" w:hAnsi="Times New Roman" w:eastAsia="宋体" w:cs="Times New Roman"/>
                <w:b/>
                <w:color w:val="auto"/>
                <w:sz w:val="21"/>
                <w:szCs w:val="22"/>
                <w:lang w:val="en-US" w:eastAsia="zh-CN"/>
              </w:rPr>
              <w:t xml:space="preserve"> </w:t>
            </w:r>
            <w:r>
              <w:rPr>
                <w:rFonts w:hint="default" w:ascii="Times New Roman" w:hAnsi="Times New Roman" w:eastAsia="宋体" w:cs="Times New Roman"/>
                <w:b/>
                <w:color w:val="auto"/>
                <w:sz w:val="21"/>
                <w:szCs w:val="22"/>
              </w:rPr>
              <w:t xml:space="preserve"> 污染物非正常排放量核</w:t>
            </w:r>
          </w:p>
          <w:tbl>
            <w:tblPr>
              <w:tblStyle w:val="2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163"/>
              <w:gridCol w:w="1037"/>
              <w:gridCol w:w="1300"/>
              <w:gridCol w:w="1333"/>
              <w:gridCol w:w="919"/>
              <w:gridCol w:w="907"/>
              <w:gridCol w:w="1081"/>
            </w:tblGrid>
            <w:tr w14:paraId="603F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49" w:type="dxa"/>
                  <w:tcBorders>
                    <w:top w:val="single" w:color="auto" w:sz="4" w:space="0"/>
                    <w:left w:val="single" w:color="auto" w:sz="4" w:space="0"/>
                    <w:bottom w:val="single" w:color="auto" w:sz="4" w:space="0"/>
                    <w:right w:val="single" w:color="auto" w:sz="4" w:space="0"/>
                  </w:tcBorders>
                  <w:noWrap w:val="0"/>
                  <w:vAlign w:val="center"/>
                </w:tcPr>
                <w:p w14:paraId="535E28FF">
                  <w:pPr>
                    <w:pStyle w:val="24"/>
                    <w:keepNext w:val="0"/>
                    <w:keepLines w:val="0"/>
                    <w:pageBreakBefore/>
                    <w:widowControl w:val="0"/>
                    <w:suppressLineNumbers w:val="0"/>
                    <w:kinsoku/>
                    <w:wordWrap/>
                    <w:overflowPunct/>
                    <w:topLinePunct w:val="0"/>
                    <w:autoSpaceDE w:val="0"/>
                    <w:autoSpaceDN/>
                    <w:bidi w:val="0"/>
                    <w:adjustRightInd w:val="0"/>
                    <w:snapToGrid w:val="0"/>
                    <w:spacing w:before="31" w:beforeAutospacing="0" w:after="31" w:afterAutospacing="0" w:line="240" w:lineRule="auto"/>
                    <w:ind w:left="0" w:right="0" w:firstLine="0"/>
                    <w:jc w:val="center"/>
                    <w:textAlignment w:val="baseline"/>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1"/>
                      <w:szCs w:val="21"/>
                      <w:lang w:val="en-US" w:eastAsia="zh-CN" w:bidi="ar"/>
                    </w:rPr>
                    <w:t>污染源</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00066C56">
                  <w:pPr>
                    <w:pStyle w:val="24"/>
                    <w:keepNext w:val="0"/>
                    <w:keepLines w:val="0"/>
                    <w:pageBreakBefore/>
                    <w:widowControl w:val="0"/>
                    <w:suppressLineNumbers w:val="0"/>
                    <w:kinsoku/>
                    <w:wordWrap/>
                    <w:overflowPunct/>
                    <w:topLinePunct w:val="0"/>
                    <w:autoSpaceDE w:val="0"/>
                    <w:autoSpaceDN/>
                    <w:bidi w:val="0"/>
                    <w:adjustRightInd w:val="0"/>
                    <w:snapToGrid w:val="0"/>
                    <w:spacing w:before="31" w:beforeAutospacing="0" w:after="31" w:afterAutospacing="0" w:line="240" w:lineRule="auto"/>
                    <w:ind w:left="0" w:right="0" w:firstLine="0"/>
                    <w:jc w:val="center"/>
                    <w:textAlignment w:val="baseline"/>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1"/>
                      <w:szCs w:val="21"/>
                      <w:lang w:val="en-US" w:eastAsia="zh-CN" w:bidi="ar"/>
                    </w:rPr>
                    <w:t>非正常排放原因</w:t>
                  </w:r>
                </w:p>
              </w:tc>
              <w:tc>
                <w:tcPr>
                  <w:tcW w:w="1037" w:type="dxa"/>
                  <w:tcBorders>
                    <w:top w:val="single" w:color="auto" w:sz="4" w:space="0"/>
                    <w:left w:val="single" w:color="auto" w:sz="4" w:space="0"/>
                    <w:bottom w:val="single" w:color="auto" w:sz="4" w:space="0"/>
                    <w:right w:val="single" w:color="auto" w:sz="4" w:space="0"/>
                  </w:tcBorders>
                  <w:noWrap w:val="0"/>
                  <w:vAlign w:val="center"/>
                </w:tcPr>
                <w:p w14:paraId="095E1202">
                  <w:pPr>
                    <w:pStyle w:val="24"/>
                    <w:keepNext w:val="0"/>
                    <w:keepLines w:val="0"/>
                    <w:pageBreakBefore/>
                    <w:widowControl w:val="0"/>
                    <w:suppressLineNumbers w:val="0"/>
                    <w:kinsoku/>
                    <w:wordWrap/>
                    <w:overflowPunct/>
                    <w:topLinePunct w:val="0"/>
                    <w:autoSpaceDE w:val="0"/>
                    <w:autoSpaceDN/>
                    <w:bidi w:val="0"/>
                    <w:adjustRightInd w:val="0"/>
                    <w:snapToGrid w:val="0"/>
                    <w:spacing w:before="31" w:beforeAutospacing="0" w:after="31" w:afterAutospacing="0" w:line="240" w:lineRule="auto"/>
                    <w:ind w:left="0" w:right="0" w:firstLine="0"/>
                    <w:jc w:val="center"/>
                    <w:textAlignment w:val="baseline"/>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1"/>
                      <w:szCs w:val="21"/>
                      <w:lang w:val="en-US" w:eastAsia="zh-CN" w:bidi="ar"/>
                    </w:rPr>
                    <w:t>污染物</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4A955F11">
                  <w:pPr>
                    <w:pStyle w:val="24"/>
                    <w:keepNext w:val="0"/>
                    <w:keepLines w:val="0"/>
                    <w:pageBreakBefore/>
                    <w:widowControl w:val="0"/>
                    <w:suppressLineNumbers w:val="0"/>
                    <w:kinsoku/>
                    <w:wordWrap/>
                    <w:overflowPunct/>
                    <w:topLinePunct w:val="0"/>
                    <w:autoSpaceDE w:val="0"/>
                    <w:autoSpaceDN/>
                    <w:bidi w:val="0"/>
                    <w:adjustRightInd w:val="0"/>
                    <w:snapToGrid w:val="0"/>
                    <w:spacing w:before="31" w:beforeAutospacing="0" w:after="31" w:afterAutospacing="0" w:line="240" w:lineRule="auto"/>
                    <w:ind w:left="0" w:right="0" w:firstLine="0"/>
                    <w:jc w:val="center"/>
                    <w:textAlignment w:val="baseline"/>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1"/>
                      <w:szCs w:val="21"/>
                      <w:lang w:val="en-US" w:eastAsia="zh-CN" w:bidi="ar"/>
                    </w:rPr>
                    <w:t>非正常排放浓度/(mg/m</w:t>
                  </w:r>
                  <w:r>
                    <w:rPr>
                      <w:rFonts w:hint="default" w:ascii="Times New Roman" w:hAnsi="Times New Roman" w:eastAsia="宋体" w:cs="Times New Roman"/>
                      <w:b/>
                      <w:bCs/>
                      <w:color w:val="auto"/>
                      <w:kern w:val="2"/>
                      <w:sz w:val="21"/>
                      <w:szCs w:val="21"/>
                      <w:vertAlign w:val="superscript"/>
                      <w:lang w:val="en-US" w:eastAsia="zh-CN" w:bidi="ar"/>
                    </w:rPr>
                    <w:t>3</w:t>
                  </w:r>
                  <w:r>
                    <w:rPr>
                      <w:rFonts w:hint="default" w:ascii="Times New Roman" w:hAnsi="Times New Roman" w:eastAsia="宋体" w:cs="Times New Roman"/>
                      <w:b/>
                      <w:bCs/>
                      <w:color w:val="auto"/>
                      <w:kern w:val="2"/>
                      <w:sz w:val="21"/>
                      <w:szCs w:val="21"/>
                      <w:lang w:val="en-US" w:eastAsia="zh-CN" w:bidi="ar"/>
                    </w:rPr>
                    <w:t>)</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06D0C0F9">
                  <w:pPr>
                    <w:pStyle w:val="24"/>
                    <w:keepNext w:val="0"/>
                    <w:keepLines w:val="0"/>
                    <w:pageBreakBefore/>
                    <w:widowControl w:val="0"/>
                    <w:suppressLineNumbers w:val="0"/>
                    <w:kinsoku/>
                    <w:wordWrap/>
                    <w:overflowPunct/>
                    <w:topLinePunct w:val="0"/>
                    <w:autoSpaceDE w:val="0"/>
                    <w:autoSpaceDN/>
                    <w:bidi w:val="0"/>
                    <w:adjustRightInd w:val="0"/>
                    <w:snapToGrid w:val="0"/>
                    <w:spacing w:before="31" w:beforeAutospacing="0" w:after="31" w:afterAutospacing="0" w:line="240" w:lineRule="auto"/>
                    <w:ind w:left="0" w:right="0" w:firstLine="0"/>
                    <w:jc w:val="center"/>
                    <w:textAlignment w:val="baseline"/>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1"/>
                      <w:szCs w:val="21"/>
                      <w:lang w:val="en-US" w:eastAsia="zh-CN" w:bidi="ar"/>
                    </w:rPr>
                    <w:t>非正常排放速率/(kg/h）</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C255A8A">
                  <w:pPr>
                    <w:pStyle w:val="24"/>
                    <w:keepNext w:val="0"/>
                    <w:keepLines w:val="0"/>
                    <w:pageBreakBefore/>
                    <w:widowControl w:val="0"/>
                    <w:suppressLineNumbers w:val="0"/>
                    <w:kinsoku/>
                    <w:wordWrap/>
                    <w:overflowPunct/>
                    <w:topLinePunct w:val="0"/>
                    <w:autoSpaceDE w:val="0"/>
                    <w:autoSpaceDN/>
                    <w:bidi w:val="0"/>
                    <w:adjustRightInd w:val="0"/>
                    <w:snapToGrid w:val="0"/>
                    <w:spacing w:before="31" w:beforeAutospacing="0" w:after="31" w:afterAutospacing="0" w:line="240" w:lineRule="auto"/>
                    <w:ind w:left="0" w:right="0" w:firstLine="0"/>
                    <w:jc w:val="center"/>
                    <w:textAlignment w:val="baseline"/>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1"/>
                      <w:szCs w:val="21"/>
                      <w:lang w:val="en-US" w:eastAsia="zh-CN" w:bidi="ar"/>
                    </w:rPr>
                    <w:t>单次持续时间/h</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48FBA487">
                  <w:pPr>
                    <w:pStyle w:val="24"/>
                    <w:keepNext w:val="0"/>
                    <w:keepLines w:val="0"/>
                    <w:pageBreakBefore/>
                    <w:widowControl w:val="0"/>
                    <w:suppressLineNumbers w:val="0"/>
                    <w:kinsoku/>
                    <w:wordWrap/>
                    <w:overflowPunct/>
                    <w:topLinePunct w:val="0"/>
                    <w:autoSpaceDE w:val="0"/>
                    <w:autoSpaceDN/>
                    <w:bidi w:val="0"/>
                    <w:adjustRightInd w:val="0"/>
                    <w:snapToGrid w:val="0"/>
                    <w:spacing w:before="31" w:beforeAutospacing="0" w:after="31" w:afterAutospacing="0" w:line="240" w:lineRule="auto"/>
                    <w:ind w:left="0" w:right="0" w:firstLine="0"/>
                    <w:jc w:val="center"/>
                    <w:textAlignment w:val="baseline"/>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1"/>
                      <w:szCs w:val="21"/>
                      <w:lang w:val="en-US" w:eastAsia="zh-CN" w:bidi="ar"/>
                    </w:rPr>
                    <w:t>年发生频次/次</w:t>
                  </w:r>
                </w:p>
              </w:tc>
              <w:tc>
                <w:tcPr>
                  <w:tcW w:w="1081" w:type="dxa"/>
                  <w:tcBorders>
                    <w:top w:val="single" w:color="auto" w:sz="4" w:space="0"/>
                    <w:left w:val="single" w:color="auto" w:sz="4" w:space="0"/>
                    <w:bottom w:val="single" w:color="auto" w:sz="4" w:space="0"/>
                    <w:right w:val="single" w:color="auto" w:sz="4" w:space="0"/>
                  </w:tcBorders>
                  <w:noWrap w:val="0"/>
                  <w:vAlign w:val="center"/>
                </w:tcPr>
                <w:p w14:paraId="4A25EA99">
                  <w:pPr>
                    <w:pStyle w:val="24"/>
                    <w:keepNext w:val="0"/>
                    <w:keepLines w:val="0"/>
                    <w:pageBreakBefore/>
                    <w:widowControl w:val="0"/>
                    <w:suppressLineNumbers w:val="0"/>
                    <w:kinsoku/>
                    <w:wordWrap/>
                    <w:overflowPunct/>
                    <w:topLinePunct w:val="0"/>
                    <w:autoSpaceDE w:val="0"/>
                    <w:autoSpaceDN/>
                    <w:bidi w:val="0"/>
                    <w:adjustRightInd w:val="0"/>
                    <w:snapToGrid w:val="0"/>
                    <w:spacing w:before="31" w:beforeAutospacing="0" w:after="31" w:afterAutospacing="0" w:line="240" w:lineRule="auto"/>
                    <w:ind w:left="0" w:right="0" w:firstLine="0"/>
                    <w:jc w:val="center"/>
                    <w:textAlignment w:val="baseline"/>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1"/>
                      <w:szCs w:val="21"/>
                      <w:lang w:val="en-US" w:eastAsia="zh-CN" w:bidi="ar"/>
                    </w:rPr>
                    <w:t>应对措施</w:t>
                  </w:r>
                </w:p>
              </w:tc>
            </w:tr>
            <w:tr w14:paraId="7856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249" w:type="dxa"/>
                  <w:tcBorders>
                    <w:top w:val="nil"/>
                    <w:left w:val="single" w:color="auto" w:sz="4" w:space="0"/>
                    <w:bottom w:val="single" w:color="auto" w:sz="4" w:space="0"/>
                    <w:right w:val="single" w:color="auto" w:sz="4" w:space="0"/>
                  </w:tcBorders>
                  <w:noWrap w:val="0"/>
                  <w:vAlign w:val="center"/>
                </w:tcPr>
                <w:p w14:paraId="46A34613">
                  <w:pPr>
                    <w:keepNext w:val="0"/>
                    <w:keepLines w:val="0"/>
                    <w:widowControl w:val="0"/>
                    <w:suppressLineNumbers w:val="0"/>
                    <w:kinsoku/>
                    <w:wordWrap/>
                    <w:overflowPunct/>
                    <w:topLinePunct w:val="0"/>
                    <w:autoSpaceDE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rPr>
                    <w:t>加油、储 油、卸油</w:t>
                  </w:r>
                </w:p>
              </w:tc>
              <w:tc>
                <w:tcPr>
                  <w:tcW w:w="1163" w:type="dxa"/>
                  <w:tcBorders>
                    <w:top w:val="nil"/>
                    <w:left w:val="single" w:color="auto" w:sz="4" w:space="0"/>
                    <w:bottom w:val="single" w:color="auto" w:sz="4" w:space="0"/>
                    <w:right w:val="single" w:color="auto" w:sz="4" w:space="0"/>
                  </w:tcBorders>
                  <w:noWrap w:val="0"/>
                  <w:vAlign w:val="center"/>
                </w:tcPr>
                <w:p w14:paraId="20667C2E">
                  <w:pPr>
                    <w:keepNext w:val="0"/>
                    <w:keepLines w:val="0"/>
                    <w:widowControl w:val="0"/>
                    <w:suppressLineNumbers w:val="0"/>
                    <w:kinsoku/>
                    <w:wordWrap/>
                    <w:overflowPunct/>
                    <w:topLinePunct w:val="0"/>
                    <w:autoSpaceDE w:val="0"/>
                    <w:autoSpaceDN/>
                    <w:bidi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
                    </w:rPr>
                  </w:pPr>
                  <w:r>
                    <w:rPr>
                      <w:rFonts w:hint="eastAsia" w:cs="Times New Roman"/>
                      <w:color w:val="auto"/>
                      <w:sz w:val="21"/>
                      <w:szCs w:val="21"/>
                      <w:lang w:eastAsia="zh-CN"/>
                    </w:rPr>
                    <w:t>油气回收系统</w:t>
                  </w:r>
                  <w:r>
                    <w:rPr>
                      <w:rFonts w:hint="default" w:ascii="Times New Roman" w:hAnsi="Times New Roman" w:eastAsia="宋体" w:cs="Times New Roman"/>
                      <w:color w:val="auto"/>
                      <w:sz w:val="21"/>
                      <w:szCs w:val="21"/>
                    </w:rPr>
                    <w:t>故障</w:t>
                  </w:r>
                </w:p>
              </w:tc>
              <w:tc>
                <w:tcPr>
                  <w:tcW w:w="1037" w:type="dxa"/>
                  <w:tcBorders>
                    <w:top w:val="single" w:color="auto" w:sz="4" w:space="0"/>
                    <w:left w:val="single" w:color="auto" w:sz="4" w:space="0"/>
                    <w:bottom w:val="single" w:color="auto" w:sz="4" w:space="0"/>
                    <w:right w:val="single" w:color="auto" w:sz="4" w:space="0"/>
                  </w:tcBorders>
                  <w:noWrap w:val="0"/>
                  <w:vAlign w:val="center"/>
                </w:tcPr>
                <w:p w14:paraId="0EC4B81A">
                  <w:pPr>
                    <w:keepNext w:val="0"/>
                    <w:keepLines w:val="0"/>
                    <w:widowControl w:val="0"/>
                    <w:suppressLineNumbers w:val="0"/>
                    <w:kinsoku/>
                    <w:wordWrap/>
                    <w:overflowPunct/>
                    <w:topLinePunct w:val="0"/>
                    <w:autoSpaceDE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非</w:t>
                  </w:r>
                  <w:r>
                    <w:rPr>
                      <w:rFonts w:hint="default" w:ascii="Times New Roman" w:hAnsi="Times New Roman" w:eastAsia="宋体" w:cs="Times New Roman"/>
                      <w:color w:val="auto"/>
                      <w:sz w:val="21"/>
                      <w:szCs w:val="21"/>
                    </w:rPr>
                    <w:t>甲烷总烃</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3D6C2E57">
                  <w:pPr>
                    <w:keepNext w:val="0"/>
                    <w:keepLines w:val="0"/>
                    <w:widowControl/>
                    <w:suppressLineNumbers w:val="0"/>
                    <w:kinsoku/>
                    <w:wordWrap/>
                    <w:overflowPunct/>
                    <w:topLinePunct w:val="0"/>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p>
              </w:tc>
              <w:tc>
                <w:tcPr>
                  <w:tcW w:w="1333" w:type="dxa"/>
                  <w:tcBorders>
                    <w:top w:val="single" w:color="auto" w:sz="4" w:space="0"/>
                    <w:left w:val="single" w:color="auto" w:sz="4" w:space="0"/>
                    <w:bottom w:val="single" w:color="auto" w:sz="4" w:space="0"/>
                    <w:right w:val="single" w:color="auto" w:sz="4" w:space="0"/>
                  </w:tcBorders>
                  <w:noWrap w:val="0"/>
                  <w:vAlign w:val="center"/>
                </w:tcPr>
                <w:p w14:paraId="054F3772">
                  <w:pPr>
                    <w:keepNext w:val="0"/>
                    <w:keepLines w:val="0"/>
                    <w:widowControl/>
                    <w:suppressLineNumbers w:val="0"/>
                    <w:kinsoku/>
                    <w:wordWrap/>
                    <w:overflowPunct/>
                    <w:topLinePunct w:val="0"/>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0.351</w:t>
                  </w:r>
                </w:p>
              </w:tc>
              <w:tc>
                <w:tcPr>
                  <w:tcW w:w="919" w:type="dxa"/>
                  <w:tcBorders>
                    <w:top w:val="nil"/>
                    <w:left w:val="single" w:color="auto" w:sz="4" w:space="0"/>
                    <w:bottom w:val="single" w:color="auto" w:sz="4" w:space="0"/>
                    <w:right w:val="single" w:color="auto" w:sz="4" w:space="0"/>
                  </w:tcBorders>
                  <w:noWrap w:val="0"/>
                  <w:vAlign w:val="center"/>
                </w:tcPr>
                <w:p w14:paraId="44415AEF">
                  <w:pPr>
                    <w:keepNext w:val="0"/>
                    <w:keepLines w:val="0"/>
                    <w:widowControl w:val="0"/>
                    <w:suppressLineNumbers w:val="0"/>
                    <w:kinsoku/>
                    <w:wordWrap/>
                    <w:overflowPunct/>
                    <w:topLinePunct w:val="0"/>
                    <w:autoSpaceDE w:val="0"/>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1</w:t>
                  </w:r>
                </w:p>
              </w:tc>
              <w:tc>
                <w:tcPr>
                  <w:tcW w:w="907" w:type="dxa"/>
                  <w:tcBorders>
                    <w:top w:val="nil"/>
                    <w:left w:val="single" w:color="auto" w:sz="4" w:space="0"/>
                    <w:bottom w:val="single" w:color="auto" w:sz="4" w:space="0"/>
                    <w:right w:val="single" w:color="auto" w:sz="4" w:space="0"/>
                  </w:tcBorders>
                  <w:noWrap w:val="0"/>
                  <w:vAlign w:val="center"/>
                </w:tcPr>
                <w:p w14:paraId="64666979">
                  <w:pPr>
                    <w:keepNext w:val="0"/>
                    <w:keepLines w:val="0"/>
                    <w:widowControl w:val="0"/>
                    <w:suppressLineNumbers w:val="0"/>
                    <w:kinsoku/>
                    <w:wordWrap/>
                    <w:overflowPunct/>
                    <w:topLinePunct w:val="0"/>
                    <w:autoSpaceDE w:val="0"/>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w:t>
                  </w:r>
                </w:p>
              </w:tc>
              <w:tc>
                <w:tcPr>
                  <w:tcW w:w="1081" w:type="dxa"/>
                  <w:tcBorders>
                    <w:top w:val="nil"/>
                    <w:left w:val="single" w:color="auto" w:sz="4" w:space="0"/>
                    <w:bottom w:val="single" w:color="auto" w:sz="4" w:space="0"/>
                    <w:right w:val="single" w:color="auto" w:sz="4" w:space="0"/>
                  </w:tcBorders>
                  <w:noWrap w:val="0"/>
                  <w:vAlign w:val="center"/>
                </w:tcPr>
                <w:p w14:paraId="1E295955">
                  <w:pPr>
                    <w:keepNext w:val="0"/>
                    <w:keepLines w:val="0"/>
                    <w:widowControl w:val="0"/>
                    <w:suppressLineNumbers w:val="0"/>
                    <w:kinsoku/>
                    <w:wordWrap/>
                    <w:overflowPunct/>
                    <w:topLinePunct w:val="0"/>
                    <w:autoSpaceDE w:val="0"/>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立即停止销售，及时检修</w:t>
                  </w:r>
                </w:p>
              </w:tc>
            </w:tr>
          </w:tbl>
          <w:p w14:paraId="4B731F58">
            <w:pPr>
              <w:pStyle w:val="15"/>
              <w:keepNext w:val="0"/>
              <w:keepLines w:val="0"/>
              <w:suppressLineNumbers w:val="0"/>
              <w:spacing w:before="0" w:beforeAutospacing="0" w:after="0" w:afterAutospacing="0" w:line="360" w:lineRule="auto"/>
              <w:ind w:left="0" w:right="0"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根据现场调查，</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下风向及侧风向</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00m范围内</w:t>
            </w:r>
            <w:r>
              <w:rPr>
                <w:rFonts w:hint="eastAsia" w:ascii="Times New Roman" w:hAnsi="Times New Roman" w:cs="Times New Roman"/>
                <w:color w:val="auto"/>
                <w:sz w:val="24"/>
                <w:highlight w:val="none"/>
                <w:lang w:val="en-US" w:eastAsia="zh-CN"/>
              </w:rPr>
              <w:t>均有</w:t>
            </w:r>
            <w:r>
              <w:rPr>
                <w:rFonts w:hint="default" w:ascii="Times New Roman" w:hAnsi="Times New Roman" w:cs="Times New Roman"/>
                <w:color w:val="auto"/>
                <w:sz w:val="24"/>
                <w:highlight w:val="none"/>
              </w:rPr>
              <w:t>敏感目标存在，非正常工况下</w:t>
            </w:r>
            <w:r>
              <w:rPr>
                <w:rFonts w:hint="default" w:ascii="Times New Roman" w:hAnsi="Times New Roman" w:eastAsia="宋体" w:cs="Times New Roman"/>
                <w:color w:val="auto"/>
                <w:sz w:val="24"/>
                <w:szCs w:val="24"/>
              </w:rPr>
              <w:t>甲烷总烃</w:t>
            </w:r>
            <w:r>
              <w:rPr>
                <w:rFonts w:hint="default" w:ascii="Times New Roman" w:hAnsi="Times New Roman" w:cs="Times New Roman"/>
                <w:color w:val="auto"/>
                <w:sz w:val="24"/>
                <w:highlight w:val="none"/>
                <w:lang w:eastAsia="zh-CN"/>
              </w:rPr>
              <w:t>排放浓度大幅增加</w:t>
            </w:r>
            <w:r>
              <w:rPr>
                <w:rFonts w:hint="default" w:ascii="Times New Roman" w:hAnsi="Times New Roman" w:cs="Times New Roman"/>
                <w:color w:val="auto"/>
                <w:sz w:val="24"/>
                <w:highlight w:val="none"/>
              </w:rPr>
              <w:t>，对</w:t>
            </w:r>
            <w:r>
              <w:rPr>
                <w:rFonts w:hint="default" w:ascii="Times New Roman" w:hAnsi="Times New Roman" w:cs="Times New Roman"/>
                <w:color w:val="auto"/>
                <w:sz w:val="24"/>
                <w:highlight w:val="none"/>
                <w:lang w:eastAsia="zh-CN"/>
              </w:rPr>
              <w:t>周边环境</w:t>
            </w:r>
            <w:r>
              <w:rPr>
                <w:rFonts w:hint="default" w:ascii="Times New Roman" w:hAnsi="Times New Roman" w:cs="Times New Roman"/>
                <w:color w:val="auto"/>
                <w:sz w:val="24"/>
                <w:highlight w:val="none"/>
                <w:lang w:val="en-US" w:eastAsia="zh-CN"/>
              </w:rPr>
              <w:t>有一定</w:t>
            </w:r>
            <w:r>
              <w:rPr>
                <w:rFonts w:hint="default" w:ascii="Times New Roman" w:hAnsi="Times New Roman" w:cs="Times New Roman"/>
                <w:color w:val="auto"/>
                <w:sz w:val="24"/>
                <w:highlight w:val="none"/>
              </w:rPr>
              <w:t>影响。为了进一步降低</w:t>
            </w:r>
            <w:r>
              <w:rPr>
                <w:rFonts w:hint="default" w:ascii="Times New Roman" w:hAnsi="Times New Roman" w:cs="Times New Roman"/>
                <w:color w:val="auto"/>
                <w:sz w:val="24"/>
                <w:highlight w:val="none"/>
                <w:lang w:val="en-US" w:eastAsia="zh-CN"/>
              </w:rPr>
              <w:t>运营过程</w:t>
            </w:r>
            <w:r>
              <w:rPr>
                <w:rFonts w:hint="default" w:ascii="Times New Roman" w:hAnsi="Times New Roman" w:cs="Times New Roman"/>
                <w:color w:val="auto"/>
                <w:sz w:val="24"/>
                <w:highlight w:val="none"/>
              </w:rPr>
              <w:t>废气排放对周围环境空气的影响，必须杜绝项目废气的非正常排放，本次评价提出以下建议措施：</w:t>
            </w:r>
          </w:p>
          <w:p w14:paraId="1ECF0217">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 w:val="0"/>
                <w:bCs w:val="0"/>
                <w:color w:val="auto"/>
                <w:sz w:val="24"/>
                <w:lang w:val="en-US" w:eastAsia="zh-CN"/>
              </w:rPr>
              <w:t>通过采取运营期间加强对加油机</w:t>
            </w:r>
            <w:r>
              <w:rPr>
                <w:rFonts w:hint="eastAsia" w:cs="Times New Roman"/>
                <w:b w:val="0"/>
                <w:bCs w:val="0"/>
                <w:color w:val="auto"/>
                <w:sz w:val="24"/>
                <w:lang w:val="en-US" w:eastAsia="zh-CN"/>
              </w:rPr>
              <w:t>油气回收系统</w:t>
            </w:r>
            <w:r>
              <w:rPr>
                <w:rFonts w:hint="default" w:ascii="Times New Roman" w:hAnsi="Times New Roman" w:cs="Times New Roman"/>
                <w:b w:val="0"/>
                <w:bCs w:val="0"/>
                <w:color w:val="auto"/>
                <w:sz w:val="24"/>
                <w:lang w:val="en-US" w:eastAsia="zh-CN"/>
              </w:rPr>
              <w:t>的管理和维护，</w:t>
            </w:r>
            <w:r>
              <w:rPr>
                <w:rFonts w:hint="default" w:ascii="Times New Roman" w:hAnsi="Times New Roman" w:cs="Times New Roman"/>
                <w:b w:val="0"/>
                <w:bCs w:val="0"/>
                <w:color w:val="auto"/>
                <w:sz w:val="24"/>
              </w:rPr>
              <w:t>加强废气处理设施日常运行的监管</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保证处理设施的处理效果，若发现故障，立即停止</w:t>
            </w:r>
            <w:r>
              <w:rPr>
                <w:rFonts w:hint="default" w:ascii="Times New Roman" w:hAnsi="Times New Roman" w:cs="Times New Roman"/>
                <w:b w:val="0"/>
                <w:bCs w:val="0"/>
                <w:color w:val="auto"/>
                <w:sz w:val="24"/>
                <w:lang w:val="en-US" w:eastAsia="zh-CN"/>
              </w:rPr>
              <w:t>设备运行</w:t>
            </w:r>
            <w:r>
              <w:rPr>
                <w:rFonts w:hint="default" w:ascii="Times New Roman" w:hAnsi="Times New Roman" w:cs="Times New Roman"/>
                <w:b w:val="0"/>
                <w:bCs w:val="0"/>
                <w:color w:val="auto"/>
                <w:sz w:val="24"/>
              </w:rPr>
              <w:t>，并对设备进行检修，及时修复故障，减少和杜绝废气非正常排放对外环境产生的影响。</w:t>
            </w:r>
          </w:p>
          <w:p w14:paraId="4919B5D9">
            <w:pPr>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bCs/>
                <w:color w:val="auto"/>
                <w:sz w:val="24"/>
                <w:szCs w:val="24"/>
              </w:rPr>
              <w:t>（2）汽车尾气</w:t>
            </w:r>
          </w:p>
          <w:p w14:paraId="61145A14">
            <w:pPr>
              <w:spacing w:line="360" w:lineRule="auto"/>
              <w:ind w:firstLine="360" w:firstLineChars="150"/>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根据</w:t>
            </w:r>
            <w:r>
              <w:rPr>
                <w:rFonts w:hint="default" w:ascii="Times New Roman" w:hAnsi="Times New Roman" w:cs="Times New Roman"/>
                <w:color w:val="auto"/>
                <w:sz w:val="24"/>
                <w:szCs w:val="24"/>
              </w:rPr>
              <w:t>建设单位提供，项目每天加油的车辆数约为</w:t>
            </w:r>
            <w:r>
              <w:rPr>
                <w:rFonts w:hint="default" w:ascii="Times New Roman" w:hAnsi="Times New Roman" w:cs="Times New Roman"/>
                <w:color w:val="auto"/>
                <w:sz w:val="24"/>
                <w:szCs w:val="24"/>
                <w:lang w:val="en-US" w:eastAsia="zh-CN"/>
              </w:rPr>
              <w:t>80</w:t>
            </w:r>
            <w:r>
              <w:rPr>
                <w:rFonts w:hint="default" w:ascii="Times New Roman" w:hAnsi="Times New Roman" w:cs="Times New Roman"/>
                <w:color w:val="auto"/>
                <w:sz w:val="24"/>
                <w:szCs w:val="24"/>
              </w:rPr>
              <w:t>辆，汽车尾气中的主要污染物为总烃、CO、NO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等。</w:t>
            </w:r>
          </w:p>
          <w:p w14:paraId="3C34076E">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机动车进出停放时的尾气根据国家环境保护总局环评工程师职业资格登记培训教材《社会区域》（2006年8月）中关于汽车尾气资料，单车排放量为：总烃1.63g/h，CO3.8g/h，NO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0.25g/h，加油车辆按启、停3min/辆计，则在加油站加油车辆尾气排放污染物的量为：总烃</w:t>
            </w:r>
            <w:r>
              <w:rPr>
                <w:rFonts w:hint="default" w:ascii="Times New Roman" w:hAnsi="Times New Roman" w:cs="Times New Roman"/>
                <w:color w:val="auto"/>
                <w:sz w:val="24"/>
                <w:szCs w:val="24"/>
                <w:lang w:val="en-US" w:eastAsia="zh-CN"/>
              </w:rPr>
              <w:t>6.52</w:t>
            </w:r>
            <w:r>
              <w:rPr>
                <w:rFonts w:hint="default" w:ascii="Times New Roman" w:hAnsi="Times New Roman" w:cs="Times New Roman"/>
                <w:color w:val="auto"/>
                <w:sz w:val="24"/>
                <w:szCs w:val="24"/>
              </w:rPr>
              <w:t>g/d、CO</w:t>
            </w:r>
            <w:r>
              <w:rPr>
                <w:rFonts w:hint="default" w:ascii="Times New Roman" w:hAnsi="Times New Roman" w:cs="Times New Roman"/>
                <w:color w:val="auto"/>
                <w:sz w:val="24"/>
                <w:szCs w:val="24"/>
                <w:lang w:val="en-US" w:eastAsia="zh-CN"/>
              </w:rPr>
              <w:t>15.2</w:t>
            </w:r>
            <w:r>
              <w:rPr>
                <w:rFonts w:hint="default" w:ascii="Times New Roman" w:hAnsi="Times New Roman" w:cs="Times New Roman"/>
                <w:color w:val="auto"/>
                <w:sz w:val="24"/>
                <w:szCs w:val="24"/>
              </w:rPr>
              <w:t>g/d、NO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g/d，呈无组织形式排放</w:t>
            </w:r>
            <w:r>
              <w:rPr>
                <w:rFonts w:hint="default" w:ascii="Times New Roman" w:hAnsi="Times New Roman" w:cs="Times New Roman"/>
                <w:color w:val="auto"/>
                <w:sz w:val="24"/>
                <w:szCs w:val="24"/>
                <w:lang w:eastAsia="zh-CN"/>
              </w:rPr>
              <w:t>。</w:t>
            </w:r>
          </w:p>
          <w:p w14:paraId="01FAE9C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（3）厨房油烟</w:t>
            </w:r>
          </w:p>
          <w:p w14:paraId="29FF0EE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项目设置餐厅为员工提供三餐。根据业主提供资料，就餐人数约为</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人/d，按每人每天用油30g计，则厨房用油量约为0.</w:t>
            </w:r>
            <w:r>
              <w:rPr>
                <w:rFonts w:hint="default" w:ascii="Times New Roman" w:hAnsi="Times New Roman" w:cs="Times New Roman"/>
                <w:color w:val="auto"/>
                <w:sz w:val="24"/>
                <w:szCs w:val="24"/>
                <w:lang w:val="en-US" w:eastAsia="zh-CN"/>
              </w:rPr>
              <w:t>09</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val="en-US" w:eastAsia="zh-CN"/>
              </w:rPr>
              <w:t>32.85</w:t>
            </w:r>
            <w:r>
              <w:rPr>
                <w:rFonts w:hint="default" w:ascii="Times New Roman" w:hAnsi="Times New Roman" w:cs="Times New Roman"/>
                <w:color w:val="auto"/>
                <w:sz w:val="24"/>
                <w:szCs w:val="24"/>
              </w:rPr>
              <w:t>kg/a。油的平均挥发量为总耗油量的2.83%，则项目厨房油烟产生量约为</w:t>
            </w:r>
            <w:r>
              <w:rPr>
                <w:rFonts w:hint="default" w:ascii="Times New Roman" w:hAnsi="Times New Roman" w:cs="Times New Roman"/>
                <w:color w:val="auto"/>
                <w:sz w:val="24"/>
                <w:szCs w:val="24"/>
                <w:lang w:val="en-US" w:eastAsia="zh-CN"/>
              </w:rPr>
              <w:t>2.547</w:t>
            </w:r>
            <w:r>
              <w:rPr>
                <w:rFonts w:hint="default" w:ascii="Times New Roman" w:hAnsi="Times New Roman" w:cs="Times New Roman"/>
                <w:color w:val="auto"/>
                <w:sz w:val="24"/>
                <w:szCs w:val="24"/>
              </w:rPr>
              <w:t>g/d，</w:t>
            </w:r>
            <w:r>
              <w:rPr>
                <w:rFonts w:hint="default" w:ascii="Times New Roman" w:hAnsi="Times New Roman" w:cs="Times New Roman"/>
                <w:color w:val="auto"/>
                <w:sz w:val="24"/>
                <w:szCs w:val="24"/>
                <w:lang w:val="en-US" w:eastAsia="zh-CN"/>
              </w:rPr>
              <w:t>0.93</w:t>
            </w:r>
            <w:r>
              <w:rPr>
                <w:rFonts w:hint="default" w:ascii="Times New Roman" w:hAnsi="Times New Roman" w:cs="Times New Roman"/>
                <w:color w:val="auto"/>
                <w:sz w:val="24"/>
                <w:szCs w:val="24"/>
              </w:rPr>
              <w:t>kg/a。按每天厨房运作高峰期3小时计，则高峰期油烟产生量为</w:t>
            </w:r>
            <w:r>
              <w:rPr>
                <w:rFonts w:hint="default" w:ascii="Times New Roman" w:hAnsi="Times New Roman" w:cs="Times New Roman"/>
                <w:color w:val="auto"/>
                <w:sz w:val="24"/>
                <w:szCs w:val="24"/>
                <w:lang w:val="en-US" w:eastAsia="zh-CN"/>
              </w:rPr>
              <w:t>0.849</w:t>
            </w:r>
            <w:r>
              <w:rPr>
                <w:rFonts w:hint="default" w:ascii="Times New Roman" w:hAnsi="Times New Roman" w:cs="Times New Roman"/>
                <w:color w:val="auto"/>
                <w:sz w:val="24"/>
                <w:szCs w:val="24"/>
              </w:rPr>
              <w:t>g/h，抽油烟机排风量为</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000m³/h，处理前的油烟浓度为</w:t>
            </w:r>
            <w:r>
              <w:rPr>
                <w:rFonts w:hint="default" w:ascii="Times New Roman" w:hAnsi="Times New Roman" w:cs="Times New Roman"/>
                <w:color w:val="auto"/>
                <w:sz w:val="24"/>
                <w:szCs w:val="24"/>
                <w:lang w:val="en-US" w:eastAsia="zh-CN"/>
              </w:rPr>
              <w:t>0.4245</w:t>
            </w:r>
            <w:r>
              <w:rPr>
                <w:rFonts w:hint="default" w:ascii="Times New Roman" w:hAnsi="Times New Roman" w:cs="Times New Roman"/>
                <w:color w:val="auto"/>
                <w:sz w:val="24"/>
                <w:szCs w:val="24"/>
              </w:rPr>
              <w:t>mg/m³。厨房安装油烟处理效率60%的抽油烟机，经净化处理后项目油烟排放浓度约为</w:t>
            </w:r>
            <w:r>
              <w:rPr>
                <w:rFonts w:hint="default" w:ascii="Times New Roman" w:hAnsi="Times New Roman" w:cs="Times New Roman"/>
                <w:color w:val="auto"/>
                <w:sz w:val="24"/>
                <w:szCs w:val="24"/>
                <w:lang w:val="en-US" w:eastAsia="zh-CN"/>
              </w:rPr>
              <w:t>0.1698</w:t>
            </w:r>
            <w:r>
              <w:rPr>
                <w:rFonts w:hint="default" w:ascii="Times New Roman" w:hAnsi="Times New Roman" w:cs="Times New Roman"/>
                <w:color w:val="auto"/>
                <w:sz w:val="24"/>
                <w:szCs w:val="24"/>
              </w:rPr>
              <w:t>mg/m³，油烟经净化达到《饮食业油烟排放标准（试行）》（GB18483-2001）中的有关规定即排放浓度≤2mg/m³。经核算，本项目油烟排放量约为</w:t>
            </w:r>
            <w:r>
              <w:rPr>
                <w:rFonts w:hint="default" w:ascii="Times New Roman" w:hAnsi="Times New Roman" w:cs="Times New Roman"/>
                <w:color w:val="auto"/>
                <w:sz w:val="24"/>
                <w:szCs w:val="24"/>
                <w:lang w:val="en-US" w:eastAsia="zh-CN"/>
              </w:rPr>
              <w:t>1.02</w:t>
            </w:r>
            <w:r>
              <w:rPr>
                <w:rFonts w:hint="default" w:ascii="Times New Roman" w:hAnsi="Times New Roman" w:cs="Times New Roman"/>
                <w:color w:val="auto"/>
                <w:sz w:val="24"/>
                <w:szCs w:val="24"/>
              </w:rPr>
              <w:t>g/d，</w:t>
            </w:r>
            <w:r>
              <w:rPr>
                <w:rFonts w:hint="default" w:ascii="Times New Roman" w:hAnsi="Times New Roman" w:cs="Times New Roman"/>
                <w:color w:val="auto"/>
                <w:sz w:val="24"/>
                <w:szCs w:val="24"/>
                <w:lang w:val="en-US" w:eastAsia="zh-CN"/>
              </w:rPr>
              <w:t>0.372</w:t>
            </w:r>
            <w:r>
              <w:rPr>
                <w:rFonts w:hint="default" w:ascii="Times New Roman" w:hAnsi="Times New Roman" w:cs="Times New Roman"/>
                <w:color w:val="auto"/>
                <w:sz w:val="24"/>
                <w:szCs w:val="24"/>
              </w:rPr>
              <w:t>kg/a，通过排气筒排放。</w:t>
            </w:r>
          </w:p>
          <w:p w14:paraId="34635BB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异味</w:t>
            </w:r>
          </w:p>
          <w:p w14:paraId="7AA953EB">
            <w:pPr>
              <w:spacing w:line="360" w:lineRule="auto"/>
              <w:ind w:firstLine="480" w:firstLineChars="200"/>
              <w:rPr>
                <w:rFonts w:hint="default" w:ascii="Times New Roman" w:hAnsi="Times New Roman" w:cs="Times New Roman"/>
                <w:b w:val="0"/>
                <w:bCs w:val="0"/>
                <w:color w:val="auto"/>
                <w:sz w:val="24"/>
                <w:lang w:val="en-US" w:eastAsia="zh-CN"/>
              </w:rPr>
            </w:pPr>
            <w:r>
              <w:rPr>
                <w:rFonts w:hint="default" w:ascii="Times New Roman" w:hAnsi="Times New Roman" w:eastAsia="宋体" w:cs="Times New Roman"/>
                <w:color w:val="auto"/>
                <w:sz w:val="24"/>
                <w:szCs w:val="24"/>
              </w:rPr>
              <w:t>项目内设置垃圾收集设施</w:t>
            </w:r>
            <w:r>
              <w:rPr>
                <w:rFonts w:hint="default" w:ascii="Times New Roman" w:hAnsi="Times New Roman" w:eastAsia="宋体" w:cs="Times New Roman"/>
                <w:color w:val="auto"/>
                <w:sz w:val="24"/>
                <w:szCs w:val="24"/>
                <w:lang w:eastAsia="zh-CN"/>
              </w:rPr>
              <w:t>、化粪池</w:t>
            </w:r>
            <w:r>
              <w:rPr>
                <w:rFonts w:hint="default" w:ascii="Times New Roman" w:hAnsi="Times New Roman" w:eastAsia="宋体" w:cs="Times New Roman"/>
                <w:color w:val="auto"/>
                <w:sz w:val="24"/>
                <w:szCs w:val="24"/>
              </w:rPr>
              <w:t>在使用和运行过程中会产生少量的异味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lang w:val="en-US" w:eastAsia="zh-CN"/>
              </w:rPr>
              <w:t>通过稀释扩散后，不会对环境产生较大影响。</w:t>
            </w:r>
          </w:p>
          <w:p w14:paraId="4FE8F32B">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（5）备用柴油发电机废气</w:t>
            </w:r>
          </w:p>
          <w:p w14:paraId="2FD6818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油站为预防停电影响经营，项目拟设置一台小型柴油发电机作为备用电源，备用发电机在使用过程中将会产生一定的废气，主要为柴油机等燃烧产生的废气。项目备用发电机只在停电时使用，备用发电机使用频率较低，且设置于备用发电房内，废气产生量较小，呈无组织排放，通过自然扩散及绿化吸附后对周围环境的影响较小。</w:t>
            </w:r>
          </w:p>
          <w:p w14:paraId="3224576C">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）环境影响分析</w:t>
            </w:r>
          </w:p>
          <w:p w14:paraId="710BEF3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根据工程分析，项目废气污染物主要为加油卸油过程中产生的无组织非甲烷总烃，根据工程分析可知，项目运行过程中经</w:t>
            </w:r>
            <w:r>
              <w:rPr>
                <w:rFonts w:hint="eastAsia" w:cs="Times New Roman"/>
                <w:color w:val="auto"/>
                <w:sz w:val="24"/>
                <w:szCs w:val="24"/>
                <w:lang w:eastAsia="zh-CN"/>
              </w:rPr>
              <w:t>油气回收系统</w:t>
            </w:r>
            <w:r>
              <w:rPr>
                <w:rFonts w:hint="default" w:ascii="Times New Roman" w:hAnsi="Times New Roman" w:eastAsia="宋体" w:cs="Times New Roman"/>
                <w:color w:val="auto"/>
                <w:sz w:val="24"/>
                <w:szCs w:val="24"/>
              </w:rPr>
              <w:t>处理后非甲烷总烃排放量为</w:t>
            </w:r>
            <w:r>
              <w:rPr>
                <w:rFonts w:hint="eastAsia" w:cs="Times New Roman"/>
                <w:color w:val="auto"/>
                <w:sz w:val="24"/>
                <w:lang w:val="en-US" w:eastAsia="zh-CN"/>
              </w:rPr>
              <w:t>0.544612</w:t>
            </w:r>
            <w:r>
              <w:rPr>
                <w:rFonts w:hint="default" w:ascii="Times New Roman" w:hAnsi="Times New Roman" w:eastAsia="宋体" w:cs="Times New Roman"/>
                <w:color w:val="auto"/>
                <w:sz w:val="24"/>
                <w:szCs w:val="24"/>
              </w:rPr>
              <w:t>t/a。</w:t>
            </w:r>
          </w:p>
          <w:p w14:paraId="01ACF0A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油气是加油站在加油、卸油和储油过程中产生的挥发性有机物，其主要成分为非甲烷总烃。通常加油站的油气以无组织的方式排放。非甲烷总烃对人体健康的直接影响主要是中枢神经系统的麻醉作用；对皮肤</w:t>
            </w:r>
            <w:r>
              <w:rPr>
                <w:rFonts w:hint="eastAsia" w:cs="Times New Roman"/>
                <w:color w:val="auto"/>
                <w:sz w:val="24"/>
                <w:szCs w:val="24"/>
                <w:lang w:eastAsia="zh-CN"/>
              </w:rPr>
              <w:t>黏膜</w:t>
            </w:r>
            <w:r>
              <w:rPr>
                <w:rFonts w:hint="default" w:ascii="Times New Roman" w:hAnsi="Times New Roman" w:eastAsia="宋体" w:cs="Times New Roman"/>
                <w:color w:val="auto"/>
                <w:sz w:val="24"/>
                <w:szCs w:val="24"/>
              </w:rPr>
              <w:t>有一定的刺激作用，严重的可引起皮炎湿疹；非甲烷总烃引起的急性中毒很少见。</w:t>
            </w:r>
          </w:p>
          <w:p w14:paraId="4B3EEB0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本项目采用地埋式储油罐，由于该罐密闭型较好，顶部有不小于0.5m的覆土，周围回填的细沙厚度也不小于0.3m，因此储油罐室内气温比较稳定，受大气环境稳定影响较小，延缓油品变质，油罐小呼吸蒸发损耗较小。另外，本加油站采用自封式加油枪及密闭卸油等方式，可以一定程度上减少非甲烷总烃的排放。 </w:t>
            </w:r>
          </w:p>
          <w:p w14:paraId="7F59117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项目按照《加油站大气污染物排放标准》（GB20952-20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和《汽车加油加气加氢站技术标准》（GB50156-2021）的要求，在汽油卸油和加油时，采用密闭收集为基础的油气回收方法进行了控制。该系统的作用是将加油站在汽油卸油和加油过程中产生的油气，通过密闭收集、储存和送入油罐汽车的罐内和储油罐内回收变成汽油。</w:t>
            </w:r>
          </w:p>
          <w:p w14:paraId="0553988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本项目运营后，按照环评、</w:t>
            </w:r>
            <w:r>
              <w:rPr>
                <w:rFonts w:hint="default" w:ascii="Times New Roman" w:hAnsi="Times New Roman" w:eastAsia="宋体" w:cs="Times New Roman"/>
                <w:color w:val="auto"/>
                <w:sz w:val="24"/>
                <w:szCs w:val="24"/>
              </w:rPr>
              <w:t>《加油站大气污染物排放标准》（GB20952-20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）和《汽车加油加气加氢站技术标准》（GB50156-2021）的</w:t>
            </w:r>
            <w:r>
              <w:rPr>
                <w:rFonts w:hint="default" w:ascii="Times New Roman" w:hAnsi="Times New Roman" w:eastAsia="宋体" w:cs="Times New Roman"/>
                <w:color w:val="auto"/>
                <w:sz w:val="24"/>
                <w:szCs w:val="24"/>
                <w:lang w:val="en-US" w:eastAsia="zh-CN"/>
              </w:rPr>
              <w:t>要求严格建设，</w:t>
            </w:r>
            <w:r>
              <w:rPr>
                <w:rFonts w:hint="default" w:ascii="Times New Roman" w:hAnsi="Times New Roman" w:eastAsia="宋体" w:cs="Times New Roman"/>
                <w:color w:val="auto"/>
                <w:sz w:val="24"/>
                <w:szCs w:val="24"/>
              </w:rPr>
              <w:t>经处理后的油气排放浓度能达到《加油站大气污染物排放标准》（GB20952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）中的排放限值的要求。</w:t>
            </w:r>
            <w:r>
              <w:rPr>
                <w:rFonts w:hint="default" w:ascii="Times New Roman" w:hAnsi="Times New Roman" w:cs="Times New Roman"/>
                <w:color w:val="auto"/>
                <w:sz w:val="24"/>
                <w:szCs w:val="40"/>
                <w:lang w:val="en-US" w:eastAsia="zh-CN"/>
              </w:rPr>
              <w:t>本项目备餐间</w:t>
            </w:r>
            <w:r>
              <w:rPr>
                <w:rFonts w:hint="default" w:ascii="Times New Roman" w:hAnsi="Times New Roman" w:cs="Times New Roman"/>
                <w:color w:val="auto"/>
                <w:sz w:val="24"/>
                <w:szCs w:val="40"/>
              </w:rPr>
              <w:t>油烟经油烟净化器处理后，</w:t>
            </w:r>
            <w:r>
              <w:rPr>
                <w:rFonts w:hint="default" w:ascii="Times New Roman" w:hAnsi="Times New Roman" w:cs="Times New Roman"/>
                <w:color w:val="auto"/>
                <w:sz w:val="24"/>
                <w:szCs w:val="40"/>
                <w:highlight w:val="none"/>
              </w:rPr>
              <w:t>于高于站房楼顶1.5m的油烟排气口</w:t>
            </w:r>
            <w:r>
              <w:rPr>
                <w:rFonts w:hint="default" w:ascii="Times New Roman" w:hAnsi="Times New Roman" w:cs="Times New Roman"/>
                <w:color w:val="auto"/>
                <w:sz w:val="24"/>
                <w:szCs w:val="40"/>
                <w:highlight w:val="none"/>
                <w:lang w:val="en-US" w:eastAsia="zh-CN"/>
              </w:rPr>
              <w:t>达标</w:t>
            </w:r>
            <w:r>
              <w:rPr>
                <w:rFonts w:hint="default" w:ascii="Times New Roman" w:hAnsi="Times New Roman" w:cs="Times New Roman"/>
                <w:color w:val="auto"/>
                <w:sz w:val="24"/>
                <w:szCs w:val="40"/>
                <w:highlight w:val="none"/>
              </w:rPr>
              <w:t>排放。</w:t>
            </w:r>
            <w:r>
              <w:rPr>
                <w:rFonts w:hint="default" w:ascii="Times New Roman" w:hAnsi="Times New Roman" w:cs="Times New Roman"/>
                <w:color w:val="auto"/>
                <w:sz w:val="24"/>
                <w:szCs w:val="40"/>
              </w:rPr>
              <w:t>汽车尾气</w:t>
            </w:r>
            <w:r>
              <w:rPr>
                <w:rFonts w:hint="default" w:ascii="Times New Roman" w:hAnsi="Times New Roman" w:cs="Times New Roman"/>
                <w:color w:val="auto"/>
                <w:sz w:val="24"/>
                <w:szCs w:val="40"/>
                <w:lang w:eastAsia="zh-CN"/>
              </w:rPr>
              <w:t>、</w:t>
            </w:r>
            <w:r>
              <w:rPr>
                <w:rFonts w:hint="default" w:ascii="Times New Roman" w:hAnsi="Times New Roman" w:cs="Times New Roman"/>
                <w:color w:val="auto"/>
                <w:sz w:val="24"/>
                <w:lang w:eastAsia="zh-CN"/>
              </w:rPr>
              <w:t>备用柴油发电机废气</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化粪池异味</w:t>
            </w:r>
            <w:r>
              <w:rPr>
                <w:rFonts w:hint="default" w:ascii="Times New Roman" w:hAnsi="Times New Roman" w:cs="Times New Roman"/>
                <w:color w:val="auto"/>
                <w:sz w:val="24"/>
                <w:lang w:val="en-US" w:eastAsia="zh-CN"/>
              </w:rPr>
              <w:t>通过大气稀释扩散和绿化吸收后对环境影响较小。</w:t>
            </w:r>
            <w:r>
              <w:rPr>
                <w:rFonts w:hint="default" w:ascii="Times New Roman" w:hAnsi="Times New Roman" w:eastAsia="宋体" w:cs="Times New Roman"/>
                <w:color w:val="auto"/>
                <w:sz w:val="24"/>
                <w:szCs w:val="24"/>
              </w:rPr>
              <w:t xml:space="preserve"> </w:t>
            </w:r>
          </w:p>
          <w:p w14:paraId="5213BE3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8</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废气处理可行性分析</w:t>
            </w:r>
          </w:p>
          <w:p w14:paraId="1F502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项目为加油站建设项目，根据《排污许可证申请与核发技术规范储油库、加油站》（HJ118-2020）附录F加油站排污单位污染防治可行技术参照表，具体可行性分析详见表4-</w:t>
            </w:r>
            <w:r>
              <w:rPr>
                <w:rFonts w:hint="default" w:ascii="Times New Roman" w:hAnsi="Times New Roman"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p>
          <w:p w14:paraId="18658ED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表4</w:t>
            </w:r>
            <w:r>
              <w:rPr>
                <w:rFonts w:hint="default" w:ascii="Times New Roman" w:hAnsi="Times New Roman" w:cs="Times New Roman"/>
                <w:b/>
                <w:bCs/>
                <w:color w:val="auto"/>
                <w:kern w:val="0"/>
                <w:sz w:val="21"/>
                <w:szCs w:val="21"/>
                <w:lang w:val="en-US" w:eastAsia="zh-CN" w:bidi="ar"/>
              </w:rPr>
              <w:t>-5</w:t>
            </w:r>
            <w:r>
              <w:rPr>
                <w:rFonts w:hint="default" w:ascii="Times New Roman" w:hAnsi="Times New Roman" w:eastAsia="宋体" w:cs="Times New Roman"/>
                <w:b/>
                <w:bCs/>
                <w:color w:val="auto"/>
                <w:kern w:val="0"/>
                <w:sz w:val="21"/>
                <w:szCs w:val="21"/>
                <w:lang w:val="en-US" w:eastAsia="zh-CN" w:bidi="ar"/>
              </w:rPr>
              <w:t xml:space="preserve">  废气污染防治推荐可行技术</w:t>
            </w:r>
          </w:p>
          <w:tbl>
            <w:tblPr>
              <w:tblStyle w:val="28"/>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250"/>
              <w:gridCol w:w="1781"/>
              <w:gridCol w:w="3147"/>
              <w:gridCol w:w="1061"/>
            </w:tblGrid>
            <w:tr w14:paraId="5286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98" w:type="dxa"/>
                  <w:noWrap w:val="0"/>
                  <w:vAlign w:val="center"/>
                </w:tcPr>
                <w:p w14:paraId="21A25E30">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污染源</w:t>
                  </w:r>
                </w:p>
              </w:tc>
              <w:tc>
                <w:tcPr>
                  <w:tcW w:w="1250" w:type="dxa"/>
                  <w:noWrap w:val="0"/>
                  <w:vAlign w:val="center"/>
                </w:tcPr>
                <w:p w14:paraId="0252BE58">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主要控制污染物</w:t>
                  </w:r>
                </w:p>
              </w:tc>
              <w:tc>
                <w:tcPr>
                  <w:tcW w:w="1781" w:type="dxa"/>
                  <w:noWrap w:val="0"/>
                  <w:vAlign w:val="center"/>
                </w:tcPr>
                <w:p w14:paraId="301C7127">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可行技术</w:t>
                  </w:r>
                </w:p>
              </w:tc>
              <w:tc>
                <w:tcPr>
                  <w:tcW w:w="3147" w:type="dxa"/>
                  <w:noWrap w:val="0"/>
                  <w:vAlign w:val="center"/>
                </w:tcPr>
                <w:p w14:paraId="0EB81482">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项目拟采用废气治理技术</w:t>
                  </w:r>
                </w:p>
              </w:tc>
              <w:tc>
                <w:tcPr>
                  <w:tcW w:w="1061" w:type="dxa"/>
                  <w:noWrap w:val="0"/>
                  <w:vAlign w:val="center"/>
                </w:tcPr>
                <w:p w14:paraId="2F8D697F">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bidi="ar"/>
                    </w:rPr>
                    <w:t>是否可行</w:t>
                  </w:r>
                </w:p>
              </w:tc>
            </w:tr>
            <w:tr w14:paraId="729E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98" w:type="dxa"/>
                  <w:noWrap w:val="0"/>
                  <w:vAlign w:val="center"/>
                </w:tcPr>
                <w:p w14:paraId="6A8FEE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汽油储罐挥发</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卸油</w:t>
                  </w:r>
                  <w:r>
                    <w:rPr>
                      <w:rFonts w:hint="default" w:ascii="Times New Roman" w:hAnsi="Times New Roman" w:cs="Times New Roman"/>
                      <w:color w:val="auto"/>
                      <w:sz w:val="21"/>
                      <w:szCs w:val="21"/>
                      <w:lang w:eastAsia="zh-CN"/>
                    </w:rPr>
                    <w:t>）</w:t>
                  </w:r>
                </w:p>
              </w:tc>
              <w:tc>
                <w:tcPr>
                  <w:tcW w:w="1250" w:type="dxa"/>
                  <w:noWrap w:val="0"/>
                  <w:vAlign w:val="center"/>
                </w:tcPr>
                <w:p w14:paraId="371226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w:t>
                  </w:r>
                </w:p>
                <w:p w14:paraId="3DAD6D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机物</w:t>
                  </w:r>
                </w:p>
              </w:tc>
              <w:tc>
                <w:tcPr>
                  <w:tcW w:w="1781" w:type="dxa"/>
                  <w:noWrap w:val="0"/>
                  <w:vAlign w:val="center"/>
                </w:tcPr>
                <w:p w14:paraId="52DEA8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油气平衡</w:t>
                  </w:r>
                </w:p>
              </w:tc>
              <w:tc>
                <w:tcPr>
                  <w:tcW w:w="3147" w:type="dxa"/>
                  <w:noWrap w:val="0"/>
                  <w:vAlign w:val="center"/>
                </w:tcPr>
                <w:p w14:paraId="438AA3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设置</w:t>
                  </w:r>
                  <w:r>
                    <w:rPr>
                      <w:rFonts w:hint="default" w:ascii="Times New Roman" w:hAnsi="Times New Roman" w:eastAsia="宋体" w:cs="Times New Roman"/>
                      <w:color w:val="auto"/>
                      <w:sz w:val="21"/>
                      <w:szCs w:val="21"/>
                    </w:rPr>
                    <w:t>卸油油气回收系统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油气平衡</w:t>
                  </w:r>
                  <w:r>
                    <w:rPr>
                      <w:rFonts w:hint="default" w:ascii="Times New Roman" w:hAnsi="Times New Roman" w:eastAsia="宋体" w:cs="Times New Roman"/>
                      <w:color w:val="auto"/>
                      <w:sz w:val="21"/>
                      <w:szCs w:val="21"/>
                      <w:lang w:val="en-US" w:eastAsia="zh-CN"/>
                    </w:rPr>
                    <w:t>工艺</w:t>
                  </w:r>
                </w:p>
              </w:tc>
              <w:tc>
                <w:tcPr>
                  <w:tcW w:w="1061" w:type="dxa"/>
                  <w:noWrap w:val="0"/>
                  <w:vAlign w:val="center"/>
                </w:tcPr>
                <w:p w14:paraId="432146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可行</w:t>
                  </w:r>
                </w:p>
              </w:tc>
            </w:tr>
            <w:tr w14:paraId="1C3B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698" w:type="dxa"/>
                  <w:noWrap w:val="0"/>
                  <w:vAlign w:val="center"/>
                </w:tcPr>
                <w:p w14:paraId="5A6D75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汽油加油枪挥发</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加油</w:t>
                  </w:r>
                  <w:r>
                    <w:rPr>
                      <w:rFonts w:hint="default" w:ascii="Times New Roman" w:hAnsi="Times New Roman" w:cs="Times New Roman"/>
                      <w:color w:val="auto"/>
                      <w:sz w:val="21"/>
                      <w:szCs w:val="21"/>
                      <w:lang w:eastAsia="zh-CN"/>
                    </w:rPr>
                    <w:t>）</w:t>
                  </w:r>
                </w:p>
              </w:tc>
              <w:tc>
                <w:tcPr>
                  <w:tcW w:w="1250" w:type="dxa"/>
                  <w:noWrap w:val="0"/>
                  <w:vAlign w:val="center"/>
                </w:tcPr>
                <w:p w14:paraId="418732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w:t>
                  </w:r>
                </w:p>
                <w:p w14:paraId="6B3398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机物</w:t>
                  </w:r>
                </w:p>
              </w:tc>
              <w:tc>
                <w:tcPr>
                  <w:tcW w:w="1781" w:type="dxa"/>
                  <w:noWrap w:val="0"/>
                  <w:vAlign w:val="center"/>
                </w:tcPr>
                <w:p w14:paraId="70397B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油气回收</w:t>
                  </w:r>
                </w:p>
              </w:tc>
              <w:tc>
                <w:tcPr>
                  <w:tcW w:w="3147" w:type="dxa"/>
                  <w:noWrap w:val="0"/>
                  <w:vAlign w:val="center"/>
                </w:tcPr>
                <w:p w14:paraId="27CA11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设置</w:t>
                  </w:r>
                  <w:r>
                    <w:rPr>
                      <w:rFonts w:hint="default" w:ascii="Times New Roman" w:hAnsi="Times New Roman" w:eastAsia="宋体" w:cs="Times New Roman"/>
                      <w:color w:val="auto"/>
                      <w:sz w:val="21"/>
                      <w:szCs w:val="21"/>
                    </w:rPr>
                    <w:t>加油油气回收系统</w:t>
                  </w:r>
                </w:p>
              </w:tc>
              <w:tc>
                <w:tcPr>
                  <w:tcW w:w="1061" w:type="dxa"/>
                  <w:noWrap w:val="0"/>
                  <w:vAlign w:val="center"/>
                </w:tcPr>
                <w:p w14:paraId="450B48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可行</w:t>
                  </w:r>
                </w:p>
              </w:tc>
            </w:tr>
          </w:tbl>
          <w:p w14:paraId="593234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次油气回收系统，即卸油油气回收系统。国家环保总局《加油站大气污染物排放标准》定义为“将油罐汽车卸汽油时产生的油气，通过密闭方式收集进入油罐汽车罐内的系统”。一次回收，是针对油罐汽车的改造。采取密闭措施，用一根软管将加油站油罐上的呼吸阀和油罐汽车相连接，形成一个回气管路。油罐车通过卸油管路卸油的同时，加油站油罐中的油气通过回气管路回到油罐车，达到油气回收的目的。油罐车将油气带回油库进行处理。</w:t>
            </w:r>
          </w:p>
          <w:p w14:paraId="1251C4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次油气回收系统，即加油油气回收系统。国家环保总局《加油站大气污染物排放标准》定义为“将给汽车油箱加汽油时产生的油气，通过密闭方式收集进入埋地油罐的系统”。二次回收，是针对加油机加油枪的改造。采用带回气管的加油枪，在给汽车加油的同时，用真空泵将汽车油箱中的油气抽吸回加油站油罐。《加油站大气污染物排放标准》规定二次回收系统的气液比为1~1.2﹕1，本项目二次回收系统的气液比取1.1﹕1，二次回收系统收集的油气在管道内通过液阻的作用部分凝析为液体进入储罐。</w:t>
            </w:r>
          </w:p>
          <w:p w14:paraId="3054C1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综上，本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组织排放</w:t>
            </w:r>
            <w:r>
              <w:rPr>
                <w:rFonts w:hint="default" w:ascii="Times New Roman" w:hAnsi="Times New Roman" w:eastAsia="宋体" w:cs="Times New Roman"/>
                <w:color w:val="auto"/>
                <w:sz w:val="24"/>
                <w:szCs w:val="24"/>
                <w:highlight w:val="none"/>
                <w:lang w:val="en-US" w:eastAsia="zh-CN"/>
              </w:rPr>
              <w:t>治理措施，符合</w:t>
            </w:r>
            <w:r>
              <w:rPr>
                <w:rFonts w:hint="default" w:ascii="Times New Roman" w:hAnsi="Times New Roman" w:cs="Times New Roman"/>
                <w:color w:val="auto"/>
                <w:sz w:val="24"/>
                <w:szCs w:val="20"/>
                <w:lang w:eastAsia="zh-CN"/>
              </w:rPr>
              <w:t>《排污许可证申请与核发技术规范</w:t>
            </w:r>
            <w:r>
              <w:rPr>
                <w:rFonts w:hint="default" w:ascii="Times New Roman" w:hAnsi="Times New Roman" w:cs="Times New Roman"/>
                <w:color w:val="auto"/>
                <w:sz w:val="24"/>
                <w:szCs w:val="20"/>
                <w:lang w:val="en-US" w:eastAsia="zh-CN"/>
              </w:rPr>
              <w:t xml:space="preserve">  储油库、加油加气站</w:t>
            </w:r>
            <w:r>
              <w:rPr>
                <w:rFonts w:hint="default" w:ascii="Times New Roman" w:hAnsi="Times New Roman" w:cs="Times New Roman"/>
                <w:color w:val="auto"/>
                <w:sz w:val="24"/>
                <w:szCs w:val="20"/>
                <w:lang w:eastAsia="zh-CN"/>
              </w:rPr>
              <w:t>》（</w:t>
            </w:r>
            <w:r>
              <w:rPr>
                <w:rFonts w:hint="default" w:ascii="Times New Roman" w:hAnsi="Times New Roman" w:cs="Times New Roman"/>
                <w:color w:val="auto"/>
                <w:sz w:val="24"/>
                <w:szCs w:val="20"/>
                <w:lang w:val="en-US" w:eastAsia="zh-CN"/>
              </w:rPr>
              <w:t>HJ118-2020</w:t>
            </w:r>
            <w:r>
              <w:rPr>
                <w:rFonts w:hint="default" w:ascii="Times New Roman" w:hAnsi="Times New Roman" w:cs="Times New Roman"/>
                <w:color w:val="auto"/>
                <w:sz w:val="24"/>
                <w:szCs w:val="20"/>
                <w:lang w:eastAsia="zh-CN"/>
              </w:rPr>
              <w:t>）的</w:t>
            </w:r>
            <w:r>
              <w:rPr>
                <w:rFonts w:hint="default" w:ascii="Times New Roman" w:hAnsi="Times New Roman" w:cs="Times New Roman"/>
                <w:color w:val="auto"/>
                <w:sz w:val="24"/>
                <w:szCs w:val="20"/>
                <w:lang w:val="en-US" w:eastAsia="zh-CN"/>
              </w:rPr>
              <w:t>污染控制措施</w:t>
            </w:r>
            <w:r>
              <w:rPr>
                <w:rFonts w:hint="default" w:ascii="Times New Roman" w:hAnsi="Times New Roman" w:cs="Times New Roman"/>
                <w:color w:val="auto"/>
                <w:sz w:val="24"/>
                <w:szCs w:val="20"/>
                <w:lang w:eastAsia="zh-CN"/>
              </w:rPr>
              <w:t>技术规范要求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因此本无组织废气处置方式可行</w:t>
            </w:r>
            <w:r>
              <w:rPr>
                <w:rFonts w:hint="default" w:ascii="Times New Roman" w:hAnsi="Times New Roman" w:eastAsia="宋体" w:cs="Times New Roman"/>
                <w:color w:val="auto"/>
                <w:sz w:val="24"/>
                <w:szCs w:val="24"/>
                <w:highlight w:val="none"/>
              </w:rPr>
              <w:t>。</w:t>
            </w:r>
          </w:p>
          <w:p w14:paraId="53E533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val="en-US" w:eastAsia="zh-CN"/>
              </w:rPr>
              <w:t>（9）</w:t>
            </w:r>
            <w:r>
              <w:rPr>
                <w:rFonts w:hint="default" w:ascii="Times New Roman" w:hAnsi="Times New Roman" w:cs="Times New Roman"/>
                <w:b w:val="0"/>
                <w:bCs w:val="0"/>
                <w:color w:val="auto"/>
                <w:sz w:val="24"/>
                <w:szCs w:val="24"/>
              </w:rPr>
              <w:t>环境监测</w:t>
            </w:r>
          </w:p>
          <w:p w14:paraId="3DD01137">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eastAsia="宋体" w:cs="Times New Roman"/>
                <w:color w:val="auto"/>
                <w:sz w:val="24"/>
                <w:szCs w:val="24"/>
                <w:highlight w:val="none"/>
              </w:rPr>
              <w:t>为确保项目运营期各项环保设施正常运行，控制环境污染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2"/>
              </w:rPr>
              <w:t>根据《</w:t>
            </w:r>
            <w:r>
              <w:rPr>
                <w:rFonts w:hint="default" w:ascii="Times New Roman" w:hAnsi="Times New Roman" w:cs="Times New Roman"/>
                <w:color w:val="auto"/>
                <w:sz w:val="24"/>
                <w:szCs w:val="22"/>
                <w:lang w:val="en-US" w:eastAsia="zh-CN"/>
              </w:rPr>
              <w:t>排污单位自行监测技术指南 储油库、加油站</w:t>
            </w:r>
            <w:r>
              <w:rPr>
                <w:rFonts w:hint="default" w:ascii="Times New Roman" w:hAnsi="Times New Roman" w:cs="Times New Roman"/>
                <w:color w:val="auto"/>
                <w:sz w:val="24"/>
                <w:szCs w:val="22"/>
              </w:rPr>
              <w:t xml:space="preserve">》（HJ </w:t>
            </w:r>
            <w:r>
              <w:rPr>
                <w:rFonts w:hint="default" w:ascii="Times New Roman" w:hAnsi="Times New Roman" w:cs="Times New Roman"/>
                <w:color w:val="auto"/>
                <w:sz w:val="24"/>
                <w:szCs w:val="22"/>
                <w:lang w:val="en-US" w:eastAsia="zh-CN"/>
              </w:rPr>
              <w:t>1249</w:t>
            </w:r>
            <w:r>
              <w:rPr>
                <w:rFonts w:hint="default" w:ascii="Times New Roman" w:hAnsi="Times New Roman" w:cs="Times New Roman"/>
                <w:color w:val="auto"/>
                <w:sz w:val="24"/>
                <w:szCs w:val="22"/>
              </w:rPr>
              <w:t>-20</w:t>
            </w:r>
            <w:r>
              <w:rPr>
                <w:rFonts w:hint="default" w:ascii="Times New Roman" w:hAnsi="Times New Roman" w:cs="Times New Roman"/>
                <w:color w:val="auto"/>
                <w:sz w:val="24"/>
                <w:szCs w:val="22"/>
                <w:lang w:val="en-US" w:eastAsia="zh-CN"/>
              </w:rPr>
              <w:t>22</w:t>
            </w:r>
            <w:r>
              <w:rPr>
                <w:rFonts w:hint="default" w:ascii="Times New Roman" w:hAnsi="Times New Roman" w:cs="Times New Roman"/>
                <w:color w:val="auto"/>
                <w:sz w:val="24"/>
                <w:szCs w:val="22"/>
              </w:rPr>
              <w:t>），营运期的监测项目为无组织排放的非甲烷总烃。本项目监测计划见表</w:t>
            </w: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6</w:t>
            </w:r>
            <w:r>
              <w:rPr>
                <w:rFonts w:hint="default" w:ascii="Times New Roman" w:hAnsi="Times New Roman" w:cs="Times New Roman"/>
                <w:color w:val="auto"/>
                <w:sz w:val="24"/>
                <w:szCs w:val="22"/>
              </w:rPr>
              <w:t>。</w:t>
            </w:r>
          </w:p>
          <w:p w14:paraId="718B29B6">
            <w:pPr>
              <w:spacing w:line="240" w:lineRule="auto"/>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 xml:space="preserve">  环境监测计划</w:t>
            </w:r>
          </w:p>
          <w:tbl>
            <w:tblPr>
              <w:tblStyle w:val="27"/>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410"/>
              <w:gridCol w:w="1944"/>
              <w:gridCol w:w="1446"/>
              <w:gridCol w:w="978"/>
              <w:gridCol w:w="2033"/>
              <w:gridCol w:w="765"/>
              <w:gridCol w:w="714"/>
            </w:tblGrid>
            <w:tr w14:paraId="1003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36" w:type="dxa"/>
                  <w:gridSpan w:val="2"/>
                  <w:noWrap w:val="0"/>
                  <w:vAlign w:val="center"/>
                </w:tcPr>
                <w:p w14:paraId="548A219D">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阶段</w:t>
                  </w:r>
                </w:p>
              </w:tc>
              <w:tc>
                <w:tcPr>
                  <w:tcW w:w="1944" w:type="dxa"/>
                  <w:noWrap w:val="0"/>
                  <w:vAlign w:val="center"/>
                </w:tcPr>
                <w:p w14:paraId="1A33AC12">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监测地点</w:t>
                  </w:r>
                </w:p>
              </w:tc>
              <w:tc>
                <w:tcPr>
                  <w:tcW w:w="1446" w:type="dxa"/>
                  <w:noWrap w:val="0"/>
                  <w:vAlign w:val="center"/>
                </w:tcPr>
                <w:p w14:paraId="18A767F6">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978" w:type="dxa"/>
                  <w:noWrap w:val="0"/>
                  <w:vAlign w:val="center"/>
                </w:tcPr>
                <w:p w14:paraId="625DEB42">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监测频率</w:t>
                  </w:r>
                </w:p>
              </w:tc>
              <w:tc>
                <w:tcPr>
                  <w:tcW w:w="2033" w:type="dxa"/>
                  <w:noWrap w:val="0"/>
                  <w:vAlign w:val="center"/>
                </w:tcPr>
                <w:p w14:paraId="77125EDC">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w:t>
                  </w:r>
                </w:p>
                <w:p w14:paraId="06668F30">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w:t>
                  </w:r>
                </w:p>
              </w:tc>
              <w:tc>
                <w:tcPr>
                  <w:tcW w:w="765" w:type="dxa"/>
                  <w:noWrap w:val="0"/>
                  <w:vAlign w:val="center"/>
                </w:tcPr>
                <w:p w14:paraId="0EA0F0BD">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采样</w:t>
                  </w:r>
                </w:p>
                <w:p w14:paraId="432518AD">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时间</w:t>
                  </w:r>
                </w:p>
              </w:tc>
              <w:tc>
                <w:tcPr>
                  <w:tcW w:w="714" w:type="dxa"/>
                  <w:noWrap w:val="0"/>
                  <w:vAlign w:val="center"/>
                </w:tcPr>
                <w:p w14:paraId="2FF95535">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实施</w:t>
                  </w:r>
                </w:p>
                <w:p w14:paraId="4408545D">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机构</w:t>
                  </w:r>
                </w:p>
              </w:tc>
            </w:tr>
            <w:tr w14:paraId="1B47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Merge w:val="restart"/>
                  <w:noWrap w:val="0"/>
                  <w:vAlign w:val="center"/>
                </w:tcPr>
                <w:p w14:paraId="124872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营运期</w:t>
                  </w:r>
                </w:p>
              </w:tc>
              <w:tc>
                <w:tcPr>
                  <w:tcW w:w="410" w:type="dxa"/>
                  <w:vMerge w:val="restart"/>
                  <w:noWrap w:val="0"/>
                  <w:vAlign w:val="center"/>
                </w:tcPr>
                <w:p w14:paraId="3D416C55">
                  <w:pPr>
                    <w:jc w:val="center"/>
                    <w:rPr>
                      <w:rFonts w:hint="default" w:ascii="Times New Roman" w:hAnsi="Times New Roman" w:cs="Times New Roman"/>
                      <w:color w:val="auto"/>
                      <w:kern w:val="1"/>
                      <w:sz w:val="21"/>
                      <w:szCs w:val="21"/>
                    </w:rPr>
                  </w:pPr>
                </w:p>
                <w:p w14:paraId="773B4AEA">
                  <w:pPr>
                    <w:jc w:val="center"/>
                    <w:rPr>
                      <w:rFonts w:hint="default" w:ascii="Times New Roman" w:hAnsi="Times New Roman" w:cs="Times New Roman"/>
                      <w:color w:val="auto"/>
                      <w:kern w:val="1"/>
                      <w:sz w:val="21"/>
                      <w:szCs w:val="21"/>
                    </w:rPr>
                  </w:pPr>
                </w:p>
                <w:p w14:paraId="4902FEEA">
                  <w:pPr>
                    <w:jc w:val="both"/>
                    <w:rPr>
                      <w:rFonts w:hint="default" w:ascii="Times New Roman" w:hAnsi="Times New Roman" w:cs="Times New Roman"/>
                      <w:color w:val="auto"/>
                      <w:sz w:val="21"/>
                      <w:szCs w:val="21"/>
                    </w:rPr>
                  </w:pPr>
                  <w:r>
                    <w:rPr>
                      <w:rFonts w:hint="default" w:ascii="Times New Roman" w:hAnsi="Times New Roman" w:cs="Times New Roman"/>
                      <w:color w:val="auto"/>
                      <w:kern w:val="1"/>
                      <w:sz w:val="21"/>
                      <w:szCs w:val="21"/>
                    </w:rPr>
                    <w:t>废气</w:t>
                  </w:r>
                </w:p>
              </w:tc>
              <w:tc>
                <w:tcPr>
                  <w:tcW w:w="1944" w:type="dxa"/>
                  <w:noWrap w:val="0"/>
                  <w:vAlign w:val="center"/>
                </w:tcPr>
                <w:p w14:paraId="62E6337E">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加油</w:t>
                  </w:r>
                  <w:r>
                    <w:rPr>
                      <w:rFonts w:hint="eastAsia" w:cs="Times New Roman"/>
                      <w:color w:val="auto"/>
                      <w:sz w:val="21"/>
                      <w:szCs w:val="21"/>
                      <w:lang w:val="en-US" w:eastAsia="zh-CN"/>
                    </w:rPr>
                    <w:t>区</w:t>
                  </w:r>
                  <w:r>
                    <w:rPr>
                      <w:rFonts w:hint="default" w:ascii="Times New Roman" w:hAnsi="Times New Roman" w:eastAsia="宋体" w:cs="Times New Roman"/>
                      <w:color w:val="auto"/>
                      <w:sz w:val="21"/>
                      <w:szCs w:val="21"/>
                    </w:rPr>
                    <w:t>下风向监控点</w:t>
                  </w:r>
                  <w:r>
                    <w:rPr>
                      <w:rFonts w:hint="eastAsia" w:cs="Times New Roman"/>
                      <w:color w:val="auto"/>
                      <w:sz w:val="21"/>
                      <w:szCs w:val="21"/>
                      <w:lang w:eastAsia="zh-CN"/>
                    </w:rPr>
                    <w:t>（</w:t>
                  </w:r>
                  <w:r>
                    <w:rPr>
                      <w:rFonts w:hint="eastAsia" w:cs="Times New Roman"/>
                      <w:color w:val="auto"/>
                      <w:sz w:val="21"/>
                      <w:szCs w:val="21"/>
                      <w:lang w:val="en-US" w:eastAsia="zh-CN"/>
                    </w:rPr>
                    <w:t>厂界内</w:t>
                  </w:r>
                  <w:r>
                    <w:rPr>
                      <w:rFonts w:hint="eastAsia" w:cs="Times New Roman"/>
                      <w:color w:val="auto"/>
                      <w:sz w:val="21"/>
                      <w:szCs w:val="21"/>
                      <w:lang w:eastAsia="zh-CN"/>
                    </w:rPr>
                    <w:t>）</w:t>
                  </w:r>
                </w:p>
              </w:tc>
              <w:tc>
                <w:tcPr>
                  <w:tcW w:w="1446" w:type="dxa"/>
                  <w:noWrap w:val="0"/>
                  <w:vAlign w:val="center"/>
                </w:tcPr>
                <w:p w14:paraId="1C3079DF">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挥发性有机物</w:t>
                  </w:r>
                </w:p>
              </w:tc>
              <w:tc>
                <w:tcPr>
                  <w:tcW w:w="978" w:type="dxa"/>
                  <w:noWrap w:val="0"/>
                  <w:vAlign w:val="center"/>
                </w:tcPr>
                <w:p w14:paraId="373CE51A">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1次/a</w:t>
                  </w:r>
                </w:p>
              </w:tc>
              <w:tc>
                <w:tcPr>
                  <w:tcW w:w="2033" w:type="dxa"/>
                  <w:noWrap w:val="0"/>
                  <w:vAlign w:val="center"/>
                </w:tcPr>
                <w:p w14:paraId="2618A710">
                  <w:pPr>
                    <w:keepNext w:val="0"/>
                    <w:keepLines w:val="0"/>
                    <w:widowControl/>
                    <w:suppressLineNumbers w:val="0"/>
                    <w:jc w:val="left"/>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rPr>
                    <w:t>《挥发性有机物无组织排放控制标准》 （GB37822-2019）</w:t>
                  </w:r>
                </w:p>
              </w:tc>
              <w:tc>
                <w:tcPr>
                  <w:tcW w:w="765" w:type="dxa"/>
                  <w:vMerge w:val="restart"/>
                  <w:noWrap w:val="0"/>
                  <w:vAlign w:val="center"/>
                </w:tcPr>
                <w:p w14:paraId="4FB42088">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正常运营期间</w:t>
                  </w:r>
                </w:p>
                <w:p w14:paraId="7AD98E4D">
                  <w:pPr>
                    <w:spacing w:line="300" w:lineRule="exact"/>
                    <w:jc w:val="center"/>
                    <w:rPr>
                      <w:rFonts w:hint="default" w:ascii="Times New Roman" w:hAnsi="Times New Roman" w:cs="Times New Roman"/>
                      <w:bCs/>
                      <w:color w:val="auto"/>
                      <w:sz w:val="21"/>
                      <w:szCs w:val="21"/>
                    </w:rPr>
                  </w:pPr>
                </w:p>
              </w:tc>
              <w:tc>
                <w:tcPr>
                  <w:tcW w:w="714" w:type="dxa"/>
                  <w:vMerge w:val="restart"/>
                  <w:noWrap w:val="0"/>
                  <w:vAlign w:val="center"/>
                </w:tcPr>
                <w:p w14:paraId="42F3E07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有资质的监测单位</w:t>
                  </w:r>
                </w:p>
                <w:p w14:paraId="2EB8098C">
                  <w:pPr>
                    <w:spacing w:line="300" w:lineRule="exact"/>
                    <w:jc w:val="center"/>
                    <w:rPr>
                      <w:rFonts w:hint="default" w:ascii="Times New Roman" w:hAnsi="Times New Roman" w:cs="Times New Roman"/>
                      <w:color w:val="auto"/>
                      <w:sz w:val="21"/>
                      <w:szCs w:val="21"/>
                    </w:rPr>
                  </w:pPr>
                </w:p>
              </w:tc>
            </w:tr>
            <w:tr w14:paraId="01E6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26" w:type="dxa"/>
                  <w:vMerge w:val="continue"/>
                  <w:noWrap w:val="0"/>
                  <w:vAlign w:val="center"/>
                </w:tcPr>
                <w:p w14:paraId="01A95CFF">
                  <w:pPr>
                    <w:jc w:val="center"/>
                    <w:rPr>
                      <w:rFonts w:hint="default" w:ascii="Times New Roman" w:hAnsi="Times New Roman" w:cs="Times New Roman"/>
                      <w:color w:val="auto"/>
                      <w:sz w:val="21"/>
                      <w:szCs w:val="21"/>
                    </w:rPr>
                  </w:pPr>
                </w:p>
              </w:tc>
              <w:tc>
                <w:tcPr>
                  <w:tcW w:w="410" w:type="dxa"/>
                  <w:vMerge w:val="continue"/>
                  <w:noWrap w:val="0"/>
                  <w:vAlign w:val="center"/>
                </w:tcPr>
                <w:p w14:paraId="132E05A0">
                  <w:pPr>
                    <w:jc w:val="center"/>
                    <w:rPr>
                      <w:rFonts w:hint="default" w:ascii="Times New Roman" w:hAnsi="Times New Roman" w:cs="Times New Roman"/>
                      <w:color w:val="auto"/>
                      <w:kern w:val="1"/>
                      <w:sz w:val="21"/>
                      <w:szCs w:val="21"/>
                    </w:rPr>
                  </w:pPr>
                </w:p>
              </w:tc>
              <w:tc>
                <w:tcPr>
                  <w:tcW w:w="1944" w:type="dxa"/>
                  <w:noWrap w:val="0"/>
                  <w:vAlign w:val="center"/>
                </w:tcPr>
                <w:p w14:paraId="1C57714E">
                  <w:pPr>
                    <w:jc w:val="center"/>
                    <w:rPr>
                      <w:rFonts w:hint="default" w:ascii="Times New Roman" w:hAnsi="Times New Roman" w:cs="Times New Roman"/>
                      <w:color w:val="auto"/>
                      <w:kern w:val="1"/>
                      <w:sz w:val="21"/>
                      <w:szCs w:val="21"/>
                      <w:lang w:val="en-US" w:eastAsia="zh-CN"/>
                    </w:rPr>
                  </w:pPr>
                  <w:r>
                    <w:rPr>
                      <w:rFonts w:hint="default" w:ascii="Times New Roman" w:hAnsi="Times New Roman" w:cs="Times New Roman"/>
                      <w:color w:val="auto"/>
                      <w:kern w:val="1"/>
                      <w:sz w:val="21"/>
                      <w:szCs w:val="21"/>
                      <w:lang w:val="en-US" w:eastAsia="zh-CN"/>
                    </w:rPr>
                    <w:t>加油油气回收立管</w:t>
                  </w:r>
                </w:p>
              </w:tc>
              <w:tc>
                <w:tcPr>
                  <w:tcW w:w="1446" w:type="dxa"/>
                  <w:noWrap w:val="0"/>
                  <w:vAlign w:val="center"/>
                </w:tcPr>
                <w:p w14:paraId="1C65BB5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液阻、密闭性</w:t>
                  </w:r>
                </w:p>
              </w:tc>
              <w:tc>
                <w:tcPr>
                  <w:tcW w:w="978" w:type="dxa"/>
                  <w:vMerge w:val="restart"/>
                  <w:noWrap w:val="0"/>
                  <w:vAlign w:val="center"/>
                </w:tcPr>
                <w:p w14:paraId="15832F63">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1次/a</w:t>
                  </w:r>
                </w:p>
                <w:p w14:paraId="501B21CE">
                  <w:pPr>
                    <w:jc w:val="center"/>
                    <w:rPr>
                      <w:rFonts w:hint="default" w:ascii="Times New Roman" w:hAnsi="Times New Roman" w:cs="Times New Roman"/>
                      <w:bCs/>
                      <w:color w:val="auto"/>
                      <w:sz w:val="21"/>
                      <w:szCs w:val="21"/>
                    </w:rPr>
                  </w:pPr>
                </w:p>
              </w:tc>
              <w:tc>
                <w:tcPr>
                  <w:tcW w:w="2033" w:type="dxa"/>
                  <w:vMerge w:val="restart"/>
                  <w:noWrap w:val="0"/>
                  <w:vAlign w:val="center"/>
                </w:tcPr>
                <w:p w14:paraId="7ED940F8">
                  <w:pPr>
                    <w:jc w:val="both"/>
                    <w:rPr>
                      <w:rFonts w:hint="default" w:ascii="Times New Roman" w:hAnsi="Times New Roman"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《加油站大气污染物排放标准》GB20950-2020</w:t>
                  </w:r>
                </w:p>
              </w:tc>
              <w:tc>
                <w:tcPr>
                  <w:tcW w:w="765" w:type="dxa"/>
                  <w:vMerge w:val="continue"/>
                  <w:noWrap w:val="0"/>
                  <w:vAlign w:val="center"/>
                </w:tcPr>
                <w:p w14:paraId="7262D16E">
                  <w:pPr>
                    <w:jc w:val="center"/>
                    <w:rPr>
                      <w:rFonts w:hint="default" w:ascii="Times New Roman" w:hAnsi="Times New Roman" w:cs="Times New Roman"/>
                      <w:bCs/>
                      <w:color w:val="auto"/>
                      <w:sz w:val="21"/>
                      <w:szCs w:val="21"/>
                    </w:rPr>
                  </w:pPr>
                </w:p>
              </w:tc>
              <w:tc>
                <w:tcPr>
                  <w:tcW w:w="714" w:type="dxa"/>
                  <w:vMerge w:val="continue"/>
                  <w:noWrap w:val="0"/>
                  <w:vAlign w:val="center"/>
                </w:tcPr>
                <w:p w14:paraId="3A2F9502">
                  <w:pPr>
                    <w:jc w:val="center"/>
                    <w:rPr>
                      <w:rFonts w:hint="default" w:ascii="Times New Roman" w:hAnsi="Times New Roman" w:cs="Times New Roman"/>
                      <w:color w:val="auto"/>
                      <w:sz w:val="21"/>
                      <w:szCs w:val="21"/>
                    </w:rPr>
                  </w:pPr>
                </w:p>
              </w:tc>
            </w:tr>
            <w:tr w14:paraId="2B20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26" w:type="dxa"/>
                  <w:vMerge w:val="continue"/>
                  <w:noWrap w:val="0"/>
                  <w:vAlign w:val="center"/>
                </w:tcPr>
                <w:p w14:paraId="16F28FC5">
                  <w:pPr>
                    <w:jc w:val="center"/>
                    <w:rPr>
                      <w:rFonts w:hint="default" w:ascii="Times New Roman" w:hAnsi="Times New Roman" w:cs="Times New Roman"/>
                      <w:color w:val="auto"/>
                    </w:rPr>
                  </w:pPr>
                </w:p>
              </w:tc>
              <w:tc>
                <w:tcPr>
                  <w:tcW w:w="410" w:type="dxa"/>
                  <w:vMerge w:val="continue"/>
                  <w:noWrap w:val="0"/>
                  <w:vAlign w:val="center"/>
                </w:tcPr>
                <w:p w14:paraId="2403B404">
                  <w:pPr>
                    <w:jc w:val="center"/>
                    <w:rPr>
                      <w:rFonts w:hint="default" w:ascii="Times New Roman" w:hAnsi="Times New Roman" w:cs="Times New Roman"/>
                      <w:color w:val="auto"/>
                    </w:rPr>
                  </w:pPr>
                </w:p>
              </w:tc>
              <w:tc>
                <w:tcPr>
                  <w:tcW w:w="1944" w:type="dxa"/>
                  <w:noWrap w:val="0"/>
                  <w:vAlign w:val="center"/>
                </w:tcPr>
                <w:p w14:paraId="07A720C1">
                  <w:pPr>
                    <w:jc w:val="center"/>
                    <w:rPr>
                      <w:rFonts w:hint="default" w:ascii="Times New Roman" w:hAnsi="Times New Roman" w:cs="Times New Roman"/>
                      <w:color w:val="auto"/>
                      <w:kern w:val="1"/>
                      <w:sz w:val="21"/>
                      <w:szCs w:val="21"/>
                      <w:lang w:val="en-US" w:eastAsia="zh-CN"/>
                    </w:rPr>
                  </w:pPr>
                  <w:r>
                    <w:rPr>
                      <w:rFonts w:hint="default" w:ascii="Times New Roman" w:hAnsi="Times New Roman" w:cs="Times New Roman"/>
                      <w:color w:val="auto"/>
                      <w:kern w:val="1"/>
                      <w:sz w:val="21"/>
                      <w:szCs w:val="21"/>
                      <w:lang w:val="en-US" w:eastAsia="zh-CN"/>
                    </w:rPr>
                    <w:t>加油枪喷管</w:t>
                  </w:r>
                </w:p>
              </w:tc>
              <w:tc>
                <w:tcPr>
                  <w:tcW w:w="1446" w:type="dxa"/>
                  <w:noWrap w:val="0"/>
                  <w:vAlign w:val="center"/>
                </w:tcPr>
                <w:p w14:paraId="6F382E1B">
                  <w:pPr>
                    <w:jc w:val="center"/>
                    <w:rPr>
                      <w:rFonts w:hint="default" w:ascii="Times New Roman" w:hAnsi="Times New Roman" w:cs="Times New Roman"/>
                      <w:color w:val="auto"/>
                      <w:kern w:val="1"/>
                      <w:sz w:val="21"/>
                      <w:szCs w:val="21"/>
                      <w:lang w:val="en-US" w:eastAsia="zh-CN"/>
                    </w:rPr>
                  </w:pPr>
                  <w:r>
                    <w:rPr>
                      <w:rFonts w:hint="default" w:ascii="Times New Roman" w:hAnsi="Times New Roman" w:cs="Times New Roman"/>
                      <w:color w:val="auto"/>
                      <w:sz w:val="21"/>
                      <w:szCs w:val="21"/>
                    </w:rPr>
                    <w:t>气液比</w:t>
                  </w:r>
                </w:p>
              </w:tc>
              <w:tc>
                <w:tcPr>
                  <w:tcW w:w="978" w:type="dxa"/>
                  <w:vMerge w:val="continue"/>
                  <w:noWrap w:val="0"/>
                  <w:vAlign w:val="center"/>
                </w:tcPr>
                <w:p w14:paraId="29E2A9BF">
                  <w:pPr>
                    <w:jc w:val="center"/>
                    <w:rPr>
                      <w:rFonts w:hint="default" w:ascii="Times New Roman" w:hAnsi="Times New Roman" w:cs="Times New Roman"/>
                      <w:color w:val="auto"/>
                      <w:kern w:val="1"/>
                      <w:sz w:val="21"/>
                      <w:szCs w:val="21"/>
                      <w:lang w:val="en-US" w:eastAsia="zh-CN"/>
                    </w:rPr>
                  </w:pPr>
                </w:p>
              </w:tc>
              <w:tc>
                <w:tcPr>
                  <w:tcW w:w="2033" w:type="dxa"/>
                  <w:vMerge w:val="continue"/>
                  <w:noWrap w:val="0"/>
                  <w:vAlign w:val="center"/>
                </w:tcPr>
                <w:p w14:paraId="7A6AC920">
                  <w:pPr>
                    <w:jc w:val="center"/>
                    <w:rPr>
                      <w:rFonts w:hint="default" w:ascii="Times New Roman" w:hAnsi="Times New Roman" w:cs="Times New Roman"/>
                      <w:color w:val="auto"/>
                      <w:kern w:val="1"/>
                      <w:sz w:val="21"/>
                      <w:szCs w:val="21"/>
                      <w:lang w:val="en-US" w:eastAsia="zh-CN"/>
                    </w:rPr>
                  </w:pPr>
                </w:p>
              </w:tc>
              <w:tc>
                <w:tcPr>
                  <w:tcW w:w="765" w:type="dxa"/>
                  <w:vMerge w:val="continue"/>
                  <w:noWrap w:val="0"/>
                  <w:vAlign w:val="center"/>
                </w:tcPr>
                <w:p w14:paraId="3E10FF2F">
                  <w:pPr>
                    <w:jc w:val="center"/>
                    <w:rPr>
                      <w:rFonts w:hint="default" w:ascii="Times New Roman" w:hAnsi="Times New Roman" w:cs="Times New Roman"/>
                      <w:color w:val="auto"/>
                      <w:kern w:val="1"/>
                      <w:sz w:val="21"/>
                      <w:szCs w:val="21"/>
                      <w:lang w:val="en-US" w:eastAsia="zh-CN"/>
                    </w:rPr>
                  </w:pPr>
                </w:p>
              </w:tc>
              <w:tc>
                <w:tcPr>
                  <w:tcW w:w="714" w:type="dxa"/>
                  <w:vMerge w:val="continue"/>
                  <w:noWrap w:val="0"/>
                  <w:vAlign w:val="center"/>
                </w:tcPr>
                <w:p w14:paraId="4ACA9C8E">
                  <w:pPr>
                    <w:jc w:val="center"/>
                    <w:rPr>
                      <w:rFonts w:hint="default" w:ascii="Times New Roman" w:hAnsi="Times New Roman" w:cs="Times New Roman"/>
                      <w:color w:val="auto"/>
                      <w:kern w:val="1"/>
                      <w:sz w:val="21"/>
                      <w:szCs w:val="21"/>
                      <w:lang w:val="en-US" w:eastAsia="zh-CN"/>
                    </w:rPr>
                  </w:pPr>
                </w:p>
              </w:tc>
            </w:tr>
            <w:tr w14:paraId="5F02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26" w:type="dxa"/>
                  <w:vMerge w:val="continue"/>
                  <w:noWrap w:val="0"/>
                  <w:vAlign w:val="center"/>
                </w:tcPr>
                <w:p w14:paraId="31B4F0A2">
                  <w:pPr>
                    <w:jc w:val="center"/>
                    <w:rPr>
                      <w:rFonts w:hint="default" w:ascii="Times New Roman" w:hAnsi="Times New Roman" w:cs="Times New Roman"/>
                      <w:color w:val="auto"/>
                    </w:rPr>
                  </w:pPr>
                </w:p>
              </w:tc>
              <w:tc>
                <w:tcPr>
                  <w:tcW w:w="410" w:type="dxa"/>
                  <w:vMerge w:val="continue"/>
                  <w:noWrap w:val="0"/>
                  <w:vAlign w:val="center"/>
                </w:tcPr>
                <w:p w14:paraId="1ED82646">
                  <w:pPr>
                    <w:jc w:val="center"/>
                    <w:rPr>
                      <w:rFonts w:hint="default" w:ascii="Times New Roman" w:hAnsi="Times New Roman" w:cs="Times New Roman"/>
                      <w:color w:val="auto"/>
                    </w:rPr>
                  </w:pPr>
                </w:p>
              </w:tc>
              <w:tc>
                <w:tcPr>
                  <w:tcW w:w="1944" w:type="dxa"/>
                  <w:noWrap w:val="0"/>
                  <w:vAlign w:val="center"/>
                </w:tcPr>
                <w:p w14:paraId="4C99C652">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cs="Times New Roman"/>
                      <w:color w:val="auto"/>
                      <w:kern w:val="1"/>
                      <w:sz w:val="21"/>
                      <w:szCs w:val="21"/>
                      <w:lang w:val="en-US" w:eastAsia="zh-CN"/>
                    </w:rPr>
                    <w:t>加油站</w:t>
                  </w:r>
                  <w:r>
                    <w:rPr>
                      <w:rFonts w:hint="default" w:ascii="Times New Roman" w:hAnsi="Times New Roman" w:cs="Times New Roman"/>
                      <w:color w:val="auto"/>
                      <w:kern w:val="1"/>
                      <w:sz w:val="21"/>
                      <w:szCs w:val="21"/>
                    </w:rPr>
                    <w:t>油气回收系统</w:t>
                  </w:r>
                  <w:r>
                    <w:rPr>
                      <w:rFonts w:hint="default" w:ascii="Times New Roman" w:hAnsi="Times New Roman" w:cs="Times New Roman"/>
                      <w:color w:val="auto"/>
                      <w:kern w:val="1"/>
                      <w:sz w:val="21"/>
                      <w:szCs w:val="21"/>
                      <w:lang w:val="en-US" w:eastAsia="zh-CN"/>
                    </w:rPr>
                    <w:t>密闭点</w:t>
                  </w:r>
                </w:p>
              </w:tc>
              <w:tc>
                <w:tcPr>
                  <w:tcW w:w="1446" w:type="dxa"/>
                  <w:noWrap w:val="0"/>
                  <w:vAlign w:val="center"/>
                </w:tcPr>
                <w:p w14:paraId="235873E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泄漏检测值</w:t>
                  </w:r>
                </w:p>
              </w:tc>
              <w:tc>
                <w:tcPr>
                  <w:tcW w:w="978" w:type="dxa"/>
                  <w:vMerge w:val="continue"/>
                  <w:noWrap w:val="0"/>
                  <w:vAlign w:val="center"/>
                </w:tcPr>
                <w:p w14:paraId="4E23B23D">
                  <w:pPr>
                    <w:jc w:val="center"/>
                    <w:rPr>
                      <w:rFonts w:hint="default" w:ascii="Times New Roman" w:hAnsi="Times New Roman" w:cs="Times New Roman"/>
                      <w:color w:val="auto"/>
                      <w:kern w:val="1"/>
                      <w:sz w:val="21"/>
                      <w:szCs w:val="21"/>
                      <w:lang w:val="en-US" w:eastAsia="zh-CN"/>
                    </w:rPr>
                  </w:pPr>
                </w:p>
              </w:tc>
              <w:tc>
                <w:tcPr>
                  <w:tcW w:w="2033" w:type="dxa"/>
                  <w:vMerge w:val="continue"/>
                  <w:noWrap w:val="0"/>
                  <w:vAlign w:val="center"/>
                </w:tcPr>
                <w:p w14:paraId="56EB0B55">
                  <w:pPr>
                    <w:jc w:val="center"/>
                    <w:rPr>
                      <w:rFonts w:hint="default" w:ascii="Times New Roman" w:hAnsi="Times New Roman" w:cs="Times New Roman"/>
                      <w:color w:val="auto"/>
                      <w:kern w:val="1"/>
                      <w:sz w:val="21"/>
                      <w:szCs w:val="21"/>
                      <w:lang w:val="en-US" w:eastAsia="zh-CN"/>
                    </w:rPr>
                  </w:pPr>
                </w:p>
              </w:tc>
              <w:tc>
                <w:tcPr>
                  <w:tcW w:w="765" w:type="dxa"/>
                  <w:vMerge w:val="continue"/>
                  <w:noWrap w:val="0"/>
                  <w:vAlign w:val="center"/>
                </w:tcPr>
                <w:p w14:paraId="749D099B">
                  <w:pPr>
                    <w:jc w:val="center"/>
                    <w:rPr>
                      <w:rFonts w:hint="default" w:ascii="Times New Roman" w:hAnsi="Times New Roman" w:cs="Times New Roman"/>
                      <w:color w:val="auto"/>
                      <w:kern w:val="1"/>
                      <w:sz w:val="21"/>
                      <w:szCs w:val="21"/>
                      <w:lang w:val="en-US" w:eastAsia="zh-CN"/>
                    </w:rPr>
                  </w:pPr>
                </w:p>
              </w:tc>
              <w:tc>
                <w:tcPr>
                  <w:tcW w:w="714" w:type="dxa"/>
                  <w:vMerge w:val="continue"/>
                  <w:noWrap w:val="0"/>
                  <w:vAlign w:val="center"/>
                </w:tcPr>
                <w:p w14:paraId="7C68ACED">
                  <w:pPr>
                    <w:jc w:val="center"/>
                    <w:rPr>
                      <w:rFonts w:hint="default" w:ascii="Times New Roman" w:hAnsi="Times New Roman" w:cs="Times New Roman"/>
                      <w:color w:val="auto"/>
                      <w:kern w:val="1"/>
                      <w:sz w:val="21"/>
                      <w:szCs w:val="21"/>
                      <w:lang w:val="en-US" w:eastAsia="zh-CN"/>
                    </w:rPr>
                  </w:pPr>
                </w:p>
              </w:tc>
            </w:tr>
            <w:tr w14:paraId="3265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vMerge w:val="continue"/>
                  <w:noWrap w:val="0"/>
                  <w:vAlign w:val="center"/>
                </w:tcPr>
                <w:p w14:paraId="4F8A820C">
                  <w:pPr>
                    <w:jc w:val="center"/>
                    <w:rPr>
                      <w:rFonts w:hint="default" w:ascii="Times New Roman" w:hAnsi="Times New Roman" w:cs="Times New Roman"/>
                      <w:color w:val="auto"/>
                      <w:sz w:val="21"/>
                      <w:szCs w:val="21"/>
                    </w:rPr>
                  </w:pPr>
                </w:p>
              </w:tc>
              <w:tc>
                <w:tcPr>
                  <w:tcW w:w="410" w:type="dxa"/>
                  <w:vMerge w:val="continue"/>
                  <w:noWrap w:val="0"/>
                  <w:vAlign w:val="center"/>
                </w:tcPr>
                <w:p w14:paraId="754171B6">
                  <w:pPr>
                    <w:jc w:val="center"/>
                    <w:rPr>
                      <w:rFonts w:hint="default" w:ascii="Times New Roman" w:hAnsi="Times New Roman" w:cs="Times New Roman"/>
                      <w:color w:val="auto"/>
                      <w:kern w:val="1"/>
                      <w:sz w:val="21"/>
                      <w:szCs w:val="21"/>
                    </w:rPr>
                  </w:pPr>
                </w:p>
              </w:tc>
              <w:tc>
                <w:tcPr>
                  <w:tcW w:w="1944" w:type="dxa"/>
                  <w:noWrap w:val="0"/>
                  <w:vAlign w:val="center"/>
                </w:tcPr>
                <w:p w14:paraId="0BE361E9">
                  <w:pPr>
                    <w:jc w:val="center"/>
                    <w:rPr>
                      <w:rFonts w:hint="default" w:ascii="Times New Roman" w:hAnsi="Times New Roman" w:cs="Times New Roman"/>
                      <w:color w:val="auto"/>
                      <w:kern w:val="1"/>
                      <w:sz w:val="21"/>
                      <w:szCs w:val="21"/>
                    </w:rPr>
                  </w:pPr>
                  <w:r>
                    <w:rPr>
                      <w:rFonts w:hint="default" w:ascii="Times New Roman" w:hAnsi="Times New Roman" w:eastAsia="宋体" w:cs="Times New Roman"/>
                      <w:color w:val="auto"/>
                      <w:sz w:val="21"/>
                      <w:szCs w:val="21"/>
                    </w:rPr>
                    <w:t>企业边界</w:t>
                  </w:r>
                </w:p>
              </w:tc>
              <w:tc>
                <w:tcPr>
                  <w:tcW w:w="1446" w:type="dxa"/>
                  <w:noWrap w:val="0"/>
                  <w:vAlign w:val="center"/>
                </w:tcPr>
                <w:p w14:paraId="0EC75848">
                  <w:pPr>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非甲烷总烃</w:t>
                  </w:r>
                </w:p>
              </w:tc>
              <w:tc>
                <w:tcPr>
                  <w:tcW w:w="978" w:type="dxa"/>
                  <w:vMerge w:val="continue"/>
                  <w:noWrap w:val="0"/>
                  <w:vAlign w:val="center"/>
                </w:tcPr>
                <w:p w14:paraId="69FFFF0D">
                  <w:pPr>
                    <w:jc w:val="center"/>
                    <w:rPr>
                      <w:rFonts w:hint="default" w:ascii="Times New Roman" w:hAnsi="Times New Roman" w:cs="Times New Roman"/>
                      <w:bCs/>
                      <w:color w:val="auto"/>
                      <w:sz w:val="21"/>
                      <w:szCs w:val="21"/>
                    </w:rPr>
                  </w:pPr>
                </w:p>
              </w:tc>
              <w:tc>
                <w:tcPr>
                  <w:tcW w:w="2033" w:type="dxa"/>
                  <w:vMerge w:val="continue"/>
                  <w:noWrap w:val="0"/>
                  <w:vAlign w:val="center"/>
                </w:tcPr>
                <w:p w14:paraId="579BD308">
                  <w:pPr>
                    <w:jc w:val="both"/>
                    <w:rPr>
                      <w:rFonts w:hint="default" w:ascii="Times New Roman" w:hAnsi="Times New Roman" w:cs="Times New Roman"/>
                      <w:bCs/>
                      <w:color w:val="auto"/>
                      <w:sz w:val="21"/>
                      <w:szCs w:val="21"/>
                    </w:rPr>
                  </w:pPr>
                </w:p>
              </w:tc>
              <w:tc>
                <w:tcPr>
                  <w:tcW w:w="765" w:type="dxa"/>
                  <w:vMerge w:val="continue"/>
                  <w:noWrap w:val="0"/>
                  <w:vAlign w:val="center"/>
                </w:tcPr>
                <w:p w14:paraId="78025A8A">
                  <w:pPr>
                    <w:jc w:val="center"/>
                    <w:rPr>
                      <w:rFonts w:hint="default" w:ascii="Times New Roman" w:hAnsi="Times New Roman" w:cs="Times New Roman"/>
                      <w:bCs/>
                      <w:color w:val="auto"/>
                      <w:sz w:val="21"/>
                      <w:szCs w:val="21"/>
                    </w:rPr>
                  </w:pPr>
                </w:p>
              </w:tc>
              <w:tc>
                <w:tcPr>
                  <w:tcW w:w="714" w:type="dxa"/>
                  <w:vMerge w:val="continue"/>
                  <w:noWrap w:val="0"/>
                  <w:vAlign w:val="center"/>
                </w:tcPr>
                <w:p w14:paraId="47AFD71D">
                  <w:pPr>
                    <w:jc w:val="center"/>
                    <w:rPr>
                      <w:rFonts w:hint="default" w:ascii="Times New Roman" w:hAnsi="Times New Roman" w:cs="Times New Roman"/>
                      <w:color w:val="auto"/>
                      <w:sz w:val="21"/>
                      <w:szCs w:val="21"/>
                    </w:rPr>
                  </w:pPr>
                </w:p>
              </w:tc>
            </w:tr>
          </w:tbl>
          <w:p w14:paraId="127493D1">
            <w:pPr>
              <w:adjustRightInd w:val="0"/>
              <w:snapToGrid w:val="0"/>
              <w:rPr>
                <w:rFonts w:hint="default" w:ascii="Times New Roman" w:hAnsi="Times New Roman" w:cs="Times New Roman"/>
                <w:bCs/>
                <w:color w:val="auto"/>
                <w:spacing w:val="-10"/>
                <w:szCs w:val="21"/>
                <w:lang w:val="en-US" w:eastAsia="zh-CN"/>
              </w:rPr>
            </w:pPr>
          </w:p>
          <w:p w14:paraId="6149F1A9">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cs="Times New Roman"/>
                <w:b/>
                <w:color w:val="auto"/>
                <w:sz w:val="24"/>
              </w:rPr>
            </w:pPr>
            <w:r>
              <w:rPr>
                <w:rFonts w:hint="default" w:ascii="Times New Roman" w:hAnsi="Times New Roman" w:cs="Times New Roman"/>
                <w:b/>
                <w:bCs w:val="0"/>
                <w:color w:val="auto"/>
                <w:spacing w:val="-10"/>
                <w:sz w:val="24"/>
                <w:szCs w:val="24"/>
                <w:lang w:val="en-US" w:eastAsia="zh-CN"/>
              </w:rPr>
              <w:t>2、</w:t>
            </w:r>
            <w:r>
              <w:rPr>
                <w:rFonts w:hint="default" w:ascii="Times New Roman" w:hAnsi="Times New Roman" w:cs="Times New Roman"/>
                <w:b/>
                <w:color w:val="auto"/>
                <w:sz w:val="24"/>
              </w:rPr>
              <w:t>地表水环境影响分析</w:t>
            </w:r>
          </w:p>
          <w:p w14:paraId="4872FB1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）废水产排情况</w:t>
            </w:r>
          </w:p>
          <w:p w14:paraId="6485DCD4">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本项目运营期水污染物主要为</w:t>
            </w:r>
            <w:r>
              <w:rPr>
                <w:rFonts w:hint="default" w:ascii="Times New Roman" w:hAnsi="Times New Roman" w:cs="Times New Roman"/>
                <w:color w:val="auto"/>
                <w:sz w:val="24"/>
                <w:lang w:val="en-US" w:eastAsia="zh-CN"/>
              </w:rPr>
              <w:t>员工生活</w:t>
            </w:r>
            <w:r>
              <w:rPr>
                <w:rFonts w:hint="default" w:ascii="Times New Roman" w:hAnsi="Times New Roman" w:cs="Times New Roman"/>
                <w:color w:val="auto"/>
                <w:sz w:val="24"/>
              </w:rPr>
              <w:t>废水、</w:t>
            </w:r>
            <w:r>
              <w:rPr>
                <w:rFonts w:hint="default" w:ascii="Times New Roman" w:hAnsi="Times New Roman" w:cs="Times New Roman"/>
                <w:color w:val="auto"/>
                <w:sz w:val="24"/>
                <w:lang w:val="en-US" w:eastAsia="zh-CN"/>
              </w:rPr>
              <w:t>外来人员冲厕废水</w:t>
            </w:r>
            <w:r>
              <w:rPr>
                <w:rFonts w:hint="default" w:ascii="Times New Roman" w:hAnsi="Times New Roman" w:cs="Times New Roman"/>
                <w:color w:val="auto"/>
                <w:sz w:val="24"/>
              </w:rPr>
              <w:t>等。</w:t>
            </w:r>
            <w:r>
              <w:rPr>
                <w:rFonts w:hint="default" w:ascii="Times New Roman" w:hAnsi="Times New Roman" w:eastAsia="宋体" w:cs="Times New Roman"/>
                <w:color w:val="auto"/>
                <w:sz w:val="24"/>
                <w:szCs w:val="24"/>
                <w:highlight w:val="none"/>
                <w:lang w:eastAsia="zh-CN"/>
              </w:rPr>
              <w:t>根据前文水平衡</w:t>
            </w:r>
            <w:r>
              <w:rPr>
                <w:rFonts w:hint="default" w:ascii="Times New Roman" w:hAnsi="Times New Roman" w:eastAsia="宋体" w:cs="Times New Roman"/>
                <w:color w:val="auto"/>
                <w:sz w:val="24"/>
                <w:szCs w:val="24"/>
                <w:highlight w:val="none"/>
                <w:lang w:val="en-US" w:eastAsia="zh-CN"/>
              </w:rPr>
              <w:t>工程分析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废水主要为</w:t>
            </w:r>
            <w:r>
              <w:rPr>
                <w:rFonts w:hint="default" w:ascii="Times New Roman" w:hAnsi="Times New Roman" w:eastAsia="宋体" w:cs="Times New Roman"/>
                <w:color w:val="auto"/>
                <w:sz w:val="24"/>
                <w:szCs w:val="24"/>
                <w:highlight w:val="none"/>
                <w:lang w:eastAsia="zh-CN"/>
              </w:rPr>
              <w:t>废</w:t>
            </w:r>
            <w:r>
              <w:rPr>
                <w:rFonts w:hint="default" w:ascii="Times New Roman" w:hAnsi="Times New Roman" w:eastAsia="宋体" w:cs="Times New Roman"/>
                <w:color w:val="auto"/>
                <w:sz w:val="24"/>
                <w:szCs w:val="24"/>
                <w:highlight w:val="none"/>
              </w:rPr>
              <w:t>水</w:t>
            </w:r>
            <w:r>
              <w:rPr>
                <w:rFonts w:hint="default" w:ascii="Times New Roman" w:hAnsi="Times New Roman" w:eastAsia="宋体" w:cs="Times New Roman"/>
                <w:color w:val="auto"/>
                <w:sz w:val="24"/>
                <w:szCs w:val="24"/>
                <w:highlight w:val="none"/>
                <w:lang w:val="en-US" w:eastAsia="zh-CN"/>
              </w:rPr>
              <w:t>产排情况如下所示：</w:t>
            </w:r>
          </w:p>
          <w:p w14:paraId="0F8297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生活废水</w:t>
            </w:r>
          </w:p>
          <w:p w14:paraId="2AB63761">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员工生活废水量约为</w:t>
            </w:r>
            <w:r>
              <w:rPr>
                <w:rFonts w:hint="default" w:ascii="Times New Roman" w:hAnsi="Times New Roman" w:cs="Times New Roman"/>
                <w:color w:val="auto"/>
                <w:sz w:val="24"/>
                <w:szCs w:val="22"/>
                <w:lang w:val="en-US" w:eastAsia="zh-CN"/>
              </w:rPr>
              <w:t>0.24</w:t>
            </w:r>
            <w:r>
              <w:rPr>
                <w:rFonts w:hint="default" w:ascii="Times New Roman" w:hAnsi="Times New Roman" w:cs="Times New Roman"/>
                <w:color w:val="auto"/>
                <w:sz w:val="24"/>
                <w:szCs w:val="22"/>
              </w:rPr>
              <w:t>m³/d，</w:t>
            </w:r>
            <w:r>
              <w:rPr>
                <w:rFonts w:hint="default" w:ascii="Times New Roman" w:hAnsi="Times New Roman" w:cs="Times New Roman"/>
                <w:color w:val="auto"/>
                <w:sz w:val="24"/>
                <w:szCs w:val="22"/>
                <w:lang w:val="en-US" w:eastAsia="zh-CN"/>
              </w:rPr>
              <w:t>87.6</w:t>
            </w:r>
            <w:r>
              <w:rPr>
                <w:rFonts w:hint="default" w:ascii="Times New Roman" w:hAnsi="Times New Roman" w:cs="Times New Roman"/>
                <w:color w:val="auto"/>
                <w:sz w:val="24"/>
                <w:szCs w:val="22"/>
              </w:rPr>
              <w:t>m³/a。</w:t>
            </w:r>
          </w:p>
          <w:p w14:paraId="1A630E08">
            <w:pPr>
              <w:suppressLineNumbers/>
              <w:spacing w:line="360" w:lineRule="auto"/>
              <w:ind w:firstLine="435"/>
              <w:rPr>
                <w:rFonts w:hint="default" w:ascii="Times New Roman" w:hAnsi="Times New Roman" w:cs="Times New Roman"/>
                <w:color w:val="auto"/>
                <w:szCs w:val="20"/>
              </w:rPr>
            </w:pPr>
            <w:r>
              <w:rPr>
                <w:rFonts w:hint="default" w:ascii="Times New Roman" w:hAnsi="Times New Roman" w:cs="Times New Roman"/>
                <w:color w:val="auto"/>
                <w:sz w:val="24"/>
                <w:szCs w:val="22"/>
              </w:rPr>
              <w:t>员工厨房含油废水产生量为</w:t>
            </w:r>
            <w:r>
              <w:rPr>
                <w:rFonts w:hint="default" w:ascii="Times New Roman" w:hAnsi="Times New Roman" w:cs="Times New Roman"/>
                <w:color w:val="auto"/>
                <w:sz w:val="24"/>
                <w:szCs w:val="22"/>
                <w:lang w:val="en-US" w:eastAsia="zh-CN"/>
              </w:rPr>
              <w:t>0.048</w:t>
            </w:r>
            <w:r>
              <w:rPr>
                <w:rFonts w:hint="default" w:ascii="Times New Roman" w:hAnsi="Times New Roman" w:cs="Times New Roman"/>
                <w:color w:val="auto"/>
                <w:sz w:val="24"/>
                <w:szCs w:val="22"/>
              </w:rPr>
              <w:t>m³/d，</w:t>
            </w:r>
            <w:r>
              <w:rPr>
                <w:rFonts w:hint="default" w:ascii="Times New Roman" w:hAnsi="Times New Roman" w:cs="Times New Roman"/>
                <w:color w:val="auto"/>
                <w:sz w:val="24"/>
                <w:szCs w:val="22"/>
                <w:lang w:val="en-US" w:eastAsia="zh-CN"/>
              </w:rPr>
              <w:t>17.52</w:t>
            </w:r>
            <w:r>
              <w:rPr>
                <w:rFonts w:hint="default" w:ascii="Times New Roman" w:hAnsi="Times New Roman" w:cs="Times New Roman"/>
                <w:color w:val="auto"/>
                <w:sz w:val="24"/>
                <w:szCs w:val="22"/>
              </w:rPr>
              <w:t>m³ /a。厨房用水经隔油池处理和化粪池处理。</w:t>
            </w:r>
          </w:p>
          <w:p w14:paraId="62BE531D">
            <w:pPr>
              <w:suppressLineNumbers/>
              <w:spacing w:line="360" w:lineRule="auto"/>
              <w:ind w:firstLine="43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2）外来人员冲厕废水</w:t>
            </w:r>
          </w:p>
          <w:p w14:paraId="485063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外来人员</w:t>
            </w:r>
            <w:r>
              <w:rPr>
                <w:rFonts w:hint="default" w:ascii="Times New Roman" w:hAnsi="Times New Roman" w:cs="Times New Roman"/>
                <w:color w:val="auto"/>
                <w:sz w:val="24"/>
                <w:szCs w:val="24"/>
              </w:rPr>
              <w:t>冲厕废水</w:t>
            </w:r>
            <w:r>
              <w:rPr>
                <w:rFonts w:hint="default" w:ascii="Times New Roman" w:hAnsi="Times New Roman" w:cs="Times New Roman"/>
                <w:color w:val="auto"/>
                <w:sz w:val="24"/>
                <w:szCs w:val="24"/>
                <w:lang w:val="en-US" w:eastAsia="zh-CN"/>
              </w:rPr>
              <w:t>量</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1.008</w:t>
            </w:r>
            <w:r>
              <w:rPr>
                <w:rFonts w:hint="default" w:ascii="Times New Roman" w:hAnsi="Times New Roman" w:cs="Times New Roman"/>
                <w:color w:val="auto"/>
                <w:sz w:val="24"/>
                <w:szCs w:val="24"/>
              </w:rPr>
              <w:t>m³/d，</w:t>
            </w:r>
            <w:r>
              <w:rPr>
                <w:rFonts w:hint="default" w:ascii="Times New Roman" w:hAnsi="Times New Roman" w:cs="Times New Roman"/>
                <w:color w:val="auto"/>
                <w:sz w:val="24"/>
                <w:szCs w:val="24"/>
                <w:lang w:val="en-US" w:eastAsia="zh-CN"/>
              </w:rPr>
              <w:t>367.92</w:t>
            </w:r>
            <w:r>
              <w:rPr>
                <w:rFonts w:hint="default" w:ascii="Times New Roman" w:hAnsi="Times New Roman" w:cs="Times New Roman"/>
                <w:color w:val="auto"/>
                <w:sz w:val="24"/>
                <w:szCs w:val="24"/>
              </w:rPr>
              <w:t>m³/d。冲厕废水进入化粪池处理。</w:t>
            </w:r>
          </w:p>
          <w:p w14:paraId="3F7A7338">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3</w:t>
            </w:r>
            <w:r>
              <w:rPr>
                <w:rFonts w:hint="default" w:ascii="Times New Roman" w:hAnsi="Times New Roman" w:cs="Times New Roman"/>
                <w:color w:val="auto"/>
                <w:sz w:val="24"/>
              </w:rPr>
              <w:t>）地坪冲洗水</w:t>
            </w:r>
          </w:p>
          <w:p w14:paraId="359237B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加油区地面需清洁的面积约为298.77m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，采用拖把清洁，根据《云南省地方标准用水定额》（DB53/T168-2019），场地清洗用水量为2L/（㎡·d），项目每周对地面进行一次清洗，每次用水量为</w:t>
            </w:r>
            <w:r>
              <w:rPr>
                <w:rFonts w:hint="default" w:ascii="Times New Roman" w:hAnsi="Times New Roman" w:cs="Times New Roman"/>
                <w:color w:val="auto"/>
                <w:sz w:val="24"/>
                <w:szCs w:val="24"/>
                <w:lang w:val="en-US" w:eastAsia="zh-CN"/>
              </w:rPr>
              <w:t>0.</w:t>
            </w:r>
            <w:r>
              <w:rPr>
                <w:rFonts w:hint="eastAsia" w:cs="Times New Roman"/>
                <w:color w:val="auto"/>
                <w:sz w:val="24"/>
                <w:szCs w:val="24"/>
                <w:lang w:val="en-US" w:eastAsia="zh-CN"/>
              </w:rPr>
              <w:t>60</w:t>
            </w:r>
            <w:r>
              <w:rPr>
                <w:rFonts w:hint="default" w:ascii="Times New Roman" w:hAnsi="Times New Roman" w:eastAsia="宋体" w:cs="Times New Roman"/>
                <w:color w:val="auto"/>
                <w:sz w:val="24"/>
                <w:szCs w:val="24"/>
              </w:rPr>
              <w:t>m³，</w:t>
            </w:r>
            <w:r>
              <w:rPr>
                <w:rFonts w:hint="eastAsia" w:cs="Times New Roman"/>
                <w:color w:val="auto"/>
                <w:sz w:val="24"/>
                <w:szCs w:val="24"/>
                <w:lang w:val="en-US" w:eastAsia="zh-CN"/>
              </w:rPr>
              <w:t>19.8</w:t>
            </w:r>
            <w:r>
              <w:rPr>
                <w:rFonts w:hint="default" w:ascii="Times New Roman" w:hAnsi="Times New Roman" w:eastAsia="宋体" w:cs="Times New Roman"/>
                <w:color w:val="auto"/>
                <w:sz w:val="24"/>
                <w:szCs w:val="24"/>
              </w:rPr>
              <w:t>m³/a。污水产生系数按0.8计，则废水产生量为</w:t>
            </w:r>
            <w:r>
              <w:rPr>
                <w:rFonts w:hint="eastAsia" w:cs="Times New Roman"/>
                <w:color w:val="auto"/>
                <w:sz w:val="24"/>
                <w:szCs w:val="24"/>
                <w:lang w:val="en-US" w:eastAsia="zh-CN"/>
              </w:rPr>
              <w:t>0.48</w:t>
            </w:r>
            <w:r>
              <w:rPr>
                <w:rFonts w:hint="default" w:ascii="Times New Roman" w:hAnsi="Times New Roman" w:eastAsia="宋体" w:cs="Times New Roman"/>
                <w:color w:val="auto"/>
                <w:sz w:val="24"/>
                <w:szCs w:val="24"/>
              </w:rPr>
              <w:t>m³/次，</w:t>
            </w:r>
            <w:r>
              <w:rPr>
                <w:rFonts w:hint="eastAsia" w:cs="Times New Roman"/>
                <w:color w:val="auto"/>
                <w:sz w:val="24"/>
                <w:szCs w:val="24"/>
                <w:lang w:val="en-US" w:eastAsia="zh-CN"/>
              </w:rPr>
              <w:t>15.84</w:t>
            </w:r>
            <w:r>
              <w:rPr>
                <w:rFonts w:hint="default" w:ascii="Times New Roman" w:hAnsi="Times New Roman" w:eastAsia="宋体" w:cs="Times New Roman"/>
                <w:color w:val="auto"/>
                <w:sz w:val="24"/>
                <w:szCs w:val="24"/>
              </w:rPr>
              <w:t>m³/a。主要污染物为COD、BOD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、SS、石油类等。</w:t>
            </w:r>
            <w:r>
              <w:rPr>
                <w:rFonts w:hint="default" w:ascii="Times New Roman" w:hAnsi="Times New Roman" w:cs="Times New Roman"/>
                <w:color w:val="auto"/>
                <w:sz w:val="24"/>
              </w:rPr>
              <w:t>地坪冲洗</w:t>
            </w:r>
            <w:r>
              <w:rPr>
                <w:rFonts w:hint="default" w:ascii="Times New Roman" w:hAnsi="Times New Roman" w:eastAsia="宋体" w:cs="Times New Roman"/>
                <w:color w:val="auto"/>
                <w:sz w:val="24"/>
                <w:szCs w:val="24"/>
              </w:rPr>
              <w:t>废水经三级油水分离池</w:t>
            </w:r>
            <w:r>
              <w:rPr>
                <w:rFonts w:hint="eastAsia" w:cs="Times New Roman"/>
                <w:color w:val="auto"/>
                <w:sz w:val="24"/>
                <w:szCs w:val="24"/>
                <w:lang w:val="en-US" w:eastAsia="zh-CN"/>
              </w:rPr>
              <w:t>处理</w:t>
            </w:r>
            <w:r>
              <w:rPr>
                <w:rFonts w:hint="default" w:ascii="Times New Roman" w:hAnsi="Times New Roman" w:eastAsia="宋体" w:cs="Times New Roman"/>
                <w:color w:val="auto"/>
                <w:sz w:val="24"/>
                <w:szCs w:val="24"/>
              </w:rPr>
              <w:t>后，</w:t>
            </w:r>
            <w:r>
              <w:rPr>
                <w:rFonts w:hint="eastAsia" w:cs="Times New Roman"/>
                <w:color w:val="auto"/>
                <w:sz w:val="24"/>
                <w:szCs w:val="24"/>
                <w:lang w:val="en-US" w:eastAsia="zh-CN"/>
              </w:rPr>
              <w:t>委托寻甸绿运垃圾清运有限公司清运处置</w:t>
            </w:r>
            <w:r>
              <w:rPr>
                <w:rFonts w:hint="default" w:ascii="Times New Roman" w:hAnsi="Times New Roman" w:eastAsia="宋体" w:cs="Times New Roman"/>
                <w:color w:val="auto"/>
                <w:sz w:val="24"/>
                <w:szCs w:val="24"/>
              </w:rPr>
              <w:t>。</w:t>
            </w:r>
          </w:p>
          <w:p w14:paraId="606F09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1"/>
                <w:sz w:val="24"/>
              </w:rPr>
            </w:pP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）初期雨水</w:t>
            </w:r>
          </w:p>
          <w:p w14:paraId="0D1133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初期雨水产生量为</w:t>
            </w:r>
            <w:r>
              <w:rPr>
                <w:rFonts w:hint="eastAsia" w:cs="Times New Roman"/>
                <w:color w:val="auto"/>
                <w:sz w:val="24"/>
                <w:szCs w:val="24"/>
                <w:lang w:val="en-US" w:eastAsia="zh-CN"/>
              </w:rPr>
              <w:t>5.346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cs="Times New Roman"/>
                <w:color w:val="auto"/>
                <w:sz w:val="24"/>
                <w:szCs w:val="24"/>
                <w:vertAlign w:val="baseline"/>
                <w:lang w:val="en-US" w:eastAsia="zh-CN"/>
              </w:rPr>
              <w:t>/d，</w:t>
            </w:r>
            <w:r>
              <w:rPr>
                <w:rFonts w:hint="eastAsia" w:cs="Times New Roman"/>
                <w:color w:val="auto"/>
                <w:sz w:val="24"/>
                <w:szCs w:val="24"/>
                <w:vertAlign w:val="baseline"/>
                <w:lang w:val="en-US" w:eastAsia="zh-CN"/>
              </w:rPr>
              <w:t>716.364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/a。项目初期雨收集后经三级油水分离池预处理后，</w:t>
            </w:r>
            <w:r>
              <w:rPr>
                <w:rFonts w:hint="eastAsia" w:cs="Times New Roman"/>
                <w:color w:val="auto"/>
                <w:sz w:val="24"/>
                <w:szCs w:val="24"/>
                <w:lang w:val="en-US" w:eastAsia="zh-CN"/>
              </w:rPr>
              <w:t>委托绿运垃圾清运有限公司清运处置</w:t>
            </w:r>
            <w:r>
              <w:rPr>
                <w:rFonts w:hint="default" w:ascii="Times New Roman" w:hAnsi="Times New Roman" w:eastAsia="宋体" w:cs="Times New Roman"/>
                <w:color w:val="auto"/>
                <w:sz w:val="24"/>
                <w:szCs w:val="24"/>
              </w:rPr>
              <w:t>。</w:t>
            </w:r>
          </w:p>
          <w:p w14:paraId="68EB73F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）绿化用水 </w:t>
            </w:r>
          </w:p>
          <w:p w14:paraId="12C323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本项目绿化用水为</w:t>
            </w:r>
            <w:r>
              <w:rPr>
                <w:rFonts w:hint="eastAsia" w:cs="Times New Roman"/>
                <w:color w:val="auto"/>
                <w:sz w:val="24"/>
                <w:szCs w:val="24"/>
                <w:lang w:val="en-US" w:eastAsia="zh-CN"/>
              </w:rPr>
              <w:t>1.01</w:t>
            </w:r>
            <w:r>
              <w:rPr>
                <w:rFonts w:hint="default" w:ascii="Times New Roman" w:hAnsi="Times New Roman" w:cs="Times New Roman"/>
                <w:color w:val="auto"/>
                <w:sz w:val="24"/>
                <w:szCs w:val="24"/>
              </w:rPr>
              <w:t>m³/ d，</w:t>
            </w:r>
            <w:r>
              <w:rPr>
                <w:rFonts w:hint="eastAsia" w:cs="Times New Roman"/>
                <w:color w:val="auto"/>
                <w:sz w:val="24"/>
                <w:szCs w:val="24"/>
                <w:lang w:val="en-US" w:eastAsia="zh-CN"/>
              </w:rPr>
              <w:t>233.31</w:t>
            </w:r>
            <w:r>
              <w:rPr>
                <w:rFonts w:hint="default" w:ascii="Times New Roman" w:hAnsi="Times New Roman" w:cs="Times New Roman"/>
                <w:color w:val="auto"/>
                <w:sz w:val="24"/>
                <w:szCs w:val="24"/>
              </w:rPr>
              <w:t>m³/a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绿化用水全部消耗</w:t>
            </w:r>
            <w:r>
              <w:rPr>
                <w:rFonts w:hint="default" w:ascii="Times New Roman" w:hAnsi="Times New Roman" w:cs="Times New Roman"/>
                <w:color w:val="auto"/>
                <w:sz w:val="24"/>
                <w:szCs w:val="24"/>
                <w:lang w:eastAsia="zh-CN"/>
              </w:rPr>
              <w:t>。</w:t>
            </w:r>
          </w:p>
          <w:p w14:paraId="564511F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运营期的用排水情况见表</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p>
          <w:p w14:paraId="5522C274">
            <w:pPr>
              <w:adjustRightInd w:val="0"/>
              <w:snapToGrid w:val="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4</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7</w:t>
            </w:r>
            <w:r>
              <w:rPr>
                <w:rFonts w:hint="default" w:ascii="Times New Roman" w:hAnsi="Times New Roman" w:cs="Times New Roman"/>
                <w:b/>
                <w:color w:val="auto"/>
                <w:szCs w:val="21"/>
              </w:rPr>
              <w:t xml:space="preserve"> 项目运营期用排水情况一览表</w:t>
            </w:r>
          </w:p>
          <w:tbl>
            <w:tblPr>
              <w:tblStyle w:val="27"/>
              <w:tblW w:w="8513"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977"/>
              <w:gridCol w:w="978"/>
              <w:gridCol w:w="1193"/>
              <w:gridCol w:w="1118"/>
              <w:gridCol w:w="1241"/>
              <w:gridCol w:w="914"/>
              <w:gridCol w:w="941"/>
              <w:gridCol w:w="1151"/>
            </w:tblGrid>
            <w:tr w14:paraId="1989C12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53" w:hRule="exact"/>
                <w:jc w:val="center"/>
              </w:trPr>
              <w:tc>
                <w:tcPr>
                  <w:tcW w:w="1955" w:type="dxa"/>
                  <w:gridSpan w:val="2"/>
                  <w:vMerge w:val="restart"/>
                  <w:noWrap w:val="0"/>
                  <w:vAlign w:val="center"/>
                </w:tcPr>
                <w:p w14:paraId="119AB8FC">
                  <w:pPr>
                    <w:pStyle w:val="38"/>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用水类别</w:t>
                  </w:r>
                </w:p>
              </w:tc>
              <w:tc>
                <w:tcPr>
                  <w:tcW w:w="1193" w:type="dxa"/>
                  <w:vMerge w:val="restart"/>
                  <w:noWrap w:val="0"/>
                  <w:vAlign w:val="center"/>
                </w:tcPr>
                <w:p w14:paraId="57C47A26">
                  <w:pPr>
                    <w:pStyle w:val="38"/>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水源</w:t>
                  </w:r>
                </w:p>
              </w:tc>
              <w:tc>
                <w:tcPr>
                  <w:tcW w:w="2359" w:type="dxa"/>
                  <w:gridSpan w:val="2"/>
                  <w:noWrap w:val="0"/>
                  <w:vAlign w:val="center"/>
                </w:tcPr>
                <w:p w14:paraId="14882050">
                  <w:pPr>
                    <w:pStyle w:val="38"/>
                    <w:ind w:firstLine="422" w:firstLineChars="200"/>
                    <w:jc w:val="both"/>
                    <w:rPr>
                      <w:rFonts w:hint="default" w:ascii="Times New Roman" w:hAnsi="Times New Roman" w:cs="Times New Roman"/>
                      <w:b/>
                      <w:bCs/>
                      <w:color w:val="auto"/>
                      <w:szCs w:val="21"/>
                    </w:rPr>
                  </w:pPr>
                  <w:r>
                    <w:rPr>
                      <w:rFonts w:hint="default" w:ascii="Times New Roman" w:hAnsi="Times New Roman" w:cs="Times New Roman"/>
                      <w:b/>
                      <w:bCs/>
                      <w:color w:val="auto"/>
                      <w:szCs w:val="21"/>
                    </w:rPr>
                    <w:t>用水量</w:t>
                  </w:r>
                </w:p>
              </w:tc>
              <w:tc>
                <w:tcPr>
                  <w:tcW w:w="914" w:type="dxa"/>
                  <w:vMerge w:val="restart"/>
                  <w:noWrap w:val="0"/>
                  <w:vAlign w:val="center"/>
                </w:tcPr>
                <w:p w14:paraId="5EE39DD6">
                  <w:pPr>
                    <w:pStyle w:val="38"/>
                    <w:jc w:val="center"/>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产污</w:t>
                  </w:r>
                </w:p>
                <w:p w14:paraId="170B2795">
                  <w:pPr>
                    <w:pStyle w:val="38"/>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系数</w:t>
                  </w:r>
                </w:p>
              </w:tc>
              <w:tc>
                <w:tcPr>
                  <w:tcW w:w="2092" w:type="dxa"/>
                  <w:gridSpan w:val="2"/>
                  <w:noWrap w:val="0"/>
                  <w:vAlign w:val="center"/>
                </w:tcPr>
                <w:p w14:paraId="63A7374C">
                  <w:pPr>
                    <w:pStyle w:val="38"/>
                    <w:ind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废水量</w:t>
                  </w:r>
                </w:p>
              </w:tc>
            </w:tr>
            <w:tr w14:paraId="6E93F6A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2" w:hRule="exact"/>
                <w:jc w:val="center"/>
              </w:trPr>
              <w:tc>
                <w:tcPr>
                  <w:tcW w:w="1955" w:type="dxa"/>
                  <w:gridSpan w:val="2"/>
                  <w:vMerge w:val="continue"/>
                  <w:noWrap w:val="0"/>
                  <w:vAlign w:val="center"/>
                </w:tcPr>
                <w:p w14:paraId="6B7B6C30">
                  <w:pPr>
                    <w:pStyle w:val="38"/>
                    <w:ind w:firstLine="422" w:firstLineChars="200"/>
                    <w:jc w:val="center"/>
                    <w:rPr>
                      <w:rFonts w:hint="default" w:ascii="Times New Roman" w:hAnsi="Times New Roman" w:cs="Times New Roman"/>
                      <w:b/>
                      <w:bCs/>
                      <w:color w:val="auto"/>
                      <w:szCs w:val="21"/>
                    </w:rPr>
                  </w:pPr>
                </w:p>
              </w:tc>
              <w:tc>
                <w:tcPr>
                  <w:tcW w:w="1193" w:type="dxa"/>
                  <w:vMerge w:val="continue"/>
                  <w:noWrap w:val="0"/>
                  <w:vAlign w:val="center"/>
                </w:tcPr>
                <w:p w14:paraId="1DB62ECF">
                  <w:pPr>
                    <w:pStyle w:val="38"/>
                    <w:jc w:val="center"/>
                    <w:rPr>
                      <w:rFonts w:hint="default" w:ascii="Times New Roman" w:hAnsi="Times New Roman" w:cs="Times New Roman"/>
                      <w:b/>
                      <w:bCs/>
                      <w:color w:val="auto"/>
                      <w:szCs w:val="21"/>
                    </w:rPr>
                  </w:pPr>
                </w:p>
              </w:tc>
              <w:tc>
                <w:tcPr>
                  <w:tcW w:w="1118" w:type="dxa"/>
                  <w:tcBorders>
                    <w:right w:val="single" w:color="auto" w:sz="4" w:space="0"/>
                  </w:tcBorders>
                  <w:noWrap w:val="0"/>
                  <w:vAlign w:val="center"/>
                </w:tcPr>
                <w:p w14:paraId="39F684D3">
                  <w:pPr>
                    <w:pStyle w:val="38"/>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m³/d</w:t>
                  </w:r>
                </w:p>
              </w:tc>
              <w:tc>
                <w:tcPr>
                  <w:tcW w:w="1241" w:type="dxa"/>
                  <w:tcBorders>
                    <w:left w:val="single" w:color="auto" w:sz="4" w:space="0"/>
                  </w:tcBorders>
                  <w:noWrap w:val="0"/>
                  <w:vAlign w:val="center"/>
                </w:tcPr>
                <w:p w14:paraId="1173CED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m³/a</w:t>
                  </w:r>
                </w:p>
              </w:tc>
              <w:tc>
                <w:tcPr>
                  <w:tcW w:w="914" w:type="dxa"/>
                  <w:vMerge w:val="continue"/>
                  <w:noWrap w:val="0"/>
                  <w:vAlign w:val="center"/>
                </w:tcPr>
                <w:p w14:paraId="5AEED83B">
                  <w:pPr>
                    <w:jc w:val="center"/>
                    <w:rPr>
                      <w:rFonts w:hint="default" w:ascii="Times New Roman" w:hAnsi="Times New Roman" w:cs="Times New Roman"/>
                      <w:b/>
                      <w:bCs/>
                      <w:color w:val="auto"/>
                      <w:szCs w:val="21"/>
                    </w:rPr>
                  </w:pPr>
                </w:p>
              </w:tc>
              <w:tc>
                <w:tcPr>
                  <w:tcW w:w="941" w:type="dxa"/>
                  <w:tcBorders>
                    <w:right w:val="single" w:color="auto" w:sz="4" w:space="0"/>
                  </w:tcBorders>
                  <w:noWrap w:val="0"/>
                  <w:vAlign w:val="center"/>
                </w:tcPr>
                <w:p w14:paraId="6C4D73C2">
                  <w:pPr>
                    <w:pStyle w:val="38"/>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m³/d</w:t>
                  </w:r>
                </w:p>
              </w:tc>
              <w:tc>
                <w:tcPr>
                  <w:tcW w:w="1151" w:type="dxa"/>
                  <w:tcBorders>
                    <w:left w:val="single" w:color="auto" w:sz="4" w:space="0"/>
                  </w:tcBorders>
                  <w:noWrap w:val="0"/>
                  <w:vAlign w:val="center"/>
                </w:tcPr>
                <w:p w14:paraId="6CDD2B9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m³/a</w:t>
                  </w:r>
                </w:p>
              </w:tc>
            </w:tr>
            <w:tr w14:paraId="6C6E3BF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1955" w:type="dxa"/>
                  <w:gridSpan w:val="2"/>
                  <w:noWrap w:val="0"/>
                  <w:vAlign w:val="center"/>
                </w:tcPr>
                <w:p w14:paraId="70D66CED">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生活用水</w:t>
                  </w:r>
                </w:p>
                <w:p w14:paraId="7DB5D98A">
                  <w:pPr>
                    <w:pStyle w:val="38"/>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（除厨房用水）</w:t>
                  </w:r>
                </w:p>
              </w:tc>
              <w:tc>
                <w:tcPr>
                  <w:tcW w:w="1193" w:type="dxa"/>
                  <w:tcBorders>
                    <w:right w:val="single" w:color="auto" w:sz="4" w:space="0"/>
                  </w:tcBorders>
                  <w:noWrap w:val="0"/>
                  <w:vAlign w:val="center"/>
                </w:tcPr>
                <w:p w14:paraId="31A8EE64">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14B1BDDF">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241" w:type="dxa"/>
                  <w:tcBorders>
                    <w:left w:val="single" w:color="auto" w:sz="4" w:space="0"/>
                    <w:right w:val="single" w:color="auto" w:sz="4" w:space="0"/>
                  </w:tcBorders>
                  <w:noWrap w:val="0"/>
                  <w:vAlign w:val="center"/>
                </w:tcPr>
                <w:p w14:paraId="42107A1C">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109.5</w:t>
                  </w:r>
                </w:p>
              </w:tc>
              <w:tc>
                <w:tcPr>
                  <w:tcW w:w="914" w:type="dxa"/>
                  <w:tcBorders>
                    <w:left w:val="single" w:color="auto" w:sz="4" w:space="0"/>
                  </w:tcBorders>
                  <w:noWrap w:val="0"/>
                  <w:vAlign w:val="center"/>
                </w:tcPr>
                <w:p w14:paraId="18D99F32">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941" w:type="dxa"/>
                  <w:tcBorders>
                    <w:left w:val="single" w:color="auto" w:sz="4" w:space="0"/>
                  </w:tcBorders>
                  <w:noWrap w:val="0"/>
                  <w:vAlign w:val="center"/>
                </w:tcPr>
                <w:p w14:paraId="57630A55">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1151" w:type="dxa"/>
                  <w:tcBorders>
                    <w:left w:val="single" w:color="auto" w:sz="4" w:space="0"/>
                  </w:tcBorders>
                  <w:noWrap w:val="0"/>
                  <w:vAlign w:val="center"/>
                </w:tcPr>
                <w:p w14:paraId="21EB42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w:t>
                  </w:r>
                </w:p>
              </w:tc>
            </w:tr>
            <w:tr w14:paraId="7260331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955" w:type="dxa"/>
                  <w:gridSpan w:val="2"/>
                  <w:noWrap w:val="0"/>
                  <w:vAlign w:val="center"/>
                </w:tcPr>
                <w:p w14:paraId="4A87EAE9">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厨房用水</w:t>
                  </w:r>
                </w:p>
              </w:tc>
              <w:tc>
                <w:tcPr>
                  <w:tcW w:w="1193" w:type="dxa"/>
                  <w:tcBorders>
                    <w:right w:val="single" w:color="auto" w:sz="4" w:space="0"/>
                  </w:tcBorders>
                  <w:noWrap w:val="0"/>
                  <w:vAlign w:val="center"/>
                </w:tcPr>
                <w:p w14:paraId="389985E4">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7B2A3880">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241" w:type="dxa"/>
                  <w:tcBorders>
                    <w:left w:val="single" w:color="auto" w:sz="4" w:space="0"/>
                    <w:right w:val="single" w:color="auto" w:sz="4" w:space="0"/>
                  </w:tcBorders>
                  <w:noWrap w:val="0"/>
                  <w:vAlign w:val="center"/>
                </w:tcPr>
                <w:p w14:paraId="157E0BDC">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914" w:type="dxa"/>
                  <w:tcBorders>
                    <w:left w:val="single" w:color="auto" w:sz="4" w:space="0"/>
                  </w:tcBorders>
                  <w:noWrap w:val="0"/>
                  <w:vAlign w:val="center"/>
                </w:tcPr>
                <w:p w14:paraId="09CF8DA6">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941" w:type="dxa"/>
                  <w:tcBorders>
                    <w:left w:val="single" w:color="auto" w:sz="4" w:space="0"/>
                  </w:tcBorders>
                  <w:noWrap w:val="0"/>
                  <w:vAlign w:val="center"/>
                </w:tcPr>
                <w:p w14:paraId="1FA90459">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0.048</w:t>
                  </w:r>
                </w:p>
              </w:tc>
              <w:tc>
                <w:tcPr>
                  <w:tcW w:w="1151" w:type="dxa"/>
                  <w:tcBorders>
                    <w:left w:val="single" w:color="auto" w:sz="4" w:space="0"/>
                  </w:tcBorders>
                  <w:noWrap w:val="0"/>
                  <w:vAlign w:val="center"/>
                </w:tcPr>
                <w:p w14:paraId="0C5FD1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17.52</w:t>
                  </w:r>
                </w:p>
              </w:tc>
            </w:tr>
            <w:tr w14:paraId="76B59D77">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955" w:type="dxa"/>
                  <w:gridSpan w:val="2"/>
                  <w:noWrap w:val="0"/>
                  <w:vAlign w:val="center"/>
                </w:tcPr>
                <w:p w14:paraId="5E4C9D66">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外来人员冲厕</w:t>
                  </w:r>
                </w:p>
              </w:tc>
              <w:tc>
                <w:tcPr>
                  <w:tcW w:w="1193" w:type="dxa"/>
                  <w:tcBorders>
                    <w:right w:val="single" w:color="auto" w:sz="4" w:space="0"/>
                  </w:tcBorders>
                  <w:noWrap w:val="0"/>
                  <w:vAlign w:val="center"/>
                </w:tcPr>
                <w:p w14:paraId="30DDD689">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2E471354">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241" w:type="dxa"/>
                  <w:tcBorders>
                    <w:left w:val="single" w:color="auto" w:sz="4" w:space="0"/>
                    <w:right w:val="single" w:color="auto" w:sz="4" w:space="0"/>
                  </w:tcBorders>
                  <w:noWrap w:val="0"/>
                  <w:vAlign w:val="center"/>
                </w:tcPr>
                <w:p w14:paraId="1F74AEF8">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408.8</w:t>
                  </w:r>
                </w:p>
              </w:tc>
              <w:tc>
                <w:tcPr>
                  <w:tcW w:w="914" w:type="dxa"/>
                  <w:tcBorders>
                    <w:left w:val="single" w:color="auto" w:sz="4" w:space="0"/>
                  </w:tcBorders>
                  <w:noWrap w:val="0"/>
                  <w:vAlign w:val="center"/>
                </w:tcPr>
                <w:p w14:paraId="1D3A605F">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941" w:type="dxa"/>
                  <w:tcBorders>
                    <w:left w:val="single" w:color="auto" w:sz="4" w:space="0"/>
                  </w:tcBorders>
                  <w:noWrap w:val="0"/>
                  <w:vAlign w:val="center"/>
                </w:tcPr>
                <w:p w14:paraId="119C66E7">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1.008</w:t>
                  </w:r>
                </w:p>
              </w:tc>
              <w:tc>
                <w:tcPr>
                  <w:tcW w:w="1151" w:type="dxa"/>
                  <w:tcBorders>
                    <w:left w:val="single" w:color="auto" w:sz="4" w:space="0"/>
                  </w:tcBorders>
                  <w:noWrap w:val="0"/>
                  <w:vAlign w:val="center"/>
                </w:tcPr>
                <w:p w14:paraId="07965D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367.92</w:t>
                  </w:r>
                </w:p>
              </w:tc>
            </w:tr>
            <w:tr w14:paraId="66F194C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955" w:type="dxa"/>
                  <w:gridSpan w:val="2"/>
                  <w:noWrap w:val="0"/>
                  <w:vAlign w:val="center"/>
                </w:tcPr>
                <w:p w14:paraId="115FC7B3">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地坪冲洗水</w:t>
                  </w:r>
                </w:p>
              </w:tc>
              <w:tc>
                <w:tcPr>
                  <w:tcW w:w="1193" w:type="dxa"/>
                  <w:tcBorders>
                    <w:right w:val="single" w:color="auto" w:sz="4" w:space="0"/>
                  </w:tcBorders>
                  <w:noWrap w:val="0"/>
                  <w:vAlign w:val="center"/>
                </w:tcPr>
                <w:p w14:paraId="2EEC55AA">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5BF6BD70">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241" w:type="dxa"/>
                  <w:tcBorders>
                    <w:left w:val="single" w:color="auto" w:sz="4" w:space="0"/>
                    <w:right w:val="single" w:color="auto" w:sz="4" w:space="0"/>
                  </w:tcBorders>
                  <w:noWrap w:val="0"/>
                  <w:vAlign w:val="center"/>
                </w:tcPr>
                <w:p w14:paraId="7F28355A">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19.8</w:t>
                  </w:r>
                </w:p>
              </w:tc>
              <w:tc>
                <w:tcPr>
                  <w:tcW w:w="914" w:type="dxa"/>
                  <w:tcBorders>
                    <w:left w:val="single" w:color="auto" w:sz="4" w:space="0"/>
                  </w:tcBorders>
                  <w:noWrap w:val="0"/>
                  <w:vAlign w:val="center"/>
                </w:tcPr>
                <w:p w14:paraId="590028AA">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941" w:type="dxa"/>
                  <w:tcBorders>
                    <w:left w:val="single" w:color="auto" w:sz="4" w:space="0"/>
                  </w:tcBorders>
                  <w:noWrap w:val="0"/>
                  <w:vAlign w:val="center"/>
                </w:tcPr>
                <w:p w14:paraId="21478CD2">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1151" w:type="dxa"/>
                  <w:tcBorders>
                    <w:left w:val="single" w:color="auto" w:sz="4" w:space="0"/>
                  </w:tcBorders>
                  <w:noWrap w:val="0"/>
                  <w:vAlign w:val="center"/>
                </w:tcPr>
                <w:p w14:paraId="2F5BC7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15.84</w:t>
                  </w:r>
                </w:p>
              </w:tc>
            </w:tr>
            <w:tr w14:paraId="5824F0E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1955" w:type="dxa"/>
                  <w:gridSpan w:val="2"/>
                  <w:noWrap w:val="0"/>
                  <w:vAlign w:val="center"/>
                </w:tcPr>
                <w:p w14:paraId="15E3BEDF">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绿化用水</w:t>
                  </w:r>
                </w:p>
              </w:tc>
              <w:tc>
                <w:tcPr>
                  <w:tcW w:w="1193" w:type="dxa"/>
                  <w:tcBorders>
                    <w:right w:val="single" w:color="auto" w:sz="4" w:space="0"/>
                  </w:tcBorders>
                  <w:noWrap w:val="0"/>
                  <w:vAlign w:val="center"/>
                </w:tcPr>
                <w:p w14:paraId="0D0930A3">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自来水</w:t>
                  </w:r>
                </w:p>
              </w:tc>
              <w:tc>
                <w:tcPr>
                  <w:tcW w:w="1118" w:type="dxa"/>
                  <w:tcBorders>
                    <w:right w:val="single" w:color="auto" w:sz="4" w:space="0"/>
                  </w:tcBorders>
                  <w:noWrap w:val="0"/>
                  <w:vAlign w:val="center"/>
                </w:tcPr>
                <w:p w14:paraId="5ACFBE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1.01</w:t>
                  </w:r>
                </w:p>
              </w:tc>
              <w:tc>
                <w:tcPr>
                  <w:tcW w:w="1241" w:type="dxa"/>
                  <w:tcBorders>
                    <w:left w:val="single" w:color="auto" w:sz="4" w:space="0"/>
                    <w:right w:val="single" w:color="auto" w:sz="4" w:space="0"/>
                  </w:tcBorders>
                  <w:noWrap w:val="0"/>
                  <w:vAlign w:val="center"/>
                </w:tcPr>
                <w:p w14:paraId="104BF9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233.31</w:t>
                  </w:r>
                </w:p>
              </w:tc>
              <w:tc>
                <w:tcPr>
                  <w:tcW w:w="914" w:type="dxa"/>
                  <w:tcBorders>
                    <w:left w:val="single" w:color="auto" w:sz="4" w:space="0"/>
                  </w:tcBorders>
                  <w:noWrap w:val="0"/>
                  <w:vAlign w:val="center"/>
                </w:tcPr>
                <w:p w14:paraId="308C398F">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941" w:type="dxa"/>
                  <w:tcBorders>
                    <w:left w:val="single" w:color="auto" w:sz="4" w:space="0"/>
                  </w:tcBorders>
                  <w:noWrap w:val="0"/>
                  <w:vAlign w:val="center"/>
                </w:tcPr>
                <w:p w14:paraId="1DD77F0D">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51" w:type="dxa"/>
                  <w:tcBorders>
                    <w:left w:val="single" w:color="auto" w:sz="4" w:space="0"/>
                  </w:tcBorders>
                  <w:noWrap w:val="0"/>
                  <w:vAlign w:val="center"/>
                </w:tcPr>
                <w:p w14:paraId="45834E2A">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14:paraId="4F71FB1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955" w:type="dxa"/>
                  <w:gridSpan w:val="2"/>
                  <w:noWrap w:val="0"/>
                  <w:vAlign w:val="center"/>
                </w:tcPr>
                <w:p w14:paraId="07576157">
                  <w:pPr>
                    <w:pStyle w:val="38"/>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初期雨水</w:t>
                  </w:r>
                </w:p>
              </w:tc>
              <w:tc>
                <w:tcPr>
                  <w:tcW w:w="1193" w:type="dxa"/>
                  <w:tcBorders>
                    <w:right w:val="single" w:color="auto" w:sz="4" w:space="0"/>
                  </w:tcBorders>
                  <w:noWrap w:val="0"/>
                  <w:vAlign w:val="center"/>
                </w:tcPr>
                <w:p w14:paraId="1CB7525D">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118" w:type="dxa"/>
                  <w:tcBorders>
                    <w:right w:val="single" w:color="auto" w:sz="4" w:space="0"/>
                  </w:tcBorders>
                  <w:noWrap w:val="0"/>
                  <w:vAlign w:val="center"/>
                </w:tcPr>
                <w:p w14:paraId="09DA65B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241" w:type="dxa"/>
                  <w:tcBorders>
                    <w:left w:val="single" w:color="auto" w:sz="4" w:space="0"/>
                    <w:right w:val="single" w:color="auto" w:sz="4" w:space="0"/>
                  </w:tcBorders>
                  <w:noWrap w:val="0"/>
                  <w:vAlign w:val="center"/>
                </w:tcPr>
                <w:p w14:paraId="1F1E170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914" w:type="dxa"/>
                  <w:tcBorders>
                    <w:left w:val="single" w:color="auto" w:sz="4" w:space="0"/>
                  </w:tcBorders>
                  <w:noWrap w:val="0"/>
                  <w:vAlign w:val="center"/>
                </w:tcPr>
                <w:p w14:paraId="71E105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941" w:type="dxa"/>
                  <w:tcBorders>
                    <w:left w:val="single" w:color="auto" w:sz="4" w:space="0"/>
                  </w:tcBorders>
                  <w:noWrap w:val="0"/>
                  <w:vAlign w:val="center"/>
                </w:tcPr>
                <w:p w14:paraId="04EA04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5.346</w:t>
                  </w:r>
                </w:p>
              </w:tc>
              <w:tc>
                <w:tcPr>
                  <w:tcW w:w="1151" w:type="dxa"/>
                  <w:tcBorders>
                    <w:left w:val="single" w:color="auto" w:sz="4" w:space="0"/>
                  </w:tcBorders>
                  <w:noWrap w:val="0"/>
                  <w:vAlign w:val="center"/>
                </w:tcPr>
                <w:p w14:paraId="321D0A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716.364</w:t>
                  </w:r>
                </w:p>
              </w:tc>
            </w:tr>
            <w:tr w14:paraId="4EDD304F">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24" w:hRule="atLeast"/>
                <w:jc w:val="center"/>
              </w:trPr>
              <w:tc>
                <w:tcPr>
                  <w:tcW w:w="977" w:type="dxa"/>
                  <w:vMerge w:val="restart"/>
                  <w:noWrap w:val="0"/>
                  <w:vAlign w:val="center"/>
                </w:tcPr>
                <w:p w14:paraId="5E18CA42">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合计</w:t>
                  </w:r>
                </w:p>
              </w:tc>
              <w:tc>
                <w:tcPr>
                  <w:tcW w:w="978" w:type="dxa"/>
                  <w:noWrap w:val="0"/>
                  <w:vAlign w:val="center"/>
                </w:tcPr>
                <w:p w14:paraId="188FCC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雨天</w:t>
                  </w:r>
                </w:p>
              </w:tc>
              <w:tc>
                <w:tcPr>
                  <w:tcW w:w="2311" w:type="dxa"/>
                  <w:gridSpan w:val="2"/>
                  <w:noWrap w:val="0"/>
                  <w:vAlign w:val="center"/>
                </w:tcPr>
                <w:p w14:paraId="439B2CF9">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eastAsia" w:cs="Times New Roman"/>
                      <w:i w:val="0"/>
                      <w:iCs w:val="0"/>
                      <w:color w:val="auto"/>
                      <w:kern w:val="0"/>
                      <w:sz w:val="21"/>
                      <w:szCs w:val="21"/>
                      <w:u w:val="none"/>
                      <w:lang w:val="en-US" w:eastAsia="zh-CN" w:bidi="ar"/>
                    </w:rPr>
                    <w:t>2.08</w:t>
                  </w:r>
                  <w:r>
                    <w:rPr>
                      <w:rFonts w:hint="default" w:ascii="Times New Roman" w:hAnsi="Times New Roman" w:eastAsia="宋体" w:cs="Times New Roman"/>
                      <w:i w:val="0"/>
                      <w:iCs w:val="0"/>
                      <w:color w:val="auto"/>
                      <w:kern w:val="0"/>
                      <w:sz w:val="21"/>
                      <w:szCs w:val="21"/>
                      <w:u w:val="none"/>
                      <w:lang w:val="en-US" w:eastAsia="zh-CN" w:bidi="ar"/>
                    </w:rPr>
                    <w:t>（自来水）</w:t>
                  </w:r>
                </w:p>
              </w:tc>
              <w:tc>
                <w:tcPr>
                  <w:tcW w:w="1241" w:type="dxa"/>
                  <w:vMerge w:val="restart"/>
                  <w:noWrap w:val="0"/>
                  <w:vAlign w:val="center"/>
                </w:tcPr>
                <w:p w14:paraId="793B8E8D">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i w:val="0"/>
                      <w:iCs w:val="0"/>
                      <w:color w:val="auto"/>
                      <w:kern w:val="0"/>
                      <w:sz w:val="21"/>
                      <w:szCs w:val="21"/>
                      <w:u w:val="none"/>
                      <w:lang w:val="en-US" w:eastAsia="zh-CN" w:bidi="ar"/>
                    </w:rPr>
                    <w:t>793.31（自来水）</w:t>
                  </w:r>
                </w:p>
              </w:tc>
              <w:tc>
                <w:tcPr>
                  <w:tcW w:w="914" w:type="dxa"/>
                  <w:noWrap w:val="0"/>
                  <w:vAlign w:val="center"/>
                </w:tcPr>
                <w:p w14:paraId="635D9F10">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941" w:type="dxa"/>
                  <w:noWrap w:val="0"/>
                  <w:vAlign w:val="center"/>
                </w:tcPr>
                <w:p w14:paraId="18D6B6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7.122</w:t>
                  </w:r>
                </w:p>
              </w:tc>
              <w:tc>
                <w:tcPr>
                  <w:tcW w:w="1151" w:type="dxa"/>
                  <w:vMerge w:val="restart"/>
                  <w:noWrap w:val="0"/>
                  <w:vAlign w:val="center"/>
                </w:tcPr>
                <w:p w14:paraId="05930A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1205.244</w:t>
                  </w:r>
                </w:p>
              </w:tc>
            </w:tr>
            <w:tr w14:paraId="35E2042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24" w:hRule="atLeast"/>
                <w:jc w:val="center"/>
              </w:trPr>
              <w:tc>
                <w:tcPr>
                  <w:tcW w:w="977" w:type="dxa"/>
                  <w:vMerge w:val="continue"/>
                  <w:noWrap w:val="0"/>
                  <w:vAlign w:val="center"/>
                </w:tcPr>
                <w:p w14:paraId="0622E9ED">
                  <w:pPr>
                    <w:jc w:val="center"/>
                    <w:rPr>
                      <w:rFonts w:hint="default" w:ascii="Times New Roman" w:hAnsi="Times New Roman" w:cs="Times New Roman"/>
                      <w:color w:val="auto"/>
                      <w:sz w:val="21"/>
                      <w:szCs w:val="21"/>
                    </w:rPr>
                  </w:pPr>
                </w:p>
              </w:tc>
              <w:tc>
                <w:tcPr>
                  <w:tcW w:w="978" w:type="dxa"/>
                  <w:noWrap w:val="0"/>
                  <w:vAlign w:val="center"/>
                </w:tcPr>
                <w:p w14:paraId="432F4A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晴天</w:t>
                  </w:r>
                </w:p>
              </w:tc>
              <w:tc>
                <w:tcPr>
                  <w:tcW w:w="2311" w:type="dxa"/>
                  <w:gridSpan w:val="2"/>
                  <w:noWrap w:val="0"/>
                  <w:vAlign w:val="center"/>
                </w:tcPr>
                <w:p w14:paraId="2ABEE3C1">
                  <w:pPr>
                    <w:keepNext w:val="0"/>
                    <w:keepLines w:val="0"/>
                    <w:widowControl/>
                    <w:suppressLineNumbers w:val="0"/>
                    <w:jc w:val="center"/>
                    <w:textAlignment w:val="center"/>
                    <w:rPr>
                      <w:rFonts w:hint="eastAsia" w:cs="Times New Roman"/>
                      <w:color w:val="auto"/>
                      <w:szCs w:val="21"/>
                      <w:lang w:val="en-US" w:eastAsia="zh-CN"/>
                    </w:rPr>
                  </w:pPr>
                  <w:r>
                    <w:rPr>
                      <w:rFonts w:hint="eastAsia" w:cs="Times New Roman"/>
                      <w:i w:val="0"/>
                      <w:iCs w:val="0"/>
                      <w:color w:val="auto"/>
                      <w:kern w:val="0"/>
                      <w:sz w:val="21"/>
                      <w:szCs w:val="21"/>
                      <w:u w:val="none"/>
                      <w:lang w:val="en-US" w:eastAsia="zh-CN" w:bidi="ar"/>
                    </w:rPr>
                    <w:t>3.09</w:t>
                  </w:r>
                  <w:r>
                    <w:rPr>
                      <w:rFonts w:hint="default" w:ascii="Times New Roman" w:hAnsi="Times New Roman" w:eastAsia="宋体" w:cs="Times New Roman"/>
                      <w:i w:val="0"/>
                      <w:iCs w:val="0"/>
                      <w:color w:val="auto"/>
                      <w:kern w:val="0"/>
                      <w:sz w:val="21"/>
                      <w:szCs w:val="21"/>
                      <w:u w:val="none"/>
                      <w:lang w:val="en-US" w:eastAsia="zh-CN" w:bidi="ar"/>
                    </w:rPr>
                    <w:t>（自来水）</w:t>
                  </w:r>
                </w:p>
              </w:tc>
              <w:tc>
                <w:tcPr>
                  <w:tcW w:w="1241" w:type="dxa"/>
                  <w:vMerge w:val="continue"/>
                  <w:noWrap w:val="0"/>
                  <w:vAlign w:val="center"/>
                </w:tcPr>
                <w:p w14:paraId="6F0DCFAF">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14" w:type="dxa"/>
                  <w:noWrap w:val="0"/>
                  <w:vAlign w:val="center"/>
                </w:tcPr>
                <w:p w14:paraId="478A6F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41" w:type="dxa"/>
                  <w:noWrap w:val="0"/>
                  <w:vAlign w:val="center"/>
                </w:tcPr>
                <w:p w14:paraId="270E4940">
                  <w:pPr>
                    <w:keepNext w:val="0"/>
                    <w:keepLines w:val="0"/>
                    <w:widowControl/>
                    <w:suppressLineNumbers w:val="0"/>
                    <w:jc w:val="center"/>
                    <w:textAlignment w:val="center"/>
                    <w:rPr>
                      <w:rFonts w:hint="default" w:cs="Times New Roman"/>
                      <w:color w:val="auto"/>
                      <w:szCs w:val="21"/>
                      <w:lang w:val="en-US" w:eastAsia="zh-CN"/>
                    </w:rPr>
                  </w:pPr>
                  <w:r>
                    <w:rPr>
                      <w:rFonts w:hint="eastAsia" w:cs="Times New Roman"/>
                      <w:color w:val="auto"/>
                      <w:szCs w:val="21"/>
                      <w:lang w:val="en-US" w:eastAsia="zh-CN"/>
                    </w:rPr>
                    <w:t>1.776</w:t>
                  </w:r>
                </w:p>
              </w:tc>
              <w:tc>
                <w:tcPr>
                  <w:tcW w:w="1151" w:type="dxa"/>
                  <w:vMerge w:val="continue"/>
                  <w:noWrap w:val="0"/>
                  <w:vAlign w:val="center"/>
                </w:tcPr>
                <w:p w14:paraId="560945E9">
                  <w:pPr>
                    <w:keepNext w:val="0"/>
                    <w:keepLines w:val="0"/>
                    <w:widowControl/>
                    <w:suppressLineNumbers w:val="0"/>
                    <w:jc w:val="center"/>
                    <w:textAlignment w:val="center"/>
                    <w:rPr>
                      <w:rFonts w:hint="eastAsia" w:cs="Times New Roman"/>
                      <w:color w:val="auto"/>
                      <w:szCs w:val="21"/>
                      <w:lang w:val="en-US" w:eastAsia="zh-CN"/>
                    </w:rPr>
                  </w:pPr>
                </w:p>
              </w:tc>
            </w:tr>
          </w:tbl>
          <w:p w14:paraId="640C0936">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综上，本项目运营期间</w:t>
            </w:r>
            <w:r>
              <w:rPr>
                <w:rFonts w:hint="default" w:ascii="Times New Roman" w:hAnsi="Times New Roman" w:eastAsia="宋体" w:cs="Times New Roman"/>
                <w:color w:val="auto"/>
                <w:sz w:val="24"/>
                <w:szCs w:val="24"/>
                <w:lang w:val="en-US" w:eastAsia="zh-CN"/>
              </w:rPr>
              <w:t>新鲜水</w:t>
            </w:r>
            <w:r>
              <w:rPr>
                <w:rFonts w:hint="default" w:ascii="Times New Roman" w:hAnsi="Times New Roman" w:eastAsia="宋体" w:cs="Times New Roman"/>
                <w:color w:val="auto"/>
                <w:sz w:val="24"/>
                <w:szCs w:val="24"/>
              </w:rPr>
              <w:t>用量为</w:t>
            </w:r>
            <w:r>
              <w:rPr>
                <w:rFonts w:hint="eastAsia" w:cs="Times New Roman"/>
                <w:color w:val="auto"/>
                <w:sz w:val="24"/>
                <w:szCs w:val="24"/>
                <w:lang w:val="en-US" w:eastAsia="zh-CN"/>
              </w:rPr>
              <w:t>793.31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cs="Times New Roman"/>
                <w:color w:val="auto"/>
                <w:sz w:val="24"/>
                <w:szCs w:val="24"/>
                <w:lang w:val="en-US" w:eastAsia="zh-CN"/>
              </w:rPr>
              <w:t>废水产生量为1205.244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区排水采用“雨污分流”排水制度，</w:t>
            </w:r>
            <w:r>
              <w:rPr>
                <w:rFonts w:hint="default" w:ascii="Times New Roman" w:hAnsi="Times New Roman" w:eastAsia="宋体" w:cs="Times New Roman"/>
                <w:color w:val="auto"/>
                <w:sz w:val="24"/>
                <w:szCs w:val="24"/>
                <w:lang w:val="en-US" w:eastAsia="zh-CN"/>
              </w:rPr>
              <w:t>食堂含油废水经隔油池预处理后与其余办公生活废水及外来人员冲厕废水一同进入化粪池处理，地面冲洗废水</w:t>
            </w:r>
            <w:r>
              <w:rPr>
                <w:rFonts w:hint="eastAsia" w:cs="Times New Roman"/>
                <w:color w:val="auto"/>
                <w:sz w:val="24"/>
                <w:szCs w:val="24"/>
                <w:lang w:val="en-US" w:eastAsia="zh-CN"/>
              </w:rPr>
              <w:t>、初期雨水</w:t>
            </w:r>
            <w:r>
              <w:rPr>
                <w:rFonts w:hint="default" w:ascii="Times New Roman" w:hAnsi="Times New Roman" w:eastAsia="宋体" w:cs="Times New Roman"/>
                <w:color w:val="auto"/>
                <w:sz w:val="24"/>
                <w:szCs w:val="24"/>
                <w:lang w:val="en-US" w:eastAsia="zh-CN"/>
              </w:rPr>
              <w:t>经三级油水分离池处理，上述所有废水</w:t>
            </w:r>
            <w:r>
              <w:rPr>
                <w:rFonts w:hint="default" w:ascii="Times New Roman" w:hAnsi="Times New Roman" w:eastAsia="宋体" w:cs="Times New Roman"/>
                <w:color w:val="auto"/>
                <w:kern w:val="2"/>
                <w:sz w:val="24"/>
                <w:szCs w:val="24"/>
                <w:lang w:val="en-US" w:eastAsia="zh-CN" w:bidi="ar-SA"/>
              </w:rPr>
              <w:t>委托寻甸绿运垃圾清运有限公司清运</w:t>
            </w:r>
            <w:r>
              <w:rPr>
                <w:rFonts w:hint="eastAsia" w:cs="Times New Roman"/>
                <w:color w:val="auto"/>
                <w:kern w:val="2"/>
                <w:sz w:val="24"/>
                <w:szCs w:val="24"/>
                <w:lang w:val="en-US" w:eastAsia="zh-CN" w:bidi="ar-SA"/>
              </w:rPr>
              <w:t>处置</w:t>
            </w:r>
            <w:r>
              <w:rPr>
                <w:rFonts w:hint="default" w:ascii="Times New Roman" w:hAnsi="Times New Roman" w:eastAsia="宋体" w:cs="Times New Roman"/>
                <w:color w:val="auto"/>
                <w:kern w:val="2"/>
                <w:sz w:val="24"/>
                <w:szCs w:val="24"/>
                <w:lang w:val="en-US" w:eastAsia="zh-CN" w:bidi="ar-SA"/>
              </w:rPr>
              <w:t>，不外排</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项目区水平衡图见图2-1</w:t>
            </w:r>
            <w:r>
              <w:rPr>
                <w:rFonts w:hint="eastAsia" w:cs="Times New Roman"/>
                <w:color w:val="auto"/>
                <w:sz w:val="24"/>
                <w:lang w:val="en-US" w:eastAsia="zh-CN"/>
              </w:rPr>
              <w:t>、2-2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w:t>
            </w:r>
          </w:p>
          <w:p w14:paraId="5881A2EB">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废水中污染物产排量核算</w:t>
            </w:r>
          </w:p>
          <w:p w14:paraId="13D00F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32"/>
              </w:rPr>
              <w:t>本项目</w:t>
            </w:r>
            <w:r>
              <w:rPr>
                <w:rFonts w:hint="default" w:ascii="Times New Roman" w:hAnsi="Times New Roman" w:cs="Times New Roman"/>
                <w:color w:val="auto"/>
                <w:sz w:val="24"/>
                <w:szCs w:val="32"/>
                <w:lang w:val="en-US" w:eastAsia="zh-CN"/>
              </w:rPr>
              <w:t>生活污水</w:t>
            </w:r>
            <w:r>
              <w:rPr>
                <w:rFonts w:hint="default" w:ascii="Times New Roman" w:hAnsi="Times New Roman" w:cs="Times New Roman"/>
                <w:color w:val="auto"/>
                <w:sz w:val="24"/>
                <w:szCs w:val="32"/>
              </w:rPr>
              <w:t>中含有的污染物主要污染物有：BOD</w:t>
            </w:r>
            <w:r>
              <w:rPr>
                <w:rFonts w:hint="default" w:ascii="Times New Roman" w:hAnsi="Times New Roman" w:cs="Times New Roman"/>
                <w:color w:val="auto"/>
                <w:sz w:val="24"/>
                <w:szCs w:val="32"/>
                <w:vertAlign w:val="subscript"/>
              </w:rPr>
              <w:t>5</w:t>
            </w:r>
            <w:r>
              <w:rPr>
                <w:rFonts w:hint="default" w:ascii="Times New Roman" w:hAnsi="Times New Roman" w:cs="Times New Roman"/>
                <w:color w:val="auto"/>
                <w:sz w:val="24"/>
                <w:szCs w:val="32"/>
              </w:rPr>
              <w:t>、CODcr、SS、NH</w:t>
            </w:r>
            <w:r>
              <w:rPr>
                <w:rFonts w:hint="default" w:ascii="Times New Roman" w:hAnsi="Times New Roman" w:cs="Times New Roman"/>
                <w:color w:val="auto"/>
                <w:sz w:val="24"/>
                <w:szCs w:val="32"/>
                <w:vertAlign w:val="subscript"/>
              </w:rPr>
              <w:t>3</w:t>
            </w:r>
            <w:r>
              <w:rPr>
                <w:rFonts w:hint="default" w:ascii="Times New Roman" w:hAnsi="Times New Roman" w:cs="Times New Roman"/>
                <w:color w:val="auto"/>
                <w:sz w:val="24"/>
                <w:szCs w:val="32"/>
              </w:rPr>
              <w:t>-N、T-P</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动植物油</w:t>
            </w:r>
            <w:r>
              <w:rPr>
                <w:rFonts w:hint="default" w:ascii="Times New Roman" w:hAnsi="Times New Roman" w:cs="Times New Roman"/>
                <w:color w:val="auto"/>
                <w:sz w:val="24"/>
                <w:szCs w:val="32"/>
              </w:rPr>
              <w:t>，</w:t>
            </w:r>
            <w:r>
              <w:rPr>
                <w:rFonts w:hint="default" w:ascii="Times New Roman" w:hAnsi="Times New Roman" w:eastAsia="宋体" w:cs="Times New Roman"/>
                <w:color w:val="auto"/>
                <w:sz w:val="24"/>
                <w:szCs w:val="24"/>
                <w:lang w:val="en-US" w:eastAsia="zh-CN"/>
              </w:rPr>
              <w:t>生活污水水质参照《城市生活污水中污染物分类及处理性评价》（给水排水：Vol.30 NO.9 2004；王晓昌，金鹏康，赵红梅，孟令八），污染物浓度为：COD：250mg/L、BOD5：130mg/L、SS：150mg/L、氨氮：35mg/L、总磷：8mg/L、动植物油：50mg/L。石油类比</w:t>
            </w:r>
            <w:r>
              <w:rPr>
                <w:rFonts w:hint="default" w:ascii="Times New Roman" w:hAnsi="Times New Roman" w:eastAsia="宋体" w:cs="Times New Roman"/>
                <w:color w:val="auto"/>
                <w:kern w:val="2"/>
                <w:sz w:val="24"/>
                <w:szCs w:val="24"/>
                <w:lang w:val="en-US" w:eastAsia="zh-CN" w:bidi="ar-SA"/>
              </w:rPr>
              <w:t>同行业项目，</w:t>
            </w:r>
            <w:r>
              <w:rPr>
                <w:rFonts w:hint="default" w:ascii="Times New Roman" w:hAnsi="Times New Roman" w:eastAsia="宋体" w:cs="Times New Roman"/>
                <w:color w:val="auto"/>
                <w:sz w:val="24"/>
                <w:szCs w:val="24"/>
                <w:lang w:val="en-US" w:eastAsia="zh-CN"/>
              </w:rPr>
              <w:t>石油类污染物浓度为20mg/L。</w:t>
            </w:r>
          </w:p>
          <w:p w14:paraId="4B1183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24"/>
                <w:lang w:val="en-US" w:eastAsia="zh-CN"/>
              </w:rPr>
              <w:t>根据《常用污水处理设备及去除率》，化粪</w:t>
            </w:r>
            <w:r>
              <w:rPr>
                <w:rFonts w:hint="default" w:ascii="Times New Roman" w:hAnsi="Times New Roman" w:cs="Times New Roman"/>
                <w:color w:val="auto"/>
                <w:sz w:val="24"/>
                <w:szCs w:val="32"/>
              </w:rPr>
              <w:t>池对各项污染物的去除率分别为：CODcr 15%、BOD</w:t>
            </w:r>
            <w:r>
              <w:rPr>
                <w:rFonts w:hint="default" w:ascii="Times New Roman" w:hAnsi="Times New Roman" w:cs="Times New Roman"/>
                <w:color w:val="auto"/>
                <w:sz w:val="24"/>
                <w:szCs w:val="32"/>
                <w:vertAlign w:val="subscript"/>
                <w:lang w:val="en-US" w:eastAsia="zh-CN"/>
              </w:rPr>
              <w:t>5</w:t>
            </w:r>
            <w:r>
              <w:rPr>
                <w:rFonts w:hint="default" w:ascii="Times New Roman" w:hAnsi="Times New Roman" w:cs="Times New Roman"/>
                <w:color w:val="auto"/>
                <w:sz w:val="24"/>
                <w:szCs w:val="32"/>
                <w:lang w:val="en-US" w:eastAsia="zh-CN"/>
              </w:rPr>
              <w:t>9</w:t>
            </w:r>
            <w:r>
              <w:rPr>
                <w:rFonts w:hint="default" w:ascii="Times New Roman" w:hAnsi="Times New Roman" w:cs="Times New Roman"/>
                <w:color w:val="auto"/>
                <w:sz w:val="24"/>
                <w:szCs w:val="32"/>
              </w:rPr>
              <w:t>%、SS3</w:t>
            </w:r>
            <w:r>
              <w:rPr>
                <w:rFonts w:hint="default" w:ascii="Times New Roman" w:hAnsi="Times New Roman" w:cs="Times New Roman"/>
                <w:color w:val="auto"/>
                <w:sz w:val="24"/>
                <w:szCs w:val="32"/>
                <w:lang w:val="en-US" w:eastAsia="zh-CN"/>
              </w:rPr>
              <w:t>0</w:t>
            </w:r>
            <w:r>
              <w:rPr>
                <w:rFonts w:hint="default" w:ascii="Times New Roman" w:hAnsi="Times New Roman" w:cs="Times New Roman"/>
                <w:color w:val="auto"/>
                <w:sz w:val="24"/>
                <w:szCs w:val="32"/>
              </w:rPr>
              <w:t>%、NH</w:t>
            </w:r>
            <w:r>
              <w:rPr>
                <w:rFonts w:hint="default" w:ascii="Times New Roman" w:hAnsi="Times New Roman" w:cs="Times New Roman"/>
                <w:color w:val="auto"/>
                <w:sz w:val="24"/>
                <w:szCs w:val="32"/>
                <w:vertAlign w:val="subscript"/>
              </w:rPr>
              <w:t>3</w:t>
            </w:r>
            <w:r>
              <w:rPr>
                <w:rFonts w:hint="default" w:ascii="Times New Roman" w:hAnsi="Times New Roman" w:cs="Times New Roman"/>
                <w:color w:val="auto"/>
                <w:sz w:val="24"/>
                <w:szCs w:val="32"/>
              </w:rPr>
              <w:t>-N3%</w:t>
            </w:r>
            <w:r>
              <w:rPr>
                <w:rFonts w:hint="default" w:ascii="Times New Roman" w:hAnsi="Times New Roman" w:cs="Times New Roman"/>
                <w:color w:val="auto"/>
                <w:sz w:val="24"/>
                <w:szCs w:val="32"/>
                <w:lang w:eastAsia="zh-CN"/>
              </w:rPr>
              <w:t>、</w:t>
            </w:r>
            <w:r>
              <w:rPr>
                <w:rFonts w:hint="default" w:ascii="Times New Roman" w:hAnsi="Times New Roman" w:eastAsia="宋体" w:cs="Times New Roman"/>
                <w:color w:val="auto"/>
                <w:sz w:val="24"/>
                <w:szCs w:val="24"/>
                <w:highlight w:val="none"/>
                <w:lang w:eastAsia="zh-CN"/>
              </w:rPr>
              <w:t>总磷0%</w:t>
            </w:r>
            <w:r>
              <w:rPr>
                <w:rFonts w:hint="default" w:ascii="Times New Roman" w:hAnsi="Times New Roman" w:cs="Times New Roman"/>
                <w:color w:val="auto"/>
                <w:sz w:val="24"/>
                <w:szCs w:val="32"/>
              </w:rPr>
              <w:t>。</w:t>
            </w:r>
            <w:r>
              <w:rPr>
                <w:rFonts w:hint="default" w:ascii="Times New Roman" w:hAnsi="Times New Roman" w:eastAsia="宋体" w:cs="Times New Roman"/>
                <w:color w:val="auto"/>
                <w:sz w:val="24"/>
                <w:szCs w:val="24"/>
                <w:highlight w:val="none"/>
                <w:lang w:eastAsia="zh-CN"/>
              </w:rPr>
              <w:t>根据《废水处理工程技术手册》（潘涛、田刚主编，化学工业出版社，2010年版），隔油池对油</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lang w:eastAsia="zh-CN"/>
              </w:rPr>
              <w:t>去除效率为60%~80%，本项目取</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32"/>
              </w:rPr>
              <w:t>项目废水处理前后污染物产生浓度及产生量见表</w:t>
            </w:r>
            <w:r>
              <w:rPr>
                <w:rFonts w:hint="default" w:ascii="Times New Roman" w:hAnsi="Times New Roman" w:cs="Times New Roman"/>
                <w:color w:val="auto"/>
                <w:sz w:val="24"/>
                <w:szCs w:val="32"/>
                <w:lang w:val="en-US" w:eastAsia="zh-CN"/>
              </w:rPr>
              <w:t>4</w:t>
            </w:r>
            <w:r>
              <w:rPr>
                <w:rFonts w:hint="default" w:ascii="Times New Roman" w:hAnsi="Times New Roman" w:cs="Times New Roman"/>
                <w:color w:val="auto"/>
                <w:sz w:val="24"/>
                <w:szCs w:val="32"/>
              </w:rPr>
              <w:t>-</w:t>
            </w:r>
            <w:r>
              <w:rPr>
                <w:rFonts w:hint="default" w:ascii="Times New Roman" w:hAnsi="Times New Roman" w:cs="Times New Roman"/>
                <w:color w:val="auto"/>
                <w:sz w:val="24"/>
                <w:szCs w:val="32"/>
                <w:lang w:val="en-US" w:eastAsia="zh-CN"/>
              </w:rPr>
              <w:t>8</w:t>
            </w:r>
            <w:r>
              <w:rPr>
                <w:rFonts w:hint="default" w:ascii="Times New Roman" w:hAnsi="Times New Roman" w:cs="Times New Roman"/>
                <w:color w:val="auto"/>
                <w:sz w:val="24"/>
                <w:szCs w:val="32"/>
              </w:rPr>
              <w:t>。</w:t>
            </w:r>
          </w:p>
          <w:p w14:paraId="03C9CCA5">
            <w:pPr>
              <w:pStyle w:val="11"/>
              <w:spacing w:after="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 xml:space="preserve">8 </w:t>
            </w:r>
            <w:r>
              <w:rPr>
                <w:rFonts w:hint="default" w:ascii="Times New Roman" w:hAnsi="Times New Roman" w:cs="Times New Roman"/>
                <w:b/>
                <w:color w:val="auto"/>
                <w:sz w:val="21"/>
                <w:szCs w:val="21"/>
              </w:rPr>
              <w:t>项目水污染物产排量一览表</w:t>
            </w:r>
          </w:p>
          <w:tbl>
            <w:tblPr>
              <w:tblStyle w:val="27"/>
              <w:tblW w:w="872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2384"/>
              <w:gridCol w:w="946"/>
              <w:gridCol w:w="1015"/>
              <w:gridCol w:w="912"/>
              <w:gridCol w:w="1038"/>
              <w:gridCol w:w="831"/>
              <w:gridCol w:w="796"/>
              <w:gridCol w:w="798"/>
            </w:tblGrid>
            <w:tr w14:paraId="4D60E6A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720" w:type="dxa"/>
                  <w:gridSpan w:val="8"/>
                  <w:noWrap w:val="0"/>
                  <w:vAlign w:val="center"/>
                </w:tcPr>
                <w:p w14:paraId="43BA211D">
                  <w:pPr>
                    <w:tabs>
                      <w:tab w:val="left" w:pos="2395"/>
                    </w:tabs>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综合</w:t>
                  </w:r>
                  <w:r>
                    <w:rPr>
                      <w:rFonts w:hint="default" w:ascii="Times New Roman" w:hAnsi="Times New Roman" w:cs="Times New Roman"/>
                      <w:b/>
                      <w:color w:val="auto"/>
                      <w:szCs w:val="21"/>
                    </w:rPr>
                    <w:t>污水产生量1205.244t/a</w:t>
                  </w:r>
                </w:p>
              </w:tc>
            </w:tr>
            <w:tr w14:paraId="46A8A7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384" w:type="dxa"/>
                  <w:noWrap w:val="0"/>
                  <w:vAlign w:val="center"/>
                </w:tcPr>
                <w:p w14:paraId="7B9259CA">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946" w:type="dxa"/>
                  <w:noWrap w:val="0"/>
                  <w:vAlign w:val="center"/>
                </w:tcPr>
                <w:p w14:paraId="29DCBCC5">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1015" w:type="dxa"/>
                  <w:noWrap w:val="0"/>
                  <w:vAlign w:val="center"/>
                </w:tcPr>
                <w:p w14:paraId="59E23ED2">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912" w:type="dxa"/>
                  <w:noWrap w:val="0"/>
                  <w:vAlign w:val="center"/>
                </w:tcPr>
                <w:p w14:paraId="6E5231E4">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038" w:type="dxa"/>
                  <w:noWrap w:val="0"/>
                  <w:vAlign w:val="center"/>
                </w:tcPr>
                <w:p w14:paraId="3FDA8439">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831" w:type="dxa"/>
                  <w:noWrap w:val="0"/>
                  <w:vAlign w:val="center"/>
                </w:tcPr>
                <w:p w14:paraId="1B981550">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总磷</w:t>
                  </w:r>
                </w:p>
              </w:tc>
              <w:tc>
                <w:tcPr>
                  <w:tcW w:w="796" w:type="dxa"/>
                  <w:noWrap w:val="0"/>
                  <w:vAlign w:val="center"/>
                </w:tcPr>
                <w:p w14:paraId="349965D9">
                  <w:pPr>
                    <w:tabs>
                      <w:tab w:val="left" w:pos="2395"/>
                    </w:tabs>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动植</w:t>
                  </w:r>
                </w:p>
                <w:p w14:paraId="743408F3">
                  <w:pPr>
                    <w:tabs>
                      <w:tab w:val="left" w:pos="239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物油</w:t>
                  </w:r>
                </w:p>
              </w:tc>
              <w:tc>
                <w:tcPr>
                  <w:tcW w:w="798" w:type="dxa"/>
                  <w:noWrap w:val="0"/>
                  <w:vAlign w:val="center"/>
                </w:tcPr>
                <w:p w14:paraId="7E163F76">
                  <w:pPr>
                    <w:tabs>
                      <w:tab w:val="left" w:pos="2395"/>
                    </w:tabs>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石油类</w:t>
                  </w:r>
                </w:p>
              </w:tc>
            </w:tr>
            <w:tr w14:paraId="4F7235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2384" w:type="dxa"/>
                  <w:noWrap w:val="0"/>
                  <w:vAlign w:val="center"/>
                </w:tcPr>
                <w:p w14:paraId="0D0CD03A">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污染物产生浓度（mg/L）</w:t>
                  </w:r>
                </w:p>
              </w:tc>
              <w:tc>
                <w:tcPr>
                  <w:tcW w:w="946" w:type="dxa"/>
                  <w:noWrap w:val="0"/>
                  <w:vAlign w:val="center"/>
                </w:tcPr>
                <w:p w14:paraId="244BE9C6">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015" w:type="dxa"/>
                  <w:noWrap w:val="0"/>
                  <w:vAlign w:val="center"/>
                </w:tcPr>
                <w:p w14:paraId="10817E37">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912" w:type="dxa"/>
                  <w:noWrap w:val="0"/>
                  <w:vAlign w:val="center"/>
                </w:tcPr>
                <w:p w14:paraId="46240FA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38" w:type="dxa"/>
                  <w:noWrap w:val="0"/>
                  <w:vAlign w:val="center"/>
                </w:tcPr>
                <w:p w14:paraId="3E5EFB9F">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831" w:type="dxa"/>
                  <w:noWrap w:val="0"/>
                  <w:vAlign w:val="center"/>
                </w:tcPr>
                <w:p w14:paraId="7508E18D">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796" w:type="dxa"/>
                  <w:noWrap w:val="0"/>
                  <w:vAlign w:val="center"/>
                </w:tcPr>
                <w:p w14:paraId="3D53BF84">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98" w:type="dxa"/>
                  <w:noWrap w:val="0"/>
                  <w:vAlign w:val="center"/>
                </w:tcPr>
                <w:p w14:paraId="70F7C412">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r>
            <w:tr w14:paraId="11FC4D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2384" w:type="dxa"/>
                  <w:noWrap w:val="0"/>
                  <w:vAlign w:val="center"/>
                </w:tcPr>
                <w:p w14:paraId="2388386E">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污染物产生量（t/a）</w:t>
                  </w:r>
                </w:p>
              </w:tc>
              <w:tc>
                <w:tcPr>
                  <w:tcW w:w="946" w:type="dxa"/>
                  <w:noWrap w:val="0"/>
                  <w:vAlign w:val="center"/>
                </w:tcPr>
                <w:p w14:paraId="0977A9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0.301 </w:t>
                  </w:r>
                </w:p>
              </w:tc>
              <w:tc>
                <w:tcPr>
                  <w:tcW w:w="1015" w:type="dxa"/>
                  <w:noWrap w:val="0"/>
                  <w:vAlign w:val="center"/>
                </w:tcPr>
                <w:p w14:paraId="0A0761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0.157 </w:t>
                  </w:r>
                </w:p>
              </w:tc>
              <w:tc>
                <w:tcPr>
                  <w:tcW w:w="912" w:type="dxa"/>
                  <w:noWrap w:val="0"/>
                  <w:vAlign w:val="center"/>
                </w:tcPr>
                <w:p w14:paraId="70EB36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0.181 </w:t>
                  </w:r>
                </w:p>
              </w:tc>
              <w:tc>
                <w:tcPr>
                  <w:tcW w:w="1038" w:type="dxa"/>
                  <w:noWrap w:val="0"/>
                  <w:vAlign w:val="center"/>
                </w:tcPr>
                <w:p w14:paraId="09050B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 </w:t>
                  </w:r>
                </w:p>
              </w:tc>
              <w:tc>
                <w:tcPr>
                  <w:tcW w:w="831" w:type="dxa"/>
                  <w:noWrap w:val="0"/>
                  <w:vAlign w:val="center"/>
                </w:tcPr>
                <w:p w14:paraId="1BF89F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796" w:type="dxa"/>
                  <w:noWrap w:val="0"/>
                  <w:vAlign w:val="center"/>
                </w:tcPr>
                <w:p w14:paraId="5CF2D9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0.060 </w:t>
                  </w:r>
                </w:p>
              </w:tc>
              <w:tc>
                <w:tcPr>
                  <w:tcW w:w="798" w:type="dxa"/>
                  <w:noWrap w:val="0"/>
                  <w:vAlign w:val="center"/>
                </w:tcPr>
                <w:p w14:paraId="0B383A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0.024 </w:t>
                  </w:r>
                </w:p>
              </w:tc>
            </w:tr>
            <w:tr w14:paraId="4709C47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67" w:hRule="atLeast"/>
                <w:jc w:val="center"/>
              </w:trPr>
              <w:tc>
                <w:tcPr>
                  <w:tcW w:w="2384" w:type="dxa"/>
                  <w:noWrap w:val="0"/>
                  <w:vAlign w:val="center"/>
                </w:tcPr>
                <w:p w14:paraId="170C08F1">
                  <w:pPr>
                    <w:tabs>
                      <w:tab w:val="left" w:pos="239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化粪池</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隔油池、三级隔油池去除效率（%）</w:t>
                  </w:r>
                </w:p>
              </w:tc>
              <w:tc>
                <w:tcPr>
                  <w:tcW w:w="946" w:type="dxa"/>
                  <w:noWrap w:val="0"/>
                  <w:vAlign w:val="center"/>
                </w:tcPr>
                <w:p w14:paraId="4EA4A1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15" w:type="dxa"/>
                  <w:noWrap w:val="0"/>
                  <w:vAlign w:val="center"/>
                </w:tcPr>
                <w:p w14:paraId="7BE1DB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w:t>
                  </w:r>
                </w:p>
              </w:tc>
              <w:tc>
                <w:tcPr>
                  <w:tcW w:w="912" w:type="dxa"/>
                  <w:noWrap w:val="0"/>
                  <w:vAlign w:val="center"/>
                </w:tcPr>
                <w:p w14:paraId="59D1FA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38" w:type="dxa"/>
                  <w:noWrap w:val="0"/>
                  <w:vAlign w:val="center"/>
                </w:tcPr>
                <w:p w14:paraId="489E46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831" w:type="dxa"/>
                  <w:noWrap w:val="0"/>
                  <w:vAlign w:val="center"/>
                </w:tcPr>
                <w:p w14:paraId="5F16D5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6" w:type="dxa"/>
                  <w:noWrap w:val="0"/>
                  <w:vAlign w:val="center"/>
                </w:tcPr>
                <w:p w14:paraId="066080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798" w:type="dxa"/>
                  <w:noWrap w:val="0"/>
                  <w:vAlign w:val="center"/>
                </w:tcPr>
                <w:p w14:paraId="001626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r>
            <w:tr w14:paraId="0BD5E73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2384" w:type="dxa"/>
                  <w:noWrap w:val="0"/>
                  <w:vAlign w:val="center"/>
                </w:tcPr>
                <w:p w14:paraId="0A4667B7">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出水水质浓度（mg/L）</w:t>
                  </w:r>
                </w:p>
              </w:tc>
              <w:tc>
                <w:tcPr>
                  <w:tcW w:w="946" w:type="dxa"/>
                  <w:noWrap w:val="0"/>
                  <w:vAlign w:val="center"/>
                </w:tcPr>
                <w:p w14:paraId="10FC52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212.5</w:t>
                  </w:r>
                </w:p>
              </w:tc>
              <w:tc>
                <w:tcPr>
                  <w:tcW w:w="1015" w:type="dxa"/>
                  <w:noWrap w:val="0"/>
                  <w:vAlign w:val="center"/>
                </w:tcPr>
                <w:p w14:paraId="71325F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118.3</w:t>
                  </w:r>
                </w:p>
              </w:tc>
              <w:tc>
                <w:tcPr>
                  <w:tcW w:w="912" w:type="dxa"/>
                  <w:noWrap w:val="0"/>
                  <w:vAlign w:val="center"/>
                </w:tcPr>
                <w:p w14:paraId="4C4F86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038" w:type="dxa"/>
                  <w:noWrap w:val="0"/>
                  <w:vAlign w:val="center"/>
                </w:tcPr>
                <w:p w14:paraId="2B1429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33.95</w:t>
                  </w:r>
                </w:p>
              </w:tc>
              <w:tc>
                <w:tcPr>
                  <w:tcW w:w="831" w:type="dxa"/>
                  <w:noWrap w:val="0"/>
                  <w:vAlign w:val="center"/>
                </w:tcPr>
                <w:p w14:paraId="30913F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796" w:type="dxa"/>
                  <w:noWrap w:val="0"/>
                  <w:vAlign w:val="center"/>
                </w:tcPr>
                <w:p w14:paraId="4F7070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798" w:type="dxa"/>
                  <w:noWrap w:val="0"/>
                  <w:vAlign w:val="center"/>
                </w:tcPr>
                <w:p w14:paraId="6732C8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r>
            <w:tr w14:paraId="10FB43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2384" w:type="dxa"/>
                  <w:noWrap w:val="0"/>
                  <w:vAlign w:val="center"/>
                </w:tcPr>
                <w:p w14:paraId="48338A3B">
                  <w:pPr>
                    <w:pStyle w:val="20"/>
                    <w:ind w:left="420" w:hanging="420"/>
                    <w:jc w:val="both"/>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污染物削减量（t/a）</w:t>
                  </w:r>
                </w:p>
              </w:tc>
              <w:tc>
                <w:tcPr>
                  <w:tcW w:w="946" w:type="dxa"/>
                  <w:noWrap w:val="0"/>
                  <w:vAlign w:val="center"/>
                </w:tcPr>
                <w:p w14:paraId="6B2D62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0.045 </w:t>
                  </w:r>
                </w:p>
              </w:tc>
              <w:tc>
                <w:tcPr>
                  <w:tcW w:w="1015" w:type="dxa"/>
                  <w:noWrap w:val="0"/>
                  <w:vAlign w:val="center"/>
                </w:tcPr>
                <w:p w14:paraId="61FA16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912" w:type="dxa"/>
                  <w:noWrap w:val="0"/>
                  <w:vAlign w:val="center"/>
                </w:tcPr>
                <w:p w14:paraId="124AD5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0.054 </w:t>
                  </w:r>
                </w:p>
              </w:tc>
              <w:tc>
                <w:tcPr>
                  <w:tcW w:w="1038" w:type="dxa"/>
                  <w:noWrap w:val="0"/>
                  <w:vAlign w:val="center"/>
                </w:tcPr>
                <w:p w14:paraId="6E551C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831" w:type="dxa"/>
                  <w:noWrap w:val="0"/>
                  <w:vAlign w:val="center"/>
                </w:tcPr>
                <w:p w14:paraId="540823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796" w:type="dxa"/>
                  <w:noWrap w:val="0"/>
                  <w:vAlign w:val="center"/>
                </w:tcPr>
                <w:p w14:paraId="7B6773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0.036 </w:t>
                  </w:r>
                </w:p>
              </w:tc>
              <w:tc>
                <w:tcPr>
                  <w:tcW w:w="798" w:type="dxa"/>
                  <w:noWrap w:val="0"/>
                  <w:vAlign w:val="center"/>
                </w:tcPr>
                <w:p w14:paraId="2BD824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r>
            <w:tr w14:paraId="5A7C72F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41" w:hRule="atLeast"/>
                <w:jc w:val="center"/>
              </w:trPr>
              <w:tc>
                <w:tcPr>
                  <w:tcW w:w="2384" w:type="dxa"/>
                  <w:noWrap w:val="0"/>
                  <w:vAlign w:val="center"/>
                </w:tcPr>
                <w:p w14:paraId="4AC03224">
                  <w:pPr>
                    <w:pStyle w:val="20"/>
                    <w:ind w:left="420" w:hanging="420"/>
                    <w:jc w:val="both"/>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污染物排放量（t/a）</w:t>
                  </w:r>
                </w:p>
              </w:tc>
              <w:tc>
                <w:tcPr>
                  <w:tcW w:w="946" w:type="dxa"/>
                  <w:noWrap w:val="0"/>
                  <w:vAlign w:val="center"/>
                </w:tcPr>
                <w:p w14:paraId="721B1C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0.256 </w:t>
                  </w:r>
                </w:p>
              </w:tc>
              <w:tc>
                <w:tcPr>
                  <w:tcW w:w="1015" w:type="dxa"/>
                  <w:noWrap w:val="0"/>
                  <w:vAlign w:val="center"/>
                </w:tcPr>
                <w:p w14:paraId="281A0F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0.143 </w:t>
                  </w:r>
                </w:p>
              </w:tc>
              <w:tc>
                <w:tcPr>
                  <w:tcW w:w="912" w:type="dxa"/>
                  <w:noWrap w:val="0"/>
                  <w:vAlign w:val="center"/>
                </w:tcPr>
                <w:p w14:paraId="6BFE94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0.127 </w:t>
                  </w:r>
                </w:p>
              </w:tc>
              <w:tc>
                <w:tcPr>
                  <w:tcW w:w="1038" w:type="dxa"/>
                  <w:noWrap w:val="0"/>
                  <w:vAlign w:val="center"/>
                </w:tcPr>
                <w:p w14:paraId="3A2612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0.041 </w:t>
                  </w:r>
                </w:p>
              </w:tc>
              <w:tc>
                <w:tcPr>
                  <w:tcW w:w="831" w:type="dxa"/>
                  <w:noWrap w:val="0"/>
                  <w:vAlign w:val="center"/>
                </w:tcPr>
                <w:p w14:paraId="0E69E5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796" w:type="dxa"/>
                  <w:noWrap w:val="0"/>
                  <w:vAlign w:val="center"/>
                </w:tcPr>
                <w:p w14:paraId="5CBED3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0.024 </w:t>
                  </w:r>
                </w:p>
              </w:tc>
              <w:tc>
                <w:tcPr>
                  <w:tcW w:w="798" w:type="dxa"/>
                  <w:noWrap w:val="0"/>
                  <w:vAlign w:val="center"/>
                </w:tcPr>
                <w:p w14:paraId="3C3F86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r>
          </w:tbl>
          <w:p w14:paraId="37F01C37">
            <w:pPr>
              <w:spacing w:line="360" w:lineRule="auto"/>
              <w:ind w:firstLine="482" w:firstLineChars="200"/>
              <w:jc w:val="left"/>
              <w:rPr>
                <w:rFonts w:hint="default" w:ascii="Times New Roman" w:hAnsi="Times New Roman" w:cs="Times New Roman"/>
                <w:b/>
                <w:bCs/>
                <w:i w:val="0"/>
                <w:iCs w:val="0"/>
                <w:color w:val="auto"/>
                <w:sz w:val="24"/>
              </w:rPr>
            </w:pPr>
            <w:r>
              <w:rPr>
                <w:rFonts w:hint="default" w:ascii="Times New Roman" w:hAnsi="Times New Roman" w:cs="Times New Roman"/>
                <w:b/>
                <w:bCs/>
                <w:i w:val="0"/>
                <w:iCs w:val="0"/>
                <w:color w:val="auto"/>
                <w:sz w:val="24"/>
              </w:rPr>
              <w:t>（</w:t>
            </w:r>
            <w:r>
              <w:rPr>
                <w:rFonts w:hint="default" w:ascii="Times New Roman" w:hAnsi="Times New Roman" w:cs="Times New Roman"/>
                <w:b/>
                <w:bCs/>
                <w:i w:val="0"/>
                <w:iCs w:val="0"/>
                <w:color w:val="auto"/>
                <w:sz w:val="24"/>
                <w:lang w:val="en-US" w:eastAsia="zh-CN"/>
              </w:rPr>
              <w:t>3</w:t>
            </w:r>
            <w:r>
              <w:rPr>
                <w:rFonts w:hint="default" w:ascii="Times New Roman" w:hAnsi="Times New Roman" w:cs="Times New Roman"/>
                <w:b/>
                <w:bCs/>
                <w:i w:val="0"/>
                <w:iCs w:val="0"/>
                <w:color w:val="auto"/>
                <w:sz w:val="24"/>
              </w:rPr>
              <w:t>）废水治理设施及治理设施工艺</w:t>
            </w:r>
          </w:p>
          <w:p w14:paraId="30F6B36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建立雨污分流、清污分流的排水系统。</w:t>
            </w:r>
          </w:p>
          <w:p w14:paraId="76D9F0A5">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szCs w:val="24"/>
                <w:highlight w:val="none"/>
                <w:lang w:val="en-US" w:eastAsia="zh-CN"/>
              </w:rPr>
              <w:t>生活废水中食堂废水经隔油池（1个，容积0.2m³）处理后和其余生活废水、外来人员冲厕废水一同排入化粪池（1个，容积</w:t>
            </w:r>
            <w:r>
              <w:rPr>
                <w:rFonts w:hint="eastAsia" w:cs="Times New Roman"/>
                <w:color w:val="auto"/>
                <w:sz w:val="24"/>
                <w:szCs w:val="24"/>
                <w:highlight w:val="none"/>
                <w:lang w:val="en-US" w:eastAsia="zh-CN"/>
              </w:rPr>
              <w:t>11</w:t>
            </w:r>
            <w:r>
              <w:rPr>
                <w:rFonts w:hint="default" w:ascii="Times New Roman" w:hAnsi="Times New Roman" w:cs="Times New Roman"/>
                <w:color w:val="auto"/>
                <w:sz w:val="24"/>
                <w:szCs w:val="24"/>
                <w:highlight w:val="none"/>
                <w:lang w:val="en-US" w:eastAsia="zh-CN"/>
              </w:rPr>
              <w:t>m³）处理，</w:t>
            </w:r>
            <w:r>
              <w:rPr>
                <w:rFonts w:hint="eastAsia" w:cs="Times New Roman"/>
                <w:color w:val="auto"/>
                <w:sz w:val="24"/>
                <w:szCs w:val="24"/>
                <w:highlight w:val="none"/>
                <w:lang w:val="en-US" w:eastAsia="zh-CN"/>
              </w:rPr>
              <w:t>最终废水委托寻甸绿运垃圾清运有限公司清运处置</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lang w:bidi="ar"/>
              </w:rPr>
              <w:t>三级油水分离池</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1个，容积</w:t>
            </w:r>
            <w:r>
              <w:rPr>
                <w:rFonts w:hint="eastAsia" w:cs="Times New Roman"/>
                <w:color w:val="auto"/>
                <w:sz w:val="24"/>
                <w:lang w:val="en-US" w:eastAsia="zh-CN" w:bidi="ar"/>
              </w:rPr>
              <w:t>8.5</w:t>
            </w:r>
            <w:r>
              <w:rPr>
                <w:rFonts w:hint="default" w:ascii="Times New Roman" w:hAnsi="Times New Roman" w:cs="Times New Roman"/>
                <w:color w:val="auto"/>
                <w:sz w:val="24"/>
                <w:lang w:val="en-US" w:eastAsia="zh-CN" w:bidi="ar"/>
              </w:rPr>
              <w:t>m³</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bidi="ar"/>
              </w:rPr>
              <w:t>处理</w:t>
            </w:r>
            <w:r>
              <w:rPr>
                <w:rFonts w:hint="eastAsia" w:cs="Times New Roman"/>
                <w:color w:val="auto"/>
                <w:sz w:val="24"/>
                <w:lang w:eastAsia="zh-CN" w:bidi="ar"/>
              </w:rPr>
              <w:t>，</w:t>
            </w:r>
            <w:r>
              <w:rPr>
                <w:rFonts w:hint="eastAsia" w:cs="Times New Roman"/>
                <w:color w:val="auto"/>
                <w:sz w:val="24"/>
                <w:szCs w:val="24"/>
                <w:highlight w:val="none"/>
                <w:lang w:val="en-US" w:eastAsia="zh-CN"/>
              </w:rPr>
              <w:t>最终废水委托寻甸绿运垃圾清运有限公司清运处置</w:t>
            </w:r>
            <w:r>
              <w:rPr>
                <w:rFonts w:hint="default" w:ascii="Times New Roman" w:hAnsi="Times New Roman" w:cs="Times New Roman"/>
                <w:color w:val="auto"/>
                <w:sz w:val="24"/>
                <w:szCs w:val="24"/>
                <w:lang w:val="en-US" w:eastAsia="zh-CN"/>
              </w:rPr>
              <w:t>。</w:t>
            </w:r>
          </w:p>
          <w:p w14:paraId="3F0605DB">
            <w:pPr>
              <w:spacing w:line="240" w:lineRule="auto"/>
              <w:ind w:firstLine="422"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9</w:t>
            </w:r>
            <w:r>
              <w:rPr>
                <w:rFonts w:hint="default" w:ascii="Times New Roman" w:hAnsi="Times New Roman" w:cs="Times New Roman"/>
                <w:b/>
                <w:bCs/>
                <w:color w:val="auto"/>
              </w:rPr>
              <w:t xml:space="preserve"> 项目废水类别、污染物及污染治理设施信息表</w:t>
            </w:r>
          </w:p>
          <w:tbl>
            <w:tblPr>
              <w:tblStyle w:val="27"/>
              <w:tblW w:w="8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543"/>
              <w:gridCol w:w="1716"/>
              <w:gridCol w:w="2237"/>
              <w:gridCol w:w="2311"/>
            </w:tblGrid>
            <w:tr w14:paraId="5074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70" w:type="pct"/>
                  <w:gridSpan w:val="2"/>
                  <w:noWrap w:val="0"/>
                  <w:vAlign w:val="center"/>
                </w:tcPr>
                <w:p w14:paraId="24E0DFB2">
                  <w:pPr>
                    <w:adjustRightInd w:val="0"/>
                    <w:snapToGrid w:val="0"/>
                    <w:jc w:val="center"/>
                    <w:rPr>
                      <w:rFonts w:hint="default" w:ascii="Times New Roman" w:hAnsi="Times New Roman" w:cs="Times New Roman"/>
                      <w:b/>
                      <w:color w:val="auto"/>
                      <w:szCs w:val="21"/>
                    </w:rPr>
                  </w:pPr>
                  <w:bookmarkStart w:id="24" w:name="_Toc423_WPSOffice_Level3"/>
                  <w:r>
                    <w:rPr>
                      <w:rFonts w:hint="default" w:ascii="Times New Roman" w:hAnsi="Times New Roman" w:cs="Times New Roman"/>
                      <w:b/>
                      <w:color w:val="auto"/>
                      <w:szCs w:val="21"/>
                    </w:rPr>
                    <w:t>废水类别</w:t>
                  </w:r>
                </w:p>
              </w:tc>
              <w:tc>
                <w:tcPr>
                  <w:tcW w:w="3529" w:type="pct"/>
                  <w:gridSpan w:val="3"/>
                  <w:noWrap w:val="0"/>
                  <w:vAlign w:val="center"/>
                </w:tcPr>
                <w:p w14:paraId="6480158F">
                  <w:pPr>
                    <w:tabs>
                      <w:tab w:val="left" w:pos="420"/>
                    </w:tabs>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
                      <w:bCs/>
                      <w:color w:val="auto"/>
                      <w:szCs w:val="21"/>
                    </w:rPr>
                    <w:t>生活污水</w:t>
                  </w:r>
                  <w:r>
                    <w:rPr>
                      <w:rFonts w:hint="default" w:ascii="Times New Roman" w:hAnsi="Times New Roman" w:cs="Times New Roman"/>
                      <w:b/>
                      <w:bCs/>
                      <w:color w:val="auto"/>
                      <w:szCs w:val="21"/>
                      <w:lang w:eastAsia="zh-CN"/>
                    </w:rPr>
                    <w:t>、</w:t>
                  </w:r>
                  <w:r>
                    <w:rPr>
                      <w:rFonts w:hint="default" w:ascii="Times New Roman" w:hAnsi="Times New Roman" w:cs="Times New Roman"/>
                      <w:b/>
                      <w:bCs/>
                      <w:color w:val="auto"/>
                      <w:szCs w:val="21"/>
                      <w:lang w:val="en-US" w:eastAsia="zh-CN"/>
                    </w:rPr>
                    <w:t>地坪冲洗水</w:t>
                  </w:r>
                </w:p>
              </w:tc>
            </w:tr>
            <w:tr w14:paraId="1C13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70" w:type="pct"/>
                  <w:gridSpan w:val="2"/>
                  <w:noWrap w:val="0"/>
                  <w:vAlign w:val="center"/>
                </w:tcPr>
                <w:p w14:paraId="5A87570A">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污染物种类</w:t>
                  </w:r>
                </w:p>
              </w:tc>
              <w:tc>
                <w:tcPr>
                  <w:tcW w:w="3529" w:type="pct"/>
                  <w:gridSpan w:val="3"/>
                  <w:noWrap w:val="0"/>
                  <w:vAlign w:val="center"/>
                </w:tcPr>
                <w:p w14:paraId="69A5EEA6">
                  <w:pPr>
                    <w:tabs>
                      <w:tab w:val="left" w:pos="420"/>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CODcr、BOD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、SS、氨氮</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总磷</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动植物油、石油类</w:t>
                  </w:r>
                  <w:r>
                    <w:rPr>
                      <w:rFonts w:hint="default" w:ascii="Times New Roman" w:hAnsi="Times New Roman" w:cs="Times New Roman"/>
                      <w:color w:val="auto"/>
                      <w:szCs w:val="21"/>
                    </w:rPr>
                    <w:t>等</w:t>
                  </w:r>
                </w:p>
              </w:tc>
            </w:tr>
            <w:tr w14:paraId="0C8A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70" w:type="pct"/>
                  <w:gridSpan w:val="2"/>
                  <w:noWrap w:val="0"/>
                  <w:vAlign w:val="center"/>
                </w:tcPr>
                <w:p w14:paraId="027A3966">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排放去向</w:t>
                  </w:r>
                </w:p>
              </w:tc>
              <w:tc>
                <w:tcPr>
                  <w:tcW w:w="3529" w:type="pct"/>
                  <w:gridSpan w:val="3"/>
                  <w:noWrap w:val="0"/>
                  <w:vAlign w:val="center"/>
                </w:tcPr>
                <w:p w14:paraId="72F82727">
                  <w:pPr>
                    <w:adjustRightInd w:val="0"/>
                    <w:snapToGrid w:val="0"/>
                    <w:jc w:val="both"/>
                    <w:rPr>
                      <w:rFonts w:hint="default" w:ascii="Times New Roman" w:hAnsi="Times New Roman" w:cs="Times New Roman"/>
                      <w:color w:val="auto"/>
                      <w:szCs w:val="21"/>
                      <w:lang w:val="en-US"/>
                    </w:rPr>
                  </w:pPr>
                  <w:r>
                    <w:rPr>
                      <w:rFonts w:hint="default" w:ascii="Times New Roman" w:hAnsi="Times New Roman" w:cs="Times New Roman"/>
                      <w:color w:val="auto"/>
                      <w:sz w:val="21"/>
                      <w:szCs w:val="21"/>
                      <w:highlight w:val="none"/>
                      <w:lang w:val="en-US" w:eastAsia="zh-CN"/>
                    </w:rPr>
                    <w:t>生活废水中食堂废水经隔油池处理后和其余生活废水、外来人员冲厕废水一同排入化粪池处理，</w:t>
                  </w:r>
                  <w:r>
                    <w:rPr>
                      <w:rFonts w:hint="default" w:ascii="Times New Roman" w:hAnsi="Times New Roman" w:cs="Times New Roman"/>
                      <w:color w:val="auto"/>
                      <w:sz w:val="21"/>
                      <w:szCs w:val="21"/>
                      <w:lang w:val="en-US" w:eastAsia="zh-CN"/>
                    </w:rPr>
                    <w:t>地坪冲洗水</w:t>
                  </w:r>
                  <w:r>
                    <w:rPr>
                      <w:rFonts w:hint="eastAsia" w:cs="Times New Roman"/>
                      <w:color w:val="auto"/>
                      <w:sz w:val="21"/>
                      <w:szCs w:val="21"/>
                      <w:lang w:val="en-US" w:eastAsia="zh-CN"/>
                    </w:rPr>
                    <w:t>、初期雨水</w:t>
                  </w:r>
                  <w:r>
                    <w:rPr>
                      <w:rFonts w:hint="default" w:ascii="Times New Roman" w:hAnsi="Times New Roman" w:cs="Times New Roman"/>
                      <w:color w:val="auto"/>
                      <w:sz w:val="21"/>
                      <w:szCs w:val="21"/>
                      <w:lang w:bidi="ar"/>
                    </w:rPr>
                    <w:t>经罩棚环保沟进入三级油水分离池处理</w:t>
                  </w:r>
                  <w:r>
                    <w:rPr>
                      <w:rFonts w:hint="eastAsia" w:cs="Times New Roman"/>
                      <w:color w:val="auto"/>
                      <w:sz w:val="21"/>
                      <w:szCs w:val="21"/>
                      <w:lang w:eastAsia="zh-CN" w:bidi="ar"/>
                    </w:rPr>
                    <w:t>，</w:t>
                  </w:r>
                  <w:r>
                    <w:rPr>
                      <w:rFonts w:hint="eastAsia" w:cs="Times New Roman"/>
                      <w:color w:val="auto"/>
                      <w:sz w:val="21"/>
                      <w:szCs w:val="21"/>
                      <w:lang w:val="en-US" w:eastAsia="zh-CN" w:bidi="ar"/>
                    </w:rPr>
                    <w:t>上述废水</w:t>
                  </w:r>
                  <w:r>
                    <w:rPr>
                      <w:rFonts w:hint="eastAsia" w:cs="Times New Roman"/>
                      <w:color w:val="auto"/>
                      <w:sz w:val="21"/>
                      <w:szCs w:val="21"/>
                      <w:lang w:val="en-US" w:eastAsia="zh-CN"/>
                    </w:rPr>
                    <w:t>委托寻甸绿运垃圾清运有限公司清运处置</w:t>
                  </w:r>
                  <w:r>
                    <w:rPr>
                      <w:rFonts w:hint="default" w:ascii="Times New Roman" w:hAnsi="Times New Roman" w:cs="Times New Roman"/>
                      <w:color w:val="auto"/>
                      <w:sz w:val="21"/>
                      <w:szCs w:val="21"/>
                      <w:lang w:val="en-US" w:eastAsia="zh-CN"/>
                    </w:rPr>
                    <w:t>。</w:t>
                  </w:r>
                </w:p>
              </w:tc>
            </w:tr>
            <w:tr w14:paraId="091B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70" w:type="pct"/>
                  <w:gridSpan w:val="2"/>
                  <w:noWrap w:val="0"/>
                  <w:vAlign w:val="center"/>
                </w:tcPr>
                <w:p w14:paraId="1588FD5B">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排放规律</w:t>
                  </w:r>
                </w:p>
              </w:tc>
              <w:tc>
                <w:tcPr>
                  <w:tcW w:w="3529" w:type="pct"/>
                  <w:gridSpan w:val="3"/>
                  <w:noWrap w:val="0"/>
                  <w:vAlign w:val="center"/>
                </w:tcPr>
                <w:p w14:paraId="0870AB9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不外排</w:t>
                  </w:r>
                </w:p>
              </w:tc>
            </w:tr>
            <w:tr w14:paraId="0692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01" w:type="pct"/>
                  <w:vMerge w:val="restart"/>
                  <w:noWrap w:val="0"/>
                  <w:vAlign w:val="center"/>
                </w:tcPr>
                <w:p w14:paraId="77FB5610">
                  <w:pPr>
                    <w:tabs>
                      <w:tab w:val="left" w:pos="420"/>
                    </w:tabs>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污染治理设施</w:t>
                  </w:r>
                </w:p>
              </w:tc>
              <w:tc>
                <w:tcPr>
                  <w:tcW w:w="869" w:type="pct"/>
                  <w:noWrap w:val="0"/>
                  <w:vAlign w:val="center"/>
                </w:tcPr>
                <w:p w14:paraId="60A2EB05">
                  <w:pPr>
                    <w:tabs>
                      <w:tab w:val="left" w:pos="420"/>
                    </w:tabs>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污染治理设施编号</w:t>
                  </w:r>
                </w:p>
              </w:tc>
              <w:tc>
                <w:tcPr>
                  <w:tcW w:w="966" w:type="pct"/>
                  <w:noWrap w:val="0"/>
                  <w:vAlign w:val="center"/>
                </w:tcPr>
                <w:p w14:paraId="0530CCBE">
                  <w:pPr>
                    <w:tabs>
                      <w:tab w:val="left" w:pos="420"/>
                    </w:tabs>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TW00</w:t>
                  </w:r>
                  <w:r>
                    <w:rPr>
                      <w:rFonts w:hint="default" w:ascii="Times New Roman" w:hAnsi="Times New Roman" w:cs="Times New Roman"/>
                      <w:color w:val="auto"/>
                      <w:szCs w:val="21"/>
                      <w:lang w:val="en-US" w:eastAsia="zh-CN"/>
                    </w:rPr>
                    <w:t>1</w:t>
                  </w:r>
                </w:p>
              </w:tc>
              <w:tc>
                <w:tcPr>
                  <w:tcW w:w="1260" w:type="pct"/>
                  <w:noWrap w:val="0"/>
                  <w:vAlign w:val="center"/>
                </w:tcPr>
                <w:p w14:paraId="625F0E11">
                  <w:pPr>
                    <w:tabs>
                      <w:tab w:val="left" w:pos="420"/>
                    </w:tabs>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TW00</w:t>
                  </w:r>
                  <w:r>
                    <w:rPr>
                      <w:rFonts w:hint="default" w:ascii="Times New Roman" w:hAnsi="Times New Roman" w:cs="Times New Roman"/>
                      <w:color w:val="auto"/>
                      <w:szCs w:val="21"/>
                      <w:lang w:val="en-US" w:eastAsia="zh-CN"/>
                    </w:rPr>
                    <w:t>2</w:t>
                  </w:r>
                </w:p>
              </w:tc>
              <w:tc>
                <w:tcPr>
                  <w:tcW w:w="1301" w:type="pct"/>
                  <w:noWrap w:val="0"/>
                  <w:vAlign w:val="center"/>
                </w:tcPr>
                <w:p w14:paraId="7674F77E">
                  <w:pPr>
                    <w:tabs>
                      <w:tab w:val="left" w:pos="420"/>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TW00</w:t>
                  </w:r>
                  <w:r>
                    <w:rPr>
                      <w:rFonts w:hint="default" w:ascii="Times New Roman" w:hAnsi="Times New Roman" w:cs="Times New Roman"/>
                      <w:color w:val="auto"/>
                      <w:szCs w:val="21"/>
                      <w:lang w:val="en-US" w:eastAsia="zh-CN"/>
                    </w:rPr>
                    <w:t>3</w:t>
                  </w:r>
                </w:p>
              </w:tc>
            </w:tr>
            <w:tr w14:paraId="6276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01" w:type="pct"/>
                  <w:vMerge w:val="continue"/>
                  <w:noWrap w:val="0"/>
                  <w:vAlign w:val="center"/>
                </w:tcPr>
                <w:p w14:paraId="57ECD102">
                  <w:pPr>
                    <w:tabs>
                      <w:tab w:val="left" w:pos="420"/>
                    </w:tabs>
                    <w:adjustRightInd w:val="0"/>
                    <w:snapToGrid w:val="0"/>
                    <w:jc w:val="center"/>
                    <w:rPr>
                      <w:rFonts w:hint="default" w:ascii="Times New Roman" w:hAnsi="Times New Roman" w:cs="Times New Roman"/>
                      <w:b/>
                      <w:color w:val="auto"/>
                      <w:szCs w:val="21"/>
                    </w:rPr>
                  </w:pPr>
                </w:p>
              </w:tc>
              <w:tc>
                <w:tcPr>
                  <w:tcW w:w="869" w:type="pct"/>
                  <w:noWrap w:val="0"/>
                  <w:vAlign w:val="center"/>
                </w:tcPr>
                <w:p w14:paraId="22242877">
                  <w:pPr>
                    <w:tabs>
                      <w:tab w:val="left" w:pos="420"/>
                    </w:tabs>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污染治理设施名称</w:t>
                  </w:r>
                </w:p>
              </w:tc>
              <w:tc>
                <w:tcPr>
                  <w:tcW w:w="966" w:type="pct"/>
                  <w:noWrap w:val="0"/>
                  <w:vAlign w:val="center"/>
                </w:tcPr>
                <w:p w14:paraId="36E33E1D">
                  <w:pPr>
                    <w:tabs>
                      <w:tab w:val="left" w:pos="420"/>
                    </w:tabs>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隔油池</w:t>
                  </w:r>
                </w:p>
              </w:tc>
              <w:tc>
                <w:tcPr>
                  <w:tcW w:w="1260" w:type="pct"/>
                  <w:noWrap w:val="0"/>
                  <w:vAlign w:val="center"/>
                </w:tcPr>
                <w:p w14:paraId="122CC03D">
                  <w:pPr>
                    <w:tabs>
                      <w:tab w:val="left" w:pos="420"/>
                    </w:tabs>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化粪池</w:t>
                  </w:r>
                </w:p>
              </w:tc>
              <w:tc>
                <w:tcPr>
                  <w:tcW w:w="1301" w:type="pct"/>
                  <w:noWrap w:val="0"/>
                  <w:vAlign w:val="center"/>
                </w:tcPr>
                <w:p w14:paraId="1793EB68">
                  <w:pPr>
                    <w:tabs>
                      <w:tab w:val="left" w:pos="420"/>
                    </w:tabs>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三级油水分离池</w:t>
                  </w:r>
                </w:p>
              </w:tc>
            </w:tr>
            <w:tr w14:paraId="3270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01" w:type="pct"/>
                  <w:vMerge w:val="continue"/>
                  <w:noWrap w:val="0"/>
                  <w:vAlign w:val="center"/>
                </w:tcPr>
                <w:p w14:paraId="0AEC48B8">
                  <w:pPr>
                    <w:tabs>
                      <w:tab w:val="left" w:pos="420"/>
                    </w:tabs>
                    <w:adjustRightInd w:val="0"/>
                    <w:snapToGrid w:val="0"/>
                    <w:jc w:val="center"/>
                    <w:rPr>
                      <w:rFonts w:hint="default" w:ascii="Times New Roman" w:hAnsi="Times New Roman" w:cs="Times New Roman"/>
                      <w:b/>
                      <w:color w:val="auto"/>
                      <w:szCs w:val="21"/>
                    </w:rPr>
                  </w:pPr>
                </w:p>
              </w:tc>
              <w:tc>
                <w:tcPr>
                  <w:tcW w:w="869" w:type="pct"/>
                  <w:noWrap w:val="0"/>
                  <w:vAlign w:val="center"/>
                </w:tcPr>
                <w:p w14:paraId="0E3B1656">
                  <w:pPr>
                    <w:tabs>
                      <w:tab w:val="left" w:pos="420"/>
                    </w:tabs>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污染治理设施工艺</w:t>
                  </w:r>
                </w:p>
              </w:tc>
              <w:tc>
                <w:tcPr>
                  <w:tcW w:w="3529" w:type="pct"/>
                  <w:gridSpan w:val="3"/>
                  <w:noWrap w:val="0"/>
                  <w:vAlign w:val="center"/>
                </w:tcPr>
                <w:p w14:paraId="7B965EEF">
                  <w:pPr>
                    <w:tabs>
                      <w:tab w:val="left" w:pos="420"/>
                    </w:tabs>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隔油池隔油沉淀，化粪池沉淀</w:t>
                  </w:r>
                  <w:r>
                    <w:rPr>
                      <w:rFonts w:hint="eastAsia" w:cs="Times New Roman"/>
                      <w:color w:val="auto"/>
                      <w:szCs w:val="21"/>
                      <w:lang w:eastAsia="zh-CN"/>
                    </w:rPr>
                    <w:t>，</w:t>
                  </w:r>
                  <w:r>
                    <w:rPr>
                      <w:rFonts w:hint="default" w:ascii="Times New Roman" w:hAnsi="Times New Roman" w:cs="Times New Roman"/>
                      <w:color w:val="auto"/>
                      <w:szCs w:val="21"/>
                      <w:lang w:val="en-US" w:eastAsia="zh-CN"/>
                    </w:rPr>
                    <w:t>三级油水分离池</w:t>
                  </w:r>
                  <w:r>
                    <w:rPr>
                      <w:rFonts w:hint="eastAsia" w:cs="Times New Roman"/>
                      <w:color w:val="auto"/>
                      <w:szCs w:val="21"/>
                      <w:lang w:val="en-US" w:eastAsia="zh-CN"/>
                    </w:rPr>
                    <w:t>隔油沉淀</w:t>
                  </w:r>
                </w:p>
              </w:tc>
            </w:tr>
            <w:tr w14:paraId="3451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01" w:type="pct"/>
                  <w:vMerge w:val="continue"/>
                  <w:noWrap w:val="0"/>
                  <w:vAlign w:val="center"/>
                </w:tcPr>
                <w:p w14:paraId="3504285F">
                  <w:pPr>
                    <w:tabs>
                      <w:tab w:val="left" w:pos="420"/>
                    </w:tabs>
                    <w:adjustRightInd w:val="0"/>
                    <w:snapToGrid w:val="0"/>
                    <w:jc w:val="center"/>
                    <w:rPr>
                      <w:rFonts w:hint="default" w:ascii="Times New Roman" w:hAnsi="Times New Roman" w:cs="Times New Roman"/>
                      <w:b/>
                      <w:color w:val="auto"/>
                      <w:szCs w:val="21"/>
                    </w:rPr>
                  </w:pPr>
                </w:p>
              </w:tc>
              <w:tc>
                <w:tcPr>
                  <w:tcW w:w="869" w:type="pct"/>
                  <w:noWrap w:val="0"/>
                  <w:vAlign w:val="center"/>
                </w:tcPr>
                <w:p w14:paraId="3CF2DC22">
                  <w:pPr>
                    <w:tabs>
                      <w:tab w:val="left" w:pos="420"/>
                    </w:tabs>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处理能力</w:t>
                  </w:r>
                </w:p>
              </w:tc>
              <w:tc>
                <w:tcPr>
                  <w:tcW w:w="3529" w:type="pct"/>
                  <w:gridSpan w:val="3"/>
                  <w:noWrap w:val="0"/>
                  <w:vAlign w:val="center"/>
                </w:tcPr>
                <w:p w14:paraId="353F733D">
                  <w:pPr>
                    <w:tabs>
                      <w:tab w:val="left" w:pos="420"/>
                    </w:tabs>
                    <w:adjustRightInd w:val="0"/>
                    <w:snapToGrid w:val="0"/>
                    <w:jc w:val="both"/>
                    <w:rPr>
                      <w:rFonts w:hint="default" w:ascii="Times New Roman" w:hAnsi="Times New Roman" w:cs="Times New Roman"/>
                      <w:bCs/>
                      <w:color w:val="auto"/>
                      <w:szCs w:val="21"/>
                    </w:rPr>
                  </w:pPr>
                  <w:r>
                    <w:rPr>
                      <w:rFonts w:hint="default" w:ascii="Times New Roman" w:hAnsi="Times New Roman" w:cs="Times New Roman"/>
                      <w:color w:val="auto"/>
                      <w:sz w:val="21"/>
                      <w:szCs w:val="21"/>
                      <w:highlight w:val="none"/>
                    </w:rPr>
                    <w:t>隔油池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1个</w:t>
                  </w:r>
                  <w:r>
                    <w:rPr>
                      <w:rFonts w:hint="default" w:ascii="Times New Roman" w:hAnsi="Times New Roman" w:eastAsia="宋体" w:cs="Times New Roman"/>
                      <w:color w:val="auto"/>
                      <w:sz w:val="21"/>
                      <w:szCs w:val="21"/>
                      <w:highlight w:val="none"/>
                      <w:lang w:val="en-US" w:eastAsia="zh-CN"/>
                    </w:rPr>
                    <w:t>，容积0.</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m³）、化粪池（1个，容积</w:t>
                  </w: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eastAsia="zh-CN"/>
                    </w:rPr>
                    <w:t>m³）、三级油水分离池（1个，容积</w:t>
                  </w:r>
                  <w:r>
                    <w:rPr>
                      <w:rFonts w:hint="eastAsia"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lang w:val="en-US" w:eastAsia="zh-CN"/>
                    </w:rPr>
                    <w:t>m³）</w:t>
                  </w:r>
                </w:p>
              </w:tc>
            </w:tr>
            <w:bookmarkEnd w:id="24"/>
          </w:tbl>
          <w:p w14:paraId="2BE9A9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w:t>
            </w: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lang w:val="en-US" w:eastAsia="zh-CN"/>
              </w:rPr>
              <w:t>水排污口设置情况</w:t>
            </w:r>
          </w:p>
          <w:p w14:paraId="31CAE9AE">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本项目后期雨水经截</w:t>
            </w:r>
            <w:r>
              <w:rPr>
                <w:rFonts w:hint="default" w:ascii="Times New Roman" w:hAnsi="Times New Roman" w:cs="Times New Roman"/>
                <w:color w:val="auto"/>
                <w:kern w:val="0"/>
                <w:sz w:val="24"/>
                <w:lang w:val="en-US" w:eastAsia="zh-CN" w:bidi="ar"/>
              </w:rPr>
              <w:t>排</w:t>
            </w:r>
            <w:r>
              <w:rPr>
                <w:rFonts w:hint="default" w:ascii="Times New Roman" w:hAnsi="Times New Roman" w:eastAsia="宋体" w:cs="Times New Roman"/>
                <w:color w:val="auto"/>
                <w:kern w:val="0"/>
                <w:sz w:val="24"/>
                <w:lang w:val="en-US" w:eastAsia="zh-CN" w:bidi="ar"/>
              </w:rPr>
              <w:t>水沟排站外，设置一个后期雨水排放口。</w:t>
            </w:r>
          </w:p>
          <w:p w14:paraId="573DBE51">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表4-10  排放口设置情况</w:t>
            </w:r>
          </w:p>
          <w:tbl>
            <w:tblPr>
              <w:tblStyle w:val="28"/>
              <w:tblW w:w="48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948"/>
              <w:gridCol w:w="1063"/>
              <w:gridCol w:w="1203"/>
              <w:gridCol w:w="709"/>
              <w:gridCol w:w="970"/>
              <w:gridCol w:w="1382"/>
              <w:gridCol w:w="1412"/>
            </w:tblGrid>
            <w:tr w14:paraId="1B50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2" w:type="pct"/>
                  <w:vMerge w:val="restart"/>
                  <w:noWrap w:val="0"/>
                  <w:vAlign w:val="center"/>
                </w:tcPr>
                <w:p w14:paraId="0823991B">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编号</w:t>
                  </w:r>
                </w:p>
              </w:tc>
              <w:tc>
                <w:tcPr>
                  <w:tcW w:w="539" w:type="pct"/>
                  <w:vMerge w:val="restart"/>
                  <w:noWrap w:val="0"/>
                  <w:vAlign w:val="center"/>
                </w:tcPr>
                <w:p w14:paraId="007555E6">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排放口名称</w:t>
                  </w:r>
                </w:p>
              </w:tc>
              <w:tc>
                <w:tcPr>
                  <w:tcW w:w="1290" w:type="pct"/>
                  <w:gridSpan w:val="2"/>
                  <w:noWrap w:val="0"/>
                  <w:vAlign w:val="center"/>
                </w:tcPr>
                <w:p w14:paraId="087BB759">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坐标</w:t>
                  </w:r>
                </w:p>
              </w:tc>
              <w:tc>
                <w:tcPr>
                  <w:tcW w:w="403" w:type="pct"/>
                  <w:vMerge w:val="restart"/>
                  <w:noWrap w:val="0"/>
                  <w:vAlign w:val="center"/>
                </w:tcPr>
                <w:p w14:paraId="05295477">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排放方式</w:t>
                  </w:r>
                </w:p>
              </w:tc>
              <w:tc>
                <w:tcPr>
                  <w:tcW w:w="552" w:type="pct"/>
                  <w:vMerge w:val="restart"/>
                  <w:noWrap w:val="0"/>
                  <w:vAlign w:val="center"/>
                </w:tcPr>
                <w:p w14:paraId="57E0A39E">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排放去向</w:t>
                  </w:r>
                </w:p>
              </w:tc>
              <w:tc>
                <w:tcPr>
                  <w:tcW w:w="786" w:type="pct"/>
                  <w:vMerge w:val="restart"/>
                  <w:noWrap w:val="0"/>
                  <w:vAlign w:val="center"/>
                </w:tcPr>
                <w:p w14:paraId="3C223CC6">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类型</w:t>
                  </w:r>
                </w:p>
              </w:tc>
              <w:tc>
                <w:tcPr>
                  <w:tcW w:w="804" w:type="pct"/>
                  <w:vMerge w:val="restart"/>
                  <w:noWrap w:val="0"/>
                  <w:vAlign w:val="center"/>
                </w:tcPr>
                <w:p w14:paraId="2C4FFFA6">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受纳水体</w:t>
                  </w:r>
                </w:p>
              </w:tc>
            </w:tr>
            <w:tr w14:paraId="0E81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2" w:type="pct"/>
                  <w:vMerge w:val="continue"/>
                  <w:noWrap w:val="0"/>
                  <w:vAlign w:val="center"/>
                </w:tcPr>
                <w:p w14:paraId="16E54624">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39" w:type="pct"/>
                  <w:vMerge w:val="continue"/>
                  <w:noWrap w:val="0"/>
                  <w:vAlign w:val="center"/>
                </w:tcPr>
                <w:p w14:paraId="3B45CCA9">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605" w:type="pct"/>
                  <w:noWrap w:val="0"/>
                  <w:vAlign w:val="center"/>
                </w:tcPr>
                <w:p w14:paraId="32A80000">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经度</w:t>
                  </w:r>
                </w:p>
              </w:tc>
              <w:tc>
                <w:tcPr>
                  <w:tcW w:w="685" w:type="pct"/>
                  <w:noWrap w:val="0"/>
                  <w:vAlign w:val="center"/>
                </w:tcPr>
                <w:p w14:paraId="1E93E59F">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纬度</w:t>
                  </w:r>
                </w:p>
              </w:tc>
              <w:tc>
                <w:tcPr>
                  <w:tcW w:w="403" w:type="pct"/>
                  <w:vMerge w:val="continue"/>
                  <w:noWrap w:val="0"/>
                  <w:vAlign w:val="center"/>
                </w:tcPr>
                <w:p w14:paraId="7EE400B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2" w:type="pct"/>
                  <w:vMerge w:val="continue"/>
                  <w:noWrap w:val="0"/>
                  <w:vAlign w:val="center"/>
                </w:tcPr>
                <w:p w14:paraId="711318BC">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86" w:type="pct"/>
                  <w:vMerge w:val="continue"/>
                  <w:noWrap w:val="0"/>
                  <w:vAlign w:val="center"/>
                </w:tcPr>
                <w:p w14:paraId="0B581121">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804" w:type="pct"/>
                  <w:vMerge w:val="continue"/>
                  <w:noWrap w:val="0"/>
                  <w:vAlign w:val="center"/>
                </w:tcPr>
                <w:p w14:paraId="31558AA1">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1A17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2" w:type="pct"/>
                  <w:noWrap w:val="0"/>
                  <w:vAlign w:val="center"/>
                </w:tcPr>
                <w:p w14:paraId="40369655">
                  <w:pPr>
                    <w:tabs>
                      <w:tab w:val="left" w:pos="420"/>
                    </w:tabs>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YS001</w:t>
                  </w:r>
                </w:p>
              </w:tc>
              <w:tc>
                <w:tcPr>
                  <w:tcW w:w="539" w:type="pct"/>
                  <w:noWrap w:val="0"/>
                  <w:vAlign w:val="center"/>
                </w:tcPr>
                <w:p w14:paraId="394D6F56">
                  <w:pPr>
                    <w:tabs>
                      <w:tab w:val="left" w:pos="420"/>
                    </w:tabs>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雨水总排口</w:t>
                  </w:r>
                </w:p>
              </w:tc>
              <w:tc>
                <w:tcPr>
                  <w:tcW w:w="605" w:type="pct"/>
                  <w:noWrap w:val="0"/>
                  <w:vAlign w:val="center"/>
                </w:tcPr>
                <w:p w14:paraId="723EB30C">
                  <w:pPr>
                    <w:tabs>
                      <w:tab w:val="left" w:pos="420"/>
                    </w:tabs>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103</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34.190</w:t>
                  </w:r>
                  <w:r>
                    <w:rPr>
                      <w:rFonts w:hint="default" w:ascii="Times New Roman" w:hAnsi="Times New Roman" w:eastAsia="宋体" w:cs="Times New Roman"/>
                      <w:color w:val="auto"/>
                      <w:szCs w:val="21"/>
                      <w:lang w:val="en-US" w:eastAsia="zh-CN"/>
                    </w:rPr>
                    <w:t>″</w:t>
                  </w:r>
                </w:p>
              </w:tc>
              <w:tc>
                <w:tcPr>
                  <w:tcW w:w="685" w:type="pct"/>
                  <w:noWrap w:val="0"/>
                  <w:vAlign w:val="center"/>
                </w:tcPr>
                <w:p w14:paraId="68D8B43E">
                  <w:pPr>
                    <w:tabs>
                      <w:tab w:val="left" w:pos="420"/>
                    </w:tabs>
                    <w:adjustRightInd w:val="0"/>
                    <w:snapToGrid w:val="0"/>
                    <w:jc w:val="center"/>
                    <w:rPr>
                      <w:rFonts w:hint="default" w:ascii="Times New Roman" w:hAnsi="Times New Roman" w:eastAsia="宋体" w:cs="Times New Roman"/>
                      <w:color w:val="auto"/>
                      <w:szCs w:val="21"/>
                      <w:lang w:val="en-US" w:eastAsia="zh-CN"/>
                    </w:rPr>
                  </w:pPr>
                  <w:r>
                    <w:rPr>
                      <w:rFonts w:hint="eastAsia"/>
                      <w:color w:val="auto"/>
                    </w:rPr>
                    <w:t>25</w:t>
                  </w:r>
                  <w:r>
                    <w:rPr>
                      <w:rFonts w:hint="default" w:ascii="Times New Roman" w:hAnsi="Times New Roman" w:eastAsia="宋体" w:cs="Times New Roman"/>
                      <w:color w:val="auto"/>
                      <w:szCs w:val="21"/>
                      <w:lang w:val="en-US" w:eastAsia="zh-CN"/>
                    </w:rPr>
                    <w:t>°</w:t>
                  </w:r>
                  <w:r>
                    <w:rPr>
                      <w:rFonts w:hint="eastAsia"/>
                      <w:color w:val="auto"/>
                    </w:rPr>
                    <w:t>43</w:t>
                  </w:r>
                  <w:r>
                    <w:rPr>
                      <w:rFonts w:hint="default" w:ascii="Times New Roman" w:hAnsi="Times New Roman" w:eastAsia="宋体" w:cs="Times New Roman"/>
                      <w:color w:val="auto"/>
                      <w:szCs w:val="21"/>
                      <w:lang w:val="en-US" w:eastAsia="zh-CN"/>
                    </w:rPr>
                    <w:t>′</w:t>
                  </w:r>
                  <w:r>
                    <w:rPr>
                      <w:rFonts w:hint="eastAsia"/>
                      <w:color w:val="auto"/>
                    </w:rPr>
                    <w:t>26.312</w:t>
                  </w:r>
                  <w:r>
                    <w:rPr>
                      <w:rFonts w:hint="default" w:ascii="Times New Roman" w:hAnsi="Times New Roman" w:eastAsia="宋体" w:cs="Times New Roman"/>
                      <w:color w:val="auto"/>
                      <w:szCs w:val="21"/>
                      <w:lang w:val="en-US" w:eastAsia="zh-CN"/>
                    </w:rPr>
                    <w:t>″</w:t>
                  </w:r>
                </w:p>
              </w:tc>
              <w:tc>
                <w:tcPr>
                  <w:tcW w:w="403" w:type="pct"/>
                  <w:noWrap w:val="0"/>
                  <w:vAlign w:val="center"/>
                </w:tcPr>
                <w:p w14:paraId="4613AA5C">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直接排放</w:t>
                  </w:r>
                </w:p>
              </w:tc>
              <w:tc>
                <w:tcPr>
                  <w:tcW w:w="552" w:type="pct"/>
                  <w:noWrap w:val="0"/>
                  <w:vAlign w:val="center"/>
                </w:tcPr>
                <w:p w14:paraId="66F839CA">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西侧道路</w:t>
                  </w:r>
                </w:p>
              </w:tc>
              <w:tc>
                <w:tcPr>
                  <w:tcW w:w="786" w:type="pct"/>
                  <w:noWrap w:val="0"/>
                  <w:vAlign w:val="center"/>
                </w:tcPr>
                <w:p w14:paraId="6D261657">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一般排放口</w:t>
                  </w:r>
                </w:p>
              </w:tc>
              <w:tc>
                <w:tcPr>
                  <w:tcW w:w="804" w:type="pct"/>
                  <w:noWrap w:val="0"/>
                  <w:vAlign w:val="center"/>
                </w:tcPr>
                <w:p w14:paraId="229BEC00">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kern w:val="0"/>
                      <w:szCs w:val="21"/>
                      <w:lang w:val="en-US" w:eastAsia="zh-CN"/>
                    </w:rPr>
                    <w:t>功山河</w:t>
                  </w:r>
                </w:p>
              </w:tc>
            </w:tr>
          </w:tbl>
          <w:p w14:paraId="59CF28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eastAsia" w:cs="Times New Roman"/>
                <w:b/>
                <w:bCs/>
                <w:color w:val="auto"/>
                <w:sz w:val="24"/>
                <w:lang w:val="en-US" w:eastAsia="zh-CN"/>
              </w:rPr>
              <w:t>5</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本项目的污水处理设施</w:t>
            </w:r>
            <w:r>
              <w:rPr>
                <w:rFonts w:hint="default" w:ascii="Times New Roman" w:hAnsi="Times New Roman" w:cs="Times New Roman"/>
                <w:b/>
                <w:bCs/>
                <w:color w:val="auto"/>
                <w:sz w:val="24"/>
                <w:lang w:val="en-US" w:eastAsia="zh-CN"/>
              </w:rPr>
              <w:t>可行</w:t>
            </w:r>
            <w:r>
              <w:rPr>
                <w:rFonts w:hint="default" w:ascii="Times New Roman" w:hAnsi="Times New Roman" w:cs="Times New Roman"/>
                <w:b/>
                <w:bCs/>
                <w:color w:val="auto"/>
                <w:sz w:val="24"/>
              </w:rPr>
              <w:t>性分析</w:t>
            </w:r>
          </w:p>
          <w:p w14:paraId="53328052">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本项目厨房废水隔油池的可行性分析</w:t>
            </w:r>
          </w:p>
          <w:p w14:paraId="4B01D307">
            <w:pPr>
              <w:widowControl/>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color w:val="auto"/>
                <w:kern w:val="0"/>
                <w:sz w:val="24"/>
                <w:lang w:bidi="ar"/>
              </w:rPr>
              <w:t>本项目设置职工食堂，</w:t>
            </w:r>
            <w:r>
              <w:rPr>
                <w:rFonts w:hint="default" w:ascii="Times New Roman" w:hAnsi="Times New Roman" w:cs="Times New Roman"/>
                <w:color w:val="auto"/>
                <w:sz w:val="24"/>
              </w:rPr>
              <w:t>厨房废水</w:t>
            </w:r>
            <w:r>
              <w:rPr>
                <w:rFonts w:hint="default" w:ascii="Times New Roman" w:hAnsi="Times New Roman" w:cs="Times New Roman"/>
                <w:color w:val="auto"/>
                <w:kern w:val="0"/>
                <w:sz w:val="24"/>
                <w:lang w:bidi="ar"/>
              </w:rPr>
              <w:t>按最大排放量约</w:t>
            </w:r>
            <w:r>
              <w:rPr>
                <w:rFonts w:hint="default" w:ascii="Times New Roman" w:hAnsi="Times New Roman" w:cs="Times New Roman"/>
                <w:color w:val="auto"/>
                <w:kern w:val="0"/>
                <w:sz w:val="24"/>
                <w:lang w:val="en-US" w:eastAsia="zh-CN" w:bidi="ar"/>
              </w:rPr>
              <w:t>0.048</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/d</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项目</w:t>
            </w:r>
            <w:r>
              <w:rPr>
                <w:rFonts w:hint="default" w:ascii="Times New Roman" w:hAnsi="Times New Roman" w:cs="Times New Roman"/>
                <w:color w:val="auto"/>
                <w:kern w:val="0"/>
                <w:sz w:val="24"/>
                <w:lang w:val="en-US" w:eastAsia="zh-CN" w:bidi="ar"/>
              </w:rPr>
              <w:t>拟</w:t>
            </w:r>
            <w:r>
              <w:rPr>
                <w:rFonts w:hint="default" w:ascii="Times New Roman" w:hAnsi="Times New Roman" w:cs="Times New Roman"/>
                <w:color w:val="auto"/>
                <w:kern w:val="0"/>
                <w:sz w:val="24"/>
                <w:lang w:bidi="ar"/>
              </w:rPr>
              <w:t>设1个隔油池，容积为</w:t>
            </w:r>
            <w:r>
              <w:rPr>
                <w:rFonts w:hint="default" w:ascii="Times New Roman" w:hAnsi="Times New Roman" w:cs="Times New Roman"/>
                <w:color w:val="auto"/>
                <w:kern w:val="0"/>
                <w:sz w:val="24"/>
                <w:lang w:val="en-US" w:eastAsia="zh-CN" w:bidi="ar"/>
              </w:rPr>
              <w:t>0.2</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sz w:val="24"/>
              </w:rPr>
              <w:t>，完全能够接纳</w:t>
            </w: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厨房废水，</w:t>
            </w:r>
            <w:r>
              <w:rPr>
                <w:rFonts w:hint="default" w:ascii="Times New Roman" w:hAnsi="Times New Roman" w:cs="Times New Roman"/>
                <w:bCs/>
                <w:color w:val="auto"/>
                <w:sz w:val="24"/>
              </w:rPr>
              <w:t>能够满足环评要求，</w:t>
            </w:r>
            <w:r>
              <w:rPr>
                <w:rFonts w:hint="default" w:ascii="Times New Roman" w:hAnsi="Times New Roman" w:cs="Times New Roman"/>
                <w:color w:val="auto"/>
                <w:sz w:val="24"/>
              </w:rPr>
              <w:t>经济也具有可行性，方案可行</w:t>
            </w:r>
            <w:r>
              <w:rPr>
                <w:rFonts w:hint="default" w:ascii="Times New Roman" w:hAnsi="Times New Roman" w:cs="Times New Roman"/>
                <w:bCs/>
                <w:color w:val="auto"/>
                <w:sz w:val="24"/>
              </w:rPr>
              <w:t>。</w:t>
            </w:r>
          </w:p>
          <w:p w14:paraId="60EF4969">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color w:val="auto"/>
                <w:sz w:val="24"/>
              </w:rPr>
              <w:t>本项目废水经化粪池收集的可行性分析</w:t>
            </w:r>
          </w:p>
          <w:p w14:paraId="7B919AFD">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根据工程分析，项目生活废水</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外来人员冲厕废水总</w:t>
            </w:r>
            <w:r>
              <w:rPr>
                <w:rFonts w:hint="default" w:ascii="Times New Roman" w:hAnsi="Times New Roman" w:cs="Times New Roman"/>
                <w:bCs/>
                <w:color w:val="auto"/>
                <w:sz w:val="24"/>
              </w:rPr>
              <w:t>产生量约</w:t>
            </w:r>
            <w:r>
              <w:rPr>
                <w:rFonts w:hint="default" w:ascii="Times New Roman" w:hAnsi="Times New Roman" w:cs="Times New Roman"/>
                <w:bCs/>
                <w:color w:val="auto"/>
                <w:sz w:val="24"/>
                <w:lang w:val="en-US" w:eastAsia="zh-CN"/>
              </w:rPr>
              <w:t>1.296</w:t>
            </w:r>
            <w:r>
              <w:rPr>
                <w:rFonts w:hint="default" w:ascii="Times New Roman" w:hAnsi="Times New Roman" w:cs="Times New Roman"/>
                <w:bCs/>
                <w:color w:val="auto"/>
                <w:sz w:val="24"/>
              </w:rPr>
              <w:t>m³/d，根据化粪池容积是在实际水量基础上再乘以1.2～1.5的系数（以1.</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计），项目区</w:t>
            </w:r>
            <w:r>
              <w:rPr>
                <w:rFonts w:hint="default" w:ascii="Times New Roman" w:hAnsi="Times New Roman" w:cs="Times New Roman"/>
                <w:bCs/>
                <w:color w:val="auto"/>
                <w:sz w:val="24"/>
                <w:lang w:val="en-US" w:eastAsia="zh-CN"/>
              </w:rPr>
              <w:t>拟</w:t>
            </w:r>
            <w:r>
              <w:rPr>
                <w:rFonts w:hint="default" w:ascii="Times New Roman" w:hAnsi="Times New Roman" w:cs="Times New Roman"/>
                <w:bCs/>
                <w:color w:val="auto"/>
                <w:sz w:val="24"/>
              </w:rPr>
              <w:t>设置1个容积</w:t>
            </w:r>
            <w:r>
              <w:rPr>
                <w:rFonts w:hint="eastAsia" w:cs="Times New Roman"/>
                <w:bCs/>
                <w:color w:val="auto"/>
                <w:sz w:val="24"/>
                <w:lang w:val="en-US" w:eastAsia="zh-CN"/>
              </w:rPr>
              <w:t>11</w:t>
            </w:r>
            <w:r>
              <w:rPr>
                <w:rFonts w:hint="default" w:ascii="Times New Roman" w:hAnsi="Times New Roman" w:cs="Times New Roman"/>
                <w:bCs/>
                <w:color w:val="auto"/>
                <w:sz w:val="24"/>
              </w:rPr>
              <w:t>m³的化粪池，</w:t>
            </w:r>
            <w:r>
              <w:rPr>
                <w:rFonts w:hint="default" w:ascii="Times New Roman" w:hAnsi="Times New Roman" w:cs="Times New Roman"/>
                <w:color w:val="auto"/>
                <w:sz w:val="24"/>
              </w:rPr>
              <w:t>完全能够接纳处理项目生活废水，</w:t>
            </w:r>
            <w:r>
              <w:rPr>
                <w:rFonts w:hint="default" w:ascii="Times New Roman" w:hAnsi="Times New Roman" w:cs="Times New Roman"/>
                <w:bCs/>
                <w:color w:val="auto"/>
                <w:sz w:val="24"/>
              </w:rPr>
              <w:t>能够满足</w:t>
            </w:r>
            <w:r>
              <w:rPr>
                <w:rFonts w:hint="eastAsia" w:cs="Times New Roman"/>
                <w:bCs/>
                <w:color w:val="auto"/>
                <w:sz w:val="24"/>
                <w:lang w:val="en-US" w:eastAsia="zh-CN"/>
              </w:rPr>
              <w:t>一周储存需</w:t>
            </w:r>
            <w:r>
              <w:rPr>
                <w:rFonts w:hint="default" w:ascii="Times New Roman" w:hAnsi="Times New Roman" w:cs="Times New Roman"/>
                <w:bCs/>
                <w:color w:val="auto"/>
                <w:sz w:val="24"/>
              </w:rPr>
              <w:t>求，</w:t>
            </w:r>
            <w:r>
              <w:rPr>
                <w:rFonts w:hint="eastAsia" w:cs="Times New Roman"/>
                <w:color w:val="auto"/>
                <w:kern w:val="1"/>
                <w:sz w:val="24"/>
                <w:lang w:val="en-US" w:eastAsia="zh-CN"/>
              </w:rPr>
              <w:t>需每周清运处置</w:t>
            </w:r>
            <w:r>
              <w:rPr>
                <w:rFonts w:hint="eastAsia" w:cs="Times New Roman"/>
                <w:bCs/>
                <w:color w:val="auto"/>
                <w:sz w:val="24"/>
                <w:lang w:val="en-US" w:eastAsia="zh-CN"/>
              </w:rPr>
              <w:t>。</w:t>
            </w:r>
          </w:p>
          <w:p w14:paraId="379CC61A">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w:t>
            </w:r>
            <w:r>
              <w:rPr>
                <w:rFonts w:hint="default" w:ascii="Times New Roman" w:hAnsi="Times New Roman" w:cs="Times New Roman"/>
                <w:color w:val="auto"/>
                <w:sz w:val="24"/>
                <w:lang w:val="en-US" w:eastAsia="zh-CN"/>
              </w:rPr>
              <w:t>三级油水分离池合理性分析</w:t>
            </w:r>
          </w:p>
          <w:p w14:paraId="0E732DD7">
            <w:pPr>
              <w:spacing w:line="360" w:lineRule="auto"/>
              <w:ind w:firstLine="480" w:firstLineChars="200"/>
              <w:rPr>
                <w:rFonts w:hint="default" w:ascii="Times New Roman" w:hAnsi="Times New Roman" w:eastAsia="宋体" w:cs="Times New Roman"/>
                <w:color w:val="auto"/>
                <w:kern w:val="1"/>
                <w:sz w:val="24"/>
                <w:lang w:val="en-US" w:eastAsia="zh-CN"/>
              </w:rPr>
            </w:pPr>
            <w:r>
              <w:rPr>
                <w:rFonts w:hint="default" w:ascii="Times New Roman" w:hAnsi="Times New Roman" w:cs="Times New Roman"/>
                <w:color w:val="auto"/>
                <w:sz w:val="24"/>
              </w:rPr>
              <w:t>根据工程分析，</w:t>
            </w:r>
            <w:r>
              <w:rPr>
                <w:rFonts w:hint="default" w:ascii="Times New Roman" w:hAnsi="Times New Roman" w:eastAsia="宋体" w:cs="Times New Roman"/>
                <w:color w:val="auto"/>
                <w:sz w:val="24"/>
                <w:szCs w:val="24"/>
                <w:lang w:val="en-US" w:eastAsia="zh-CN"/>
              </w:rPr>
              <w:t>项目区地坪冲洗水</w:t>
            </w:r>
            <w:r>
              <w:rPr>
                <w:rFonts w:hint="eastAsia" w:cs="Times New Roman"/>
                <w:color w:val="auto"/>
                <w:sz w:val="24"/>
                <w:szCs w:val="24"/>
                <w:lang w:val="en-US" w:eastAsia="zh-CN"/>
              </w:rPr>
              <w:t>、初期雨水</w:t>
            </w:r>
            <w:r>
              <w:rPr>
                <w:rFonts w:hint="default" w:ascii="Times New Roman" w:hAnsi="Times New Roman" w:eastAsia="宋体" w:cs="Times New Roman"/>
                <w:color w:val="auto"/>
                <w:sz w:val="24"/>
                <w:szCs w:val="24"/>
                <w:lang w:val="en-US" w:eastAsia="zh-CN"/>
              </w:rPr>
              <w:t>经</w:t>
            </w:r>
            <w:r>
              <w:rPr>
                <w:rFonts w:hint="eastAsia" w:cs="Times New Roman"/>
                <w:color w:val="auto"/>
                <w:sz w:val="24"/>
                <w:szCs w:val="24"/>
                <w:lang w:val="en-US" w:eastAsia="zh-CN"/>
              </w:rPr>
              <w:t>加油区</w:t>
            </w:r>
            <w:r>
              <w:rPr>
                <w:rFonts w:hint="default" w:ascii="Times New Roman" w:hAnsi="Times New Roman" w:eastAsia="宋体" w:cs="Times New Roman"/>
                <w:color w:val="auto"/>
                <w:sz w:val="24"/>
                <w:szCs w:val="24"/>
                <w:lang w:val="en-US" w:eastAsia="zh-CN"/>
              </w:rPr>
              <w:t>环保沟收集引流至三级油水分离池处理。</w:t>
            </w:r>
            <w:r>
              <w:rPr>
                <w:rFonts w:hint="eastAsia" w:cs="Times New Roman"/>
                <w:color w:val="auto"/>
                <w:sz w:val="24"/>
                <w:szCs w:val="24"/>
                <w:lang w:val="en-US" w:eastAsia="zh-CN"/>
              </w:rPr>
              <w:t>最大</w:t>
            </w:r>
            <w:r>
              <w:rPr>
                <w:rFonts w:hint="default" w:ascii="Times New Roman" w:hAnsi="Times New Roman" w:cs="Times New Roman"/>
                <w:color w:val="auto"/>
                <w:kern w:val="1"/>
                <w:sz w:val="24"/>
                <w:lang w:val="en-US" w:eastAsia="zh-CN"/>
              </w:rPr>
              <w:t>废水产生量为</w:t>
            </w:r>
            <w:r>
              <w:rPr>
                <w:rFonts w:hint="eastAsia" w:cs="Times New Roman"/>
                <w:color w:val="auto"/>
                <w:kern w:val="1"/>
                <w:sz w:val="24"/>
                <w:lang w:val="en-US" w:eastAsia="zh-CN"/>
              </w:rPr>
              <w:t>7.122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t>d</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cs="Times New Roman"/>
                <w:color w:val="auto"/>
                <w:kern w:val="1"/>
                <w:sz w:val="24"/>
              </w:rPr>
              <w:t>本项目</w:t>
            </w:r>
            <w:r>
              <w:rPr>
                <w:rFonts w:hint="default" w:ascii="Times New Roman" w:hAnsi="Times New Roman" w:cs="Times New Roman"/>
                <w:color w:val="auto"/>
                <w:kern w:val="1"/>
                <w:sz w:val="24"/>
                <w:lang w:val="en-US" w:eastAsia="zh-CN"/>
              </w:rPr>
              <w:t>考虑1.2倍安全系数</w:t>
            </w:r>
            <w:r>
              <w:rPr>
                <w:rFonts w:hint="eastAsia" w:cs="Times New Roman"/>
                <w:color w:val="auto"/>
                <w:kern w:val="1"/>
                <w:sz w:val="24"/>
                <w:lang w:val="en-US" w:eastAsia="zh-CN"/>
              </w:rPr>
              <w:t>，</w:t>
            </w:r>
            <w:r>
              <w:rPr>
                <w:rFonts w:hint="default" w:ascii="Times New Roman" w:hAnsi="Times New Roman" w:cs="Times New Roman"/>
                <w:color w:val="auto"/>
                <w:kern w:val="1"/>
                <w:sz w:val="24"/>
              </w:rPr>
              <w:t>设计</w:t>
            </w:r>
            <w:r>
              <w:rPr>
                <w:rFonts w:hint="default" w:ascii="Times New Roman" w:hAnsi="Times New Roman" w:cs="Times New Roman"/>
                <w:color w:val="auto"/>
                <w:kern w:val="1"/>
                <w:sz w:val="24"/>
                <w:lang w:val="en-US" w:eastAsia="zh-CN"/>
              </w:rPr>
              <w:t>处理效率</w:t>
            </w:r>
            <w:r>
              <w:rPr>
                <w:rFonts w:hint="eastAsia" w:cs="Times New Roman"/>
                <w:color w:val="auto"/>
                <w:kern w:val="1"/>
                <w:sz w:val="24"/>
                <w:lang w:val="en-US" w:eastAsia="zh-CN"/>
              </w:rPr>
              <w:t>8.5</w:t>
            </w:r>
            <w:r>
              <w:rPr>
                <w:rFonts w:hint="default" w:ascii="Times New Roman" w:hAnsi="Times New Roman" w:cs="Times New Roman"/>
                <w:color w:val="auto"/>
                <w:kern w:val="1"/>
                <w:sz w:val="24"/>
              </w:rPr>
              <w:t>m³</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cs="Times New Roman"/>
                <w:color w:val="auto"/>
                <w:sz w:val="24"/>
                <w:szCs w:val="24"/>
                <w:vertAlign w:val="baseline"/>
                <w:lang w:val="en-US" w:eastAsia="zh-CN"/>
              </w:rPr>
              <w:t>d</w:t>
            </w:r>
            <w:r>
              <w:rPr>
                <w:rFonts w:hint="default" w:ascii="Times New Roman" w:hAnsi="Times New Roman" w:cs="Times New Roman"/>
                <w:color w:val="auto"/>
                <w:kern w:val="1"/>
                <w:sz w:val="24"/>
              </w:rPr>
              <w:t>的</w:t>
            </w:r>
            <w:r>
              <w:rPr>
                <w:rFonts w:hint="default" w:ascii="Times New Roman" w:hAnsi="Times New Roman" w:cs="Times New Roman"/>
                <w:color w:val="auto"/>
                <w:kern w:val="1"/>
                <w:sz w:val="24"/>
                <w:lang w:val="en-US" w:eastAsia="zh-CN"/>
              </w:rPr>
              <w:t>三级</w:t>
            </w:r>
            <w:r>
              <w:rPr>
                <w:rFonts w:hint="default" w:ascii="Times New Roman" w:hAnsi="Times New Roman" w:cs="Times New Roman"/>
                <w:color w:val="auto"/>
                <w:kern w:val="1"/>
                <w:sz w:val="24"/>
              </w:rPr>
              <w:t>油水分离池，能够完全容纳</w:t>
            </w:r>
            <w:r>
              <w:rPr>
                <w:rFonts w:hint="eastAsia" w:cs="Times New Roman"/>
                <w:color w:val="auto"/>
                <w:kern w:val="1"/>
                <w:sz w:val="24"/>
                <w:lang w:eastAsia="zh-CN"/>
              </w:rPr>
              <w:t>。</w:t>
            </w:r>
            <w:r>
              <w:rPr>
                <w:rFonts w:hint="eastAsia" w:cs="Times New Roman"/>
                <w:color w:val="auto"/>
                <w:kern w:val="1"/>
                <w:sz w:val="24"/>
                <w:lang w:val="en-US" w:eastAsia="zh-CN"/>
              </w:rPr>
              <w:t>连续下雨天，需降雨后清运处置；晴天需2周清运处置（只有地坪冲洗水）。</w:t>
            </w:r>
          </w:p>
          <w:p w14:paraId="520E2D18">
            <w:pPr>
              <w:spacing w:line="360" w:lineRule="auto"/>
              <w:ind w:firstLine="480" w:firstLineChars="200"/>
              <w:rPr>
                <w:rFonts w:hint="default" w:ascii="Times New Roman" w:hAnsi="Times New Roman" w:cs="Times New Roman"/>
                <w:b/>
                <w:color w:val="auto"/>
                <w:sz w:val="24"/>
                <w:lang w:val="en-US" w:eastAsia="zh-CN"/>
              </w:rPr>
            </w:pPr>
            <w:r>
              <w:rPr>
                <w:rFonts w:hint="default" w:ascii="Times New Roman" w:hAnsi="Times New Roman" w:cs="Times New Roman"/>
                <w:bCs/>
                <w:color w:val="auto"/>
                <w:sz w:val="24"/>
              </w:rPr>
              <w:t>综上，项目</w:t>
            </w:r>
            <w:r>
              <w:rPr>
                <w:rFonts w:hint="default" w:ascii="Times New Roman" w:hAnsi="Times New Roman" w:cs="Times New Roman"/>
                <w:color w:val="auto"/>
                <w:sz w:val="24"/>
                <w:lang w:val="en-US" w:eastAsia="zh-CN"/>
              </w:rPr>
              <w:t>三级油水分离池</w:t>
            </w:r>
            <w:r>
              <w:rPr>
                <w:rFonts w:hint="default" w:ascii="Times New Roman" w:hAnsi="Times New Roman" w:cs="Times New Roman"/>
                <w:bCs/>
                <w:color w:val="auto"/>
                <w:sz w:val="24"/>
              </w:rPr>
              <w:t>设施设计合理可行。</w:t>
            </w:r>
          </w:p>
          <w:p w14:paraId="35877394">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eastAsia" w:cs="Times New Roman"/>
                <w:b/>
                <w:bCs/>
                <w:color w:val="auto"/>
                <w:sz w:val="24"/>
                <w:lang w:val="en-US" w:eastAsia="zh-CN"/>
              </w:rPr>
              <w:t>6</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环境监测</w:t>
            </w:r>
          </w:p>
          <w:p w14:paraId="2EAE0C0F">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根据</w:t>
            </w:r>
            <w:r>
              <w:rPr>
                <w:rFonts w:hint="eastAsia" w:cs="Times New Roman"/>
                <w:color w:val="auto"/>
                <w:sz w:val="24"/>
                <w:szCs w:val="24"/>
                <w:lang w:eastAsia="zh-CN"/>
              </w:rPr>
              <w:t>《排污许可证申请与核发技术规范 储油库、加油站》（HJ 1118-2020）</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排污单位自行监测技术指南 储油库、加油站</w:t>
            </w:r>
            <w:r>
              <w:rPr>
                <w:rFonts w:hint="default" w:ascii="Times New Roman" w:hAnsi="Times New Roman" w:cs="Times New Roman"/>
                <w:color w:val="auto"/>
                <w:sz w:val="24"/>
                <w:szCs w:val="22"/>
              </w:rPr>
              <w:t xml:space="preserve">》（HJ </w:t>
            </w:r>
            <w:r>
              <w:rPr>
                <w:rFonts w:hint="default" w:ascii="Times New Roman" w:hAnsi="Times New Roman" w:cs="Times New Roman"/>
                <w:color w:val="auto"/>
                <w:sz w:val="24"/>
                <w:szCs w:val="22"/>
                <w:lang w:val="en-US" w:eastAsia="zh-CN"/>
              </w:rPr>
              <w:t>1249</w:t>
            </w:r>
            <w:r>
              <w:rPr>
                <w:rFonts w:hint="default" w:ascii="Times New Roman" w:hAnsi="Times New Roman" w:cs="Times New Roman"/>
                <w:color w:val="auto"/>
                <w:sz w:val="24"/>
                <w:szCs w:val="22"/>
              </w:rPr>
              <w:t>-20</w:t>
            </w:r>
            <w:r>
              <w:rPr>
                <w:rFonts w:hint="default" w:ascii="Times New Roman" w:hAnsi="Times New Roman" w:cs="Times New Roman"/>
                <w:color w:val="auto"/>
                <w:sz w:val="24"/>
                <w:szCs w:val="22"/>
                <w:lang w:val="en-US" w:eastAsia="zh-CN"/>
              </w:rPr>
              <w:t>22</w:t>
            </w:r>
            <w:r>
              <w:rPr>
                <w:rFonts w:hint="default" w:ascii="Times New Roman" w:hAnsi="Times New Roman" w:cs="Times New Roman"/>
                <w:color w:val="auto"/>
                <w:sz w:val="24"/>
                <w:szCs w:val="22"/>
              </w:rPr>
              <w:t>）</w:t>
            </w:r>
            <w:r>
              <w:rPr>
                <w:rFonts w:hint="default" w:ascii="Times New Roman" w:hAnsi="Times New Roman" w:cs="Times New Roman"/>
                <w:color w:val="auto"/>
                <w:sz w:val="24"/>
              </w:rPr>
              <w:t>等相关要求。</w:t>
            </w:r>
          </w:p>
          <w:p w14:paraId="677DA3B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环评建议营运期的监测计划见表4-</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w:t>
            </w:r>
          </w:p>
          <w:p w14:paraId="3921FFE1">
            <w:pPr>
              <w:ind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11</w:t>
            </w:r>
            <w:r>
              <w:rPr>
                <w:rFonts w:hint="default" w:ascii="Times New Roman" w:hAnsi="Times New Roman" w:cs="Times New Roman"/>
                <w:b/>
                <w:bCs/>
                <w:color w:val="auto"/>
                <w:szCs w:val="21"/>
              </w:rPr>
              <w:t xml:space="preserve">  环境监测计划</w:t>
            </w:r>
          </w:p>
          <w:tbl>
            <w:tblPr>
              <w:tblStyle w:val="27"/>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550"/>
              <w:gridCol w:w="1412"/>
              <w:gridCol w:w="2743"/>
              <w:gridCol w:w="832"/>
              <w:gridCol w:w="801"/>
              <w:gridCol w:w="945"/>
              <w:gridCol w:w="953"/>
            </w:tblGrid>
            <w:tr w14:paraId="1693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221" w:type="dxa"/>
                  <w:gridSpan w:val="2"/>
                  <w:noWrap w:val="0"/>
                  <w:vAlign w:val="center"/>
                </w:tcPr>
                <w:p w14:paraId="2F0E2B94">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阶段</w:t>
                  </w:r>
                </w:p>
              </w:tc>
              <w:tc>
                <w:tcPr>
                  <w:tcW w:w="1412" w:type="dxa"/>
                  <w:noWrap w:val="0"/>
                  <w:vAlign w:val="center"/>
                </w:tcPr>
                <w:p w14:paraId="5CC39245">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监测地点</w:t>
                  </w:r>
                </w:p>
              </w:tc>
              <w:tc>
                <w:tcPr>
                  <w:tcW w:w="2743" w:type="dxa"/>
                  <w:noWrap w:val="0"/>
                  <w:vAlign w:val="center"/>
                </w:tcPr>
                <w:p w14:paraId="56EB60AD">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832" w:type="dxa"/>
                  <w:noWrap w:val="0"/>
                  <w:vAlign w:val="center"/>
                </w:tcPr>
                <w:p w14:paraId="5BA6D77F">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w:t>
                  </w:r>
                </w:p>
                <w:p w14:paraId="372E4137">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频率</w:t>
                  </w:r>
                </w:p>
              </w:tc>
              <w:tc>
                <w:tcPr>
                  <w:tcW w:w="801" w:type="dxa"/>
                  <w:noWrap w:val="0"/>
                  <w:vAlign w:val="center"/>
                </w:tcPr>
                <w:p w14:paraId="7335FCAB">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采样</w:t>
                  </w:r>
                </w:p>
                <w:p w14:paraId="3CCC37C6">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时间</w:t>
                  </w:r>
                </w:p>
              </w:tc>
              <w:tc>
                <w:tcPr>
                  <w:tcW w:w="945" w:type="dxa"/>
                  <w:noWrap w:val="0"/>
                  <w:vAlign w:val="center"/>
                </w:tcPr>
                <w:p w14:paraId="3B83F97D">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实施</w:t>
                  </w:r>
                </w:p>
                <w:p w14:paraId="2D91C0EC">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机构</w:t>
                  </w:r>
                </w:p>
              </w:tc>
              <w:tc>
                <w:tcPr>
                  <w:tcW w:w="953" w:type="dxa"/>
                  <w:noWrap w:val="0"/>
                  <w:vAlign w:val="center"/>
                </w:tcPr>
                <w:p w14:paraId="12B60F24">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监督</w:t>
                  </w:r>
                </w:p>
                <w:p w14:paraId="3ADEA77D">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机构</w:t>
                  </w:r>
                </w:p>
              </w:tc>
            </w:tr>
            <w:tr w14:paraId="6584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671" w:type="dxa"/>
                  <w:noWrap w:val="0"/>
                  <w:vAlign w:val="center"/>
                </w:tcPr>
                <w:p w14:paraId="044855C6">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营运期</w:t>
                  </w:r>
                </w:p>
              </w:tc>
              <w:tc>
                <w:tcPr>
                  <w:tcW w:w="550" w:type="dxa"/>
                  <w:noWrap w:val="0"/>
                  <w:vAlign w:val="center"/>
                </w:tcPr>
                <w:p w14:paraId="73451773">
                  <w:pPr>
                    <w:jc w:val="center"/>
                    <w:rPr>
                      <w:rFonts w:hint="default" w:ascii="Times New Roman" w:hAnsi="Times New Roman" w:eastAsia="宋体" w:cs="Times New Roman"/>
                      <w:color w:val="auto"/>
                      <w:kern w:val="1"/>
                      <w:szCs w:val="21"/>
                      <w:lang w:val="en-US" w:eastAsia="zh-CN"/>
                    </w:rPr>
                  </w:pPr>
                  <w:r>
                    <w:rPr>
                      <w:rFonts w:hint="default" w:ascii="Times New Roman" w:hAnsi="Times New Roman" w:cs="Times New Roman"/>
                      <w:color w:val="auto"/>
                      <w:kern w:val="1"/>
                      <w:szCs w:val="21"/>
                      <w:lang w:val="en-US" w:eastAsia="zh-CN"/>
                    </w:rPr>
                    <w:t>雨水</w:t>
                  </w:r>
                </w:p>
              </w:tc>
              <w:tc>
                <w:tcPr>
                  <w:tcW w:w="1412" w:type="dxa"/>
                  <w:noWrap w:val="0"/>
                  <w:vAlign w:val="center"/>
                </w:tcPr>
                <w:p w14:paraId="5E46D6B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雨水排口</w:t>
                  </w:r>
                </w:p>
              </w:tc>
              <w:tc>
                <w:tcPr>
                  <w:tcW w:w="2743" w:type="dxa"/>
                  <w:noWrap w:val="0"/>
                  <w:vAlign w:val="center"/>
                </w:tcPr>
                <w:p w14:paraId="7CB2E239">
                  <w:pPr>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化学需氧量、石油类</w:t>
                  </w:r>
                </w:p>
              </w:tc>
              <w:tc>
                <w:tcPr>
                  <w:tcW w:w="832" w:type="dxa"/>
                  <w:noWrap w:val="0"/>
                  <w:vAlign w:val="center"/>
                </w:tcPr>
                <w:p w14:paraId="021E2EC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每季度1次</w:t>
                  </w:r>
                </w:p>
              </w:tc>
              <w:tc>
                <w:tcPr>
                  <w:tcW w:w="801" w:type="dxa"/>
                  <w:noWrap w:val="0"/>
                  <w:vAlign w:val="center"/>
                </w:tcPr>
                <w:p w14:paraId="36E4A777">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正常运营期间</w:t>
                  </w:r>
                </w:p>
              </w:tc>
              <w:tc>
                <w:tcPr>
                  <w:tcW w:w="945" w:type="dxa"/>
                  <w:noWrap w:val="0"/>
                  <w:vAlign w:val="center"/>
                </w:tcPr>
                <w:p w14:paraId="24257F49">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有资质的监测单位</w:t>
                  </w:r>
                </w:p>
              </w:tc>
              <w:tc>
                <w:tcPr>
                  <w:tcW w:w="953" w:type="dxa"/>
                  <w:noWrap w:val="0"/>
                  <w:vAlign w:val="center"/>
                </w:tcPr>
                <w:p w14:paraId="4871765B">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当地</w:t>
                  </w:r>
                </w:p>
                <w:p w14:paraId="4E94CB50">
                  <w:pPr>
                    <w:spacing w:line="30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生态环境局</w:t>
                  </w:r>
                </w:p>
              </w:tc>
            </w:tr>
          </w:tbl>
          <w:p w14:paraId="4C8C45F1">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3、</w:t>
            </w:r>
            <w:r>
              <w:rPr>
                <w:rFonts w:hint="default" w:ascii="Times New Roman" w:hAnsi="Times New Roman" w:cs="Times New Roman"/>
                <w:b/>
                <w:bCs/>
                <w:color w:val="auto"/>
                <w:sz w:val="24"/>
              </w:rPr>
              <w:t>声环境影响分析和噪声污染防治措施</w:t>
            </w:r>
          </w:p>
          <w:p w14:paraId="5B89A6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1"/>
                <w:sz w:val="24"/>
              </w:rPr>
            </w:pPr>
            <w:r>
              <w:rPr>
                <w:rFonts w:hint="default" w:ascii="Times New Roman" w:hAnsi="Times New Roman" w:cs="Times New Roman"/>
                <w:color w:val="auto"/>
                <w:kern w:val="1"/>
                <w:sz w:val="24"/>
              </w:rPr>
              <w:t>（1）噪声源强</w:t>
            </w:r>
          </w:p>
          <w:p w14:paraId="416CB3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kern w:val="1"/>
                <w:sz w:val="24"/>
                <w:szCs w:val="22"/>
              </w:rPr>
            </w:pPr>
            <w:r>
              <w:rPr>
                <w:rFonts w:hint="default" w:ascii="Times New Roman" w:hAnsi="Times New Roman" w:cs="Times New Roman"/>
                <w:color w:val="auto"/>
                <w:kern w:val="1"/>
                <w:sz w:val="24"/>
                <w:szCs w:val="22"/>
              </w:rPr>
              <w:t>项目营运期噪声主要来自潜油泵、加油机、进出车辆、备用发电机</w:t>
            </w:r>
            <w:r>
              <w:rPr>
                <w:rFonts w:hint="default" w:ascii="Times New Roman" w:hAnsi="Times New Roman" w:cs="Times New Roman"/>
                <w:bCs/>
                <w:color w:val="auto"/>
                <w:kern w:val="1"/>
                <w:sz w:val="24"/>
                <w:szCs w:val="22"/>
              </w:rPr>
              <w:t>，噪声源强一般在60~80dB(A)</w:t>
            </w:r>
            <w:r>
              <w:rPr>
                <w:rFonts w:hint="default" w:ascii="Times New Roman" w:hAnsi="Times New Roman" w:cs="Times New Roman"/>
                <w:bCs/>
                <w:color w:val="auto"/>
                <w:kern w:val="1"/>
                <w:sz w:val="24"/>
                <w:szCs w:val="22"/>
                <w:lang w:eastAsia="zh-CN"/>
              </w:rPr>
              <w:t>，采取厂房隔声、基础减振、安装消声器及加强对生产设备的管理和维护等措施。噪声在传播过程中容易衰减，且易受厂房、墙体、植被的吸收和阻隔，</w:t>
            </w:r>
            <w:r>
              <w:rPr>
                <w:rFonts w:hint="default" w:ascii="Times New Roman" w:hAnsi="Times New Roman" w:cs="Times New Roman"/>
                <w:bCs/>
                <w:color w:val="auto"/>
                <w:kern w:val="1"/>
                <w:sz w:val="24"/>
                <w:szCs w:val="22"/>
                <w:lang w:val="en-US" w:eastAsia="zh-CN"/>
              </w:rPr>
              <w:t>其中</w:t>
            </w:r>
            <w:r>
              <w:rPr>
                <w:rFonts w:hint="default" w:ascii="Times New Roman" w:hAnsi="Times New Roman" w:eastAsia="宋体" w:cs="Times New Roman"/>
                <w:color w:val="auto"/>
                <w:sz w:val="24"/>
                <w:lang w:val="zh-CN"/>
              </w:rPr>
              <w:t>因车辆在项目区内为低速行驶状态，通过加强管理、禁止鸣笛等措施后，交通噪声对周围环境的影响是可以接受的，</w:t>
            </w:r>
            <w:r>
              <w:rPr>
                <w:rFonts w:hint="default" w:ascii="Times New Roman" w:hAnsi="Times New Roman" w:eastAsia="宋体" w:cs="Times New Roman"/>
                <w:color w:val="auto"/>
                <w:sz w:val="24"/>
                <w:lang w:val="en-US" w:eastAsia="zh-CN"/>
              </w:rPr>
              <w:t>噪声</w:t>
            </w:r>
            <w:r>
              <w:rPr>
                <w:rFonts w:hint="default" w:ascii="Times New Roman" w:hAnsi="Times New Roman" w:cs="Times New Roman"/>
                <w:bCs/>
                <w:color w:val="auto"/>
                <w:kern w:val="1"/>
                <w:sz w:val="24"/>
                <w:szCs w:val="22"/>
              </w:rPr>
              <w:t>具体情况见表</w:t>
            </w:r>
            <w:r>
              <w:rPr>
                <w:rFonts w:hint="default" w:ascii="Times New Roman" w:hAnsi="Times New Roman" w:cs="Times New Roman"/>
                <w:bCs/>
                <w:color w:val="auto"/>
                <w:kern w:val="1"/>
                <w:sz w:val="24"/>
                <w:szCs w:val="22"/>
                <w:lang w:val="en-US" w:eastAsia="zh-CN"/>
              </w:rPr>
              <w:t>4</w:t>
            </w:r>
            <w:r>
              <w:rPr>
                <w:rFonts w:hint="default" w:ascii="Times New Roman" w:hAnsi="Times New Roman" w:cs="Times New Roman"/>
                <w:bCs/>
                <w:color w:val="auto"/>
                <w:kern w:val="1"/>
                <w:sz w:val="24"/>
                <w:szCs w:val="22"/>
              </w:rPr>
              <w:t>-</w:t>
            </w:r>
            <w:r>
              <w:rPr>
                <w:rFonts w:hint="default" w:ascii="Times New Roman" w:hAnsi="Times New Roman" w:cs="Times New Roman"/>
                <w:bCs/>
                <w:color w:val="auto"/>
                <w:kern w:val="1"/>
                <w:sz w:val="24"/>
                <w:szCs w:val="22"/>
                <w:lang w:val="en-US" w:eastAsia="zh-CN"/>
              </w:rPr>
              <w:t>1</w:t>
            </w:r>
            <w:r>
              <w:rPr>
                <w:rFonts w:hint="eastAsia" w:cs="Times New Roman"/>
                <w:bCs/>
                <w:color w:val="auto"/>
                <w:kern w:val="1"/>
                <w:sz w:val="24"/>
                <w:szCs w:val="22"/>
                <w:lang w:val="en-US" w:eastAsia="zh-CN"/>
              </w:rPr>
              <w:t>0</w:t>
            </w:r>
            <w:r>
              <w:rPr>
                <w:rFonts w:hint="default" w:ascii="Times New Roman" w:hAnsi="Times New Roman" w:cs="Times New Roman"/>
                <w:bCs/>
                <w:color w:val="auto"/>
                <w:kern w:val="1"/>
                <w:sz w:val="24"/>
                <w:szCs w:val="22"/>
              </w:rPr>
              <w:t>。</w:t>
            </w:r>
          </w:p>
          <w:p w14:paraId="666632D5">
            <w:pPr>
              <w:widowControl/>
              <w:snapToGrid w:val="0"/>
              <w:spacing w:before="60" w:after="0" w:line="259" w:lineRule="auto"/>
              <w:ind w:right="113"/>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表4-1</w:t>
            </w:r>
            <w:r>
              <w:rPr>
                <w:rFonts w:hint="eastAsia" w:cs="Times New Roman"/>
                <w:b/>
                <w:color w:val="auto"/>
                <w:kern w:val="0"/>
                <w:sz w:val="21"/>
                <w:szCs w:val="21"/>
                <w:highlight w:val="none"/>
                <w:lang w:val="en-US" w:eastAsia="zh-CN" w:bidi="ar-SA"/>
              </w:rPr>
              <w:t>0</w:t>
            </w:r>
            <w:r>
              <w:rPr>
                <w:rFonts w:hint="default" w:ascii="Times New Roman" w:hAnsi="Times New Roman" w:eastAsia="宋体" w:cs="Times New Roman"/>
                <w:b/>
                <w:color w:val="auto"/>
                <w:kern w:val="0"/>
                <w:sz w:val="21"/>
                <w:szCs w:val="21"/>
                <w:highlight w:val="none"/>
                <w:lang w:val="en-US" w:eastAsia="zh-CN" w:bidi="ar-SA"/>
              </w:rPr>
              <w:t xml:space="preserve"> 主要噪声源强调查清单一览表（室内声源）</w:t>
            </w:r>
          </w:p>
          <w:tbl>
            <w:tblPr>
              <w:tblStyle w:val="28"/>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370"/>
              <w:gridCol w:w="450"/>
              <w:gridCol w:w="777"/>
              <w:gridCol w:w="670"/>
              <w:gridCol w:w="859"/>
              <w:gridCol w:w="642"/>
              <w:gridCol w:w="545"/>
              <w:gridCol w:w="613"/>
              <w:gridCol w:w="532"/>
              <w:gridCol w:w="736"/>
              <w:gridCol w:w="436"/>
              <w:gridCol w:w="749"/>
              <w:gridCol w:w="670"/>
              <w:gridCol w:w="777"/>
            </w:tblGrid>
            <w:tr w14:paraId="5FA6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468" w:hRule="atLeast"/>
                <w:jc w:val="center"/>
              </w:trPr>
              <w:tc>
                <w:tcPr>
                  <w:tcW w:w="370" w:type="dxa"/>
                  <w:vMerge w:val="restart"/>
                  <w:noWrap w:val="0"/>
                  <w:vAlign w:val="center"/>
                </w:tcPr>
                <w:p w14:paraId="6FE7DF2E">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序</w:t>
                  </w:r>
                </w:p>
                <w:p w14:paraId="0285C4E7">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号</w:t>
                  </w:r>
                </w:p>
              </w:tc>
              <w:tc>
                <w:tcPr>
                  <w:tcW w:w="450" w:type="dxa"/>
                  <w:vMerge w:val="restart"/>
                  <w:noWrap w:val="0"/>
                  <w:vAlign w:val="center"/>
                </w:tcPr>
                <w:p w14:paraId="1CDC3FF6">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建筑物名称</w:t>
                  </w:r>
                </w:p>
              </w:tc>
              <w:tc>
                <w:tcPr>
                  <w:tcW w:w="777" w:type="dxa"/>
                  <w:vMerge w:val="restart"/>
                  <w:noWrap w:val="0"/>
                  <w:vAlign w:val="center"/>
                </w:tcPr>
                <w:p w14:paraId="5FA9820B">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声源名称</w:t>
                  </w:r>
                </w:p>
              </w:tc>
              <w:tc>
                <w:tcPr>
                  <w:tcW w:w="670" w:type="dxa"/>
                  <w:vMerge w:val="restart"/>
                  <w:noWrap w:val="0"/>
                  <w:vAlign w:val="center"/>
                </w:tcPr>
                <w:p w14:paraId="648F8D2C">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型号</w:t>
                  </w:r>
                </w:p>
              </w:tc>
              <w:tc>
                <w:tcPr>
                  <w:tcW w:w="859" w:type="dxa"/>
                  <w:vMerge w:val="restart"/>
                  <w:noWrap w:val="0"/>
                  <w:vAlign w:val="center"/>
                </w:tcPr>
                <w:p w14:paraId="64489207">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声源源强</w:t>
                  </w:r>
                </w:p>
                <w:p w14:paraId="1A44345E">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声功率级（dB(A)）</w:t>
                  </w:r>
                </w:p>
              </w:tc>
              <w:tc>
                <w:tcPr>
                  <w:tcW w:w="642" w:type="dxa"/>
                  <w:vMerge w:val="restart"/>
                  <w:noWrap w:val="0"/>
                  <w:vAlign w:val="center"/>
                </w:tcPr>
                <w:p w14:paraId="0E9A613C">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声源控制措施</w:t>
                  </w:r>
                </w:p>
              </w:tc>
              <w:tc>
                <w:tcPr>
                  <w:tcW w:w="1690" w:type="dxa"/>
                  <w:gridSpan w:val="3"/>
                  <w:noWrap w:val="0"/>
                  <w:vAlign w:val="center"/>
                </w:tcPr>
                <w:p w14:paraId="6BF0CE86">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空间相对位置/m</w:t>
                  </w:r>
                </w:p>
              </w:tc>
              <w:tc>
                <w:tcPr>
                  <w:tcW w:w="736" w:type="dxa"/>
                  <w:vMerge w:val="restart"/>
                  <w:noWrap w:val="0"/>
                  <w:vAlign w:val="center"/>
                </w:tcPr>
                <w:p w14:paraId="70D6572B">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距室内边界距离/m</w:t>
                  </w:r>
                </w:p>
              </w:tc>
              <w:tc>
                <w:tcPr>
                  <w:tcW w:w="436" w:type="dxa"/>
                  <w:vMerge w:val="restart"/>
                  <w:noWrap w:val="0"/>
                  <w:vAlign w:val="center"/>
                </w:tcPr>
                <w:p w14:paraId="4FFC4F02">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运行时段</w:t>
                  </w:r>
                </w:p>
              </w:tc>
              <w:tc>
                <w:tcPr>
                  <w:tcW w:w="749" w:type="dxa"/>
                  <w:vMerge w:val="restart"/>
                  <w:noWrap w:val="0"/>
                  <w:vAlign w:val="center"/>
                </w:tcPr>
                <w:p w14:paraId="43A59429">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建筑物插入损失/dB(A)</w:t>
                  </w:r>
                </w:p>
              </w:tc>
              <w:tc>
                <w:tcPr>
                  <w:tcW w:w="1447" w:type="dxa"/>
                  <w:gridSpan w:val="2"/>
                  <w:noWrap w:val="0"/>
                  <w:vAlign w:val="center"/>
                </w:tcPr>
                <w:p w14:paraId="2344060D">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建筑物外噪声</w:t>
                  </w:r>
                </w:p>
              </w:tc>
            </w:tr>
            <w:tr w14:paraId="6131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576" w:hRule="atLeast"/>
                <w:jc w:val="center"/>
              </w:trPr>
              <w:tc>
                <w:tcPr>
                  <w:tcW w:w="370" w:type="dxa"/>
                  <w:vMerge w:val="continue"/>
                  <w:noWrap w:val="0"/>
                  <w:vAlign w:val="center"/>
                </w:tcPr>
                <w:p w14:paraId="16C7270D">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450" w:type="dxa"/>
                  <w:vMerge w:val="continue"/>
                  <w:noWrap w:val="0"/>
                  <w:vAlign w:val="center"/>
                </w:tcPr>
                <w:p w14:paraId="7014F9DC">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777" w:type="dxa"/>
                  <w:vMerge w:val="continue"/>
                  <w:noWrap w:val="0"/>
                  <w:vAlign w:val="center"/>
                </w:tcPr>
                <w:p w14:paraId="6BE68275">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670" w:type="dxa"/>
                  <w:vMerge w:val="continue"/>
                  <w:noWrap w:val="0"/>
                  <w:vAlign w:val="center"/>
                </w:tcPr>
                <w:p w14:paraId="0F381388">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859" w:type="dxa"/>
                  <w:vMerge w:val="continue"/>
                  <w:noWrap w:val="0"/>
                  <w:vAlign w:val="center"/>
                </w:tcPr>
                <w:p w14:paraId="4A3364C8">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642" w:type="dxa"/>
                  <w:vMerge w:val="continue"/>
                  <w:noWrap w:val="0"/>
                  <w:vAlign w:val="center"/>
                </w:tcPr>
                <w:p w14:paraId="3BA246F2">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545" w:type="dxa"/>
                  <w:noWrap w:val="0"/>
                  <w:vAlign w:val="center"/>
                </w:tcPr>
                <w:p w14:paraId="3191FEE3">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X</w:t>
                  </w:r>
                </w:p>
              </w:tc>
              <w:tc>
                <w:tcPr>
                  <w:tcW w:w="613" w:type="dxa"/>
                  <w:noWrap w:val="0"/>
                  <w:vAlign w:val="center"/>
                </w:tcPr>
                <w:p w14:paraId="7CF39C13">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Y</w:t>
                  </w:r>
                </w:p>
              </w:tc>
              <w:tc>
                <w:tcPr>
                  <w:tcW w:w="532" w:type="dxa"/>
                  <w:noWrap w:val="0"/>
                  <w:vAlign w:val="center"/>
                </w:tcPr>
                <w:p w14:paraId="0CFCC5D0">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Z</w:t>
                  </w:r>
                </w:p>
              </w:tc>
              <w:tc>
                <w:tcPr>
                  <w:tcW w:w="736" w:type="dxa"/>
                  <w:vMerge w:val="continue"/>
                  <w:noWrap w:val="0"/>
                  <w:vAlign w:val="center"/>
                </w:tcPr>
                <w:p w14:paraId="76D78855">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436" w:type="dxa"/>
                  <w:vMerge w:val="continue"/>
                  <w:noWrap w:val="0"/>
                  <w:vAlign w:val="center"/>
                </w:tcPr>
                <w:p w14:paraId="0442F525">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749" w:type="dxa"/>
                  <w:vMerge w:val="continue"/>
                  <w:noWrap w:val="0"/>
                  <w:vAlign w:val="center"/>
                </w:tcPr>
                <w:p w14:paraId="47A02C36">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p>
              </w:tc>
              <w:tc>
                <w:tcPr>
                  <w:tcW w:w="670" w:type="dxa"/>
                  <w:noWrap w:val="0"/>
                  <w:vAlign w:val="center"/>
                </w:tcPr>
                <w:p w14:paraId="2B2BD123">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声压级</w:t>
                  </w:r>
                </w:p>
                <w:p w14:paraId="6C7C4C13">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/dB(A)</w:t>
                  </w:r>
                </w:p>
              </w:tc>
              <w:tc>
                <w:tcPr>
                  <w:tcW w:w="777" w:type="dxa"/>
                  <w:noWrap w:val="0"/>
                  <w:vAlign w:val="center"/>
                </w:tcPr>
                <w:p w14:paraId="740DF7EE">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建筑外距离</w:t>
                  </w:r>
                </w:p>
              </w:tc>
            </w:tr>
            <w:tr w14:paraId="0B0C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435" w:hRule="atLeast"/>
                <w:jc w:val="center"/>
              </w:trPr>
              <w:tc>
                <w:tcPr>
                  <w:tcW w:w="370" w:type="dxa"/>
                  <w:noWrap w:val="0"/>
                  <w:vAlign w:val="center"/>
                </w:tcPr>
                <w:p w14:paraId="221B7A4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450" w:type="dxa"/>
                  <w:vMerge w:val="restart"/>
                  <w:noWrap w:val="0"/>
                  <w:vAlign w:val="center"/>
                </w:tcPr>
                <w:p w14:paraId="67800C0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罩棚</w:t>
                  </w:r>
                </w:p>
              </w:tc>
              <w:tc>
                <w:tcPr>
                  <w:tcW w:w="777" w:type="dxa"/>
                  <w:noWrap w:val="0"/>
                  <w:vAlign w:val="center"/>
                </w:tcPr>
                <w:p w14:paraId="2B2B774F">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潜油泵</w:t>
                  </w:r>
                </w:p>
              </w:tc>
              <w:tc>
                <w:tcPr>
                  <w:tcW w:w="670" w:type="dxa"/>
                  <w:vMerge w:val="restart"/>
                  <w:noWrap w:val="0"/>
                  <w:vAlign w:val="center"/>
                </w:tcPr>
                <w:p w14:paraId="5AB57749">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Q=380L/min</w:t>
                  </w:r>
                </w:p>
                <w:p w14:paraId="29A62EFA">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N=1.1KW</w:t>
                  </w:r>
                </w:p>
              </w:tc>
              <w:tc>
                <w:tcPr>
                  <w:tcW w:w="859" w:type="dxa"/>
                  <w:noWrap w:val="0"/>
                  <w:vAlign w:val="center"/>
                </w:tcPr>
                <w:p w14:paraId="31CC680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75</w:t>
                  </w:r>
                </w:p>
              </w:tc>
              <w:tc>
                <w:tcPr>
                  <w:tcW w:w="642" w:type="dxa"/>
                  <w:vMerge w:val="restart"/>
                  <w:noWrap w:val="0"/>
                  <w:vAlign w:val="center"/>
                </w:tcPr>
                <w:p w14:paraId="53A3B96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基础减震、厂房隔声、距离衰减</w:t>
                  </w:r>
                </w:p>
              </w:tc>
              <w:tc>
                <w:tcPr>
                  <w:tcW w:w="545" w:type="dxa"/>
                  <w:noWrap w:val="0"/>
                  <w:vAlign w:val="center"/>
                </w:tcPr>
                <w:p w14:paraId="120070CA">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613" w:type="dxa"/>
                  <w:noWrap w:val="0"/>
                  <w:vAlign w:val="center"/>
                </w:tcPr>
                <w:p w14:paraId="2C9DA77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w:t>
                  </w:r>
                </w:p>
              </w:tc>
              <w:tc>
                <w:tcPr>
                  <w:tcW w:w="532" w:type="dxa"/>
                  <w:noWrap w:val="0"/>
                  <w:vAlign w:val="center"/>
                </w:tcPr>
                <w:p w14:paraId="15CEB0C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736" w:type="dxa"/>
                  <w:noWrap w:val="0"/>
                  <w:vAlign w:val="center"/>
                </w:tcPr>
                <w:p w14:paraId="2B7622AE">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36" w:type="dxa"/>
                  <w:vMerge w:val="restart"/>
                  <w:noWrap w:val="0"/>
                  <w:vAlign w:val="center"/>
                </w:tcPr>
                <w:p w14:paraId="2586D102">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昼夜</w:t>
                  </w:r>
                </w:p>
              </w:tc>
              <w:tc>
                <w:tcPr>
                  <w:tcW w:w="749" w:type="dxa"/>
                  <w:noWrap w:val="0"/>
                  <w:vAlign w:val="center"/>
                </w:tcPr>
                <w:p w14:paraId="65A221A4">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670" w:type="dxa"/>
                  <w:noWrap w:val="0"/>
                  <w:vAlign w:val="center"/>
                </w:tcPr>
                <w:p w14:paraId="4A73FC0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777" w:type="dxa"/>
                  <w:noWrap w:val="0"/>
                  <w:vAlign w:val="center"/>
                </w:tcPr>
                <w:p w14:paraId="3E97E573">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r>
            <w:tr w14:paraId="2C2E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466" w:hRule="atLeast"/>
                <w:jc w:val="center"/>
              </w:trPr>
              <w:tc>
                <w:tcPr>
                  <w:tcW w:w="370" w:type="dxa"/>
                  <w:noWrap w:val="0"/>
                  <w:vAlign w:val="center"/>
                </w:tcPr>
                <w:p w14:paraId="7F563F2A">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w:t>
                  </w:r>
                </w:p>
              </w:tc>
              <w:tc>
                <w:tcPr>
                  <w:tcW w:w="450" w:type="dxa"/>
                  <w:vMerge w:val="continue"/>
                  <w:noWrap w:val="0"/>
                  <w:vAlign w:val="center"/>
                </w:tcPr>
                <w:p w14:paraId="5942D2B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7" w:type="dxa"/>
                  <w:noWrap w:val="0"/>
                  <w:vAlign w:val="center"/>
                </w:tcPr>
                <w:p w14:paraId="03163864">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eastAsia="宋体" w:cs="Times New Roman"/>
                      <w:b w:val="0"/>
                      <w:bCs/>
                      <w:color w:val="auto"/>
                      <w:sz w:val="21"/>
                      <w:highlight w:val="none"/>
                      <w:lang w:val="en-US" w:eastAsia="zh-CN"/>
                    </w:rPr>
                    <w:t>潜油泵</w:t>
                  </w:r>
                </w:p>
              </w:tc>
              <w:tc>
                <w:tcPr>
                  <w:tcW w:w="670" w:type="dxa"/>
                  <w:vMerge w:val="continue"/>
                  <w:noWrap w:val="0"/>
                  <w:vAlign w:val="center"/>
                </w:tcPr>
                <w:p w14:paraId="0BDA3264">
                  <w:pPr>
                    <w:widowControl w:val="0"/>
                    <w:bidi w:val="0"/>
                    <w:spacing w:line="240" w:lineRule="auto"/>
                    <w:ind w:firstLine="0" w:firstLineChars="0"/>
                    <w:jc w:val="center"/>
                    <w:rPr>
                      <w:rFonts w:hint="default" w:ascii="Times New Roman" w:hAnsi="Times New Roman" w:cs="Times New Roman"/>
                      <w:color w:val="auto"/>
                      <w:sz w:val="21"/>
                      <w:szCs w:val="21"/>
                    </w:rPr>
                  </w:pPr>
                </w:p>
              </w:tc>
              <w:tc>
                <w:tcPr>
                  <w:tcW w:w="859" w:type="dxa"/>
                  <w:noWrap w:val="0"/>
                  <w:vAlign w:val="center"/>
                </w:tcPr>
                <w:p w14:paraId="772DCEE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75</w:t>
                  </w:r>
                </w:p>
              </w:tc>
              <w:tc>
                <w:tcPr>
                  <w:tcW w:w="642" w:type="dxa"/>
                  <w:vMerge w:val="continue"/>
                  <w:noWrap w:val="0"/>
                  <w:vAlign w:val="center"/>
                </w:tcPr>
                <w:p w14:paraId="7A767CDE">
                  <w:pPr>
                    <w:widowControl w:val="0"/>
                    <w:bidi w:val="0"/>
                    <w:spacing w:line="240" w:lineRule="auto"/>
                    <w:ind w:firstLine="0" w:firstLineChars="0"/>
                    <w:jc w:val="center"/>
                    <w:rPr>
                      <w:rFonts w:hint="default" w:ascii="Times New Roman" w:hAnsi="Times New Roman" w:eastAsia="宋体" w:cs="Times New Roman"/>
                      <w:b w:val="0"/>
                      <w:bCs/>
                      <w:color w:val="auto"/>
                      <w:sz w:val="21"/>
                      <w:highlight w:val="none"/>
                      <w:lang w:val="en-US" w:eastAsia="zh-CN"/>
                    </w:rPr>
                  </w:pPr>
                </w:p>
              </w:tc>
              <w:tc>
                <w:tcPr>
                  <w:tcW w:w="545" w:type="dxa"/>
                  <w:noWrap w:val="0"/>
                  <w:vAlign w:val="center"/>
                </w:tcPr>
                <w:p w14:paraId="4EBD154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613" w:type="dxa"/>
                  <w:noWrap w:val="0"/>
                  <w:vAlign w:val="center"/>
                </w:tcPr>
                <w:p w14:paraId="48F0E8C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532" w:type="dxa"/>
                  <w:noWrap w:val="0"/>
                  <w:vAlign w:val="center"/>
                </w:tcPr>
                <w:p w14:paraId="5186A4A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736" w:type="dxa"/>
                  <w:noWrap w:val="0"/>
                  <w:vAlign w:val="center"/>
                </w:tcPr>
                <w:p w14:paraId="7547F731">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36" w:type="dxa"/>
                  <w:vMerge w:val="continue"/>
                  <w:noWrap w:val="0"/>
                  <w:vAlign w:val="center"/>
                </w:tcPr>
                <w:p w14:paraId="7D9F0F0A">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p>
              </w:tc>
              <w:tc>
                <w:tcPr>
                  <w:tcW w:w="749" w:type="dxa"/>
                  <w:noWrap w:val="0"/>
                  <w:vAlign w:val="center"/>
                </w:tcPr>
                <w:p w14:paraId="3F56358A">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670" w:type="dxa"/>
                  <w:noWrap w:val="0"/>
                  <w:vAlign w:val="center"/>
                </w:tcPr>
                <w:p w14:paraId="17E0C0D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777" w:type="dxa"/>
                  <w:noWrap w:val="0"/>
                  <w:vAlign w:val="center"/>
                </w:tcPr>
                <w:p w14:paraId="2CB578FA">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r>
            <w:tr w14:paraId="1CFE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430" w:hRule="atLeast"/>
                <w:jc w:val="center"/>
              </w:trPr>
              <w:tc>
                <w:tcPr>
                  <w:tcW w:w="370" w:type="dxa"/>
                  <w:noWrap w:val="0"/>
                  <w:vAlign w:val="center"/>
                </w:tcPr>
                <w:p w14:paraId="1F05172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w:t>
                  </w:r>
                </w:p>
              </w:tc>
              <w:tc>
                <w:tcPr>
                  <w:tcW w:w="450" w:type="dxa"/>
                  <w:vMerge w:val="continue"/>
                  <w:noWrap w:val="0"/>
                  <w:vAlign w:val="center"/>
                </w:tcPr>
                <w:p w14:paraId="0664491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7" w:type="dxa"/>
                  <w:noWrap w:val="0"/>
                  <w:vAlign w:val="center"/>
                </w:tcPr>
                <w:p w14:paraId="20DA97D1">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eastAsia="宋体" w:cs="Times New Roman"/>
                      <w:b w:val="0"/>
                      <w:bCs/>
                      <w:color w:val="auto"/>
                      <w:sz w:val="21"/>
                      <w:highlight w:val="none"/>
                      <w:lang w:val="en-US" w:eastAsia="zh-CN"/>
                    </w:rPr>
                    <w:t>潜油泵</w:t>
                  </w:r>
                </w:p>
              </w:tc>
              <w:tc>
                <w:tcPr>
                  <w:tcW w:w="670" w:type="dxa"/>
                  <w:vMerge w:val="continue"/>
                  <w:noWrap w:val="0"/>
                  <w:vAlign w:val="center"/>
                </w:tcPr>
                <w:p w14:paraId="1E6D23A9">
                  <w:pPr>
                    <w:widowControl w:val="0"/>
                    <w:bidi w:val="0"/>
                    <w:spacing w:line="240" w:lineRule="auto"/>
                    <w:ind w:firstLine="0" w:firstLineChars="0"/>
                    <w:jc w:val="center"/>
                    <w:rPr>
                      <w:rFonts w:hint="default" w:ascii="Times New Roman" w:hAnsi="Times New Roman" w:cs="Times New Roman"/>
                      <w:color w:val="auto"/>
                      <w:sz w:val="21"/>
                      <w:szCs w:val="21"/>
                    </w:rPr>
                  </w:pPr>
                </w:p>
              </w:tc>
              <w:tc>
                <w:tcPr>
                  <w:tcW w:w="859" w:type="dxa"/>
                  <w:noWrap w:val="0"/>
                  <w:vAlign w:val="center"/>
                </w:tcPr>
                <w:p w14:paraId="15EAD4C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75</w:t>
                  </w:r>
                </w:p>
              </w:tc>
              <w:tc>
                <w:tcPr>
                  <w:tcW w:w="642" w:type="dxa"/>
                  <w:vMerge w:val="continue"/>
                  <w:noWrap w:val="0"/>
                  <w:vAlign w:val="center"/>
                </w:tcPr>
                <w:p w14:paraId="13EAFD4A">
                  <w:pPr>
                    <w:widowControl w:val="0"/>
                    <w:bidi w:val="0"/>
                    <w:spacing w:line="240" w:lineRule="auto"/>
                    <w:ind w:firstLine="0" w:firstLineChars="0"/>
                    <w:jc w:val="center"/>
                    <w:rPr>
                      <w:rFonts w:hint="default" w:ascii="Times New Roman" w:hAnsi="Times New Roman" w:eastAsia="宋体" w:cs="Times New Roman"/>
                      <w:b w:val="0"/>
                      <w:bCs/>
                      <w:color w:val="auto"/>
                      <w:sz w:val="21"/>
                      <w:highlight w:val="none"/>
                      <w:lang w:val="en-US" w:eastAsia="zh-CN"/>
                    </w:rPr>
                  </w:pPr>
                </w:p>
              </w:tc>
              <w:tc>
                <w:tcPr>
                  <w:tcW w:w="545" w:type="dxa"/>
                  <w:noWrap w:val="0"/>
                  <w:vAlign w:val="center"/>
                </w:tcPr>
                <w:p w14:paraId="066A783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613" w:type="dxa"/>
                  <w:noWrap w:val="0"/>
                  <w:vAlign w:val="center"/>
                </w:tcPr>
                <w:p w14:paraId="3DF036F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26</w:t>
                  </w:r>
                </w:p>
              </w:tc>
              <w:tc>
                <w:tcPr>
                  <w:tcW w:w="532" w:type="dxa"/>
                  <w:noWrap w:val="0"/>
                  <w:vAlign w:val="center"/>
                </w:tcPr>
                <w:p w14:paraId="391A5C0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736" w:type="dxa"/>
                  <w:noWrap w:val="0"/>
                  <w:vAlign w:val="center"/>
                </w:tcPr>
                <w:p w14:paraId="7B1E3E82">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436" w:type="dxa"/>
                  <w:vMerge w:val="continue"/>
                  <w:noWrap w:val="0"/>
                  <w:vAlign w:val="center"/>
                </w:tcPr>
                <w:p w14:paraId="51A41697">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p>
              </w:tc>
              <w:tc>
                <w:tcPr>
                  <w:tcW w:w="749" w:type="dxa"/>
                  <w:noWrap w:val="0"/>
                  <w:vAlign w:val="center"/>
                </w:tcPr>
                <w:p w14:paraId="4DB09584">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670" w:type="dxa"/>
                  <w:noWrap w:val="0"/>
                  <w:vAlign w:val="center"/>
                </w:tcPr>
                <w:p w14:paraId="542EF8E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777" w:type="dxa"/>
                  <w:noWrap w:val="0"/>
                  <w:vAlign w:val="center"/>
                </w:tcPr>
                <w:p w14:paraId="30A8A3DA">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r>
            <w:tr w14:paraId="08B4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422" w:hRule="atLeast"/>
                <w:jc w:val="center"/>
              </w:trPr>
              <w:tc>
                <w:tcPr>
                  <w:tcW w:w="370" w:type="dxa"/>
                  <w:noWrap w:val="0"/>
                  <w:vAlign w:val="center"/>
                </w:tcPr>
                <w:p w14:paraId="3DB82289">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p>
              </w:tc>
              <w:tc>
                <w:tcPr>
                  <w:tcW w:w="450" w:type="dxa"/>
                  <w:vMerge w:val="continue"/>
                  <w:noWrap w:val="0"/>
                  <w:vAlign w:val="center"/>
                </w:tcPr>
                <w:p w14:paraId="409E6A4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7" w:type="dxa"/>
                  <w:noWrap w:val="0"/>
                  <w:vAlign w:val="center"/>
                </w:tcPr>
                <w:p w14:paraId="5CE8E04A">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eastAsia="宋体" w:cs="Times New Roman"/>
                      <w:b w:val="0"/>
                      <w:bCs/>
                      <w:color w:val="auto"/>
                      <w:sz w:val="21"/>
                      <w:highlight w:val="none"/>
                      <w:lang w:val="en-US" w:eastAsia="zh-CN"/>
                    </w:rPr>
                    <w:t>加油机</w:t>
                  </w:r>
                </w:p>
              </w:tc>
              <w:tc>
                <w:tcPr>
                  <w:tcW w:w="670" w:type="dxa"/>
                  <w:vMerge w:val="restart"/>
                  <w:noWrap w:val="0"/>
                  <w:vAlign w:val="center"/>
                </w:tcPr>
                <w:p w14:paraId="56A891D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四油品四枪</w:t>
                  </w:r>
                </w:p>
              </w:tc>
              <w:tc>
                <w:tcPr>
                  <w:tcW w:w="859" w:type="dxa"/>
                  <w:noWrap w:val="0"/>
                  <w:vAlign w:val="center"/>
                </w:tcPr>
                <w:p w14:paraId="22EA1F99">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42" w:type="dxa"/>
                  <w:vMerge w:val="continue"/>
                  <w:noWrap w:val="0"/>
                  <w:vAlign w:val="center"/>
                </w:tcPr>
                <w:p w14:paraId="3A99A5AA">
                  <w:pPr>
                    <w:widowControl w:val="0"/>
                    <w:bidi w:val="0"/>
                    <w:spacing w:line="240" w:lineRule="auto"/>
                    <w:ind w:firstLine="0" w:firstLineChars="0"/>
                    <w:jc w:val="center"/>
                    <w:rPr>
                      <w:rFonts w:hint="default" w:ascii="Times New Roman" w:hAnsi="Times New Roman" w:eastAsia="宋体" w:cs="Times New Roman"/>
                      <w:b w:val="0"/>
                      <w:bCs/>
                      <w:color w:val="auto"/>
                      <w:sz w:val="21"/>
                      <w:highlight w:val="none"/>
                      <w:lang w:val="en-US" w:eastAsia="zh-CN"/>
                    </w:rPr>
                  </w:pPr>
                </w:p>
              </w:tc>
              <w:tc>
                <w:tcPr>
                  <w:tcW w:w="545" w:type="dxa"/>
                  <w:noWrap w:val="0"/>
                  <w:vAlign w:val="center"/>
                </w:tcPr>
                <w:p w14:paraId="6DE2B7D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613" w:type="dxa"/>
                  <w:noWrap w:val="0"/>
                  <w:vAlign w:val="center"/>
                </w:tcPr>
                <w:p w14:paraId="2A0A8F6A">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w:t>
                  </w:r>
                  <w:r>
                    <w:rPr>
                      <w:rFonts w:hint="eastAsia" w:cs="Times New Roman"/>
                      <w:color w:val="auto"/>
                      <w:kern w:val="2"/>
                      <w:sz w:val="21"/>
                      <w:szCs w:val="21"/>
                      <w:lang w:val="en-US" w:eastAsia="zh-CN" w:bidi="ar-SA"/>
                    </w:rPr>
                    <w:t>4</w:t>
                  </w:r>
                </w:p>
              </w:tc>
              <w:tc>
                <w:tcPr>
                  <w:tcW w:w="532" w:type="dxa"/>
                  <w:noWrap w:val="0"/>
                  <w:vAlign w:val="center"/>
                </w:tcPr>
                <w:p w14:paraId="5014D9D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c>
                <w:tcPr>
                  <w:tcW w:w="736" w:type="dxa"/>
                  <w:noWrap w:val="0"/>
                  <w:vAlign w:val="center"/>
                </w:tcPr>
                <w:p w14:paraId="0D817C8E">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436" w:type="dxa"/>
                  <w:vMerge w:val="continue"/>
                  <w:noWrap w:val="0"/>
                  <w:vAlign w:val="center"/>
                </w:tcPr>
                <w:p w14:paraId="78238EC3">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p>
              </w:tc>
              <w:tc>
                <w:tcPr>
                  <w:tcW w:w="749" w:type="dxa"/>
                  <w:noWrap w:val="0"/>
                  <w:vAlign w:val="center"/>
                </w:tcPr>
                <w:p w14:paraId="543EFF59">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670" w:type="dxa"/>
                  <w:noWrap w:val="0"/>
                  <w:vAlign w:val="center"/>
                </w:tcPr>
                <w:p w14:paraId="156DCD2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777" w:type="dxa"/>
                  <w:noWrap w:val="0"/>
                  <w:vAlign w:val="center"/>
                </w:tcPr>
                <w:p w14:paraId="038622AE">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r>
            <w:tr w14:paraId="3207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462" w:hRule="atLeast"/>
                <w:jc w:val="center"/>
              </w:trPr>
              <w:tc>
                <w:tcPr>
                  <w:tcW w:w="370" w:type="dxa"/>
                  <w:noWrap w:val="0"/>
                  <w:vAlign w:val="center"/>
                </w:tcPr>
                <w:p w14:paraId="04D187E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w:t>
                  </w:r>
                </w:p>
              </w:tc>
              <w:tc>
                <w:tcPr>
                  <w:tcW w:w="450" w:type="dxa"/>
                  <w:vMerge w:val="continue"/>
                  <w:noWrap w:val="0"/>
                  <w:vAlign w:val="center"/>
                </w:tcPr>
                <w:p w14:paraId="2DE9123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7" w:type="dxa"/>
                  <w:noWrap w:val="0"/>
                  <w:vAlign w:val="center"/>
                </w:tcPr>
                <w:p w14:paraId="4A23AE09">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加油机</w:t>
                  </w:r>
                </w:p>
              </w:tc>
              <w:tc>
                <w:tcPr>
                  <w:tcW w:w="670" w:type="dxa"/>
                  <w:vMerge w:val="continue"/>
                  <w:noWrap w:val="0"/>
                  <w:vAlign w:val="center"/>
                </w:tcPr>
                <w:p w14:paraId="08A4918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59" w:type="dxa"/>
                  <w:noWrap w:val="0"/>
                  <w:vAlign w:val="center"/>
                </w:tcPr>
                <w:p w14:paraId="7FDDC09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642" w:type="dxa"/>
                  <w:vMerge w:val="continue"/>
                  <w:noWrap w:val="0"/>
                  <w:vAlign w:val="center"/>
                </w:tcPr>
                <w:p w14:paraId="2FE37D4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45" w:type="dxa"/>
                  <w:noWrap w:val="0"/>
                  <w:vAlign w:val="center"/>
                </w:tcPr>
                <w:p w14:paraId="00A7BD7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613" w:type="dxa"/>
                  <w:noWrap w:val="0"/>
                  <w:vAlign w:val="center"/>
                </w:tcPr>
                <w:p w14:paraId="173A317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532" w:type="dxa"/>
                  <w:noWrap w:val="0"/>
                  <w:vAlign w:val="center"/>
                </w:tcPr>
                <w:p w14:paraId="2E408DA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36" w:type="dxa"/>
                  <w:noWrap w:val="0"/>
                  <w:vAlign w:val="center"/>
                </w:tcPr>
                <w:p w14:paraId="51B24456">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436" w:type="dxa"/>
                  <w:vMerge w:val="continue"/>
                  <w:noWrap w:val="0"/>
                  <w:vAlign w:val="center"/>
                </w:tcPr>
                <w:p w14:paraId="1F904D5E">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p>
              </w:tc>
              <w:tc>
                <w:tcPr>
                  <w:tcW w:w="749" w:type="dxa"/>
                  <w:noWrap w:val="0"/>
                  <w:vAlign w:val="center"/>
                </w:tcPr>
                <w:p w14:paraId="79213575">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670" w:type="dxa"/>
                  <w:noWrap w:val="0"/>
                  <w:vAlign w:val="center"/>
                </w:tcPr>
                <w:p w14:paraId="2F20C4A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777" w:type="dxa"/>
                  <w:noWrap w:val="0"/>
                  <w:vAlign w:val="center"/>
                </w:tcPr>
                <w:p w14:paraId="407095EF">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r>
            <w:tr w14:paraId="1DD3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53" w:hRule="atLeast"/>
                <w:jc w:val="center"/>
              </w:trPr>
              <w:tc>
                <w:tcPr>
                  <w:tcW w:w="370" w:type="dxa"/>
                  <w:noWrap w:val="0"/>
                  <w:vAlign w:val="center"/>
                </w:tcPr>
                <w:p w14:paraId="1AF4E34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p>
              </w:tc>
              <w:tc>
                <w:tcPr>
                  <w:tcW w:w="450" w:type="dxa"/>
                  <w:noWrap w:val="0"/>
                  <w:vAlign w:val="center"/>
                </w:tcPr>
                <w:p w14:paraId="39F15F1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附房</w:t>
                  </w:r>
                </w:p>
              </w:tc>
              <w:tc>
                <w:tcPr>
                  <w:tcW w:w="777" w:type="dxa"/>
                  <w:noWrap w:val="0"/>
                  <w:vAlign w:val="center"/>
                </w:tcPr>
                <w:p w14:paraId="607FB547">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eastAsia="宋体" w:cs="Times New Roman"/>
                      <w:b w:val="0"/>
                      <w:bCs/>
                      <w:color w:val="auto"/>
                      <w:sz w:val="21"/>
                      <w:highlight w:val="none"/>
                      <w:lang w:val="en-US" w:eastAsia="zh-CN"/>
                    </w:rPr>
                    <w:t>备用发电机</w:t>
                  </w:r>
                </w:p>
              </w:tc>
              <w:tc>
                <w:tcPr>
                  <w:tcW w:w="670" w:type="dxa"/>
                  <w:noWrap w:val="0"/>
                  <w:vAlign w:val="center"/>
                </w:tcPr>
                <w:p w14:paraId="55B3B86F">
                  <w:pPr>
                    <w:widowControl w:val="0"/>
                    <w:bidi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50kW</w:t>
                  </w:r>
                </w:p>
              </w:tc>
              <w:tc>
                <w:tcPr>
                  <w:tcW w:w="859" w:type="dxa"/>
                  <w:noWrap w:val="0"/>
                  <w:vAlign w:val="center"/>
                </w:tcPr>
                <w:p w14:paraId="0884C33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80</w:t>
                  </w:r>
                </w:p>
              </w:tc>
              <w:tc>
                <w:tcPr>
                  <w:tcW w:w="642" w:type="dxa"/>
                  <w:vMerge w:val="continue"/>
                  <w:noWrap w:val="0"/>
                  <w:vAlign w:val="center"/>
                </w:tcPr>
                <w:p w14:paraId="2D35B4F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545" w:type="dxa"/>
                  <w:noWrap w:val="0"/>
                  <w:vAlign w:val="center"/>
                </w:tcPr>
                <w:p w14:paraId="1ADDB89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613" w:type="dxa"/>
                  <w:noWrap w:val="0"/>
                  <w:vAlign w:val="center"/>
                </w:tcPr>
                <w:p w14:paraId="48D6545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532" w:type="dxa"/>
                  <w:noWrap w:val="0"/>
                  <w:vAlign w:val="center"/>
                </w:tcPr>
                <w:p w14:paraId="01C094A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36" w:type="dxa"/>
                  <w:noWrap w:val="0"/>
                  <w:vAlign w:val="center"/>
                </w:tcPr>
                <w:p w14:paraId="78801644">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w:t>
                  </w:r>
                </w:p>
              </w:tc>
              <w:tc>
                <w:tcPr>
                  <w:tcW w:w="436" w:type="dxa"/>
                  <w:vMerge w:val="continue"/>
                  <w:noWrap w:val="0"/>
                  <w:vAlign w:val="center"/>
                </w:tcPr>
                <w:p w14:paraId="17C57583">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p>
              </w:tc>
              <w:tc>
                <w:tcPr>
                  <w:tcW w:w="749" w:type="dxa"/>
                  <w:noWrap w:val="0"/>
                  <w:vAlign w:val="center"/>
                </w:tcPr>
                <w:p w14:paraId="35EA643B">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w:t>
                  </w:r>
                </w:p>
              </w:tc>
              <w:tc>
                <w:tcPr>
                  <w:tcW w:w="670" w:type="dxa"/>
                  <w:noWrap w:val="0"/>
                  <w:vAlign w:val="center"/>
                </w:tcPr>
                <w:p w14:paraId="10AE7A8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777" w:type="dxa"/>
                  <w:noWrap w:val="0"/>
                  <w:vAlign w:val="center"/>
                </w:tcPr>
                <w:p w14:paraId="7274A736">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r>
            <w:tr w14:paraId="4C82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799" w:hRule="atLeast"/>
                <w:jc w:val="center"/>
              </w:trPr>
              <w:tc>
                <w:tcPr>
                  <w:tcW w:w="8826" w:type="dxa"/>
                  <w:gridSpan w:val="14"/>
                  <w:noWrap w:val="0"/>
                  <w:vAlign w:val="center"/>
                </w:tcPr>
                <w:p w14:paraId="0F259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lang w:val="en-US" w:eastAsia="zh-CN"/>
                    </w:rPr>
                    <w:t>注：表中坐标以厂界西南角（103°15′33.808″</w:t>
                  </w:r>
                  <w:r>
                    <w:rPr>
                      <w:rFonts w:hint="eastAsia" w:cs="Times New Roman"/>
                      <w:color w:val="auto"/>
                      <w:lang w:val="en-US" w:eastAsia="zh-CN"/>
                    </w:rPr>
                    <w:t>，</w:t>
                  </w:r>
                  <w:r>
                    <w:rPr>
                      <w:rFonts w:hint="default" w:ascii="Times New Roman" w:hAnsi="Times New Roman" w:cs="Times New Roman"/>
                      <w:color w:val="auto"/>
                      <w:lang w:val="en-US" w:eastAsia="zh-CN"/>
                    </w:rPr>
                    <w:t>25°43′24.975″）为坐标原点，正东向为X轴正方向，正北向为Y轴正方向。</w:t>
                  </w:r>
                </w:p>
              </w:tc>
            </w:tr>
          </w:tbl>
          <w:p w14:paraId="044F94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1"/>
                <w:sz w:val="24"/>
              </w:rPr>
            </w:pPr>
            <w:r>
              <w:rPr>
                <w:rFonts w:hint="default" w:ascii="Times New Roman" w:hAnsi="Times New Roman" w:cs="Times New Roman"/>
                <w:color w:val="auto"/>
                <w:kern w:val="1"/>
                <w:sz w:val="24"/>
              </w:rPr>
              <w:t>（2）预测模式</w:t>
            </w:r>
          </w:p>
          <w:p w14:paraId="0F81EB5A">
            <w:pPr>
              <w:widowControl/>
              <w:spacing w:line="360" w:lineRule="auto"/>
              <w:ind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val="en-US" w:eastAsia="zh-CN" w:bidi="ar"/>
              </w:rPr>
              <w:t>根据</w:t>
            </w:r>
            <w:r>
              <w:rPr>
                <w:rFonts w:hint="default" w:ascii="Times New Roman" w:hAnsi="Times New Roman" w:eastAsia="宋体" w:cs="Times New Roman"/>
                <w:color w:val="auto"/>
                <w:kern w:val="0"/>
                <w:sz w:val="24"/>
                <w:lang w:bidi="ar"/>
              </w:rPr>
              <w:t>《环境影响评价技术 声环境》</w:t>
            </w:r>
            <w:r>
              <w:rPr>
                <w:rFonts w:hint="default" w:ascii="Times New Roman" w:hAnsi="Times New Roman" w:cs="Times New Roman"/>
                <w:color w:val="auto"/>
                <w:kern w:val="0"/>
                <w:sz w:val="24"/>
                <w:lang w:eastAsia="zh-CN" w:bidi="ar"/>
              </w:rPr>
              <w:t>（</w:t>
            </w:r>
            <w:r>
              <w:rPr>
                <w:rFonts w:hint="default" w:ascii="Times New Roman" w:hAnsi="Times New Roman" w:eastAsia="宋体" w:cs="Times New Roman"/>
                <w:color w:val="auto"/>
                <w:kern w:val="0"/>
                <w:sz w:val="24"/>
                <w:lang w:bidi="ar"/>
              </w:rPr>
              <w:t>HJ2.4-2021</w:t>
            </w:r>
            <w:r>
              <w:rPr>
                <w:rFonts w:hint="default" w:ascii="Times New Roman" w:hAnsi="Times New Roman" w:cs="Times New Roman"/>
                <w:color w:val="auto"/>
                <w:kern w:val="0"/>
                <w:sz w:val="24"/>
                <w:lang w:eastAsia="zh-CN" w:bidi="ar"/>
              </w:rPr>
              <w:t>）</w:t>
            </w:r>
            <w:r>
              <w:rPr>
                <w:rFonts w:hint="default" w:ascii="Times New Roman" w:hAnsi="Times New Roman" w:eastAsia="宋体" w:cs="Times New Roman"/>
                <w:color w:val="auto"/>
                <w:kern w:val="0"/>
                <w:sz w:val="24"/>
                <w:lang w:bidi="ar"/>
              </w:rPr>
              <w:t>中的噪声预测模式预测本项目的主要噪声设备对周围声环境的影响。预测模式如下：</w:t>
            </w:r>
          </w:p>
          <w:p w14:paraId="4D708AC1">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480" w:firstLineChars="200"/>
              <w:jc w:val="both"/>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
              </w:rPr>
              <w:t>①</w:t>
            </w:r>
            <w:r>
              <w:rPr>
                <w:rFonts w:hint="default" w:ascii="Times New Roman" w:hAnsi="Times New Roman" w:eastAsia="宋体" w:cs="Times New Roman"/>
                <w:color w:val="auto"/>
                <w:kern w:val="0"/>
                <w:sz w:val="24"/>
                <w:szCs w:val="20"/>
                <w:lang w:val="en-US" w:eastAsia="zh-CN" w:bidi="ar-SA"/>
              </w:rPr>
              <w:t>本项目只考虑几何发散衰减，公式按照：</w:t>
            </w:r>
          </w:p>
          <w:p w14:paraId="01F67183">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0" w:firstLineChars="0"/>
              <w:jc w:val="center"/>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L</w:t>
            </w:r>
            <w:r>
              <w:rPr>
                <w:rFonts w:hint="default" w:ascii="Times New Roman" w:hAnsi="Times New Roman" w:eastAsia="宋体" w:cs="Times New Roman"/>
                <w:color w:val="auto"/>
                <w:kern w:val="0"/>
                <w:sz w:val="24"/>
                <w:szCs w:val="20"/>
                <w:vertAlign w:val="subscript"/>
                <w:lang w:val="en-US" w:eastAsia="zh-CN" w:bidi="ar-SA"/>
              </w:rPr>
              <w:t>A</w:t>
            </w:r>
            <w:r>
              <w:rPr>
                <w:rFonts w:hint="default" w:ascii="Times New Roman" w:hAnsi="Times New Roman" w:eastAsia="宋体" w:cs="Times New Roman"/>
                <w:color w:val="auto"/>
                <w:kern w:val="0"/>
                <w:sz w:val="24"/>
                <w:szCs w:val="20"/>
                <w:lang w:val="en-US" w:eastAsia="zh-CN" w:bidi="ar-SA"/>
              </w:rPr>
              <w:t>(r)=L</w:t>
            </w:r>
            <w:r>
              <w:rPr>
                <w:rFonts w:hint="default" w:ascii="Times New Roman" w:hAnsi="Times New Roman" w:eastAsia="宋体" w:cs="Times New Roman"/>
                <w:color w:val="auto"/>
                <w:kern w:val="0"/>
                <w:sz w:val="24"/>
                <w:szCs w:val="20"/>
                <w:vertAlign w:val="subscript"/>
                <w:lang w:val="en-US" w:eastAsia="zh-CN" w:bidi="ar-SA"/>
              </w:rPr>
              <w:t>A</w:t>
            </w:r>
            <w:r>
              <w:rPr>
                <w:rFonts w:hint="default" w:ascii="Times New Roman" w:hAnsi="Times New Roman" w:eastAsia="宋体" w:cs="Times New Roman"/>
                <w:color w:val="auto"/>
                <w:kern w:val="0"/>
                <w:sz w:val="24"/>
                <w:szCs w:val="20"/>
                <w:lang w:val="en-US" w:eastAsia="zh-CN" w:bidi="ar-SA"/>
              </w:rPr>
              <w:t>（r</w:t>
            </w:r>
            <w:r>
              <w:rPr>
                <w:rFonts w:hint="default" w:ascii="Times New Roman" w:hAnsi="Times New Roman" w:eastAsia="宋体" w:cs="Times New Roman"/>
                <w:color w:val="auto"/>
                <w:kern w:val="0"/>
                <w:sz w:val="24"/>
                <w:szCs w:val="20"/>
                <w:vertAlign w:val="subscript"/>
                <w:lang w:val="en-US" w:eastAsia="zh-CN" w:bidi="ar-SA"/>
              </w:rPr>
              <w:t>0</w:t>
            </w:r>
            <w:r>
              <w:rPr>
                <w:rFonts w:hint="default" w:ascii="Times New Roman" w:hAnsi="Times New Roman" w:eastAsia="宋体" w:cs="Times New Roman"/>
                <w:color w:val="auto"/>
                <w:kern w:val="0"/>
                <w:sz w:val="24"/>
                <w:szCs w:val="20"/>
                <w:lang w:val="en-US" w:eastAsia="zh-CN" w:bidi="ar-SA"/>
              </w:rPr>
              <w:t>）－A</w:t>
            </w:r>
            <w:r>
              <w:rPr>
                <w:rFonts w:hint="default" w:ascii="Times New Roman" w:hAnsi="Times New Roman" w:eastAsia="宋体" w:cs="Times New Roman"/>
                <w:color w:val="auto"/>
                <w:kern w:val="0"/>
                <w:sz w:val="24"/>
                <w:szCs w:val="20"/>
                <w:vertAlign w:val="subscript"/>
                <w:lang w:val="en-US" w:eastAsia="zh-CN" w:bidi="ar-SA"/>
              </w:rPr>
              <w:t>div</w:t>
            </w:r>
          </w:p>
          <w:p w14:paraId="3BB1D5B7">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式中：L</w:t>
            </w:r>
            <w:r>
              <w:rPr>
                <w:rFonts w:hint="default" w:ascii="Times New Roman" w:hAnsi="Times New Roman" w:eastAsia="宋体" w:cs="Times New Roman"/>
                <w:color w:val="auto"/>
                <w:kern w:val="2"/>
                <w:sz w:val="24"/>
                <w:szCs w:val="24"/>
                <w:vertAlign w:val="subscript"/>
                <w:lang w:val="en-US" w:eastAsia="zh-CN" w:bidi="ar-SA"/>
              </w:rPr>
              <w:t>A</w:t>
            </w:r>
            <w:r>
              <w:rPr>
                <w:rFonts w:hint="default" w:ascii="Times New Roman" w:hAnsi="Times New Roman" w:eastAsia="宋体" w:cs="Times New Roman"/>
                <w:color w:val="auto"/>
                <w:kern w:val="2"/>
                <w:sz w:val="24"/>
                <w:szCs w:val="24"/>
                <w:lang w:val="en-US" w:eastAsia="zh-CN" w:bidi="ar-SA"/>
              </w:rPr>
              <w:t>(r)—距声源r处的A声级，dB（A）；</w:t>
            </w:r>
          </w:p>
          <w:p w14:paraId="00382906">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200" w:firstLineChars="5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w:t>
            </w:r>
            <w:r>
              <w:rPr>
                <w:rFonts w:hint="default" w:ascii="Times New Roman" w:hAnsi="Times New Roman" w:eastAsia="宋体" w:cs="Times New Roman"/>
                <w:color w:val="auto"/>
                <w:kern w:val="2"/>
                <w:sz w:val="24"/>
                <w:szCs w:val="24"/>
                <w:vertAlign w:val="subscript"/>
                <w:lang w:val="en-US" w:eastAsia="zh-CN" w:bidi="ar-SA"/>
              </w:rPr>
              <w:t>A</w:t>
            </w:r>
            <w:r>
              <w:rPr>
                <w:rFonts w:hint="default" w:ascii="Times New Roman" w:hAnsi="Times New Roman" w:eastAsia="宋体" w:cs="Times New Roman"/>
                <w:color w:val="auto"/>
                <w:kern w:val="2"/>
                <w:sz w:val="24"/>
                <w:szCs w:val="24"/>
                <w:lang w:val="en-US" w:eastAsia="zh-CN" w:bidi="ar-SA"/>
              </w:rPr>
              <w:t>(r</w:t>
            </w:r>
            <w:r>
              <w:rPr>
                <w:rFonts w:hint="default" w:ascii="Times New Roman" w:hAnsi="Times New Roman" w:eastAsia="宋体" w:cs="Times New Roman"/>
                <w:color w:val="auto"/>
                <w:kern w:val="2"/>
                <w:sz w:val="24"/>
                <w:szCs w:val="24"/>
                <w:vertAlign w:val="subscript"/>
                <w:lang w:val="en-US" w:eastAsia="zh-CN" w:bidi="ar-SA"/>
              </w:rPr>
              <w:t>0</w:t>
            </w:r>
            <w:r>
              <w:rPr>
                <w:rFonts w:hint="default" w:ascii="Times New Roman" w:hAnsi="Times New Roman" w:eastAsia="宋体" w:cs="Times New Roman"/>
                <w:color w:val="auto"/>
                <w:kern w:val="2"/>
                <w:sz w:val="24"/>
                <w:szCs w:val="24"/>
                <w:lang w:val="en-US" w:eastAsia="zh-CN" w:bidi="ar-SA"/>
              </w:rPr>
              <w:t>)—参考位置r</w:t>
            </w:r>
            <w:r>
              <w:rPr>
                <w:rFonts w:hint="default" w:ascii="Times New Roman" w:hAnsi="Times New Roman" w:eastAsia="宋体" w:cs="Times New Roman"/>
                <w:color w:val="auto"/>
                <w:kern w:val="2"/>
                <w:sz w:val="24"/>
                <w:szCs w:val="24"/>
                <w:vertAlign w:val="subscript"/>
                <w:lang w:val="en-US" w:eastAsia="zh-CN" w:bidi="ar-SA"/>
              </w:rPr>
              <w:t>0</w:t>
            </w:r>
            <w:r>
              <w:rPr>
                <w:rFonts w:hint="default" w:ascii="Times New Roman" w:hAnsi="Times New Roman" w:eastAsia="宋体" w:cs="Times New Roman"/>
                <w:color w:val="auto"/>
                <w:kern w:val="2"/>
                <w:sz w:val="24"/>
                <w:szCs w:val="24"/>
                <w:lang w:val="en-US" w:eastAsia="zh-CN" w:bidi="ar-SA"/>
              </w:rPr>
              <w:t>处的A声级，dB（A）；</w:t>
            </w:r>
          </w:p>
          <w:p w14:paraId="3130CAF8">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1200" w:firstLineChars="500"/>
              <w:jc w:val="both"/>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A</w:t>
            </w:r>
            <w:r>
              <w:rPr>
                <w:rFonts w:hint="default" w:ascii="Times New Roman" w:hAnsi="Times New Roman" w:eastAsia="宋体" w:cs="Times New Roman"/>
                <w:color w:val="auto"/>
                <w:kern w:val="0"/>
                <w:sz w:val="24"/>
                <w:szCs w:val="20"/>
                <w:vertAlign w:val="subscript"/>
                <w:lang w:val="en-US" w:eastAsia="zh-CN" w:bidi="ar-SA"/>
              </w:rPr>
              <w:t>div</w:t>
            </w:r>
            <w:r>
              <w:rPr>
                <w:rFonts w:hint="default" w:ascii="Times New Roman" w:hAnsi="Times New Roman" w:eastAsia="宋体" w:cs="Times New Roman"/>
                <w:color w:val="auto"/>
                <w:kern w:val="0"/>
                <w:sz w:val="24"/>
                <w:szCs w:val="20"/>
                <w:lang w:val="en-US" w:eastAsia="zh-CN" w:bidi="ar-SA"/>
              </w:rPr>
              <w:t>—几何发散引起的衰减，dB；</w:t>
            </w:r>
          </w:p>
          <w:p w14:paraId="216FFFFA">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480" w:firstLineChars="200"/>
              <w:jc w:val="both"/>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
              </w:rPr>
              <w:t>②</w:t>
            </w:r>
            <w:r>
              <w:rPr>
                <w:rFonts w:hint="default" w:ascii="Times New Roman" w:hAnsi="Times New Roman" w:eastAsia="宋体" w:cs="Times New Roman"/>
                <w:color w:val="auto"/>
                <w:kern w:val="0"/>
                <w:sz w:val="24"/>
                <w:szCs w:val="20"/>
                <w:lang w:val="en-US" w:eastAsia="zh-CN" w:bidi="ar-SA"/>
              </w:rPr>
              <w:t>声源的几何发散衰减公式：</w:t>
            </w:r>
          </w:p>
          <w:p w14:paraId="158A1CB7">
            <w:pPr>
              <w:keepNext w:val="0"/>
              <w:keepLines w:val="0"/>
              <w:pageBreakBefore w:val="0"/>
              <w:widowControl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w:t>
            </w:r>
            <w:r>
              <w:rPr>
                <w:rFonts w:hint="default" w:ascii="Times New Roman" w:hAnsi="Times New Roman" w:eastAsia="宋体" w:cs="Times New Roman"/>
                <w:color w:val="auto"/>
                <w:kern w:val="2"/>
                <w:sz w:val="24"/>
                <w:szCs w:val="24"/>
                <w:vertAlign w:val="subscript"/>
                <w:lang w:val="en-US" w:eastAsia="zh-CN" w:bidi="ar-SA"/>
              </w:rPr>
              <w:t>div</w:t>
            </w:r>
            <w:r>
              <w:rPr>
                <w:rFonts w:hint="default" w:ascii="Times New Roman" w:hAnsi="Times New Roman" w:eastAsia="宋体" w:cs="Times New Roman"/>
                <w:color w:val="auto"/>
                <w:kern w:val="2"/>
                <w:sz w:val="24"/>
                <w:szCs w:val="24"/>
                <w:lang w:val="en-US" w:eastAsia="zh-CN" w:bidi="ar-SA"/>
              </w:rPr>
              <w:t>=20lg（r/r</w:t>
            </w:r>
            <w:r>
              <w:rPr>
                <w:rFonts w:hint="default" w:ascii="Times New Roman" w:hAnsi="Times New Roman" w:eastAsia="宋体" w:cs="Times New Roman"/>
                <w:color w:val="auto"/>
                <w:kern w:val="2"/>
                <w:sz w:val="24"/>
                <w:szCs w:val="24"/>
                <w:vertAlign w:val="subscript"/>
                <w:lang w:val="en-US" w:eastAsia="zh-CN" w:bidi="ar-SA"/>
              </w:rPr>
              <w:t>0</w:t>
            </w:r>
            <w:r>
              <w:rPr>
                <w:rFonts w:hint="default" w:ascii="Times New Roman" w:hAnsi="Times New Roman" w:eastAsia="宋体" w:cs="Times New Roman"/>
                <w:color w:val="auto"/>
                <w:kern w:val="2"/>
                <w:sz w:val="24"/>
                <w:szCs w:val="24"/>
                <w:lang w:val="en-US" w:eastAsia="zh-CN" w:bidi="ar-SA"/>
              </w:rPr>
              <w:t>）</w:t>
            </w:r>
          </w:p>
          <w:p w14:paraId="677B0DE5">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式中：A</w:t>
            </w:r>
            <w:r>
              <w:rPr>
                <w:rFonts w:hint="default" w:ascii="Times New Roman" w:hAnsi="Times New Roman" w:eastAsia="宋体" w:cs="Times New Roman"/>
                <w:color w:val="auto"/>
                <w:kern w:val="2"/>
                <w:sz w:val="24"/>
                <w:szCs w:val="24"/>
                <w:vertAlign w:val="subscript"/>
                <w:lang w:val="en-US" w:eastAsia="zh-CN" w:bidi="ar-SA"/>
              </w:rPr>
              <w:t>div</w:t>
            </w:r>
            <w:r>
              <w:rPr>
                <w:rFonts w:hint="default" w:ascii="Times New Roman" w:hAnsi="Times New Roman" w:eastAsia="宋体" w:cs="Times New Roman"/>
                <w:color w:val="auto"/>
                <w:kern w:val="2"/>
                <w:sz w:val="24"/>
                <w:szCs w:val="24"/>
                <w:lang w:val="en-US" w:eastAsia="zh-CN" w:bidi="ar-SA"/>
              </w:rPr>
              <w:t>—几何发散引起的衰减，dB；</w:t>
            </w:r>
          </w:p>
          <w:p w14:paraId="2B17D7BC">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1200" w:firstLineChars="500"/>
              <w:jc w:val="both"/>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r—预测点距声源的距离；</w:t>
            </w:r>
          </w:p>
          <w:p w14:paraId="59E80B1C">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200" w:firstLineChars="5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r</w:t>
            </w:r>
            <w:r>
              <w:rPr>
                <w:rFonts w:hint="default" w:ascii="Times New Roman" w:hAnsi="Times New Roman" w:eastAsia="宋体" w:cs="Times New Roman"/>
                <w:color w:val="auto"/>
                <w:kern w:val="2"/>
                <w:sz w:val="24"/>
                <w:szCs w:val="24"/>
                <w:vertAlign w:val="subscript"/>
                <w:lang w:val="en-US" w:eastAsia="zh-CN" w:bidi="ar-SA"/>
              </w:rPr>
              <w:t>0</w:t>
            </w:r>
            <w:r>
              <w:rPr>
                <w:rFonts w:hint="default" w:ascii="Times New Roman" w:hAnsi="Times New Roman" w:eastAsia="宋体" w:cs="Times New Roman"/>
                <w:color w:val="auto"/>
                <w:kern w:val="2"/>
                <w:sz w:val="24"/>
                <w:szCs w:val="24"/>
                <w:lang w:val="en-US" w:eastAsia="zh-CN" w:bidi="ar-SA"/>
              </w:rPr>
              <w:t>—参考位置距声源的距离；</w:t>
            </w:r>
          </w:p>
          <w:p w14:paraId="6F6F229E">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480" w:firstLineChars="200"/>
              <w:jc w:val="both"/>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
              </w:rPr>
              <w:t>③</w:t>
            </w:r>
            <w:r>
              <w:rPr>
                <w:rFonts w:hint="default" w:ascii="Times New Roman" w:hAnsi="Times New Roman" w:eastAsia="宋体" w:cs="Times New Roman"/>
                <w:color w:val="auto"/>
                <w:kern w:val="0"/>
                <w:sz w:val="24"/>
                <w:szCs w:val="20"/>
                <w:lang w:val="en-US" w:eastAsia="zh-CN" w:bidi="ar-SA"/>
              </w:rPr>
              <w:t>工业企业噪声计算公式：</w:t>
            </w:r>
          </w:p>
          <w:p w14:paraId="40C44A6C">
            <w:pPr>
              <w:keepNext w:val="0"/>
              <w:keepLines w:val="0"/>
              <w:pageBreakBefore w:val="0"/>
              <w:widowControl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position w:val="-34"/>
                <w:sz w:val="24"/>
                <w:szCs w:val="24"/>
                <w:lang w:val="en-US" w:eastAsia="zh-CN" w:bidi="ar-SA"/>
              </w:rPr>
              <w:object>
                <v:shape id="_x0000_i1025" o:spt="75" type="#_x0000_t75" style="height:44.4pt;width:271.45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14:paraId="3F0B4F4A">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式中：L</w:t>
            </w:r>
            <w:r>
              <w:rPr>
                <w:rFonts w:hint="default" w:ascii="Times New Roman" w:hAnsi="Times New Roman" w:eastAsia="宋体" w:cs="Times New Roman"/>
                <w:color w:val="auto"/>
                <w:kern w:val="2"/>
                <w:sz w:val="24"/>
                <w:szCs w:val="24"/>
                <w:vertAlign w:val="subscript"/>
                <w:lang w:val="en-US" w:eastAsia="zh-CN" w:bidi="ar-SA"/>
              </w:rPr>
              <w:t>eqg</w:t>
            </w:r>
            <w:r>
              <w:rPr>
                <w:rFonts w:hint="default" w:ascii="Times New Roman" w:hAnsi="Times New Roman" w:eastAsia="宋体" w:cs="Times New Roman"/>
                <w:color w:val="auto"/>
                <w:kern w:val="2"/>
                <w:sz w:val="24"/>
                <w:szCs w:val="24"/>
                <w:lang w:val="en-US" w:eastAsia="zh-CN" w:bidi="ar-SA"/>
              </w:rPr>
              <w:t>—建设项目声源在预测点产生的噪声贡献值，dB；</w:t>
            </w:r>
          </w:p>
          <w:p w14:paraId="4686563F">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200" w:firstLineChars="5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T—用于计算等效声级的时间，s；</w:t>
            </w:r>
          </w:p>
          <w:p w14:paraId="79B00937">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1200" w:firstLineChars="500"/>
              <w:jc w:val="both"/>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N—室外声源个数；</w:t>
            </w:r>
          </w:p>
          <w:p w14:paraId="7EC9C9D2">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1200" w:firstLineChars="500"/>
              <w:jc w:val="both"/>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t</w:t>
            </w:r>
            <w:r>
              <w:rPr>
                <w:rFonts w:hint="default" w:ascii="Times New Roman" w:hAnsi="Times New Roman" w:eastAsia="宋体" w:cs="Times New Roman"/>
                <w:color w:val="auto"/>
                <w:kern w:val="0"/>
                <w:sz w:val="24"/>
                <w:szCs w:val="20"/>
                <w:vertAlign w:val="subscript"/>
                <w:lang w:val="en-US" w:eastAsia="zh-CN" w:bidi="ar-SA"/>
              </w:rPr>
              <w:t>i</w:t>
            </w:r>
            <w:r>
              <w:rPr>
                <w:rFonts w:hint="default" w:ascii="Times New Roman" w:hAnsi="Times New Roman" w:eastAsia="宋体" w:cs="Times New Roman"/>
                <w:color w:val="auto"/>
                <w:kern w:val="0"/>
                <w:sz w:val="24"/>
                <w:szCs w:val="20"/>
                <w:lang w:val="en-US" w:eastAsia="zh-CN" w:bidi="ar-SA"/>
              </w:rPr>
              <w:t>—在T时间内i声源工作时间，s；</w:t>
            </w:r>
          </w:p>
          <w:p w14:paraId="0F94F839">
            <w:pPr>
              <w:keepNext w:val="0"/>
              <w:keepLines w:val="0"/>
              <w:pageBreakBefore w:val="0"/>
              <w:widowControl/>
              <w:tabs>
                <w:tab w:val="bar" w:pos="9540"/>
              </w:tabs>
              <w:kinsoku/>
              <w:wordWrap/>
              <w:overflowPunct/>
              <w:topLinePunct w:val="0"/>
              <w:autoSpaceDE w:val="0"/>
              <w:autoSpaceDN w:val="0"/>
              <w:bidi w:val="0"/>
              <w:adjustRightInd w:val="0"/>
              <w:snapToGrid w:val="0"/>
              <w:spacing w:before="60" w:after="0" w:line="360" w:lineRule="auto"/>
              <w:ind w:right="0" w:rightChars="0" w:firstLine="1200" w:firstLineChars="500"/>
              <w:jc w:val="both"/>
              <w:textAlignment w:val="baseline"/>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M—等效室外声源个数；</w:t>
            </w:r>
          </w:p>
          <w:p w14:paraId="366A702C">
            <w:pPr>
              <w:spacing w:line="360" w:lineRule="auto"/>
              <w:ind w:firstLine="1314" w:firstLineChars="626"/>
              <w:rPr>
                <w:rFonts w:hint="default" w:ascii="Times New Roman" w:hAnsi="Times New Roman" w:cs="Times New Roman"/>
                <w:color w:val="auto"/>
                <w:kern w:val="1"/>
                <w:sz w:val="24"/>
              </w:rPr>
            </w:pPr>
            <w:r>
              <w:rPr>
                <w:rFonts w:hint="default" w:ascii="Times New Roman" w:hAnsi="Times New Roman" w:eastAsia="宋体" w:cs="Times New Roman"/>
                <w:color w:val="auto"/>
              </w:rPr>
              <w:t>tj—在T时间内j声</w:t>
            </w:r>
            <w:r>
              <w:rPr>
                <w:rFonts w:hint="default" w:ascii="Times New Roman" w:hAnsi="Times New Roman" w:eastAsia="宋体" w:cs="Times New Roman"/>
                <w:color w:val="auto"/>
                <w:sz w:val="24"/>
              </w:rPr>
              <w:t>源工作时间，s</w:t>
            </w:r>
            <w:r>
              <w:rPr>
                <w:rFonts w:hint="default" w:ascii="Times New Roman" w:hAnsi="Times New Roman" w:eastAsia="宋体" w:cs="Times New Roman"/>
                <w:color w:val="auto"/>
                <w:sz w:val="24"/>
                <w:szCs w:val="24"/>
              </w:rPr>
              <w:t>。</w:t>
            </w:r>
          </w:p>
          <w:p w14:paraId="5B80925B">
            <w:pPr>
              <w:spacing w:line="360" w:lineRule="auto"/>
              <w:ind w:left="480"/>
              <w:rPr>
                <w:rFonts w:hint="default" w:ascii="Times New Roman" w:hAnsi="Times New Roman" w:cs="Times New Roman"/>
                <w:b/>
                <w:color w:val="auto"/>
                <w:kern w:val="1"/>
                <w:sz w:val="24"/>
              </w:rPr>
            </w:pPr>
            <w:r>
              <w:rPr>
                <w:rFonts w:hint="default" w:ascii="Times New Roman" w:hAnsi="Times New Roman" w:cs="Times New Roman"/>
                <w:bCs/>
                <w:color w:val="auto"/>
                <w:kern w:val="1"/>
                <w:sz w:val="24"/>
              </w:rPr>
              <w:t>（3）噪声随距离衰减预测结果</w:t>
            </w:r>
          </w:p>
          <w:p w14:paraId="30D7E5D2">
            <w:pPr>
              <w:jc w:val="center"/>
              <w:rPr>
                <w:rFonts w:hint="default" w:ascii="Times New Roman" w:hAnsi="Times New Roman" w:cs="Times New Roman"/>
                <w:b/>
                <w:color w:val="auto"/>
                <w:kern w:val="1"/>
                <w:sz w:val="21"/>
                <w:szCs w:val="21"/>
              </w:rPr>
            </w:pPr>
            <w:r>
              <w:rPr>
                <w:rFonts w:hint="default" w:ascii="Times New Roman" w:hAnsi="Times New Roman" w:cs="Times New Roman"/>
                <w:b/>
                <w:color w:val="auto"/>
                <w:kern w:val="1"/>
                <w:sz w:val="21"/>
                <w:szCs w:val="21"/>
              </w:rPr>
              <w:t>表</w:t>
            </w:r>
            <w:r>
              <w:rPr>
                <w:rFonts w:hint="default" w:ascii="Times New Roman" w:hAnsi="Times New Roman" w:cs="Times New Roman"/>
                <w:b/>
                <w:color w:val="auto"/>
                <w:kern w:val="1"/>
                <w:sz w:val="21"/>
                <w:szCs w:val="21"/>
                <w:lang w:val="en-US" w:eastAsia="zh-CN"/>
              </w:rPr>
              <w:t>4</w:t>
            </w:r>
            <w:r>
              <w:rPr>
                <w:rFonts w:hint="default" w:ascii="Times New Roman" w:hAnsi="Times New Roman" w:cs="Times New Roman"/>
                <w:b/>
                <w:color w:val="auto"/>
                <w:kern w:val="1"/>
                <w:sz w:val="21"/>
                <w:szCs w:val="21"/>
              </w:rPr>
              <w:t>-</w:t>
            </w:r>
            <w:r>
              <w:rPr>
                <w:rFonts w:hint="default" w:ascii="Times New Roman" w:hAnsi="Times New Roman" w:cs="Times New Roman"/>
                <w:b/>
                <w:color w:val="auto"/>
                <w:kern w:val="1"/>
                <w:sz w:val="21"/>
                <w:szCs w:val="21"/>
                <w:lang w:val="en-US" w:eastAsia="zh-CN"/>
              </w:rPr>
              <w:t>1</w:t>
            </w:r>
            <w:r>
              <w:rPr>
                <w:rFonts w:hint="eastAsia" w:cs="Times New Roman"/>
                <w:b/>
                <w:color w:val="auto"/>
                <w:kern w:val="1"/>
                <w:sz w:val="21"/>
                <w:szCs w:val="21"/>
                <w:lang w:val="en-US" w:eastAsia="zh-CN"/>
              </w:rPr>
              <w:t>1</w:t>
            </w:r>
            <w:r>
              <w:rPr>
                <w:rFonts w:hint="default" w:ascii="Times New Roman" w:hAnsi="Times New Roman" w:cs="Times New Roman"/>
                <w:b/>
                <w:color w:val="auto"/>
                <w:kern w:val="1"/>
                <w:sz w:val="21"/>
                <w:szCs w:val="21"/>
              </w:rPr>
              <w:t xml:space="preserve"> 项目噪声源距离厂界距离     单位：m</w:t>
            </w:r>
          </w:p>
          <w:tbl>
            <w:tblPr>
              <w:tblStyle w:val="27"/>
              <w:tblW w:w="9124" w:type="dxa"/>
              <w:jc w:val="center"/>
              <w:tblLayout w:type="fixed"/>
              <w:tblCellMar>
                <w:top w:w="0" w:type="dxa"/>
                <w:left w:w="108" w:type="dxa"/>
                <w:bottom w:w="0" w:type="dxa"/>
                <w:right w:w="108" w:type="dxa"/>
              </w:tblCellMar>
            </w:tblPr>
            <w:tblGrid>
              <w:gridCol w:w="1059"/>
              <w:gridCol w:w="1582"/>
              <w:gridCol w:w="1492"/>
              <w:gridCol w:w="1655"/>
              <w:gridCol w:w="1681"/>
              <w:gridCol w:w="1655"/>
            </w:tblGrid>
            <w:tr w14:paraId="650F3F90">
              <w:tblPrEx>
                <w:tblCellMar>
                  <w:top w:w="0" w:type="dxa"/>
                  <w:left w:w="108" w:type="dxa"/>
                  <w:bottom w:w="0" w:type="dxa"/>
                  <w:right w:w="108" w:type="dxa"/>
                </w:tblCellMar>
              </w:tblPrEx>
              <w:trPr>
                <w:trHeight w:val="304" w:hRule="atLeast"/>
                <w:jc w:val="center"/>
              </w:trPr>
              <w:tc>
                <w:tcPr>
                  <w:tcW w:w="1059" w:type="dxa"/>
                  <w:tcBorders>
                    <w:top w:val="single" w:color="000000" w:sz="2" w:space="0"/>
                    <w:left w:val="single" w:color="000000" w:sz="2" w:space="0"/>
                    <w:bottom w:val="single" w:color="000000" w:sz="6" w:space="0"/>
                    <w:right w:val="single" w:color="000000" w:sz="4" w:space="0"/>
                  </w:tcBorders>
                  <w:noWrap w:val="0"/>
                  <w:vAlign w:val="center"/>
                </w:tcPr>
                <w:p w14:paraId="0C7AC59E">
                  <w:pPr>
                    <w:spacing w:after="36"/>
                    <w:jc w:val="center"/>
                    <w:rPr>
                      <w:rFonts w:hint="default" w:ascii="Times New Roman" w:hAnsi="Times New Roman" w:eastAsia="宋体" w:cs="Times New Roman"/>
                      <w:b/>
                      <w:bCs/>
                      <w:color w:val="auto"/>
                      <w:kern w:val="1"/>
                      <w:sz w:val="21"/>
                      <w:szCs w:val="21"/>
                      <w:lang w:val="en-US" w:eastAsia="zh-CN"/>
                    </w:rPr>
                  </w:pPr>
                  <w:r>
                    <w:rPr>
                      <w:rFonts w:hint="default" w:ascii="Times New Roman" w:hAnsi="Times New Roman" w:cs="Times New Roman"/>
                      <w:b/>
                      <w:bCs/>
                      <w:color w:val="auto"/>
                      <w:kern w:val="1"/>
                      <w:sz w:val="21"/>
                      <w:szCs w:val="21"/>
                      <w:lang w:val="en-US" w:eastAsia="zh-CN"/>
                    </w:rPr>
                    <w:t>序号</w:t>
                  </w:r>
                </w:p>
              </w:tc>
              <w:tc>
                <w:tcPr>
                  <w:tcW w:w="1582" w:type="dxa"/>
                  <w:tcBorders>
                    <w:top w:val="single" w:color="000000" w:sz="2" w:space="0"/>
                    <w:left w:val="single" w:color="000000" w:sz="2" w:space="0"/>
                    <w:bottom w:val="single" w:color="000000" w:sz="6" w:space="0"/>
                    <w:right w:val="single" w:color="000000" w:sz="4" w:space="0"/>
                  </w:tcBorders>
                  <w:noWrap w:val="0"/>
                  <w:vAlign w:val="center"/>
                </w:tcPr>
                <w:p w14:paraId="01D9B004">
                  <w:pPr>
                    <w:spacing w:after="36"/>
                    <w:jc w:val="center"/>
                    <w:rPr>
                      <w:rFonts w:hint="default" w:ascii="Times New Roman" w:hAnsi="Times New Roman" w:cs="Times New Roman"/>
                      <w:b/>
                      <w:bCs/>
                      <w:color w:val="auto"/>
                      <w:kern w:val="1"/>
                      <w:sz w:val="21"/>
                      <w:szCs w:val="21"/>
                    </w:rPr>
                  </w:pPr>
                  <w:r>
                    <w:rPr>
                      <w:rFonts w:hint="default" w:ascii="Times New Roman" w:hAnsi="Times New Roman" w:cs="Times New Roman"/>
                      <w:b/>
                      <w:bCs/>
                      <w:color w:val="auto"/>
                      <w:kern w:val="1"/>
                      <w:sz w:val="21"/>
                      <w:szCs w:val="21"/>
                    </w:rPr>
                    <w:t>产噪点</w:t>
                  </w:r>
                </w:p>
              </w:tc>
              <w:tc>
                <w:tcPr>
                  <w:tcW w:w="1492" w:type="dxa"/>
                  <w:tcBorders>
                    <w:top w:val="single" w:color="000000" w:sz="2" w:space="0"/>
                    <w:left w:val="single" w:color="000000" w:sz="4" w:space="0"/>
                    <w:bottom w:val="single" w:color="000000" w:sz="6" w:space="0"/>
                    <w:right w:val="single" w:color="000000" w:sz="2" w:space="0"/>
                  </w:tcBorders>
                  <w:noWrap w:val="0"/>
                  <w:vAlign w:val="center"/>
                </w:tcPr>
                <w:p w14:paraId="4FEBEF17">
                  <w:pPr>
                    <w:spacing w:after="36"/>
                    <w:jc w:val="center"/>
                    <w:rPr>
                      <w:rFonts w:hint="default" w:ascii="Times New Roman" w:hAnsi="Times New Roman" w:cs="Times New Roman"/>
                      <w:b/>
                      <w:bCs/>
                      <w:color w:val="auto"/>
                      <w:kern w:val="1"/>
                      <w:sz w:val="21"/>
                      <w:szCs w:val="21"/>
                    </w:rPr>
                  </w:pPr>
                  <w:r>
                    <w:rPr>
                      <w:rFonts w:hint="default" w:ascii="Times New Roman" w:hAnsi="Times New Roman" w:cs="Times New Roman"/>
                      <w:b/>
                      <w:bCs/>
                      <w:color w:val="auto"/>
                      <w:kern w:val="1"/>
                      <w:sz w:val="21"/>
                      <w:szCs w:val="21"/>
                    </w:rPr>
                    <w:t>东厂界</w:t>
                  </w:r>
                </w:p>
              </w:tc>
              <w:tc>
                <w:tcPr>
                  <w:tcW w:w="1655" w:type="dxa"/>
                  <w:tcBorders>
                    <w:top w:val="single" w:color="000000" w:sz="2" w:space="0"/>
                    <w:left w:val="single" w:color="000000" w:sz="2" w:space="0"/>
                    <w:bottom w:val="single" w:color="000000" w:sz="6" w:space="0"/>
                    <w:right w:val="single" w:color="000000" w:sz="2" w:space="0"/>
                  </w:tcBorders>
                  <w:noWrap w:val="0"/>
                  <w:vAlign w:val="center"/>
                </w:tcPr>
                <w:p w14:paraId="48B6AF78">
                  <w:pPr>
                    <w:jc w:val="center"/>
                    <w:rPr>
                      <w:rFonts w:hint="default" w:ascii="Times New Roman" w:hAnsi="Times New Roman" w:cs="Times New Roman"/>
                      <w:b/>
                      <w:bCs/>
                      <w:color w:val="auto"/>
                      <w:kern w:val="1"/>
                      <w:sz w:val="21"/>
                      <w:szCs w:val="21"/>
                    </w:rPr>
                  </w:pPr>
                  <w:r>
                    <w:rPr>
                      <w:rFonts w:hint="default" w:ascii="Times New Roman" w:hAnsi="Times New Roman" w:cs="Times New Roman"/>
                      <w:b/>
                      <w:bCs/>
                      <w:color w:val="auto"/>
                      <w:kern w:val="1"/>
                      <w:sz w:val="21"/>
                      <w:szCs w:val="21"/>
                    </w:rPr>
                    <w:t>南厂界</w:t>
                  </w:r>
                </w:p>
              </w:tc>
              <w:tc>
                <w:tcPr>
                  <w:tcW w:w="1681" w:type="dxa"/>
                  <w:tcBorders>
                    <w:top w:val="single" w:color="000000" w:sz="2" w:space="0"/>
                    <w:left w:val="single" w:color="000000" w:sz="2" w:space="0"/>
                    <w:bottom w:val="single" w:color="000000" w:sz="6" w:space="0"/>
                    <w:right w:val="single" w:color="000000" w:sz="2" w:space="0"/>
                  </w:tcBorders>
                  <w:noWrap w:val="0"/>
                  <w:vAlign w:val="center"/>
                </w:tcPr>
                <w:p w14:paraId="36F526A9">
                  <w:pPr>
                    <w:tabs>
                      <w:tab w:val="center" w:pos="854"/>
                      <w:tab w:val="right" w:pos="1589"/>
                    </w:tabs>
                    <w:ind w:firstLine="422" w:firstLineChars="200"/>
                    <w:rPr>
                      <w:rFonts w:hint="default" w:ascii="Times New Roman" w:hAnsi="Times New Roman" w:cs="Times New Roman"/>
                      <w:b/>
                      <w:bCs/>
                      <w:color w:val="auto"/>
                      <w:kern w:val="1"/>
                      <w:sz w:val="21"/>
                      <w:szCs w:val="21"/>
                    </w:rPr>
                  </w:pPr>
                  <w:r>
                    <w:rPr>
                      <w:rFonts w:hint="default" w:ascii="Times New Roman" w:hAnsi="Times New Roman" w:cs="Times New Roman"/>
                      <w:b/>
                      <w:bCs/>
                      <w:iCs/>
                      <w:color w:val="auto"/>
                      <w:kern w:val="1"/>
                      <w:sz w:val="21"/>
                      <w:szCs w:val="21"/>
                    </w:rPr>
                    <w:t>西厂界</w:t>
                  </w:r>
                </w:p>
              </w:tc>
              <w:tc>
                <w:tcPr>
                  <w:tcW w:w="1655" w:type="dxa"/>
                  <w:tcBorders>
                    <w:top w:val="single" w:color="000000" w:sz="2" w:space="0"/>
                    <w:left w:val="single" w:color="000000" w:sz="2" w:space="0"/>
                    <w:bottom w:val="single" w:color="000000" w:sz="6" w:space="0"/>
                    <w:right w:val="single" w:color="000000" w:sz="2" w:space="0"/>
                  </w:tcBorders>
                  <w:noWrap w:val="0"/>
                  <w:vAlign w:val="center"/>
                </w:tcPr>
                <w:p w14:paraId="7BB674C8">
                  <w:pPr>
                    <w:jc w:val="center"/>
                    <w:rPr>
                      <w:rFonts w:hint="default" w:ascii="Times New Roman" w:hAnsi="Times New Roman" w:cs="Times New Roman"/>
                      <w:b/>
                      <w:bCs/>
                      <w:color w:val="auto"/>
                      <w:kern w:val="1"/>
                      <w:sz w:val="21"/>
                      <w:szCs w:val="21"/>
                    </w:rPr>
                  </w:pPr>
                  <w:r>
                    <w:rPr>
                      <w:rFonts w:hint="default" w:ascii="Times New Roman" w:hAnsi="Times New Roman" w:cs="Times New Roman"/>
                      <w:b/>
                      <w:bCs/>
                      <w:iCs/>
                      <w:color w:val="auto"/>
                      <w:kern w:val="1"/>
                      <w:sz w:val="21"/>
                      <w:szCs w:val="21"/>
                    </w:rPr>
                    <w:t>北厂界</w:t>
                  </w:r>
                </w:p>
              </w:tc>
            </w:tr>
            <w:tr w14:paraId="38E3F21A">
              <w:tblPrEx>
                <w:tblCellMar>
                  <w:top w:w="0" w:type="dxa"/>
                  <w:left w:w="108" w:type="dxa"/>
                  <w:bottom w:w="0" w:type="dxa"/>
                  <w:right w:w="108" w:type="dxa"/>
                </w:tblCellMar>
              </w:tblPrEx>
              <w:trPr>
                <w:trHeight w:val="90" w:hRule="atLeast"/>
                <w:jc w:val="center"/>
              </w:trPr>
              <w:tc>
                <w:tcPr>
                  <w:tcW w:w="1059" w:type="dxa"/>
                  <w:tcBorders>
                    <w:top w:val="single" w:color="000000" w:sz="2" w:space="0"/>
                    <w:left w:val="single" w:color="000000" w:sz="2" w:space="0"/>
                    <w:bottom w:val="single" w:color="000000" w:sz="2" w:space="0"/>
                    <w:right w:val="single" w:color="000000" w:sz="4" w:space="0"/>
                  </w:tcBorders>
                  <w:noWrap w:val="0"/>
                  <w:vAlign w:val="center"/>
                </w:tcPr>
                <w:p w14:paraId="404229D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582" w:type="dxa"/>
                  <w:tcBorders>
                    <w:top w:val="single" w:color="000000" w:sz="2" w:space="0"/>
                    <w:left w:val="single" w:color="000000" w:sz="2" w:space="0"/>
                    <w:bottom w:val="single" w:color="000000" w:sz="2" w:space="0"/>
                    <w:right w:val="single" w:color="000000" w:sz="4" w:space="0"/>
                  </w:tcBorders>
                  <w:noWrap w:val="0"/>
                  <w:vAlign w:val="center"/>
                </w:tcPr>
                <w:p w14:paraId="08A672F4">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潜油泵</w:t>
                  </w:r>
                </w:p>
              </w:tc>
              <w:tc>
                <w:tcPr>
                  <w:tcW w:w="1492" w:type="dxa"/>
                  <w:tcBorders>
                    <w:top w:val="single" w:color="000000" w:sz="2" w:space="0"/>
                    <w:left w:val="single" w:color="000000" w:sz="4" w:space="0"/>
                    <w:bottom w:val="single" w:color="000000" w:sz="2" w:space="0"/>
                    <w:right w:val="single" w:color="000000" w:sz="2" w:space="0"/>
                  </w:tcBorders>
                  <w:noWrap w:val="0"/>
                  <w:vAlign w:val="top"/>
                </w:tcPr>
                <w:p w14:paraId="3DD6250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1605E49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w:t>
                  </w:r>
                </w:p>
              </w:tc>
              <w:tc>
                <w:tcPr>
                  <w:tcW w:w="1681" w:type="dxa"/>
                  <w:tcBorders>
                    <w:top w:val="single" w:color="000000" w:sz="2" w:space="0"/>
                    <w:left w:val="single" w:color="000000" w:sz="2" w:space="0"/>
                    <w:bottom w:val="single" w:color="000000" w:sz="2" w:space="0"/>
                    <w:right w:val="single" w:color="000000" w:sz="2" w:space="0"/>
                  </w:tcBorders>
                  <w:noWrap w:val="0"/>
                  <w:vAlign w:val="top"/>
                </w:tcPr>
                <w:p w14:paraId="6513867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7768CCB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41</w:t>
                  </w:r>
                </w:p>
              </w:tc>
            </w:tr>
            <w:tr w14:paraId="524EAC59">
              <w:tblPrEx>
                <w:tblCellMar>
                  <w:top w:w="0" w:type="dxa"/>
                  <w:left w:w="108" w:type="dxa"/>
                  <w:bottom w:w="0" w:type="dxa"/>
                  <w:right w:w="108" w:type="dxa"/>
                </w:tblCellMar>
              </w:tblPrEx>
              <w:trPr>
                <w:trHeight w:val="315" w:hRule="atLeast"/>
                <w:jc w:val="center"/>
              </w:trPr>
              <w:tc>
                <w:tcPr>
                  <w:tcW w:w="1059" w:type="dxa"/>
                  <w:tcBorders>
                    <w:top w:val="single" w:color="000000" w:sz="2" w:space="0"/>
                    <w:left w:val="single" w:color="000000" w:sz="2" w:space="0"/>
                    <w:bottom w:val="single" w:color="000000" w:sz="2" w:space="0"/>
                    <w:right w:val="single" w:color="000000" w:sz="4" w:space="0"/>
                  </w:tcBorders>
                  <w:noWrap w:val="0"/>
                  <w:vAlign w:val="center"/>
                </w:tcPr>
                <w:p w14:paraId="0F561D9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582" w:type="dxa"/>
                  <w:tcBorders>
                    <w:top w:val="single" w:color="000000" w:sz="2" w:space="0"/>
                    <w:left w:val="single" w:color="000000" w:sz="2" w:space="0"/>
                    <w:bottom w:val="single" w:color="000000" w:sz="2" w:space="0"/>
                    <w:right w:val="single" w:color="000000" w:sz="4" w:space="0"/>
                  </w:tcBorders>
                  <w:noWrap w:val="0"/>
                  <w:vAlign w:val="center"/>
                </w:tcPr>
                <w:p w14:paraId="6E4509CB">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潜油泵</w:t>
                  </w:r>
                </w:p>
              </w:tc>
              <w:tc>
                <w:tcPr>
                  <w:tcW w:w="1492" w:type="dxa"/>
                  <w:tcBorders>
                    <w:top w:val="single" w:color="000000" w:sz="2" w:space="0"/>
                    <w:left w:val="single" w:color="000000" w:sz="4" w:space="0"/>
                    <w:bottom w:val="single" w:color="000000" w:sz="2" w:space="0"/>
                    <w:right w:val="single" w:color="000000" w:sz="2" w:space="0"/>
                  </w:tcBorders>
                  <w:noWrap w:val="0"/>
                  <w:vAlign w:val="top"/>
                </w:tcPr>
                <w:p w14:paraId="3FB4244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0CFF229A">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w:t>
                  </w:r>
                </w:p>
              </w:tc>
              <w:tc>
                <w:tcPr>
                  <w:tcW w:w="1681" w:type="dxa"/>
                  <w:tcBorders>
                    <w:top w:val="single" w:color="000000" w:sz="2" w:space="0"/>
                    <w:left w:val="single" w:color="000000" w:sz="2" w:space="0"/>
                    <w:bottom w:val="single" w:color="000000" w:sz="2" w:space="0"/>
                    <w:right w:val="single" w:color="000000" w:sz="2" w:space="0"/>
                  </w:tcBorders>
                  <w:noWrap w:val="0"/>
                  <w:vAlign w:val="top"/>
                </w:tcPr>
                <w:p w14:paraId="133CD09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4AF9AFE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38</w:t>
                  </w:r>
                </w:p>
              </w:tc>
            </w:tr>
            <w:tr w14:paraId="72FEBE8A">
              <w:tblPrEx>
                <w:tblCellMar>
                  <w:top w:w="0" w:type="dxa"/>
                  <w:left w:w="108" w:type="dxa"/>
                  <w:bottom w:w="0" w:type="dxa"/>
                  <w:right w:w="108" w:type="dxa"/>
                </w:tblCellMar>
              </w:tblPrEx>
              <w:trPr>
                <w:trHeight w:val="255" w:hRule="atLeast"/>
                <w:jc w:val="center"/>
              </w:trPr>
              <w:tc>
                <w:tcPr>
                  <w:tcW w:w="1059" w:type="dxa"/>
                  <w:tcBorders>
                    <w:top w:val="single" w:color="000000" w:sz="2" w:space="0"/>
                    <w:left w:val="single" w:color="000000" w:sz="2" w:space="0"/>
                    <w:bottom w:val="single" w:color="000000" w:sz="2" w:space="0"/>
                    <w:right w:val="single" w:color="000000" w:sz="4" w:space="0"/>
                  </w:tcBorders>
                  <w:noWrap w:val="0"/>
                  <w:vAlign w:val="center"/>
                </w:tcPr>
                <w:p w14:paraId="289D5B1B">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582" w:type="dxa"/>
                  <w:tcBorders>
                    <w:top w:val="single" w:color="000000" w:sz="2" w:space="0"/>
                    <w:left w:val="single" w:color="000000" w:sz="2" w:space="0"/>
                    <w:bottom w:val="single" w:color="000000" w:sz="2" w:space="0"/>
                    <w:right w:val="single" w:color="000000" w:sz="4" w:space="0"/>
                  </w:tcBorders>
                  <w:noWrap w:val="0"/>
                  <w:vAlign w:val="center"/>
                </w:tcPr>
                <w:p w14:paraId="22A91A47">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潜油泵</w:t>
                  </w:r>
                </w:p>
              </w:tc>
              <w:tc>
                <w:tcPr>
                  <w:tcW w:w="1492" w:type="dxa"/>
                  <w:tcBorders>
                    <w:top w:val="single" w:color="000000" w:sz="2" w:space="0"/>
                    <w:left w:val="single" w:color="000000" w:sz="4" w:space="0"/>
                    <w:bottom w:val="single" w:color="000000" w:sz="2" w:space="0"/>
                    <w:right w:val="single" w:color="000000" w:sz="2" w:space="0"/>
                  </w:tcBorders>
                  <w:noWrap w:val="0"/>
                  <w:vAlign w:val="top"/>
                </w:tcPr>
                <w:p w14:paraId="76D0511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7F1F3E6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w:t>
                  </w:r>
                </w:p>
              </w:tc>
              <w:tc>
                <w:tcPr>
                  <w:tcW w:w="1681" w:type="dxa"/>
                  <w:tcBorders>
                    <w:top w:val="single" w:color="000000" w:sz="2" w:space="0"/>
                    <w:left w:val="single" w:color="000000" w:sz="2" w:space="0"/>
                    <w:bottom w:val="single" w:color="000000" w:sz="2" w:space="0"/>
                    <w:right w:val="single" w:color="000000" w:sz="2" w:space="0"/>
                  </w:tcBorders>
                  <w:noWrap w:val="0"/>
                  <w:vAlign w:val="top"/>
                </w:tcPr>
                <w:p w14:paraId="0961913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175C15FB">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r>
            <w:tr w14:paraId="255449E0">
              <w:tblPrEx>
                <w:tblCellMar>
                  <w:top w:w="0" w:type="dxa"/>
                  <w:left w:w="108" w:type="dxa"/>
                  <w:bottom w:w="0" w:type="dxa"/>
                  <w:right w:w="108" w:type="dxa"/>
                </w:tblCellMar>
              </w:tblPrEx>
              <w:trPr>
                <w:trHeight w:val="315" w:hRule="atLeast"/>
                <w:jc w:val="center"/>
              </w:trPr>
              <w:tc>
                <w:tcPr>
                  <w:tcW w:w="1059" w:type="dxa"/>
                  <w:tcBorders>
                    <w:top w:val="single" w:color="000000" w:sz="2" w:space="0"/>
                    <w:left w:val="single" w:color="000000" w:sz="2" w:space="0"/>
                    <w:bottom w:val="single" w:color="000000" w:sz="2" w:space="0"/>
                    <w:right w:val="single" w:color="000000" w:sz="4" w:space="0"/>
                  </w:tcBorders>
                  <w:noWrap w:val="0"/>
                  <w:vAlign w:val="center"/>
                </w:tcPr>
                <w:p w14:paraId="7F4F80F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p>
              </w:tc>
              <w:tc>
                <w:tcPr>
                  <w:tcW w:w="1582" w:type="dxa"/>
                  <w:tcBorders>
                    <w:top w:val="single" w:color="000000" w:sz="2" w:space="0"/>
                    <w:left w:val="single" w:color="000000" w:sz="2" w:space="0"/>
                    <w:bottom w:val="single" w:color="000000" w:sz="2" w:space="0"/>
                    <w:right w:val="single" w:color="000000" w:sz="4" w:space="0"/>
                  </w:tcBorders>
                  <w:noWrap w:val="0"/>
                  <w:vAlign w:val="center"/>
                </w:tcPr>
                <w:p w14:paraId="326FA1CC">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加油机</w:t>
                  </w:r>
                </w:p>
              </w:tc>
              <w:tc>
                <w:tcPr>
                  <w:tcW w:w="1492" w:type="dxa"/>
                  <w:tcBorders>
                    <w:top w:val="single" w:color="000000" w:sz="2" w:space="0"/>
                    <w:left w:val="single" w:color="000000" w:sz="4" w:space="0"/>
                    <w:bottom w:val="single" w:color="000000" w:sz="2" w:space="0"/>
                    <w:right w:val="single" w:color="000000" w:sz="2" w:space="0"/>
                  </w:tcBorders>
                  <w:noWrap w:val="0"/>
                  <w:vAlign w:val="top"/>
                </w:tcPr>
                <w:p w14:paraId="7F0B633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378CC1D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1681" w:type="dxa"/>
                  <w:tcBorders>
                    <w:top w:val="single" w:color="000000" w:sz="2" w:space="0"/>
                    <w:left w:val="single" w:color="000000" w:sz="2" w:space="0"/>
                    <w:bottom w:val="single" w:color="000000" w:sz="2" w:space="0"/>
                    <w:right w:val="single" w:color="000000" w:sz="2" w:space="0"/>
                  </w:tcBorders>
                  <w:noWrap w:val="0"/>
                  <w:vAlign w:val="top"/>
                </w:tcPr>
                <w:p w14:paraId="7F01923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130DC63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w:t>
                  </w:r>
                </w:p>
              </w:tc>
            </w:tr>
            <w:tr w14:paraId="6C1B1B83">
              <w:tblPrEx>
                <w:tblCellMar>
                  <w:top w:w="0" w:type="dxa"/>
                  <w:left w:w="108" w:type="dxa"/>
                  <w:bottom w:w="0" w:type="dxa"/>
                  <w:right w:w="108" w:type="dxa"/>
                </w:tblCellMar>
              </w:tblPrEx>
              <w:trPr>
                <w:trHeight w:val="315" w:hRule="atLeast"/>
                <w:jc w:val="center"/>
              </w:trPr>
              <w:tc>
                <w:tcPr>
                  <w:tcW w:w="1059" w:type="dxa"/>
                  <w:tcBorders>
                    <w:top w:val="single" w:color="000000" w:sz="2" w:space="0"/>
                    <w:left w:val="single" w:color="000000" w:sz="2" w:space="0"/>
                    <w:bottom w:val="single" w:color="000000" w:sz="2" w:space="0"/>
                    <w:right w:val="single" w:color="000000" w:sz="4" w:space="0"/>
                  </w:tcBorders>
                  <w:noWrap w:val="0"/>
                  <w:vAlign w:val="center"/>
                </w:tcPr>
                <w:p w14:paraId="6986A35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w:t>
                  </w:r>
                </w:p>
              </w:tc>
              <w:tc>
                <w:tcPr>
                  <w:tcW w:w="1582" w:type="dxa"/>
                  <w:tcBorders>
                    <w:top w:val="single" w:color="000000" w:sz="2" w:space="0"/>
                    <w:left w:val="single" w:color="000000" w:sz="2" w:space="0"/>
                    <w:bottom w:val="single" w:color="000000" w:sz="2" w:space="0"/>
                    <w:right w:val="single" w:color="000000" w:sz="4" w:space="0"/>
                  </w:tcBorders>
                  <w:noWrap w:val="0"/>
                  <w:vAlign w:val="center"/>
                </w:tcPr>
                <w:p w14:paraId="709D33D4">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加油机</w:t>
                  </w:r>
                </w:p>
              </w:tc>
              <w:tc>
                <w:tcPr>
                  <w:tcW w:w="1492" w:type="dxa"/>
                  <w:tcBorders>
                    <w:top w:val="single" w:color="000000" w:sz="2" w:space="0"/>
                    <w:left w:val="single" w:color="000000" w:sz="4" w:space="0"/>
                    <w:bottom w:val="single" w:color="000000" w:sz="2" w:space="0"/>
                    <w:right w:val="single" w:color="000000" w:sz="2" w:space="0"/>
                  </w:tcBorders>
                  <w:noWrap w:val="0"/>
                  <w:vAlign w:val="top"/>
                </w:tcPr>
                <w:p w14:paraId="3A33A7E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491B3EB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1681" w:type="dxa"/>
                  <w:tcBorders>
                    <w:top w:val="single" w:color="000000" w:sz="2" w:space="0"/>
                    <w:left w:val="single" w:color="000000" w:sz="2" w:space="0"/>
                    <w:bottom w:val="single" w:color="000000" w:sz="2" w:space="0"/>
                    <w:right w:val="single" w:color="000000" w:sz="2" w:space="0"/>
                  </w:tcBorders>
                  <w:noWrap w:val="0"/>
                  <w:vAlign w:val="top"/>
                </w:tcPr>
                <w:p w14:paraId="4D06514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20B8298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36</w:t>
                  </w:r>
                </w:p>
              </w:tc>
            </w:tr>
            <w:tr w14:paraId="6DF79AE0">
              <w:tblPrEx>
                <w:tblCellMar>
                  <w:top w:w="0" w:type="dxa"/>
                  <w:left w:w="108" w:type="dxa"/>
                  <w:bottom w:w="0" w:type="dxa"/>
                  <w:right w:w="108" w:type="dxa"/>
                </w:tblCellMar>
              </w:tblPrEx>
              <w:trPr>
                <w:trHeight w:val="315" w:hRule="atLeast"/>
                <w:jc w:val="center"/>
              </w:trPr>
              <w:tc>
                <w:tcPr>
                  <w:tcW w:w="1059" w:type="dxa"/>
                  <w:tcBorders>
                    <w:top w:val="single" w:color="000000" w:sz="2" w:space="0"/>
                    <w:left w:val="single" w:color="000000" w:sz="2" w:space="0"/>
                    <w:bottom w:val="single" w:color="000000" w:sz="2" w:space="0"/>
                    <w:right w:val="single" w:color="000000" w:sz="4" w:space="0"/>
                  </w:tcBorders>
                  <w:noWrap w:val="0"/>
                  <w:vAlign w:val="center"/>
                </w:tcPr>
                <w:p w14:paraId="0426201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p>
              </w:tc>
              <w:tc>
                <w:tcPr>
                  <w:tcW w:w="1582" w:type="dxa"/>
                  <w:tcBorders>
                    <w:top w:val="single" w:color="000000" w:sz="2" w:space="0"/>
                    <w:left w:val="single" w:color="000000" w:sz="2" w:space="0"/>
                    <w:bottom w:val="single" w:color="000000" w:sz="2" w:space="0"/>
                    <w:right w:val="single" w:color="000000" w:sz="4" w:space="0"/>
                  </w:tcBorders>
                  <w:noWrap w:val="0"/>
                  <w:vAlign w:val="center"/>
                </w:tcPr>
                <w:p w14:paraId="5EC76F8C">
                  <w:pPr>
                    <w:pStyle w:val="52"/>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highlight w:val="none"/>
                      <w:lang w:val="en-US" w:eastAsia="zh-CN"/>
                    </w:rPr>
                    <w:t>备用发电机</w:t>
                  </w:r>
                </w:p>
              </w:tc>
              <w:tc>
                <w:tcPr>
                  <w:tcW w:w="1492" w:type="dxa"/>
                  <w:tcBorders>
                    <w:top w:val="single" w:color="000000" w:sz="2" w:space="0"/>
                    <w:left w:val="single" w:color="000000" w:sz="4" w:space="0"/>
                    <w:bottom w:val="single" w:color="000000" w:sz="2" w:space="0"/>
                    <w:right w:val="single" w:color="000000" w:sz="2" w:space="0"/>
                  </w:tcBorders>
                  <w:noWrap w:val="0"/>
                  <w:vAlign w:val="top"/>
                </w:tcPr>
                <w:p w14:paraId="57A4A4F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106EE34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w:t>
                  </w:r>
                </w:p>
              </w:tc>
              <w:tc>
                <w:tcPr>
                  <w:tcW w:w="1681" w:type="dxa"/>
                  <w:tcBorders>
                    <w:top w:val="single" w:color="000000" w:sz="2" w:space="0"/>
                    <w:left w:val="single" w:color="000000" w:sz="2" w:space="0"/>
                    <w:bottom w:val="single" w:color="000000" w:sz="2" w:space="0"/>
                    <w:right w:val="single" w:color="000000" w:sz="2" w:space="0"/>
                  </w:tcBorders>
                  <w:noWrap w:val="0"/>
                  <w:vAlign w:val="top"/>
                </w:tcPr>
                <w:p w14:paraId="37AC963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1655" w:type="dxa"/>
                  <w:tcBorders>
                    <w:top w:val="single" w:color="000000" w:sz="2" w:space="0"/>
                    <w:left w:val="single" w:color="000000" w:sz="2" w:space="0"/>
                    <w:bottom w:val="single" w:color="000000" w:sz="2" w:space="0"/>
                    <w:right w:val="single" w:color="000000" w:sz="2" w:space="0"/>
                  </w:tcBorders>
                  <w:noWrap w:val="0"/>
                  <w:vAlign w:val="center"/>
                </w:tcPr>
                <w:p w14:paraId="5C41CCB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46</w:t>
                  </w:r>
                </w:p>
              </w:tc>
            </w:tr>
          </w:tbl>
          <w:p w14:paraId="1CC34EFC">
            <w:pPr>
              <w:spacing w:line="360" w:lineRule="auto"/>
              <w:ind w:firstLine="480"/>
              <w:rPr>
                <w:rFonts w:hint="default" w:ascii="Times New Roman" w:hAnsi="Times New Roman" w:cs="Times New Roman"/>
                <w:color w:val="auto"/>
                <w:kern w:val="1"/>
                <w:sz w:val="24"/>
              </w:rPr>
            </w:pPr>
            <w:r>
              <w:rPr>
                <w:rFonts w:hint="default" w:ascii="Times New Roman" w:hAnsi="Times New Roman" w:eastAsia="宋体" w:cs="Times New Roman"/>
                <w:color w:val="auto"/>
                <w:kern w:val="0"/>
                <w:sz w:val="24"/>
                <w:lang w:bidi="ar"/>
              </w:rPr>
              <w:t>本</w:t>
            </w:r>
            <w:r>
              <w:rPr>
                <w:rFonts w:hint="default" w:ascii="Times New Roman" w:hAnsi="Times New Roman" w:eastAsia="宋体" w:cs="Times New Roman"/>
                <w:color w:val="auto"/>
                <w:kern w:val="0"/>
                <w:sz w:val="24"/>
                <w:highlight w:val="none"/>
                <w:lang w:bidi="ar"/>
              </w:rPr>
              <w:t>项目厂界噪声预测结果与达标分析见</w:t>
            </w:r>
            <w:r>
              <w:rPr>
                <w:rFonts w:hint="default" w:ascii="Times New Roman" w:hAnsi="Times New Roman" w:cs="Times New Roman"/>
                <w:color w:val="auto"/>
                <w:kern w:val="1"/>
                <w:sz w:val="24"/>
              </w:rPr>
              <w:t>表</w:t>
            </w:r>
            <w:r>
              <w:rPr>
                <w:rFonts w:hint="default" w:ascii="Times New Roman" w:hAnsi="Times New Roman" w:cs="Times New Roman"/>
                <w:color w:val="auto"/>
                <w:kern w:val="1"/>
                <w:sz w:val="24"/>
                <w:lang w:val="en-US" w:eastAsia="zh-CN"/>
              </w:rPr>
              <w:t>4</w:t>
            </w:r>
            <w:r>
              <w:rPr>
                <w:rFonts w:hint="default" w:ascii="Times New Roman" w:hAnsi="Times New Roman" w:cs="Times New Roman"/>
                <w:color w:val="auto"/>
                <w:kern w:val="1"/>
                <w:sz w:val="24"/>
              </w:rPr>
              <w:t>-</w:t>
            </w:r>
            <w:r>
              <w:rPr>
                <w:rFonts w:hint="default" w:ascii="Times New Roman" w:hAnsi="Times New Roman" w:cs="Times New Roman"/>
                <w:color w:val="auto"/>
                <w:kern w:val="1"/>
                <w:sz w:val="24"/>
                <w:lang w:val="en-US" w:eastAsia="zh-CN"/>
              </w:rPr>
              <w:t>14</w:t>
            </w:r>
            <w:r>
              <w:rPr>
                <w:rFonts w:hint="default" w:ascii="Times New Roman" w:hAnsi="Times New Roman" w:cs="Times New Roman"/>
                <w:color w:val="auto"/>
                <w:kern w:val="1"/>
                <w:sz w:val="24"/>
              </w:rPr>
              <w:t>：</w:t>
            </w:r>
          </w:p>
          <w:p w14:paraId="7A9886FF">
            <w:pPr>
              <w:jc w:val="center"/>
              <w:rPr>
                <w:rFonts w:hint="default" w:ascii="Times New Roman" w:hAnsi="Times New Roman" w:cs="Times New Roman"/>
                <w:b/>
                <w:color w:val="auto"/>
                <w:kern w:val="1"/>
                <w:sz w:val="21"/>
                <w:szCs w:val="21"/>
              </w:rPr>
            </w:pPr>
            <w:r>
              <w:rPr>
                <w:rFonts w:hint="default" w:ascii="Times New Roman" w:hAnsi="Times New Roman" w:cs="Times New Roman"/>
                <w:b/>
                <w:color w:val="auto"/>
                <w:kern w:val="1"/>
                <w:sz w:val="21"/>
                <w:szCs w:val="21"/>
              </w:rPr>
              <w:t>表</w:t>
            </w:r>
            <w:r>
              <w:rPr>
                <w:rFonts w:hint="default" w:ascii="Times New Roman" w:hAnsi="Times New Roman" w:cs="Times New Roman"/>
                <w:b/>
                <w:color w:val="auto"/>
                <w:kern w:val="1"/>
                <w:sz w:val="21"/>
                <w:szCs w:val="21"/>
                <w:lang w:val="en-US" w:eastAsia="zh-CN"/>
              </w:rPr>
              <w:t>4</w:t>
            </w:r>
            <w:r>
              <w:rPr>
                <w:rFonts w:hint="default" w:ascii="Times New Roman" w:hAnsi="Times New Roman" w:cs="Times New Roman"/>
                <w:b/>
                <w:color w:val="auto"/>
                <w:kern w:val="1"/>
                <w:sz w:val="21"/>
                <w:szCs w:val="21"/>
              </w:rPr>
              <w:t>-</w:t>
            </w:r>
            <w:r>
              <w:rPr>
                <w:rFonts w:hint="default" w:ascii="Times New Roman" w:hAnsi="Times New Roman" w:cs="Times New Roman"/>
                <w:b/>
                <w:color w:val="auto"/>
                <w:kern w:val="1"/>
                <w:sz w:val="21"/>
                <w:szCs w:val="21"/>
                <w:lang w:val="en-US" w:eastAsia="zh-CN"/>
              </w:rPr>
              <w:t>1</w:t>
            </w:r>
            <w:r>
              <w:rPr>
                <w:rFonts w:hint="eastAsia" w:cs="Times New Roman"/>
                <w:b/>
                <w:color w:val="auto"/>
                <w:kern w:val="1"/>
                <w:sz w:val="21"/>
                <w:szCs w:val="21"/>
                <w:lang w:val="en-US" w:eastAsia="zh-CN"/>
              </w:rPr>
              <w:t>2</w:t>
            </w:r>
            <w:r>
              <w:rPr>
                <w:rFonts w:hint="default" w:ascii="Times New Roman" w:hAnsi="Times New Roman" w:cs="Times New Roman"/>
                <w:b/>
                <w:color w:val="auto"/>
                <w:kern w:val="1"/>
                <w:sz w:val="21"/>
                <w:szCs w:val="21"/>
              </w:rPr>
              <w:t xml:space="preserve"> 项目噪声经叠加后的噪声源强表</w:t>
            </w:r>
          </w:p>
          <w:tbl>
            <w:tblPr>
              <w:tblStyle w:val="27"/>
              <w:tblW w:w="482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6"/>
              <w:gridCol w:w="1926"/>
              <w:gridCol w:w="1450"/>
              <w:gridCol w:w="1400"/>
              <w:gridCol w:w="1679"/>
            </w:tblGrid>
            <w:tr w14:paraId="72CE1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86" w:type="pct"/>
                  <w:vMerge w:val="restart"/>
                  <w:noWrap w:val="0"/>
                  <w:vAlign w:val="center"/>
                </w:tcPr>
                <w:p w14:paraId="014F3D2E">
                  <w:pPr>
                    <w:jc w:val="center"/>
                    <w:rPr>
                      <w:rFonts w:hint="default" w:ascii="Times New Roman" w:hAnsi="Times New Roman" w:cs="Times New Roman"/>
                      <w:b/>
                      <w:bCs/>
                      <w:color w:val="auto"/>
                    </w:rPr>
                  </w:pPr>
                  <w:r>
                    <w:rPr>
                      <w:rFonts w:hint="default" w:ascii="Times New Roman" w:hAnsi="Times New Roman" w:cs="Times New Roman"/>
                      <w:b/>
                      <w:bCs/>
                      <w:color w:val="auto"/>
                    </w:rPr>
                    <w:t>距离（m）</w:t>
                  </w:r>
                </w:p>
              </w:tc>
              <w:tc>
                <w:tcPr>
                  <w:tcW w:w="1108" w:type="pct"/>
                  <w:vMerge w:val="restart"/>
                  <w:tcBorders>
                    <w:left w:val="single" w:color="auto" w:sz="4" w:space="0"/>
                  </w:tcBorders>
                  <w:noWrap w:val="0"/>
                  <w:vAlign w:val="center"/>
                </w:tcPr>
                <w:p w14:paraId="308E3863">
                  <w:pPr>
                    <w:jc w:val="center"/>
                    <w:rPr>
                      <w:rFonts w:hint="default" w:ascii="Times New Roman" w:hAnsi="Times New Roman" w:cs="Times New Roman"/>
                      <w:b/>
                      <w:bCs/>
                      <w:color w:val="auto"/>
                    </w:rPr>
                  </w:pPr>
                  <w:r>
                    <w:rPr>
                      <w:rFonts w:hint="default" w:ascii="Times New Roman" w:hAnsi="Times New Roman" w:cs="Times New Roman"/>
                      <w:b/>
                      <w:bCs/>
                      <w:color w:val="auto"/>
                    </w:rPr>
                    <w:t>L（dB(A)）</w:t>
                  </w:r>
                </w:p>
                <w:p w14:paraId="4139EB6C">
                  <w:pPr>
                    <w:jc w:val="center"/>
                    <w:rPr>
                      <w:rFonts w:hint="default" w:ascii="Times New Roman" w:hAnsi="Times New Roman" w:cs="Times New Roman"/>
                      <w:b/>
                      <w:bCs/>
                      <w:color w:val="auto"/>
                    </w:rPr>
                  </w:pPr>
                  <w:r>
                    <w:rPr>
                      <w:rFonts w:hint="default" w:ascii="Times New Roman" w:hAnsi="Times New Roman" w:cs="Times New Roman"/>
                      <w:b/>
                      <w:bCs/>
                      <w:color w:val="auto"/>
                    </w:rPr>
                    <w:t>叠加结果</w:t>
                  </w:r>
                </w:p>
              </w:tc>
              <w:tc>
                <w:tcPr>
                  <w:tcW w:w="1639" w:type="pct"/>
                  <w:gridSpan w:val="2"/>
                  <w:noWrap w:val="0"/>
                  <w:vAlign w:val="center"/>
                </w:tcPr>
                <w:p w14:paraId="1DBDBDED">
                  <w:pPr>
                    <w:jc w:val="center"/>
                    <w:rPr>
                      <w:rFonts w:hint="default" w:ascii="Times New Roman" w:hAnsi="Times New Roman" w:cs="Times New Roman"/>
                      <w:b/>
                      <w:bCs/>
                      <w:color w:val="auto"/>
                    </w:rPr>
                  </w:pPr>
                  <w:r>
                    <w:rPr>
                      <w:rFonts w:hint="default" w:ascii="Times New Roman" w:hAnsi="Times New Roman" w:cs="Times New Roman"/>
                      <w:b/>
                      <w:bCs/>
                      <w:color w:val="auto"/>
                    </w:rPr>
                    <w:t>标准限值分贝值dB（A）</w:t>
                  </w:r>
                </w:p>
              </w:tc>
              <w:tc>
                <w:tcPr>
                  <w:tcW w:w="965" w:type="pct"/>
                  <w:vMerge w:val="restart"/>
                  <w:noWrap w:val="0"/>
                  <w:vAlign w:val="center"/>
                </w:tcPr>
                <w:p w14:paraId="767F3DE3">
                  <w:pPr>
                    <w:jc w:val="center"/>
                    <w:rPr>
                      <w:rFonts w:hint="default" w:ascii="Times New Roman" w:hAnsi="Times New Roman" w:cs="Times New Roman"/>
                      <w:b/>
                      <w:bCs/>
                      <w:color w:val="auto"/>
                    </w:rPr>
                  </w:pPr>
                  <w:r>
                    <w:rPr>
                      <w:rFonts w:hint="default" w:ascii="Times New Roman" w:hAnsi="Times New Roman" w:cs="Times New Roman"/>
                      <w:b/>
                      <w:bCs/>
                      <w:color w:val="auto"/>
                    </w:rPr>
                    <w:t>达标</w:t>
                  </w:r>
                </w:p>
                <w:p w14:paraId="37B319A6">
                  <w:pPr>
                    <w:jc w:val="center"/>
                    <w:rPr>
                      <w:rFonts w:hint="default" w:ascii="Times New Roman" w:hAnsi="Times New Roman" w:cs="Times New Roman"/>
                      <w:b/>
                      <w:bCs/>
                      <w:color w:val="auto"/>
                    </w:rPr>
                  </w:pPr>
                  <w:r>
                    <w:rPr>
                      <w:rFonts w:hint="default" w:ascii="Times New Roman" w:hAnsi="Times New Roman" w:cs="Times New Roman"/>
                      <w:b/>
                      <w:bCs/>
                      <w:color w:val="auto"/>
                    </w:rPr>
                    <w:t>情况</w:t>
                  </w:r>
                </w:p>
              </w:tc>
            </w:tr>
            <w:tr w14:paraId="734BA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86" w:type="pct"/>
                  <w:vMerge w:val="continue"/>
                  <w:noWrap w:val="0"/>
                  <w:vAlign w:val="center"/>
                </w:tcPr>
                <w:p w14:paraId="6AE59CA3">
                  <w:pPr>
                    <w:jc w:val="center"/>
                    <w:rPr>
                      <w:rFonts w:hint="default" w:ascii="Times New Roman" w:hAnsi="Times New Roman" w:cs="Times New Roman"/>
                      <w:color w:val="auto"/>
                    </w:rPr>
                  </w:pPr>
                </w:p>
              </w:tc>
              <w:tc>
                <w:tcPr>
                  <w:tcW w:w="1108" w:type="pct"/>
                  <w:vMerge w:val="continue"/>
                  <w:tcBorders>
                    <w:left w:val="single" w:color="auto" w:sz="4" w:space="0"/>
                  </w:tcBorders>
                  <w:noWrap w:val="0"/>
                  <w:vAlign w:val="center"/>
                </w:tcPr>
                <w:p w14:paraId="4C8A4151">
                  <w:pPr>
                    <w:jc w:val="center"/>
                    <w:rPr>
                      <w:rFonts w:hint="default" w:ascii="Times New Roman" w:hAnsi="Times New Roman" w:cs="Times New Roman"/>
                      <w:b/>
                      <w:bCs/>
                      <w:color w:val="auto"/>
                    </w:rPr>
                  </w:pPr>
                </w:p>
              </w:tc>
              <w:tc>
                <w:tcPr>
                  <w:tcW w:w="834" w:type="pct"/>
                  <w:tcBorders>
                    <w:top w:val="single" w:color="auto" w:sz="4" w:space="0"/>
                    <w:right w:val="single" w:color="auto" w:sz="4" w:space="0"/>
                  </w:tcBorders>
                  <w:noWrap w:val="0"/>
                  <w:vAlign w:val="center"/>
                </w:tcPr>
                <w:p w14:paraId="68B39BC0">
                  <w:pPr>
                    <w:jc w:val="center"/>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805" w:type="pct"/>
                  <w:tcBorders>
                    <w:top w:val="single" w:color="auto" w:sz="4" w:space="0"/>
                    <w:left w:val="single" w:color="auto" w:sz="4" w:space="0"/>
                  </w:tcBorders>
                  <w:noWrap w:val="0"/>
                  <w:vAlign w:val="center"/>
                </w:tcPr>
                <w:p w14:paraId="5273A06F">
                  <w:pPr>
                    <w:jc w:val="center"/>
                    <w:rPr>
                      <w:rFonts w:hint="default" w:ascii="Times New Roman" w:hAnsi="Times New Roman" w:cs="Times New Roman"/>
                      <w:b/>
                      <w:bCs/>
                      <w:color w:val="auto"/>
                    </w:rPr>
                  </w:pPr>
                  <w:r>
                    <w:rPr>
                      <w:rFonts w:hint="default" w:ascii="Times New Roman" w:hAnsi="Times New Roman" w:cs="Times New Roman"/>
                      <w:b/>
                      <w:bCs/>
                      <w:color w:val="auto"/>
                    </w:rPr>
                    <w:t>夜间</w:t>
                  </w:r>
                </w:p>
              </w:tc>
              <w:tc>
                <w:tcPr>
                  <w:tcW w:w="965" w:type="pct"/>
                  <w:vMerge w:val="continue"/>
                  <w:noWrap w:val="0"/>
                  <w:vAlign w:val="center"/>
                </w:tcPr>
                <w:p w14:paraId="648C18BE">
                  <w:pPr>
                    <w:jc w:val="center"/>
                    <w:rPr>
                      <w:rFonts w:hint="default" w:ascii="Times New Roman" w:hAnsi="Times New Roman" w:cs="Times New Roman"/>
                      <w:color w:val="auto"/>
                    </w:rPr>
                  </w:pPr>
                </w:p>
              </w:tc>
            </w:tr>
            <w:tr w14:paraId="10CE1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86" w:type="pct"/>
                  <w:noWrap w:val="0"/>
                  <w:vAlign w:val="center"/>
                </w:tcPr>
                <w:p w14:paraId="09A9E798">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东厂界</w:t>
                  </w:r>
                </w:p>
              </w:tc>
              <w:tc>
                <w:tcPr>
                  <w:tcW w:w="1108" w:type="pct"/>
                  <w:noWrap w:val="0"/>
                  <w:vAlign w:val="bottom"/>
                </w:tcPr>
                <w:p w14:paraId="25DAF01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40.40</w:t>
                  </w:r>
                </w:p>
              </w:tc>
              <w:tc>
                <w:tcPr>
                  <w:tcW w:w="834" w:type="pct"/>
                  <w:tcBorders>
                    <w:bottom w:val="single" w:color="auto" w:sz="4" w:space="0"/>
                    <w:right w:val="single" w:color="auto" w:sz="4" w:space="0"/>
                  </w:tcBorders>
                  <w:noWrap w:val="0"/>
                  <w:vAlign w:val="center"/>
                </w:tcPr>
                <w:p w14:paraId="63F03AE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805" w:type="pct"/>
                  <w:tcBorders>
                    <w:left w:val="single" w:color="auto" w:sz="4" w:space="0"/>
                    <w:bottom w:val="single" w:color="auto" w:sz="4" w:space="0"/>
                  </w:tcBorders>
                  <w:noWrap w:val="0"/>
                  <w:vAlign w:val="center"/>
                </w:tcPr>
                <w:p w14:paraId="3A1F618D">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965" w:type="pct"/>
                  <w:noWrap w:val="0"/>
                  <w:vAlign w:val="center"/>
                </w:tcPr>
                <w:p w14:paraId="173C3859">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达标</w:t>
                  </w:r>
                </w:p>
              </w:tc>
            </w:tr>
            <w:tr w14:paraId="41D9B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86" w:type="pct"/>
                  <w:noWrap w:val="0"/>
                  <w:vAlign w:val="center"/>
                </w:tcPr>
                <w:p w14:paraId="14BBFD87">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南厂界</w:t>
                  </w:r>
                </w:p>
              </w:tc>
              <w:tc>
                <w:tcPr>
                  <w:tcW w:w="1108" w:type="pct"/>
                  <w:noWrap w:val="0"/>
                  <w:vAlign w:val="bottom"/>
                </w:tcPr>
                <w:p w14:paraId="74C2CA4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36.70</w:t>
                  </w:r>
                </w:p>
              </w:tc>
              <w:tc>
                <w:tcPr>
                  <w:tcW w:w="834" w:type="pct"/>
                  <w:tcBorders>
                    <w:top w:val="single" w:color="auto" w:sz="4" w:space="0"/>
                    <w:bottom w:val="single" w:color="auto" w:sz="4" w:space="0"/>
                    <w:right w:val="single" w:color="auto" w:sz="4" w:space="0"/>
                  </w:tcBorders>
                  <w:noWrap w:val="0"/>
                  <w:vAlign w:val="center"/>
                </w:tcPr>
                <w:p w14:paraId="54DC7F4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805" w:type="pct"/>
                  <w:tcBorders>
                    <w:top w:val="single" w:color="auto" w:sz="4" w:space="0"/>
                    <w:left w:val="single" w:color="auto" w:sz="4" w:space="0"/>
                    <w:bottom w:val="single" w:color="auto" w:sz="4" w:space="0"/>
                  </w:tcBorders>
                  <w:noWrap w:val="0"/>
                  <w:vAlign w:val="center"/>
                </w:tcPr>
                <w:p w14:paraId="36E21590">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5</w:t>
                  </w:r>
                  <w:r>
                    <w:rPr>
                      <w:rFonts w:hint="eastAsia" w:cs="Times New Roman"/>
                      <w:color w:val="auto"/>
                      <w:kern w:val="2"/>
                      <w:sz w:val="21"/>
                      <w:szCs w:val="21"/>
                      <w:lang w:val="en-US" w:eastAsia="zh-CN" w:bidi="ar-SA"/>
                    </w:rPr>
                    <w:t>0</w:t>
                  </w:r>
                </w:p>
              </w:tc>
              <w:tc>
                <w:tcPr>
                  <w:tcW w:w="965" w:type="pct"/>
                  <w:noWrap w:val="0"/>
                  <w:vAlign w:val="center"/>
                </w:tcPr>
                <w:p w14:paraId="5B391CE6">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达标</w:t>
                  </w:r>
                </w:p>
              </w:tc>
            </w:tr>
            <w:tr w14:paraId="47373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86" w:type="pct"/>
                  <w:noWrap w:val="0"/>
                  <w:vAlign w:val="center"/>
                </w:tcPr>
                <w:p w14:paraId="641CB2FB">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西厂界</w:t>
                  </w:r>
                </w:p>
              </w:tc>
              <w:tc>
                <w:tcPr>
                  <w:tcW w:w="1108" w:type="pct"/>
                  <w:noWrap w:val="0"/>
                  <w:vAlign w:val="bottom"/>
                </w:tcPr>
                <w:p w14:paraId="6E25CB5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40.27</w:t>
                  </w:r>
                </w:p>
              </w:tc>
              <w:tc>
                <w:tcPr>
                  <w:tcW w:w="834" w:type="pct"/>
                  <w:tcBorders>
                    <w:top w:val="single" w:color="auto" w:sz="4" w:space="0"/>
                    <w:bottom w:val="single" w:color="auto" w:sz="4" w:space="0"/>
                    <w:right w:val="single" w:color="auto" w:sz="4" w:space="0"/>
                  </w:tcBorders>
                  <w:noWrap w:val="0"/>
                  <w:vAlign w:val="center"/>
                </w:tcPr>
                <w:p w14:paraId="66855E4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805" w:type="pct"/>
                  <w:tcBorders>
                    <w:top w:val="single" w:color="auto" w:sz="4" w:space="0"/>
                    <w:left w:val="single" w:color="auto" w:sz="4" w:space="0"/>
                    <w:bottom w:val="single" w:color="auto" w:sz="4" w:space="0"/>
                  </w:tcBorders>
                  <w:noWrap w:val="0"/>
                  <w:vAlign w:val="center"/>
                </w:tcPr>
                <w:p w14:paraId="2BD9E074">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55</w:t>
                  </w:r>
                </w:p>
              </w:tc>
              <w:tc>
                <w:tcPr>
                  <w:tcW w:w="965" w:type="pct"/>
                  <w:noWrap w:val="0"/>
                  <w:vAlign w:val="center"/>
                </w:tcPr>
                <w:p w14:paraId="47D3C692">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达标</w:t>
                  </w:r>
                </w:p>
              </w:tc>
            </w:tr>
            <w:tr w14:paraId="3DE15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6" w:type="pct"/>
                  <w:noWrap w:val="0"/>
                  <w:vAlign w:val="center"/>
                </w:tcPr>
                <w:p w14:paraId="30A73B21">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北厂界</w:t>
                  </w:r>
                </w:p>
              </w:tc>
              <w:tc>
                <w:tcPr>
                  <w:tcW w:w="1108" w:type="pct"/>
                  <w:noWrap w:val="0"/>
                  <w:vAlign w:val="bottom"/>
                </w:tcPr>
                <w:p w14:paraId="76DECD3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33.94</w:t>
                  </w:r>
                </w:p>
              </w:tc>
              <w:tc>
                <w:tcPr>
                  <w:tcW w:w="834" w:type="pct"/>
                  <w:tcBorders>
                    <w:top w:val="single" w:color="auto" w:sz="4" w:space="0"/>
                    <w:bottom w:val="single" w:color="auto" w:sz="4" w:space="0"/>
                    <w:right w:val="single" w:color="auto" w:sz="4" w:space="0"/>
                  </w:tcBorders>
                  <w:noWrap w:val="0"/>
                  <w:vAlign w:val="center"/>
                </w:tcPr>
                <w:p w14:paraId="7E28AB79">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805" w:type="pct"/>
                  <w:tcBorders>
                    <w:top w:val="single" w:color="auto" w:sz="4" w:space="0"/>
                    <w:left w:val="single" w:color="auto" w:sz="4" w:space="0"/>
                    <w:bottom w:val="single" w:color="auto" w:sz="4" w:space="0"/>
                  </w:tcBorders>
                  <w:noWrap w:val="0"/>
                  <w:vAlign w:val="center"/>
                </w:tcPr>
                <w:p w14:paraId="4B2614E0">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965" w:type="pct"/>
                  <w:noWrap w:val="0"/>
                  <w:vAlign w:val="center"/>
                </w:tcPr>
                <w:p w14:paraId="1747BC30">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达标</w:t>
                  </w:r>
                </w:p>
              </w:tc>
            </w:tr>
            <w:tr w14:paraId="21D0C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86" w:type="pct"/>
                  <w:noWrap w:val="0"/>
                  <w:vAlign w:val="center"/>
                </w:tcPr>
                <w:p w14:paraId="421ACCD1">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sz w:val="21"/>
                      <w:szCs w:val="21"/>
                      <w:lang w:val="en-US" w:eastAsia="zh-CN"/>
                    </w:rPr>
                    <w:t>梧桐村</w:t>
                  </w:r>
                </w:p>
              </w:tc>
              <w:tc>
                <w:tcPr>
                  <w:tcW w:w="1108" w:type="pct"/>
                  <w:noWrap w:val="0"/>
                  <w:vAlign w:val="bottom"/>
                </w:tcPr>
                <w:p w14:paraId="6FE48982">
                  <w:pPr>
                    <w:widowControl w:val="0"/>
                    <w:bidi w:val="0"/>
                    <w:spacing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36.61</w:t>
                  </w:r>
                </w:p>
              </w:tc>
              <w:tc>
                <w:tcPr>
                  <w:tcW w:w="1450" w:type="dxa"/>
                  <w:tcBorders>
                    <w:top w:val="single" w:color="auto" w:sz="4" w:space="0"/>
                    <w:bottom w:val="single" w:color="auto" w:sz="4" w:space="0"/>
                    <w:right w:val="single" w:color="auto" w:sz="4" w:space="0"/>
                  </w:tcBorders>
                  <w:noWrap w:val="0"/>
                  <w:vAlign w:val="center"/>
                </w:tcPr>
                <w:p w14:paraId="651B1297">
                  <w:pPr>
                    <w:widowControl w:val="0"/>
                    <w:bidi w:val="0"/>
                    <w:spacing w:line="240" w:lineRule="auto"/>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1400" w:type="dxa"/>
                  <w:tcBorders>
                    <w:top w:val="single" w:color="auto" w:sz="4" w:space="0"/>
                    <w:left w:val="single" w:color="auto" w:sz="4" w:space="0"/>
                    <w:bottom w:val="single" w:color="auto" w:sz="4" w:space="0"/>
                  </w:tcBorders>
                  <w:noWrap w:val="0"/>
                  <w:vAlign w:val="center"/>
                </w:tcPr>
                <w:p w14:paraId="3CCB1D27">
                  <w:pPr>
                    <w:widowControl w:val="0"/>
                    <w:bidi w:val="0"/>
                    <w:spacing w:line="240" w:lineRule="auto"/>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1679" w:type="dxa"/>
                  <w:noWrap w:val="0"/>
                  <w:vAlign w:val="center"/>
                </w:tcPr>
                <w:p w14:paraId="7A5A8100">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达标</w:t>
                  </w:r>
                </w:p>
              </w:tc>
            </w:tr>
            <w:tr w14:paraId="18965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286" w:type="pct"/>
                  <w:noWrap w:val="0"/>
                  <w:vAlign w:val="center"/>
                </w:tcPr>
                <w:p w14:paraId="42E9022D">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sz w:val="21"/>
                      <w:szCs w:val="21"/>
                      <w:lang w:val="en-US" w:eastAsia="zh-CN"/>
                    </w:rPr>
                    <w:t>菜地村</w:t>
                  </w:r>
                </w:p>
              </w:tc>
              <w:tc>
                <w:tcPr>
                  <w:tcW w:w="1108" w:type="pct"/>
                  <w:noWrap w:val="0"/>
                  <w:vAlign w:val="bottom"/>
                </w:tcPr>
                <w:p w14:paraId="4B88C6FC">
                  <w:pPr>
                    <w:widowControl w:val="0"/>
                    <w:bidi w:val="0"/>
                    <w:spacing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37.50</w:t>
                  </w:r>
                </w:p>
              </w:tc>
              <w:tc>
                <w:tcPr>
                  <w:tcW w:w="1450" w:type="dxa"/>
                  <w:tcBorders>
                    <w:top w:val="single" w:color="auto" w:sz="4" w:space="0"/>
                    <w:bottom w:val="single" w:color="auto" w:sz="4" w:space="0"/>
                    <w:right w:val="single" w:color="auto" w:sz="4" w:space="0"/>
                  </w:tcBorders>
                  <w:noWrap w:val="0"/>
                  <w:vAlign w:val="center"/>
                </w:tcPr>
                <w:p w14:paraId="58674E51">
                  <w:pPr>
                    <w:widowControl w:val="0"/>
                    <w:bidi w:val="0"/>
                    <w:spacing w:line="240" w:lineRule="auto"/>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1400" w:type="dxa"/>
                  <w:tcBorders>
                    <w:top w:val="single" w:color="auto" w:sz="4" w:space="0"/>
                    <w:left w:val="single" w:color="auto" w:sz="4" w:space="0"/>
                    <w:bottom w:val="single" w:color="auto" w:sz="4" w:space="0"/>
                  </w:tcBorders>
                  <w:noWrap w:val="0"/>
                  <w:vAlign w:val="center"/>
                </w:tcPr>
                <w:p w14:paraId="59FAB82D">
                  <w:pPr>
                    <w:widowControl w:val="0"/>
                    <w:bidi w:val="0"/>
                    <w:spacing w:line="240" w:lineRule="auto"/>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1679" w:type="dxa"/>
                  <w:noWrap w:val="0"/>
                  <w:vAlign w:val="center"/>
                </w:tcPr>
                <w:p w14:paraId="39471D75">
                  <w:pPr>
                    <w:widowControl w:val="0"/>
                    <w:bidi w:val="0"/>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达标</w:t>
                  </w:r>
                </w:p>
              </w:tc>
            </w:tr>
          </w:tbl>
          <w:p w14:paraId="478720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1"/>
                <w:sz w:val="24"/>
                <w:szCs w:val="22"/>
                <w:lang w:val="en-US" w:eastAsia="zh-CN"/>
              </w:rPr>
            </w:pPr>
            <w:r>
              <w:rPr>
                <w:rFonts w:hint="default" w:ascii="Times New Roman" w:hAnsi="Times New Roman" w:cs="Times New Roman"/>
                <w:color w:val="auto"/>
                <w:kern w:val="1"/>
                <w:sz w:val="24"/>
                <w:szCs w:val="22"/>
              </w:rPr>
              <w:t>由表</w:t>
            </w:r>
            <w:r>
              <w:rPr>
                <w:rFonts w:hint="default" w:ascii="Times New Roman" w:hAnsi="Times New Roman" w:cs="Times New Roman"/>
                <w:color w:val="auto"/>
                <w:kern w:val="1"/>
                <w:sz w:val="24"/>
                <w:szCs w:val="22"/>
                <w:lang w:val="en-US" w:eastAsia="zh-CN"/>
              </w:rPr>
              <w:t>4</w:t>
            </w:r>
            <w:r>
              <w:rPr>
                <w:rFonts w:hint="default" w:ascii="Times New Roman" w:hAnsi="Times New Roman" w:cs="Times New Roman"/>
                <w:color w:val="auto"/>
                <w:kern w:val="1"/>
                <w:sz w:val="24"/>
                <w:szCs w:val="22"/>
              </w:rPr>
              <w:t>-</w:t>
            </w:r>
            <w:r>
              <w:rPr>
                <w:rFonts w:hint="eastAsia" w:cs="Times New Roman"/>
                <w:color w:val="auto"/>
                <w:kern w:val="1"/>
                <w:sz w:val="24"/>
                <w:szCs w:val="22"/>
                <w:lang w:val="en-US" w:eastAsia="zh-CN"/>
              </w:rPr>
              <w:t>12</w:t>
            </w:r>
            <w:r>
              <w:rPr>
                <w:rFonts w:hint="default" w:ascii="Times New Roman" w:hAnsi="Times New Roman" w:cs="Times New Roman"/>
                <w:color w:val="auto"/>
                <w:kern w:val="1"/>
                <w:sz w:val="24"/>
                <w:szCs w:val="22"/>
              </w:rPr>
              <w:t>可以看出，</w:t>
            </w:r>
            <w:r>
              <w:rPr>
                <w:rFonts w:hint="default" w:ascii="Times New Roman" w:hAnsi="Times New Roman" w:cs="Times New Roman"/>
                <w:color w:val="auto"/>
                <w:kern w:val="1"/>
                <w:sz w:val="24"/>
                <w:szCs w:val="22"/>
                <w:lang w:val="en-US" w:eastAsia="zh-CN"/>
              </w:rPr>
              <w:t>在正常运营情况下，</w:t>
            </w:r>
            <w:r>
              <w:rPr>
                <w:rFonts w:hint="default" w:ascii="Times New Roman" w:hAnsi="Times New Roman" w:cs="Times New Roman"/>
                <w:color w:val="auto"/>
                <w:kern w:val="1"/>
                <w:sz w:val="24"/>
                <w:szCs w:val="22"/>
              </w:rPr>
              <w:t>项目</w:t>
            </w:r>
            <w:r>
              <w:rPr>
                <w:rFonts w:hint="eastAsia" w:cs="Times New Roman"/>
                <w:color w:val="auto"/>
                <w:kern w:val="1"/>
                <w:sz w:val="24"/>
                <w:szCs w:val="22"/>
                <w:lang w:val="en-US" w:eastAsia="zh-CN"/>
              </w:rPr>
              <w:t>西侧</w:t>
            </w:r>
            <w:r>
              <w:rPr>
                <w:rFonts w:hint="default" w:ascii="Times New Roman" w:hAnsi="Times New Roman" w:cs="Times New Roman"/>
                <w:color w:val="auto"/>
                <w:kern w:val="1"/>
                <w:sz w:val="24"/>
                <w:szCs w:val="22"/>
              </w:rPr>
              <w:t>昼夜</w:t>
            </w:r>
            <w:r>
              <w:rPr>
                <w:rFonts w:hint="eastAsia" w:cs="Times New Roman"/>
                <w:color w:val="auto"/>
                <w:kern w:val="1"/>
                <w:sz w:val="24"/>
                <w:szCs w:val="22"/>
                <w:lang w:eastAsia="zh-CN"/>
              </w:rPr>
              <w:t>噪声</w:t>
            </w:r>
            <w:r>
              <w:rPr>
                <w:rFonts w:hint="default" w:ascii="Times New Roman" w:hAnsi="Times New Roman" w:cs="Times New Roman"/>
                <w:color w:val="auto"/>
                <w:kern w:val="1"/>
                <w:sz w:val="24"/>
                <w:szCs w:val="22"/>
                <w:lang w:val="en-US" w:eastAsia="zh-CN"/>
              </w:rPr>
              <w:t>均</w:t>
            </w:r>
            <w:r>
              <w:rPr>
                <w:rFonts w:hint="default" w:ascii="Times New Roman" w:hAnsi="Times New Roman" w:cs="Times New Roman"/>
                <w:color w:val="auto"/>
                <w:kern w:val="1"/>
                <w:sz w:val="24"/>
                <w:szCs w:val="22"/>
              </w:rPr>
              <w:t>能达到（GB12348－2008）《工业企业厂界环境噪声排放标准》4类（昼间70dB(A)，夜间55dB(A)）标准</w:t>
            </w:r>
            <w:r>
              <w:rPr>
                <w:rFonts w:hint="default" w:ascii="Times New Roman" w:hAnsi="Times New Roman" w:cs="Times New Roman"/>
                <w:color w:val="auto"/>
                <w:kern w:val="1"/>
                <w:sz w:val="24"/>
                <w:szCs w:val="22"/>
                <w:lang w:eastAsia="zh-CN"/>
              </w:rPr>
              <w:t>，</w:t>
            </w:r>
            <w:r>
              <w:rPr>
                <w:rFonts w:hint="default" w:ascii="Times New Roman" w:hAnsi="Times New Roman" w:cs="Times New Roman"/>
                <w:color w:val="auto"/>
                <w:kern w:val="1"/>
                <w:sz w:val="24"/>
                <w:szCs w:val="22"/>
                <w:lang w:val="en-US" w:eastAsia="zh-CN"/>
              </w:rPr>
              <w:t>其余</w:t>
            </w:r>
            <w:r>
              <w:rPr>
                <w:rFonts w:hint="default" w:ascii="Times New Roman" w:hAnsi="Times New Roman" w:cs="Times New Roman"/>
                <w:color w:val="auto"/>
                <w:kern w:val="1"/>
                <w:sz w:val="24"/>
                <w:szCs w:val="22"/>
              </w:rPr>
              <w:t>厂界</w:t>
            </w:r>
            <w:r>
              <w:rPr>
                <w:rFonts w:hint="default" w:ascii="Times New Roman" w:hAnsi="Times New Roman" w:cs="Times New Roman"/>
                <w:color w:val="auto"/>
                <w:kern w:val="1"/>
                <w:sz w:val="24"/>
                <w:szCs w:val="22"/>
                <w:lang w:val="en-US" w:eastAsia="zh-CN"/>
              </w:rPr>
              <w:t>均</w:t>
            </w:r>
            <w:r>
              <w:rPr>
                <w:rFonts w:hint="default" w:ascii="Times New Roman" w:hAnsi="Times New Roman" w:cs="Times New Roman"/>
                <w:color w:val="auto"/>
                <w:kern w:val="1"/>
                <w:sz w:val="24"/>
                <w:szCs w:val="22"/>
              </w:rPr>
              <w:t>能达到《工业企业厂界环境噪声排放标准》（GB12348</w:t>
            </w:r>
            <w:r>
              <w:rPr>
                <w:rFonts w:hint="default" w:ascii="Times New Roman" w:hAnsi="Times New Roman" w:cs="Times New Roman"/>
                <w:color w:val="auto"/>
                <w:kern w:val="1"/>
                <w:sz w:val="24"/>
                <w:szCs w:val="22"/>
                <w:lang w:val="en-US" w:eastAsia="zh-CN"/>
              </w:rPr>
              <w:t>-</w:t>
            </w:r>
            <w:r>
              <w:rPr>
                <w:rFonts w:hint="default" w:ascii="Times New Roman" w:hAnsi="Times New Roman" w:cs="Times New Roman"/>
                <w:color w:val="auto"/>
                <w:kern w:val="1"/>
                <w:sz w:val="24"/>
                <w:szCs w:val="22"/>
              </w:rPr>
              <w:t>2008）</w:t>
            </w:r>
            <w:r>
              <w:rPr>
                <w:rFonts w:hint="eastAsia" w:cs="Times New Roman"/>
                <w:color w:val="auto"/>
                <w:kern w:val="1"/>
                <w:sz w:val="24"/>
                <w:szCs w:val="22"/>
                <w:lang w:val="en-US" w:eastAsia="zh-CN"/>
              </w:rPr>
              <w:t>2</w:t>
            </w:r>
            <w:r>
              <w:rPr>
                <w:rFonts w:hint="default" w:ascii="Times New Roman" w:hAnsi="Times New Roman" w:cs="Times New Roman"/>
                <w:color w:val="auto"/>
                <w:kern w:val="1"/>
                <w:sz w:val="24"/>
                <w:szCs w:val="22"/>
              </w:rPr>
              <w:t>类（昼间</w:t>
            </w:r>
            <w:r>
              <w:rPr>
                <w:rFonts w:hint="eastAsia" w:cs="Times New Roman"/>
                <w:color w:val="auto"/>
                <w:kern w:val="1"/>
                <w:sz w:val="24"/>
                <w:szCs w:val="22"/>
                <w:lang w:val="en-US" w:eastAsia="zh-CN"/>
              </w:rPr>
              <w:t>60</w:t>
            </w:r>
            <w:r>
              <w:rPr>
                <w:rFonts w:hint="default" w:ascii="Times New Roman" w:hAnsi="Times New Roman" w:cs="Times New Roman"/>
                <w:color w:val="auto"/>
                <w:kern w:val="1"/>
                <w:sz w:val="24"/>
                <w:szCs w:val="22"/>
              </w:rPr>
              <w:t>dB(A)，夜间</w:t>
            </w:r>
            <w:r>
              <w:rPr>
                <w:rFonts w:hint="eastAsia" w:cs="Times New Roman"/>
                <w:color w:val="auto"/>
                <w:kern w:val="1"/>
                <w:sz w:val="24"/>
                <w:szCs w:val="22"/>
                <w:lang w:val="en-US" w:eastAsia="zh-CN"/>
              </w:rPr>
              <w:t>50</w:t>
            </w:r>
            <w:r>
              <w:rPr>
                <w:rFonts w:hint="default" w:ascii="Times New Roman" w:hAnsi="Times New Roman" w:cs="Times New Roman"/>
                <w:color w:val="auto"/>
                <w:kern w:val="1"/>
                <w:sz w:val="24"/>
                <w:szCs w:val="22"/>
              </w:rPr>
              <w:t>dB(A)）标准</w:t>
            </w:r>
            <w:r>
              <w:rPr>
                <w:rFonts w:hint="default" w:ascii="Times New Roman" w:hAnsi="Times New Roman" w:cs="Times New Roman"/>
                <w:color w:val="auto"/>
                <w:kern w:val="1"/>
                <w:sz w:val="24"/>
                <w:szCs w:val="22"/>
                <w:lang w:eastAsia="zh-CN"/>
              </w:rPr>
              <w:t>。</w:t>
            </w:r>
          </w:p>
          <w:p w14:paraId="2142C7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1"/>
                <w:sz w:val="24"/>
                <w:szCs w:val="22"/>
              </w:rPr>
            </w:pPr>
            <w:r>
              <w:rPr>
                <w:rFonts w:hint="default" w:ascii="Times New Roman" w:hAnsi="Times New Roman" w:cs="Times New Roman"/>
                <w:color w:val="auto"/>
                <w:kern w:val="1"/>
                <w:sz w:val="24"/>
                <w:szCs w:val="22"/>
              </w:rPr>
              <w:t>项目周边</w:t>
            </w:r>
            <w:r>
              <w:rPr>
                <w:rFonts w:hint="default" w:ascii="Times New Roman" w:hAnsi="Times New Roman" w:cs="Times New Roman"/>
                <w:color w:val="auto"/>
                <w:kern w:val="1"/>
                <w:sz w:val="24"/>
                <w:szCs w:val="22"/>
                <w:lang w:val="en-US" w:eastAsia="zh-CN"/>
              </w:rPr>
              <w:t>50</w:t>
            </w:r>
            <w:r>
              <w:rPr>
                <w:rFonts w:hint="default" w:ascii="Times New Roman" w:hAnsi="Times New Roman" w:cs="Times New Roman"/>
                <w:color w:val="auto"/>
                <w:kern w:val="1"/>
                <w:sz w:val="24"/>
                <w:szCs w:val="22"/>
              </w:rPr>
              <w:t>m范围内敏感保护目标</w:t>
            </w:r>
            <w:r>
              <w:rPr>
                <w:rFonts w:hint="eastAsia" w:ascii="Times New Roman" w:hAnsi="Times New Roman" w:cs="Times New Roman"/>
                <w:color w:val="auto"/>
                <w:kern w:val="1"/>
                <w:sz w:val="24"/>
                <w:szCs w:val="22"/>
                <w:lang w:val="en-US" w:eastAsia="zh-CN"/>
              </w:rPr>
              <w:t>为梧桐村、菜地村</w:t>
            </w:r>
            <w:r>
              <w:rPr>
                <w:rFonts w:hint="default" w:ascii="Times New Roman" w:hAnsi="Times New Roman" w:cs="Times New Roman"/>
                <w:color w:val="auto"/>
                <w:kern w:val="1"/>
                <w:sz w:val="24"/>
                <w:szCs w:val="22"/>
              </w:rPr>
              <w:t>，</w:t>
            </w:r>
            <w:r>
              <w:rPr>
                <w:rFonts w:hint="eastAsia" w:ascii="Times New Roman" w:hAnsi="Times New Roman" w:cs="Times New Roman"/>
                <w:color w:val="auto"/>
                <w:kern w:val="1"/>
                <w:sz w:val="24"/>
                <w:szCs w:val="22"/>
                <w:lang w:val="en-US" w:eastAsia="zh-CN"/>
              </w:rPr>
              <w:t>根据噪声源强表项目噪声在敏感点</w:t>
            </w:r>
            <w:r>
              <w:rPr>
                <w:rFonts w:hint="eastAsia" w:cs="Times New Roman"/>
                <w:color w:val="auto"/>
                <w:kern w:val="1"/>
                <w:sz w:val="24"/>
                <w:szCs w:val="22"/>
                <w:lang w:val="en-US" w:eastAsia="zh-CN"/>
              </w:rPr>
              <w:t>处</w:t>
            </w:r>
            <w:r>
              <w:rPr>
                <w:rFonts w:hint="eastAsia" w:ascii="Times New Roman" w:hAnsi="Times New Roman" w:cs="Times New Roman"/>
                <w:color w:val="auto"/>
                <w:kern w:val="1"/>
                <w:sz w:val="24"/>
                <w:szCs w:val="22"/>
                <w:lang w:val="en-US" w:eastAsia="zh-CN"/>
              </w:rPr>
              <w:t>达标，对敏感点影响小，但</w:t>
            </w:r>
            <w:r>
              <w:rPr>
                <w:rFonts w:hint="default" w:ascii="Times New Roman" w:hAnsi="Times New Roman" w:cs="Times New Roman"/>
                <w:color w:val="auto"/>
                <w:kern w:val="1"/>
                <w:sz w:val="24"/>
                <w:szCs w:val="22"/>
              </w:rPr>
              <w:t>为减少本项目噪声对周围环境的影响，故提出以下噪声治理措施：</w:t>
            </w:r>
          </w:p>
          <w:p w14:paraId="6248AD3C">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①在场站进出口设置警示标识，限制鸣笛并要求低速行驶，降低交通噪声；</w:t>
            </w:r>
          </w:p>
          <w:p w14:paraId="14670297">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②规范操作；</w:t>
            </w:r>
          </w:p>
          <w:p w14:paraId="0C01411C">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③定期对设备、设施进行检修。</w:t>
            </w:r>
          </w:p>
          <w:p w14:paraId="198FDE5F">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④加油站面向</w:t>
            </w:r>
            <w:r>
              <w:rPr>
                <w:rFonts w:hint="eastAsia" w:cs="Times New Roman"/>
                <w:color w:val="auto"/>
                <w:sz w:val="24"/>
                <w:szCs w:val="22"/>
                <w:lang w:val="en-US" w:eastAsia="zh-CN"/>
              </w:rPr>
              <w:t>东</w:t>
            </w:r>
            <w:r>
              <w:rPr>
                <w:rFonts w:hint="default" w:ascii="Times New Roman" w:hAnsi="Times New Roman" w:cs="Times New Roman"/>
                <w:color w:val="auto"/>
                <w:sz w:val="24"/>
                <w:szCs w:val="22"/>
              </w:rPr>
              <w:t>面、</w:t>
            </w:r>
            <w:r>
              <w:rPr>
                <w:rFonts w:hint="default" w:ascii="Times New Roman" w:hAnsi="Times New Roman" w:cs="Times New Roman"/>
                <w:color w:val="auto"/>
                <w:sz w:val="24"/>
                <w:szCs w:val="22"/>
                <w:lang w:val="en-US" w:eastAsia="zh-CN"/>
              </w:rPr>
              <w:t>南</w:t>
            </w:r>
            <w:r>
              <w:rPr>
                <w:rFonts w:hint="default" w:ascii="Times New Roman" w:hAnsi="Times New Roman" w:cs="Times New Roman"/>
                <w:color w:val="auto"/>
                <w:sz w:val="24"/>
                <w:szCs w:val="22"/>
              </w:rPr>
              <w:t>面</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东北面</w:t>
            </w:r>
            <w:r>
              <w:rPr>
                <w:rFonts w:hint="default" w:ascii="Times New Roman" w:hAnsi="Times New Roman" w:cs="Times New Roman"/>
                <w:color w:val="auto"/>
                <w:sz w:val="24"/>
                <w:szCs w:val="22"/>
              </w:rPr>
              <w:t>均设高2.</w:t>
            </w: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rPr>
              <w:t>m的实体围墙。</w:t>
            </w:r>
          </w:p>
          <w:p w14:paraId="4D1651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rPr>
              <w:t>⑤</w:t>
            </w:r>
            <w:r>
              <w:rPr>
                <w:rFonts w:hint="default" w:ascii="Times New Roman" w:hAnsi="Times New Roman" w:cs="Times New Roman"/>
                <w:color w:val="auto"/>
                <w:sz w:val="24"/>
                <w:szCs w:val="22"/>
                <w:lang w:val="en-US" w:eastAsia="zh-CN"/>
              </w:rPr>
              <w:t>发电机设置在独立封闭房间内，并设置减震垫。</w:t>
            </w:r>
          </w:p>
          <w:p w14:paraId="602774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sz w:val="24"/>
                <w:szCs w:val="22"/>
              </w:rPr>
              <w:t>综上，项目投入使用后不会改变项目所处区域的声环境功能，对声环境的影响很小。</w:t>
            </w:r>
          </w:p>
          <w:p w14:paraId="71F6FDD6">
            <w:pPr>
              <w:spacing w:line="360" w:lineRule="auto"/>
              <w:ind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lang w:val="en-US" w:eastAsia="zh-CN"/>
              </w:rPr>
              <w:t>6</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rPr>
              <w:t>噪声监测计划</w:t>
            </w:r>
          </w:p>
          <w:p w14:paraId="4367051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2"/>
              </w:rPr>
              <w:t>根据《排污单位自行监测技术指南 总则》（HJ 819-2017）、《</w:t>
            </w:r>
            <w:r>
              <w:rPr>
                <w:rFonts w:hint="default" w:ascii="Times New Roman" w:hAnsi="Times New Roman" w:cs="Times New Roman"/>
                <w:color w:val="auto"/>
                <w:sz w:val="24"/>
                <w:szCs w:val="22"/>
                <w:lang w:val="en-US" w:eastAsia="zh-CN"/>
              </w:rPr>
              <w:t>排污单位自行监测技术指南 储油库、加油站</w:t>
            </w:r>
            <w:r>
              <w:rPr>
                <w:rFonts w:hint="default" w:ascii="Times New Roman" w:hAnsi="Times New Roman" w:cs="Times New Roman"/>
                <w:color w:val="auto"/>
                <w:sz w:val="24"/>
                <w:szCs w:val="22"/>
              </w:rPr>
              <w:t xml:space="preserve">》（HJ </w:t>
            </w:r>
            <w:r>
              <w:rPr>
                <w:rFonts w:hint="default" w:ascii="Times New Roman" w:hAnsi="Times New Roman" w:cs="Times New Roman"/>
                <w:color w:val="auto"/>
                <w:sz w:val="24"/>
                <w:szCs w:val="22"/>
                <w:lang w:val="en-US" w:eastAsia="zh-CN"/>
              </w:rPr>
              <w:t>1249</w:t>
            </w:r>
            <w:r>
              <w:rPr>
                <w:rFonts w:hint="default" w:ascii="Times New Roman" w:hAnsi="Times New Roman" w:cs="Times New Roman"/>
                <w:color w:val="auto"/>
                <w:sz w:val="24"/>
                <w:szCs w:val="22"/>
              </w:rPr>
              <w:t>-20</w:t>
            </w:r>
            <w:r>
              <w:rPr>
                <w:rFonts w:hint="default" w:ascii="Times New Roman" w:hAnsi="Times New Roman" w:cs="Times New Roman"/>
                <w:color w:val="auto"/>
                <w:sz w:val="24"/>
                <w:szCs w:val="22"/>
                <w:lang w:val="en-US" w:eastAsia="zh-CN"/>
              </w:rPr>
              <w:t>22</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eastAsia="zh-CN"/>
              </w:rPr>
              <w:t>、《排污许可证申请与核发技术规范 工业噪声》（HJ 1301-2023）</w:t>
            </w:r>
            <w:r>
              <w:rPr>
                <w:rFonts w:hint="default" w:ascii="Times New Roman" w:hAnsi="Times New Roman" w:cs="Times New Roman"/>
                <w:color w:val="auto"/>
                <w:sz w:val="24"/>
              </w:rPr>
              <w:t>，项目运营期噪声监测计划见表4-</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3</w:t>
            </w:r>
            <w:r>
              <w:rPr>
                <w:rFonts w:hint="default" w:ascii="Times New Roman" w:hAnsi="Times New Roman" w:cs="Times New Roman"/>
                <w:color w:val="auto"/>
                <w:sz w:val="24"/>
              </w:rPr>
              <w:t>。</w:t>
            </w:r>
          </w:p>
          <w:p w14:paraId="6EFC9A77">
            <w:pPr>
              <w:spacing w:line="240" w:lineRule="auto"/>
              <w:ind w:firstLine="422" w:firstLineChars="200"/>
              <w:jc w:val="center"/>
              <w:rPr>
                <w:rFonts w:hint="default" w:ascii="Times New Roman" w:hAnsi="Times New Roman" w:cs="Times New Roman"/>
                <w:b/>
                <w:color w:val="auto"/>
              </w:rPr>
            </w:pPr>
            <w:r>
              <w:rPr>
                <w:rFonts w:hint="default" w:ascii="Times New Roman" w:hAnsi="Times New Roman" w:cs="Times New Roman"/>
                <w:b/>
                <w:color w:val="auto"/>
              </w:rPr>
              <w:t>表4-</w:t>
            </w:r>
            <w:r>
              <w:rPr>
                <w:rFonts w:hint="default" w:ascii="Times New Roman" w:hAnsi="Times New Roman" w:cs="Times New Roman"/>
                <w:b/>
                <w:color w:val="auto"/>
                <w:lang w:val="en-US" w:eastAsia="zh-CN"/>
              </w:rPr>
              <w:t>1</w:t>
            </w:r>
            <w:r>
              <w:rPr>
                <w:rFonts w:hint="eastAsia" w:cs="Times New Roman"/>
                <w:b/>
                <w:color w:val="auto"/>
                <w:lang w:val="en-US" w:eastAsia="zh-CN"/>
              </w:rPr>
              <w:t>3</w:t>
            </w:r>
            <w:r>
              <w:rPr>
                <w:rFonts w:hint="default" w:ascii="Times New Roman" w:hAnsi="Times New Roman" w:cs="Times New Roman"/>
                <w:b/>
                <w:color w:val="auto"/>
                <w:lang w:val="en-US" w:eastAsia="zh-CN"/>
              </w:rPr>
              <w:t xml:space="preserve">  </w:t>
            </w:r>
            <w:r>
              <w:rPr>
                <w:rFonts w:hint="default" w:ascii="Times New Roman" w:hAnsi="Times New Roman" w:cs="Times New Roman"/>
                <w:b/>
                <w:color w:val="auto"/>
              </w:rPr>
              <w:t>运营期噪声监测计划一览表</w:t>
            </w:r>
          </w:p>
          <w:tbl>
            <w:tblPr>
              <w:tblStyle w:val="27"/>
              <w:tblW w:w="8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063"/>
              <w:gridCol w:w="1325"/>
              <w:gridCol w:w="1237"/>
              <w:gridCol w:w="2974"/>
              <w:gridCol w:w="696"/>
              <w:gridCol w:w="818"/>
            </w:tblGrid>
            <w:tr w14:paraId="4FBB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jc w:val="center"/>
              </w:trPr>
              <w:tc>
                <w:tcPr>
                  <w:tcW w:w="808" w:type="dxa"/>
                  <w:noWrap w:val="0"/>
                  <w:vAlign w:val="center"/>
                </w:tcPr>
                <w:p w14:paraId="4B9C1677">
                  <w:pPr>
                    <w:spacing w:line="300" w:lineRule="exact"/>
                    <w:jc w:val="center"/>
                    <w:rPr>
                      <w:rFonts w:hint="default" w:ascii="Times New Roman" w:hAnsi="Times New Roman" w:eastAsia="宋体" w:cs="Times New Roman"/>
                      <w:b/>
                      <w:color w:val="auto"/>
                      <w:lang w:eastAsia="zh-CN"/>
                    </w:rPr>
                  </w:pPr>
                  <w:r>
                    <w:rPr>
                      <w:rFonts w:hint="default" w:ascii="Times New Roman" w:hAnsi="Times New Roman" w:cs="Times New Roman"/>
                      <w:b/>
                      <w:color w:val="auto"/>
                      <w:lang w:val="en-US" w:eastAsia="zh-CN"/>
                    </w:rPr>
                    <w:t>监测项目</w:t>
                  </w:r>
                </w:p>
              </w:tc>
              <w:tc>
                <w:tcPr>
                  <w:tcW w:w="1063" w:type="dxa"/>
                  <w:noWrap w:val="0"/>
                  <w:vAlign w:val="center"/>
                </w:tcPr>
                <w:p w14:paraId="01FD0217">
                  <w:pPr>
                    <w:spacing w:line="300" w:lineRule="exact"/>
                    <w:jc w:val="center"/>
                    <w:rPr>
                      <w:rFonts w:hint="default" w:ascii="Times New Roman" w:hAnsi="Times New Roman" w:cs="Times New Roman"/>
                      <w:b/>
                      <w:color w:val="auto"/>
                    </w:rPr>
                  </w:pPr>
                  <w:r>
                    <w:rPr>
                      <w:rFonts w:hint="default" w:ascii="Times New Roman" w:hAnsi="Times New Roman" w:cs="Times New Roman"/>
                      <w:b/>
                      <w:color w:val="auto"/>
                    </w:rPr>
                    <w:t>监测点位</w:t>
                  </w:r>
                </w:p>
              </w:tc>
              <w:tc>
                <w:tcPr>
                  <w:tcW w:w="1325" w:type="dxa"/>
                  <w:noWrap w:val="0"/>
                  <w:vAlign w:val="center"/>
                </w:tcPr>
                <w:p w14:paraId="200D41CC">
                  <w:pPr>
                    <w:spacing w:line="300" w:lineRule="exact"/>
                    <w:jc w:val="center"/>
                    <w:rPr>
                      <w:rFonts w:hint="default" w:ascii="Times New Roman" w:hAnsi="Times New Roman" w:cs="Times New Roman"/>
                      <w:b/>
                      <w:color w:val="auto"/>
                    </w:rPr>
                  </w:pPr>
                  <w:r>
                    <w:rPr>
                      <w:rFonts w:hint="default" w:ascii="Times New Roman" w:hAnsi="Times New Roman" w:cs="Times New Roman"/>
                      <w:b/>
                      <w:color w:val="auto"/>
                    </w:rPr>
                    <w:t>监测频次</w:t>
                  </w:r>
                </w:p>
              </w:tc>
              <w:tc>
                <w:tcPr>
                  <w:tcW w:w="1237" w:type="dxa"/>
                  <w:noWrap w:val="0"/>
                  <w:vAlign w:val="center"/>
                </w:tcPr>
                <w:p w14:paraId="46D4EB63">
                  <w:pPr>
                    <w:spacing w:line="300" w:lineRule="exact"/>
                    <w:jc w:val="center"/>
                    <w:rPr>
                      <w:rFonts w:hint="default" w:ascii="Times New Roman" w:hAnsi="Times New Roman" w:cs="Times New Roman"/>
                      <w:b/>
                      <w:color w:val="auto"/>
                    </w:rPr>
                  </w:pPr>
                  <w:r>
                    <w:rPr>
                      <w:rFonts w:hint="default" w:ascii="Times New Roman" w:hAnsi="Times New Roman" w:cs="Times New Roman"/>
                      <w:b/>
                      <w:color w:val="auto"/>
                    </w:rPr>
                    <w:t>监测因子</w:t>
                  </w:r>
                </w:p>
              </w:tc>
              <w:tc>
                <w:tcPr>
                  <w:tcW w:w="2974" w:type="dxa"/>
                  <w:noWrap w:val="0"/>
                  <w:vAlign w:val="center"/>
                </w:tcPr>
                <w:p w14:paraId="3AABCABC">
                  <w:pPr>
                    <w:spacing w:line="300" w:lineRule="exact"/>
                    <w:jc w:val="center"/>
                    <w:rPr>
                      <w:rFonts w:hint="default" w:ascii="Times New Roman" w:hAnsi="Times New Roman" w:cs="Times New Roman"/>
                      <w:b/>
                      <w:color w:val="auto"/>
                    </w:rPr>
                  </w:pPr>
                  <w:r>
                    <w:rPr>
                      <w:rFonts w:hint="default" w:ascii="Times New Roman" w:hAnsi="Times New Roman" w:cs="Times New Roman"/>
                      <w:b/>
                      <w:color w:val="auto"/>
                    </w:rPr>
                    <w:t>执行标准</w:t>
                  </w:r>
                </w:p>
              </w:tc>
              <w:tc>
                <w:tcPr>
                  <w:tcW w:w="696" w:type="dxa"/>
                  <w:noWrap w:val="0"/>
                  <w:vAlign w:val="center"/>
                </w:tcPr>
                <w:p w14:paraId="31E9F3B7">
                  <w:pPr>
                    <w:spacing w:line="300" w:lineRule="exact"/>
                    <w:jc w:val="center"/>
                    <w:rPr>
                      <w:rFonts w:hint="default" w:ascii="Times New Roman" w:hAnsi="Times New Roman" w:cs="Times New Roman"/>
                      <w:b/>
                      <w:color w:val="auto"/>
                    </w:rPr>
                  </w:pPr>
                  <w:r>
                    <w:rPr>
                      <w:rFonts w:hint="default" w:ascii="Times New Roman" w:hAnsi="Times New Roman" w:cs="Times New Roman"/>
                      <w:b/>
                      <w:color w:val="auto"/>
                    </w:rPr>
                    <w:t>采样</w:t>
                  </w:r>
                </w:p>
                <w:p w14:paraId="36DBE367">
                  <w:pPr>
                    <w:spacing w:line="300" w:lineRule="exact"/>
                    <w:jc w:val="center"/>
                    <w:rPr>
                      <w:rFonts w:hint="default" w:ascii="Times New Roman" w:hAnsi="Times New Roman" w:cs="Times New Roman"/>
                      <w:b/>
                      <w:color w:val="auto"/>
                    </w:rPr>
                  </w:pPr>
                  <w:r>
                    <w:rPr>
                      <w:rFonts w:hint="default" w:ascii="Times New Roman" w:hAnsi="Times New Roman" w:cs="Times New Roman"/>
                      <w:b/>
                      <w:color w:val="auto"/>
                    </w:rPr>
                    <w:t>时间</w:t>
                  </w:r>
                </w:p>
              </w:tc>
              <w:tc>
                <w:tcPr>
                  <w:tcW w:w="818" w:type="dxa"/>
                  <w:noWrap w:val="0"/>
                  <w:vAlign w:val="center"/>
                </w:tcPr>
                <w:p w14:paraId="05B9E8F0">
                  <w:pPr>
                    <w:spacing w:line="300" w:lineRule="exact"/>
                    <w:jc w:val="center"/>
                    <w:rPr>
                      <w:rFonts w:hint="default" w:ascii="Times New Roman" w:hAnsi="Times New Roman" w:cs="Times New Roman"/>
                      <w:b/>
                      <w:color w:val="auto"/>
                    </w:rPr>
                  </w:pPr>
                  <w:r>
                    <w:rPr>
                      <w:rFonts w:hint="default" w:ascii="Times New Roman" w:hAnsi="Times New Roman" w:cs="Times New Roman"/>
                      <w:b/>
                      <w:color w:val="auto"/>
                    </w:rPr>
                    <w:t>实施</w:t>
                  </w:r>
                </w:p>
                <w:p w14:paraId="2F756147">
                  <w:pPr>
                    <w:spacing w:line="300" w:lineRule="exact"/>
                    <w:jc w:val="center"/>
                    <w:rPr>
                      <w:rFonts w:hint="default" w:ascii="Times New Roman" w:hAnsi="Times New Roman" w:cs="Times New Roman"/>
                      <w:b/>
                      <w:color w:val="auto"/>
                    </w:rPr>
                  </w:pPr>
                  <w:r>
                    <w:rPr>
                      <w:rFonts w:hint="default" w:ascii="Times New Roman" w:hAnsi="Times New Roman" w:cs="Times New Roman"/>
                      <w:b/>
                      <w:color w:val="auto"/>
                    </w:rPr>
                    <w:t>机构</w:t>
                  </w:r>
                </w:p>
              </w:tc>
            </w:tr>
            <w:tr w14:paraId="24D2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08" w:type="dxa"/>
                  <w:noWrap w:val="0"/>
                  <w:vAlign w:val="center"/>
                </w:tcPr>
                <w:p w14:paraId="05A8AAE7">
                  <w:pPr>
                    <w:spacing w:line="300" w:lineRule="exact"/>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噪声</w:t>
                  </w:r>
                </w:p>
              </w:tc>
              <w:tc>
                <w:tcPr>
                  <w:tcW w:w="1063" w:type="dxa"/>
                  <w:noWrap w:val="0"/>
                  <w:vAlign w:val="center"/>
                </w:tcPr>
                <w:p w14:paraId="7799F076">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四周厂界外1m处</w:t>
                  </w:r>
                </w:p>
              </w:tc>
              <w:tc>
                <w:tcPr>
                  <w:tcW w:w="1325" w:type="dxa"/>
                  <w:noWrap w:val="0"/>
                  <w:vAlign w:val="center"/>
                </w:tcPr>
                <w:p w14:paraId="0CFE397C">
                  <w:pPr>
                    <w:spacing w:line="300" w:lineRule="exact"/>
                    <w:jc w:val="center"/>
                    <w:rPr>
                      <w:rFonts w:hint="default" w:ascii="Times New Roman" w:hAnsi="Times New Roman" w:cs="Times New Roman"/>
                      <w:color w:val="auto"/>
                    </w:rPr>
                  </w:pPr>
                  <w:r>
                    <w:rPr>
                      <w:rFonts w:hint="default" w:ascii="Times New Roman" w:hAnsi="Times New Roman" w:cs="Times New Roman"/>
                      <w:bCs/>
                      <w:color w:val="auto"/>
                      <w:sz w:val="21"/>
                      <w:szCs w:val="21"/>
                    </w:rPr>
                    <w:t>每季度1次/昼夜监测</w:t>
                  </w:r>
                  <w:r>
                    <w:rPr>
                      <w:rFonts w:hint="default" w:ascii="Times New Roman" w:hAnsi="Times New Roman" w:cs="Times New Roman"/>
                      <w:color w:val="auto"/>
                      <w:sz w:val="21"/>
                      <w:szCs w:val="21"/>
                    </w:rPr>
                    <w:t>次</w:t>
                  </w:r>
                </w:p>
              </w:tc>
              <w:tc>
                <w:tcPr>
                  <w:tcW w:w="1237" w:type="dxa"/>
                  <w:noWrap w:val="0"/>
                  <w:vAlign w:val="center"/>
                </w:tcPr>
                <w:p w14:paraId="0C3D88E5">
                  <w:pPr>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昼间、夜间</w:t>
                  </w:r>
                </w:p>
                <w:p w14:paraId="6A3DD706">
                  <w:pPr>
                    <w:spacing w:line="300" w:lineRule="exact"/>
                    <w:jc w:val="center"/>
                    <w:rPr>
                      <w:rFonts w:hint="default" w:ascii="Times New Roman" w:hAnsi="Times New Roman" w:cs="Times New Roman"/>
                      <w:color w:val="auto"/>
                    </w:rPr>
                  </w:pPr>
                  <w:r>
                    <w:rPr>
                      <w:rFonts w:hint="default" w:ascii="Times New Roman" w:hAnsi="Times New Roman" w:cs="Times New Roman"/>
                      <w:color w:val="auto"/>
                      <w:sz w:val="21"/>
                      <w:szCs w:val="22"/>
                    </w:rPr>
                    <w:t>等效连续 A声级</w:t>
                  </w:r>
                </w:p>
              </w:tc>
              <w:tc>
                <w:tcPr>
                  <w:tcW w:w="2974" w:type="dxa"/>
                  <w:noWrap w:val="0"/>
                  <w:vAlign w:val="center"/>
                </w:tcPr>
                <w:p w14:paraId="603D322E">
                  <w:pPr>
                    <w:spacing w:line="300" w:lineRule="exact"/>
                    <w:jc w:val="center"/>
                    <w:rPr>
                      <w:rFonts w:hint="default" w:ascii="Times New Roman" w:hAnsi="Times New Roman" w:cs="Times New Roman"/>
                      <w:color w:val="auto"/>
                    </w:rPr>
                  </w:pPr>
                  <w:r>
                    <w:rPr>
                      <w:rFonts w:hint="default" w:ascii="Times New Roman" w:hAnsi="Times New Roman" w:cs="Times New Roman"/>
                      <w:color w:val="auto"/>
                      <w:sz w:val="21"/>
                      <w:szCs w:val="22"/>
                    </w:rPr>
                    <w:t>《工业企业厂界环境噪声排放标准》（GB12348-2008）邻近</w:t>
                  </w:r>
                  <w:r>
                    <w:rPr>
                      <w:rFonts w:hint="default" w:ascii="Times New Roman" w:hAnsi="Times New Roman" w:eastAsia="宋体" w:cs="Times New Roman"/>
                      <w:color w:val="auto"/>
                      <w:szCs w:val="21"/>
                      <w:lang w:val="en-US" w:eastAsia="zh-CN"/>
                    </w:rPr>
                    <w:t>北侧规划道路</w:t>
                  </w:r>
                  <w:r>
                    <w:rPr>
                      <w:rFonts w:hint="default" w:ascii="Times New Roman" w:hAnsi="Times New Roman" w:cs="Times New Roman"/>
                      <w:color w:val="auto"/>
                      <w:szCs w:val="21"/>
                      <w:lang w:val="en-US" w:eastAsia="zh-CN"/>
                    </w:rPr>
                    <w:t>及</w:t>
                  </w:r>
                  <w:r>
                    <w:rPr>
                      <w:rFonts w:hint="default" w:ascii="Times New Roman" w:hAnsi="Times New Roman" w:eastAsia="宋体" w:cs="Times New Roman"/>
                      <w:color w:val="auto"/>
                      <w:szCs w:val="21"/>
                      <w:lang w:val="en-US" w:eastAsia="zh-CN"/>
                    </w:rPr>
                    <w:t>东侧道路</w:t>
                  </w:r>
                  <w:r>
                    <w:rPr>
                      <w:rFonts w:hint="default" w:ascii="Times New Roman" w:hAnsi="Times New Roman" w:cs="Times New Roman"/>
                      <w:b w:val="0"/>
                      <w:bCs/>
                      <w:color w:val="auto"/>
                    </w:rPr>
                    <w:t>执行</w:t>
                  </w:r>
                  <w:r>
                    <w:rPr>
                      <w:rFonts w:hint="default" w:ascii="Times New Roman" w:hAnsi="Times New Roman" w:cs="Times New Roman"/>
                      <w:color w:val="auto"/>
                      <w:sz w:val="21"/>
                      <w:szCs w:val="22"/>
                    </w:rPr>
                    <w:t>4类标准，其他区域</w:t>
                  </w:r>
                  <w:r>
                    <w:rPr>
                      <w:rFonts w:hint="default" w:ascii="Times New Roman" w:hAnsi="Times New Roman" w:cs="Times New Roman"/>
                      <w:b w:val="0"/>
                      <w:bCs/>
                      <w:color w:val="auto"/>
                    </w:rPr>
                    <w:t>执行</w:t>
                  </w:r>
                  <w:r>
                    <w:rPr>
                      <w:rFonts w:hint="eastAsia" w:cs="Times New Roman"/>
                      <w:color w:val="auto"/>
                      <w:sz w:val="21"/>
                      <w:szCs w:val="22"/>
                      <w:lang w:val="en-US" w:eastAsia="zh-CN"/>
                    </w:rPr>
                    <w:t>2</w:t>
                  </w:r>
                  <w:r>
                    <w:rPr>
                      <w:rFonts w:hint="default" w:ascii="Times New Roman" w:hAnsi="Times New Roman" w:cs="Times New Roman"/>
                      <w:color w:val="auto"/>
                      <w:sz w:val="21"/>
                      <w:szCs w:val="22"/>
                    </w:rPr>
                    <w:t>类标准</w:t>
                  </w:r>
                </w:p>
              </w:tc>
              <w:tc>
                <w:tcPr>
                  <w:tcW w:w="696" w:type="dxa"/>
                  <w:noWrap w:val="0"/>
                  <w:vAlign w:val="center"/>
                </w:tcPr>
                <w:p w14:paraId="27827900">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正常</w:t>
                  </w:r>
                  <w:r>
                    <w:rPr>
                      <w:rFonts w:hint="default" w:ascii="Times New Roman" w:hAnsi="Times New Roman" w:cs="Times New Roman"/>
                      <w:color w:val="auto"/>
                      <w:lang w:val="en-US" w:eastAsia="zh-CN"/>
                    </w:rPr>
                    <w:t>运营</w:t>
                  </w:r>
                  <w:r>
                    <w:rPr>
                      <w:rFonts w:hint="default" w:ascii="Times New Roman" w:hAnsi="Times New Roman" w:cs="Times New Roman"/>
                      <w:color w:val="auto"/>
                    </w:rPr>
                    <w:t>期间</w:t>
                  </w:r>
                </w:p>
              </w:tc>
              <w:tc>
                <w:tcPr>
                  <w:tcW w:w="818" w:type="dxa"/>
                  <w:noWrap w:val="0"/>
                  <w:vAlign w:val="center"/>
                </w:tcPr>
                <w:p w14:paraId="7F398371">
                  <w:pPr>
                    <w:spacing w:line="300" w:lineRule="exact"/>
                    <w:jc w:val="center"/>
                    <w:rPr>
                      <w:rFonts w:hint="default" w:ascii="Times New Roman" w:hAnsi="Times New Roman" w:cs="Times New Roman"/>
                      <w:color w:val="auto"/>
                    </w:rPr>
                  </w:pPr>
                  <w:r>
                    <w:rPr>
                      <w:rFonts w:hint="default" w:ascii="Times New Roman" w:hAnsi="Times New Roman" w:cs="Times New Roman"/>
                      <w:color w:val="auto"/>
                    </w:rPr>
                    <w:t>有资质的监测单位</w:t>
                  </w:r>
                </w:p>
              </w:tc>
            </w:tr>
          </w:tbl>
          <w:p w14:paraId="18D3EAE8">
            <w:pPr>
              <w:adjustRightInd w:val="0"/>
              <w:snapToGrid w:val="0"/>
              <w:spacing w:line="360" w:lineRule="auto"/>
              <w:ind w:firstLine="482" w:firstLineChars="200"/>
              <w:contextualSpacing/>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4、固废影响分析及保护措施</w:t>
            </w:r>
          </w:p>
          <w:p w14:paraId="6FD34D49">
            <w:pPr>
              <w:suppressLineNumbers/>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运营期间</w:t>
            </w:r>
            <w:r>
              <w:rPr>
                <w:rFonts w:hint="default" w:ascii="Times New Roman" w:hAnsi="Times New Roman" w:cs="Times New Roman"/>
                <w:color w:val="auto"/>
                <w:sz w:val="24"/>
                <w:szCs w:val="24"/>
              </w:rPr>
              <w:t>，固体废弃物主要为生活垃圾、</w:t>
            </w:r>
            <w:r>
              <w:rPr>
                <w:rFonts w:hint="default" w:ascii="Times New Roman" w:hAnsi="Times New Roman" w:cs="Times New Roman"/>
                <w:color w:val="auto"/>
                <w:sz w:val="24"/>
                <w:szCs w:val="24"/>
                <w:lang w:val="en-US" w:eastAsia="zh-CN"/>
              </w:rPr>
              <w:t>三级</w:t>
            </w:r>
            <w:r>
              <w:rPr>
                <w:rFonts w:hint="default" w:ascii="Times New Roman" w:hAnsi="Times New Roman" w:cs="Times New Roman"/>
                <w:color w:val="auto"/>
                <w:sz w:val="24"/>
                <w:szCs w:val="24"/>
              </w:rPr>
              <w:t>油水分离池废油、油渣、油泥、沾油消防沙和废弃的含油抹布、</w:t>
            </w:r>
            <w:r>
              <w:rPr>
                <w:rFonts w:hint="default" w:ascii="Times New Roman" w:hAnsi="Times New Roman" w:cs="Times New Roman"/>
                <w:bCs/>
                <w:color w:val="auto"/>
                <w:sz w:val="24"/>
                <w:szCs w:val="24"/>
              </w:rPr>
              <w:t>加油机中更换的滤网</w:t>
            </w:r>
            <w:r>
              <w:rPr>
                <w:rFonts w:hint="default" w:ascii="Times New Roman" w:hAnsi="Times New Roman" w:cs="Times New Roman"/>
                <w:color w:val="auto"/>
                <w:sz w:val="24"/>
                <w:szCs w:val="24"/>
              </w:rPr>
              <w:t>。</w:t>
            </w:r>
          </w:p>
          <w:p w14:paraId="5C62730A">
            <w:pPr>
              <w:suppressLineNumbers/>
              <w:spacing w:line="360" w:lineRule="auto"/>
              <w:ind w:firstLine="48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（1）一般固废影响分析</w:t>
            </w:r>
          </w:p>
          <w:p w14:paraId="57167D88">
            <w:pPr>
              <w:suppressLineNumbers/>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①生活垃圾</w:t>
            </w:r>
          </w:p>
          <w:p w14:paraId="3EC904CD">
            <w:pPr>
              <w:suppressLineNumber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本项目运营期定员</w:t>
            </w: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rPr>
              <w:t>人，三班倒，每年工作365天，均在站内用餐。工作人员产生的生活垃圾产生量按0.5kg/d计算，则生活垃圾产生量为</w:t>
            </w:r>
            <w:r>
              <w:rPr>
                <w:rFonts w:hint="default" w:ascii="Times New Roman" w:hAnsi="Times New Roman" w:cs="Times New Roman"/>
                <w:color w:val="auto"/>
                <w:sz w:val="24"/>
                <w:szCs w:val="22"/>
                <w:lang w:val="en-US" w:eastAsia="zh-CN"/>
              </w:rPr>
              <w:t>1.5</w:t>
            </w:r>
            <w:r>
              <w:rPr>
                <w:rFonts w:hint="default" w:ascii="Times New Roman" w:hAnsi="Times New Roman" w:cs="Times New Roman"/>
                <w:color w:val="auto"/>
                <w:sz w:val="24"/>
                <w:szCs w:val="22"/>
              </w:rPr>
              <w:t>kg/d，</w:t>
            </w:r>
            <w:r>
              <w:rPr>
                <w:rFonts w:hint="default" w:ascii="Times New Roman" w:hAnsi="Times New Roman" w:cs="Times New Roman"/>
                <w:color w:val="auto"/>
                <w:sz w:val="24"/>
                <w:szCs w:val="22"/>
                <w:lang w:val="en-US" w:eastAsia="zh-CN"/>
              </w:rPr>
              <w:t>0.5475</w:t>
            </w:r>
            <w:r>
              <w:rPr>
                <w:rFonts w:hint="default" w:ascii="Times New Roman" w:hAnsi="Times New Roman" w:cs="Times New Roman"/>
                <w:color w:val="auto"/>
                <w:sz w:val="24"/>
                <w:szCs w:val="22"/>
              </w:rPr>
              <w:t xml:space="preserve">t/a；      </w:t>
            </w:r>
          </w:p>
          <w:p w14:paraId="7D6B1D2C">
            <w:pPr>
              <w:suppressLineNumber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项目建成后车流量约为</w:t>
            </w:r>
            <w:r>
              <w:rPr>
                <w:rFonts w:hint="default" w:ascii="Times New Roman" w:hAnsi="Times New Roman" w:cs="Times New Roman"/>
                <w:color w:val="auto"/>
                <w:sz w:val="24"/>
                <w:szCs w:val="22"/>
                <w:lang w:val="en-US" w:eastAsia="zh-CN"/>
              </w:rPr>
              <w:t>80</w:t>
            </w:r>
            <w:r>
              <w:rPr>
                <w:rFonts w:hint="default" w:ascii="Times New Roman" w:hAnsi="Times New Roman" w:cs="Times New Roman"/>
                <w:color w:val="auto"/>
                <w:sz w:val="24"/>
                <w:szCs w:val="22"/>
              </w:rPr>
              <w:t>辆/d，外来人员中有一部分会产生生活垃圾。平均每辆车乘车人数按</w:t>
            </w: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rPr>
              <w:t>人核算，总人数的50%会产生垃圾，则产生垃圾的人数约</w:t>
            </w:r>
            <w:r>
              <w:rPr>
                <w:rFonts w:hint="default" w:ascii="Times New Roman" w:hAnsi="Times New Roman" w:cs="Times New Roman"/>
                <w:color w:val="auto"/>
                <w:sz w:val="24"/>
                <w:szCs w:val="22"/>
                <w:lang w:val="en-US" w:eastAsia="zh-CN"/>
              </w:rPr>
              <w:t>160</w:t>
            </w:r>
            <w:r>
              <w:rPr>
                <w:rFonts w:hint="default" w:ascii="Times New Roman" w:hAnsi="Times New Roman" w:cs="Times New Roman"/>
                <w:color w:val="auto"/>
                <w:sz w:val="24"/>
                <w:szCs w:val="22"/>
              </w:rPr>
              <w:t>人次/d。垃圾产生量按0.1kg/d计，则外来人员生活垃圾产生量为</w:t>
            </w:r>
            <w:r>
              <w:rPr>
                <w:rFonts w:hint="default" w:ascii="Times New Roman" w:hAnsi="Times New Roman" w:cs="Times New Roman"/>
                <w:color w:val="auto"/>
                <w:sz w:val="24"/>
                <w:szCs w:val="22"/>
                <w:lang w:val="en-US" w:eastAsia="zh-CN"/>
              </w:rPr>
              <w:t>16</w:t>
            </w:r>
            <w:r>
              <w:rPr>
                <w:rFonts w:hint="default" w:ascii="Times New Roman" w:hAnsi="Times New Roman" w:cs="Times New Roman"/>
                <w:color w:val="auto"/>
                <w:sz w:val="24"/>
                <w:szCs w:val="22"/>
              </w:rPr>
              <w:t>kg/d，</w:t>
            </w:r>
            <w:r>
              <w:rPr>
                <w:rFonts w:hint="default" w:ascii="Times New Roman" w:hAnsi="Times New Roman" w:cs="Times New Roman"/>
                <w:color w:val="auto"/>
                <w:sz w:val="24"/>
                <w:szCs w:val="22"/>
                <w:lang w:val="en-US" w:eastAsia="zh-CN"/>
              </w:rPr>
              <w:t>5.84</w:t>
            </w:r>
            <w:r>
              <w:rPr>
                <w:rFonts w:hint="default" w:ascii="Times New Roman" w:hAnsi="Times New Roman" w:cs="Times New Roman"/>
                <w:color w:val="auto"/>
                <w:sz w:val="24"/>
                <w:szCs w:val="22"/>
              </w:rPr>
              <w:t>t/a；</w:t>
            </w:r>
          </w:p>
          <w:p w14:paraId="79826259">
            <w:pPr>
              <w:suppressLineNumbers/>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综上，本项目运营期生活垃圾产生量约为</w:t>
            </w:r>
            <w:r>
              <w:rPr>
                <w:rFonts w:hint="default" w:ascii="Times New Roman" w:hAnsi="Times New Roman" w:cs="Times New Roman"/>
                <w:color w:val="auto"/>
                <w:sz w:val="24"/>
                <w:szCs w:val="22"/>
                <w:lang w:val="en-US" w:eastAsia="zh-CN"/>
              </w:rPr>
              <w:t>17.5</w:t>
            </w:r>
            <w:r>
              <w:rPr>
                <w:rFonts w:hint="default" w:ascii="Times New Roman" w:hAnsi="Times New Roman" w:cs="Times New Roman"/>
                <w:color w:val="auto"/>
                <w:sz w:val="24"/>
                <w:szCs w:val="22"/>
              </w:rPr>
              <w:t>kg/d，</w:t>
            </w:r>
            <w:r>
              <w:rPr>
                <w:rFonts w:hint="default" w:ascii="Times New Roman" w:hAnsi="Times New Roman" w:cs="Times New Roman"/>
                <w:color w:val="auto"/>
                <w:sz w:val="24"/>
                <w:szCs w:val="22"/>
                <w:lang w:val="en-US" w:eastAsia="zh-CN"/>
              </w:rPr>
              <w:t>6.3875</w:t>
            </w:r>
            <w:r>
              <w:rPr>
                <w:rFonts w:hint="default" w:ascii="Times New Roman" w:hAnsi="Times New Roman" w:cs="Times New Roman"/>
                <w:color w:val="auto"/>
                <w:sz w:val="24"/>
                <w:szCs w:val="22"/>
              </w:rPr>
              <w:t>t/a。垃圾主要成分是废纸、果皮、废塑料瓶等。在加油站设置垃圾桶统一收集后委托</w:t>
            </w:r>
            <w:r>
              <w:rPr>
                <w:rFonts w:hint="eastAsia" w:cs="Times New Roman"/>
                <w:color w:val="auto"/>
                <w:sz w:val="24"/>
                <w:szCs w:val="22"/>
                <w:lang w:val="en-US" w:eastAsia="zh-CN"/>
              </w:rPr>
              <w:t>环卫部门</w:t>
            </w:r>
            <w:r>
              <w:rPr>
                <w:rFonts w:hint="default" w:ascii="Times New Roman" w:hAnsi="Times New Roman" w:cs="Times New Roman"/>
                <w:color w:val="auto"/>
                <w:sz w:val="24"/>
                <w:szCs w:val="22"/>
              </w:rPr>
              <w:t>进行处理。</w:t>
            </w:r>
          </w:p>
          <w:p w14:paraId="639F440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②食堂隔油池废油 </w:t>
            </w:r>
          </w:p>
          <w:p w14:paraId="27B8B0C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项目食堂配套隔油池会产生一定废油，产生的废油产生量约为0.005t/a，产生的废油清掏后交由具有相应处理资质的单位处置。</w:t>
            </w:r>
          </w:p>
          <w:p w14:paraId="75406D84">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lang w:val="en-US" w:eastAsia="zh-CN"/>
              </w:rPr>
              <w:t>污泥</w:t>
            </w:r>
          </w:p>
          <w:p w14:paraId="66789664">
            <w:pPr>
              <w:widowControl/>
              <w:spacing w:line="360" w:lineRule="auto"/>
              <w:ind w:right="0"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rPr>
              <w:t>进行处理过程中将产生少量污泥</w:t>
            </w:r>
            <w:r>
              <w:rPr>
                <w:rFonts w:hint="default" w:ascii="Times New Roman" w:hAnsi="Times New Roman" w:eastAsia="宋体" w:cs="Times New Roman"/>
                <w:color w:val="auto"/>
                <w:sz w:val="24"/>
                <w:szCs w:val="24"/>
                <w:lang w:eastAsia="zh-CN"/>
              </w:rPr>
              <w:t>。污泥主要来源于SS和BOD</w:t>
            </w:r>
            <w:r>
              <w:rPr>
                <w:rFonts w:hint="default" w:ascii="Times New Roman" w:hAnsi="Times New Roman" w:eastAsia="宋体" w:cs="Times New Roman"/>
                <w:color w:val="auto"/>
                <w:sz w:val="24"/>
                <w:szCs w:val="24"/>
                <w:vertAlign w:val="subscript"/>
                <w:lang w:eastAsia="zh-CN"/>
              </w:rPr>
              <w:t>5</w:t>
            </w:r>
            <w:r>
              <w:rPr>
                <w:rFonts w:hint="default" w:ascii="Times New Roman" w:hAnsi="Times New Roman" w:eastAsia="宋体" w:cs="Times New Roman"/>
                <w:color w:val="auto"/>
                <w:sz w:val="24"/>
                <w:szCs w:val="24"/>
                <w:lang w:eastAsia="zh-CN"/>
              </w:rPr>
              <w:t>的去除。项目SS消减量为</w:t>
            </w:r>
            <w:r>
              <w:rPr>
                <w:rFonts w:hint="eastAsia" w:cs="Times New Roman"/>
                <w:color w:val="auto"/>
                <w:sz w:val="24"/>
                <w:szCs w:val="24"/>
                <w:lang w:val="en-US" w:eastAsia="zh-CN"/>
              </w:rPr>
              <w:t>0.022</w:t>
            </w:r>
            <w:r>
              <w:rPr>
                <w:rFonts w:hint="default" w:ascii="Times New Roman" w:hAnsi="Times New Roman" w:eastAsia="宋体" w:cs="Times New Roman"/>
                <w:color w:val="auto"/>
                <w:sz w:val="24"/>
                <w:szCs w:val="24"/>
                <w:lang w:eastAsia="zh-CN"/>
              </w:rPr>
              <w:t>t/a，BOD</w:t>
            </w:r>
            <w:r>
              <w:rPr>
                <w:rFonts w:hint="default" w:ascii="Times New Roman" w:hAnsi="Times New Roman" w:eastAsia="宋体" w:cs="Times New Roman"/>
                <w:color w:val="auto"/>
                <w:sz w:val="24"/>
                <w:szCs w:val="24"/>
                <w:vertAlign w:val="subscript"/>
                <w:lang w:eastAsia="zh-CN"/>
              </w:rPr>
              <w:t>5</w:t>
            </w:r>
            <w:r>
              <w:rPr>
                <w:rFonts w:hint="default" w:ascii="Times New Roman" w:hAnsi="Times New Roman" w:eastAsia="宋体" w:cs="Times New Roman"/>
                <w:color w:val="auto"/>
                <w:sz w:val="24"/>
                <w:szCs w:val="24"/>
                <w:lang w:eastAsia="zh-CN"/>
              </w:rPr>
              <w:t>消减量为</w:t>
            </w:r>
            <w:r>
              <w:rPr>
                <w:rFonts w:hint="eastAsia" w:cs="Times New Roman"/>
                <w:color w:val="auto"/>
                <w:sz w:val="24"/>
                <w:szCs w:val="24"/>
                <w:lang w:val="en-US" w:eastAsia="zh-CN"/>
              </w:rPr>
              <w:t>0.014</w:t>
            </w:r>
            <w:r>
              <w:rPr>
                <w:rFonts w:hint="default" w:ascii="Times New Roman" w:hAnsi="Times New Roman" w:eastAsia="宋体" w:cs="Times New Roman"/>
                <w:color w:val="auto"/>
                <w:sz w:val="24"/>
                <w:szCs w:val="24"/>
                <w:lang w:eastAsia="zh-CN"/>
              </w:rPr>
              <w:t>t/a，以每去除1kgBOD</w:t>
            </w:r>
            <w:r>
              <w:rPr>
                <w:rFonts w:hint="default" w:ascii="Times New Roman" w:hAnsi="Times New Roman" w:eastAsia="宋体" w:cs="Times New Roman"/>
                <w:color w:val="auto"/>
                <w:sz w:val="24"/>
                <w:szCs w:val="24"/>
                <w:vertAlign w:val="subscript"/>
                <w:lang w:eastAsia="zh-CN"/>
              </w:rPr>
              <w:t>5</w:t>
            </w:r>
            <w:r>
              <w:rPr>
                <w:rFonts w:hint="default" w:ascii="Times New Roman" w:hAnsi="Times New Roman" w:eastAsia="宋体" w:cs="Times New Roman"/>
                <w:color w:val="auto"/>
                <w:sz w:val="24"/>
                <w:szCs w:val="24"/>
                <w:lang w:eastAsia="zh-CN"/>
              </w:rPr>
              <w:t>产生污泥0.8kg计（</w:t>
            </w:r>
            <w:r>
              <w:rPr>
                <w:rFonts w:hint="eastAsia" w:cs="Times New Roman"/>
                <w:color w:val="auto"/>
                <w:sz w:val="24"/>
                <w:szCs w:val="24"/>
                <w:lang w:eastAsia="zh-CN"/>
              </w:rPr>
              <w:t>即</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污泥产生总量为0.0332</w:t>
            </w:r>
            <w:r>
              <w:rPr>
                <w:rFonts w:hint="default" w:ascii="Times New Roman" w:hAnsi="Times New Roman" w:eastAsia="宋体" w:cs="Times New Roman"/>
                <w:color w:val="auto"/>
                <w:sz w:val="24"/>
                <w:szCs w:val="24"/>
                <w:lang w:eastAsia="zh-CN"/>
              </w:rPr>
              <w:t>/a</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委托寻甸绿运垃圾清运有限公司定期清运</w:t>
            </w:r>
            <w:r>
              <w:rPr>
                <w:rFonts w:hint="default" w:ascii="Times New Roman" w:hAnsi="Times New Roman" w:cs="Times New Roman"/>
                <w:color w:val="auto"/>
                <w:kern w:val="0"/>
                <w:sz w:val="24"/>
              </w:rPr>
              <w:t>处置。</w:t>
            </w:r>
          </w:p>
          <w:p w14:paraId="78A40675">
            <w:pPr>
              <w:suppressLineNumbers/>
              <w:spacing w:line="360" w:lineRule="auto"/>
              <w:ind w:firstLine="48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（2）危险废物影响分析</w:t>
            </w:r>
          </w:p>
          <w:p w14:paraId="747C98A7">
            <w:pPr>
              <w:widowControl/>
              <w:spacing w:line="360" w:lineRule="auto"/>
              <w:ind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①</w:t>
            </w:r>
            <w:r>
              <w:rPr>
                <w:rFonts w:hint="default" w:ascii="Times New Roman" w:hAnsi="Times New Roman" w:eastAsia="宋体" w:cs="Times New Roman"/>
                <w:color w:val="auto"/>
                <w:sz w:val="24"/>
                <w:szCs w:val="24"/>
                <w:lang w:val="en-US" w:eastAsia="zh-CN"/>
              </w:rPr>
              <w:t>三级油水分离池废油</w:t>
            </w:r>
          </w:p>
          <w:p w14:paraId="24648EC3">
            <w:pPr>
              <w:widowControl/>
              <w:spacing w:line="360" w:lineRule="auto"/>
              <w:ind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类比加油站同类项目，三级油水分离池废油产生量约为0.005t/a，其危险废物类别编号为HW08，代码为900-210-08，危险特性T，I。油泥应用收集桶集中收集后，暂存于</w:t>
            </w:r>
            <w:r>
              <w:rPr>
                <w:rFonts w:hint="eastAsia" w:cs="Times New Roman"/>
                <w:color w:val="auto"/>
                <w:sz w:val="24"/>
                <w:szCs w:val="24"/>
                <w:lang w:val="en-US" w:eastAsia="zh-CN"/>
              </w:rPr>
              <w:t>危废暂存点</w:t>
            </w:r>
            <w:r>
              <w:rPr>
                <w:rFonts w:hint="default" w:ascii="Times New Roman" w:hAnsi="Times New Roman" w:eastAsia="宋体" w:cs="Times New Roman"/>
                <w:color w:val="auto"/>
                <w:sz w:val="24"/>
                <w:szCs w:val="24"/>
                <w:lang w:val="en-US" w:eastAsia="zh-CN"/>
              </w:rPr>
              <w:t>，委托有资质的单位及时清运，合理处置，并与其签订处置协议。</w:t>
            </w:r>
          </w:p>
          <w:p w14:paraId="6786A700">
            <w:pPr>
              <w:widowControl/>
              <w:spacing w:line="360" w:lineRule="auto"/>
              <w:ind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②废消防砂</w:t>
            </w:r>
          </w:p>
          <w:p w14:paraId="514BB381">
            <w:pPr>
              <w:widowControl/>
              <w:spacing w:line="360" w:lineRule="auto"/>
              <w:ind w:right="0" w:firstLine="480"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项目对滴漏有汽油、柴油的地面采用消防砂对其进行清理。建设方严格要求员工规范操作，避免加油、卸油时汽油、柴油滴</w:t>
            </w:r>
            <w:r>
              <w:rPr>
                <w:rFonts w:hint="default" w:ascii="Times New Roman" w:hAnsi="Times New Roman" w:cs="Times New Roman"/>
                <w:color w:val="auto"/>
                <w:sz w:val="24"/>
                <w:szCs w:val="24"/>
              </w:rPr>
              <w:t xml:space="preserve">、漏现象的发生，仅在操作不规范的情况下有少量的油污滴漏，因此项目使用消防砂清理的频率很少。 </w:t>
            </w:r>
          </w:p>
          <w:p w14:paraId="70E1CC68">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类比</w:t>
            </w:r>
            <w:r>
              <w:rPr>
                <w:rFonts w:hint="default" w:ascii="Times New Roman" w:hAnsi="Times New Roman" w:cs="Times New Roman"/>
                <w:color w:val="auto"/>
                <w:sz w:val="24"/>
                <w:szCs w:val="24"/>
                <w:lang w:val="en-US" w:eastAsia="zh-CN"/>
              </w:rPr>
              <w:t>中石化旗下加油站</w:t>
            </w:r>
            <w:r>
              <w:rPr>
                <w:rFonts w:hint="default" w:ascii="Times New Roman" w:hAnsi="Times New Roman" w:cs="Times New Roman"/>
                <w:color w:val="auto"/>
                <w:sz w:val="24"/>
                <w:szCs w:val="24"/>
              </w:rPr>
              <w:t>，每年用于清理产生的废消防砂量约0.3t。</w:t>
            </w:r>
            <w:r>
              <w:rPr>
                <w:rFonts w:hint="default" w:ascii="Times New Roman" w:hAnsi="Times New Roman" w:eastAsia="宋体" w:cs="Times New Roman"/>
                <w:color w:val="auto"/>
                <w:sz w:val="24"/>
                <w:szCs w:val="24"/>
              </w:rPr>
              <w:t>根据《国家危险废物名录》（2021）中，含油废沙属于危险废物，其危险废物类别编号为HW08，危废代码为900-041-49，危险特性T，I。项目运行过程中产生的含油废沙应集中收集后，暂存于</w:t>
            </w:r>
            <w:r>
              <w:rPr>
                <w:rFonts w:hint="eastAsia" w:cs="Times New Roman"/>
                <w:color w:val="auto"/>
                <w:sz w:val="24"/>
                <w:szCs w:val="24"/>
                <w:lang w:eastAsia="zh-CN"/>
              </w:rPr>
              <w:t>危废暂存点</w:t>
            </w:r>
            <w:r>
              <w:rPr>
                <w:rFonts w:hint="default" w:ascii="Times New Roman" w:hAnsi="Times New Roman" w:eastAsia="宋体" w:cs="Times New Roman"/>
                <w:color w:val="auto"/>
                <w:sz w:val="24"/>
                <w:szCs w:val="24"/>
              </w:rPr>
              <w:t>，并委托有资质的单位及时清运，合理处置，并与其签订处置协议</w:t>
            </w:r>
            <w:r>
              <w:rPr>
                <w:rFonts w:hint="default" w:ascii="Times New Roman" w:hAnsi="Times New Roman" w:eastAsia="宋体" w:cs="Times New Roman"/>
                <w:color w:val="auto"/>
                <w:sz w:val="24"/>
                <w:szCs w:val="24"/>
                <w:lang w:eastAsia="zh-CN"/>
              </w:rPr>
              <w:t>。</w:t>
            </w:r>
          </w:p>
          <w:p w14:paraId="7BDFFEE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③油罐清洗产生的油罐残渣及废滤网</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清洗废液</w:t>
            </w:r>
            <w:r>
              <w:rPr>
                <w:rFonts w:hint="default" w:ascii="Times New Roman" w:hAnsi="Times New Roman" w:cs="Times New Roman"/>
                <w:color w:val="auto"/>
                <w:sz w:val="24"/>
                <w:szCs w:val="24"/>
              </w:rPr>
              <w:t xml:space="preserve"> </w:t>
            </w:r>
          </w:p>
          <w:p w14:paraId="1886479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根据建设单位提供的资料，项目油罐每3到5年检修清洗一次，罐底油泥产生量为 50kg/个油罐，项目共设置</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个油罐，每次清理产生油泥</w:t>
            </w:r>
            <w:r>
              <w:rPr>
                <w:rFonts w:hint="default" w:ascii="Times New Roman" w:hAnsi="Times New Roman" w:cs="Times New Roman"/>
                <w:color w:val="auto"/>
                <w:sz w:val="24"/>
                <w:szCs w:val="24"/>
                <w:lang w:val="en-US" w:eastAsia="zh-CN"/>
              </w:rPr>
              <w:t>15</w:t>
            </w:r>
            <w:r>
              <w:rPr>
                <w:rFonts w:hint="default" w:ascii="Times New Roman" w:hAnsi="Times New Roman" w:eastAsia="宋体" w:cs="Times New Roman"/>
                <w:color w:val="auto"/>
                <w:sz w:val="24"/>
                <w:szCs w:val="24"/>
              </w:rPr>
              <w:t>0</w:t>
            </w:r>
            <w:r>
              <w:rPr>
                <w:rFonts w:hint="default" w:ascii="Times New Roman" w:hAnsi="Times New Roman" w:eastAsia="宋体" w:cs="Times New Roman"/>
                <w:color w:val="auto"/>
                <w:sz w:val="24"/>
                <w:szCs w:val="24"/>
                <w:lang w:val="en-US" w:eastAsia="zh-CN"/>
              </w:rPr>
              <w:t>kg，</w:t>
            </w:r>
            <w:r>
              <w:rPr>
                <w:rFonts w:hint="default" w:ascii="Times New Roman" w:hAnsi="Times New Roman" w:eastAsia="宋体" w:cs="Times New Roman"/>
                <w:color w:val="auto"/>
                <w:sz w:val="24"/>
                <w:szCs w:val="24"/>
              </w:rPr>
              <w:t>清洗废液0.0</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t/a。</w:t>
            </w:r>
          </w:p>
          <w:p w14:paraId="6DD26F96">
            <w:pPr>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4"/>
              </w:rPr>
              <w:t>根据《国家危险废物名录》（2021版），油罐清洗产生的油罐残渣、废液、废滤网危废类别为HW08，油罐残渣、废液废物代码：</w:t>
            </w:r>
            <w:r>
              <w:rPr>
                <w:rFonts w:hint="eastAsia" w:cs="Times New Roman"/>
                <w:color w:val="auto"/>
                <w:sz w:val="24"/>
                <w:szCs w:val="24"/>
                <w:lang w:val="en-US" w:eastAsia="zh-CN"/>
              </w:rPr>
              <w:t>900-221-08</w:t>
            </w:r>
            <w:r>
              <w:rPr>
                <w:rFonts w:hint="default" w:ascii="Times New Roman" w:hAnsi="Times New Roman" w:eastAsia="宋体" w:cs="Times New Roman"/>
                <w:color w:val="auto"/>
                <w:sz w:val="24"/>
                <w:szCs w:val="24"/>
              </w:rPr>
              <w:t>，废滤网废物代码：900-041-49。该项目储油罐外委有资质的单位进行清洗，清洗产生的油罐残渣及废液由清洗单位收集运走，交由有资质的单位处置，不在项目区暂存。更换的滤网产生量约为0.01t/a，按照危废进行管理，及时收集到项目区</w:t>
            </w:r>
            <w:r>
              <w:rPr>
                <w:rFonts w:hint="eastAsia" w:cs="Times New Roman"/>
                <w:color w:val="auto"/>
                <w:sz w:val="24"/>
                <w:szCs w:val="24"/>
                <w:lang w:eastAsia="zh-CN"/>
              </w:rPr>
              <w:t>危废暂存点</w:t>
            </w:r>
            <w:r>
              <w:rPr>
                <w:rFonts w:hint="default" w:ascii="Times New Roman" w:hAnsi="Times New Roman" w:eastAsia="宋体" w:cs="Times New Roman"/>
                <w:color w:val="auto"/>
                <w:sz w:val="24"/>
                <w:szCs w:val="24"/>
              </w:rPr>
              <w:t>中，并设有规范标识，委托有资质的单位处置</w:t>
            </w:r>
            <w:r>
              <w:rPr>
                <w:rFonts w:hint="default" w:ascii="Times New Roman" w:hAnsi="Times New Roman" w:eastAsia="宋体" w:cs="Times New Roman"/>
                <w:color w:val="auto"/>
                <w:sz w:val="24"/>
                <w:szCs w:val="24"/>
                <w:lang w:eastAsia="zh-CN"/>
              </w:rPr>
              <w:t>。</w:t>
            </w:r>
          </w:p>
          <w:p w14:paraId="08B1C68E">
            <w:pPr>
              <w:spacing w:line="348"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④</w:t>
            </w:r>
            <w:r>
              <w:rPr>
                <w:rFonts w:hint="default" w:ascii="Times New Roman" w:hAnsi="Times New Roman" w:cs="Times New Roman"/>
                <w:color w:val="auto"/>
                <w:sz w:val="24"/>
                <w:szCs w:val="24"/>
              </w:rPr>
              <w:t>清洗过程产生的废抹布、废手套</w:t>
            </w:r>
          </w:p>
          <w:p w14:paraId="282517A0">
            <w:pPr>
              <w:pStyle w:val="11"/>
              <w:spacing w:after="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清洗</w:t>
            </w:r>
            <w:r>
              <w:rPr>
                <w:rFonts w:hint="default" w:ascii="Times New Roman" w:hAnsi="Times New Roman" w:eastAsia="宋体" w:cs="Times New Roman"/>
                <w:color w:val="auto"/>
                <w:sz w:val="24"/>
                <w:szCs w:val="24"/>
              </w:rPr>
              <w:t>过程产生的废抹布、废手套这部分固废预计产生量约为</w:t>
            </w:r>
            <w:r>
              <w:rPr>
                <w:rFonts w:hint="default" w:ascii="Times New Roman" w:hAnsi="Times New Roman" w:cs="Times New Roman"/>
                <w:color w:val="auto"/>
                <w:sz w:val="24"/>
              </w:rPr>
              <w:t>0.05t/a</w:t>
            </w:r>
            <w:r>
              <w:rPr>
                <w:rFonts w:hint="default" w:ascii="Times New Roman" w:hAnsi="Times New Roman" w:eastAsia="宋体" w:cs="Times New Roman"/>
                <w:color w:val="auto"/>
                <w:sz w:val="24"/>
                <w:szCs w:val="24"/>
              </w:rPr>
              <w:t>。根据《国家危险废物名录》（2021版），使用的含油抹布、手套及工作服等危废类别为HW08，废物代码：900-041-49。按照危废进行管理，收集到项目区</w:t>
            </w:r>
            <w:r>
              <w:rPr>
                <w:rFonts w:hint="eastAsia" w:cs="Times New Roman"/>
                <w:color w:val="auto"/>
                <w:sz w:val="24"/>
                <w:szCs w:val="24"/>
                <w:lang w:eastAsia="zh-CN"/>
              </w:rPr>
              <w:t>危废暂存点</w:t>
            </w:r>
            <w:r>
              <w:rPr>
                <w:rFonts w:hint="default" w:ascii="Times New Roman" w:hAnsi="Times New Roman" w:eastAsia="宋体" w:cs="Times New Roman"/>
                <w:color w:val="auto"/>
                <w:sz w:val="24"/>
                <w:szCs w:val="24"/>
              </w:rPr>
              <w:t>中，委托有资质的单位处置。</w:t>
            </w:r>
          </w:p>
          <w:p w14:paraId="3C410382">
            <w:pPr>
              <w:pStyle w:val="11"/>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项目</w:t>
            </w:r>
            <w:r>
              <w:rPr>
                <w:rFonts w:hint="default" w:ascii="Times New Roman" w:hAnsi="Times New Roman" w:cs="Times New Roman"/>
                <w:color w:val="auto"/>
                <w:sz w:val="24"/>
                <w:szCs w:val="24"/>
              </w:rPr>
              <w:t>内设置专门的危险废物收集装置及</w:t>
            </w:r>
            <w:r>
              <w:rPr>
                <w:rFonts w:hint="eastAsia" w:cs="Times New Roman"/>
                <w:color w:val="auto"/>
                <w:sz w:val="24"/>
                <w:szCs w:val="24"/>
                <w:lang w:eastAsia="zh-CN"/>
              </w:rPr>
              <w:t>危废暂存点</w:t>
            </w:r>
            <w:r>
              <w:rPr>
                <w:rFonts w:hint="default" w:ascii="Times New Roman" w:hAnsi="Times New Roman" w:cs="Times New Roman"/>
                <w:color w:val="auto"/>
                <w:sz w:val="24"/>
                <w:szCs w:val="24"/>
              </w:rPr>
              <w:t>，本项目建议建设单位将</w:t>
            </w:r>
            <w:r>
              <w:rPr>
                <w:rFonts w:hint="eastAsia" w:cs="Times New Roman"/>
                <w:color w:val="auto"/>
                <w:sz w:val="24"/>
                <w:szCs w:val="24"/>
                <w:lang w:eastAsia="zh-CN"/>
              </w:rPr>
              <w:t>危废暂存点</w:t>
            </w:r>
            <w:r>
              <w:rPr>
                <w:rFonts w:hint="default" w:ascii="Times New Roman" w:hAnsi="Times New Roman" w:cs="Times New Roman"/>
                <w:color w:val="auto"/>
                <w:sz w:val="24"/>
                <w:szCs w:val="24"/>
              </w:rPr>
              <w:t>设置于</w:t>
            </w:r>
            <w:r>
              <w:rPr>
                <w:rFonts w:hint="default" w:ascii="Times New Roman" w:hAnsi="Times New Roman" w:cs="Times New Roman"/>
                <w:color w:val="auto"/>
                <w:sz w:val="24"/>
                <w:szCs w:val="24"/>
                <w:lang w:val="en-US" w:eastAsia="zh-CN"/>
              </w:rPr>
              <w:t>卸油区旁</w:t>
            </w:r>
            <w:r>
              <w:rPr>
                <w:rFonts w:hint="default" w:ascii="Times New Roman" w:hAnsi="Times New Roman" w:eastAsia="宋体" w:cs="Times New Roman"/>
                <w:color w:val="auto"/>
                <w:sz w:val="24"/>
                <w:szCs w:val="24"/>
              </w:rPr>
              <w:t>，并设立台账，对危险废物的名称、来源、数量、特性和包装容器的类别、入库日期、存放库位、废物出库日期及接受单位名称等进行记录。另外，项目应该按照规范设置危废</w:t>
            </w:r>
            <w:r>
              <w:rPr>
                <w:rFonts w:hint="default" w:ascii="Times New Roman" w:hAnsi="Times New Roman" w:cs="Times New Roman"/>
                <w:color w:val="auto"/>
                <w:sz w:val="24"/>
                <w:szCs w:val="24"/>
              </w:rPr>
              <w:t>标志牌。</w:t>
            </w:r>
          </w:p>
          <w:p w14:paraId="32ADE5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综上，本项目运营期间固体废物产生及处置情况如下表所示。</w:t>
            </w:r>
          </w:p>
          <w:p w14:paraId="10D430AF">
            <w:pPr>
              <w:adjustRightInd w:val="0"/>
              <w:snapToGrid w:val="0"/>
              <w:spacing w:line="240" w:lineRule="auto"/>
              <w:jc w:val="center"/>
              <w:rPr>
                <w:rFonts w:hint="default" w:ascii="Times New Roman" w:hAnsi="Times New Roman" w:eastAsia="宋体" w:cs="Times New Roman"/>
                <w:b/>
                <w:color w:val="auto"/>
                <w:kern w:val="24"/>
                <w:szCs w:val="21"/>
              </w:rPr>
            </w:pPr>
            <w:r>
              <w:rPr>
                <w:rFonts w:hint="default" w:ascii="Times New Roman" w:hAnsi="Times New Roman" w:eastAsia="宋体" w:cs="Times New Roman"/>
                <w:b/>
                <w:color w:val="auto"/>
                <w:kern w:val="24"/>
                <w:szCs w:val="21"/>
              </w:rPr>
              <w:t>表4-</w:t>
            </w:r>
            <w:r>
              <w:rPr>
                <w:rFonts w:hint="default" w:ascii="Times New Roman" w:hAnsi="Times New Roman" w:eastAsia="宋体" w:cs="Times New Roman"/>
                <w:b/>
                <w:color w:val="auto"/>
                <w:kern w:val="24"/>
                <w:szCs w:val="21"/>
                <w:lang w:val="en-US" w:eastAsia="zh-CN"/>
              </w:rPr>
              <w:t>1</w:t>
            </w:r>
            <w:r>
              <w:rPr>
                <w:rFonts w:hint="eastAsia" w:cs="Times New Roman"/>
                <w:b/>
                <w:color w:val="auto"/>
                <w:kern w:val="24"/>
                <w:szCs w:val="21"/>
                <w:lang w:val="en-US" w:eastAsia="zh-CN"/>
              </w:rPr>
              <w:t>4</w:t>
            </w:r>
            <w:r>
              <w:rPr>
                <w:rFonts w:hint="default" w:ascii="Times New Roman" w:hAnsi="Times New Roman" w:eastAsia="宋体" w:cs="Times New Roman"/>
                <w:b/>
                <w:color w:val="auto"/>
                <w:kern w:val="24"/>
                <w:szCs w:val="21"/>
              </w:rPr>
              <w:t xml:space="preserve">  建设项目固体废弃物产生及处置情况表</w:t>
            </w:r>
          </w:p>
          <w:tbl>
            <w:tblPr>
              <w:tblStyle w:val="28"/>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31"/>
              <w:gridCol w:w="898"/>
              <w:gridCol w:w="852"/>
              <w:gridCol w:w="978"/>
              <w:gridCol w:w="989"/>
              <w:gridCol w:w="1048"/>
              <w:gridCol w:w="999"/>
              <w:gridCol w:w="979"/>
              <w:gridCol w:w="1028"/>
            </w:tblGrid>
            <w:tr w14:paraId="7F22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63" w:type="dxa"/>
                  <w:gridSpan w:val="2"/>
                  <w:noWrap w:val="0"/>
                  <w:vAlign w:val="center"/>
                </w:tcPr>
                <w:p w14:paraId="3170CF25">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
                      <w:color w:val="auto"/>
                      <w:sz w:val="21"/>
                      <w:szCs w:val="21"/>
                      <w:highlight w:val="none"/>
                    </w:rPr>
                  </w:pPr>
                  <w:r>
                    <w:rPr>
                      <w:rStyle w:val="51"/>
                      <w:rFonts w:hint="default" w:ascii="Times New Roman" w:hAnsi="Times New Roman" w:cs="Times New Roman"/>
                      <w:b/>
                      <w:color w:val="auto"/>
                      <w:sz w:val="21"/>
                      <w:szCs w:val="21"/>
                      <w:highlight w:val="none"/>
                    </w:rPr>
                    <w:t>产污环节</w:t>
                  </w:r>
                </w:p>
              </w:tc>
              <w:tc>
                <w:tcPr>
                  <w:tcW w:w="898" w:type="dxa"/>
                  <w:noWrap w:val="0"/>
                  <w:vAlign w:val="center"/>
                </w:tcPr>
                <w:p w14:paraId="77FF5AF9">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办公</w:t>
                  </w:r>
                </w:p>
                <w:p w14:paraId="06D0B7B0">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生活</w:t>
                  </w:r>
                </w:p>
              </w:tc>
              <w:tc>
                <w:tcPr>
                  <w:tcW w:w="852" w:type="dxa"/>
                  <w:noWrap w:val="0"/>
                  <w:vAlign w:val="center"/>
                </w:tcPr>
                <w:p w14:paraId="03783BDD">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sz w:val="21"/>
                      <w:szCs w:val="21"/>
                    </w:rPr>
                    <w:t>隔油池</w:t>
                  </w:r>
                </w:p>
              </w:tc>
              <w:tc>
                <w:tcPr>
                  <w:tcW w:w="978" w:type="dxa"/>
                  <w:noWrap w:val="0"/>
                  <w:vAlign w:val="center"/>
                </w:tcPr>
                <w:p w14:paraId="7A9F324B">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2"/>
                      <w:lang w:val="en-US" w:eastAsia="zh-CN"/>
                    </w:rPr>
                    <w:t>化粪池</w:t>
                  </w:r>
                </w:p>
              </w:tc>
              <w:tc>
                <w:tcPr>
                  <w:tcW w:w="989" w:type="dxa"/>
                  <w:noWrap w:val="0"/>
                  <w:vAlign w:val="center"/>
                </w:tcPr>
                <w:p w14:paraId="56BD0551">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w:t>
                  </w:r>
                </w:p>
                <w:p w14:paraId="5A593A17">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rPr>
                    <w:t>清洗</w:t>
                  </w:r>
                </w:p>
              </w:tc>
              <w:tc>
                <w:tcPr>
                  <w:tcW w:w="1048" w:type="dxa"/>
                  <w:noWrap w:val="0"/>
                  <w:vAlign w:val="center"/>
                </w:tcPr>
                <w:p w14:paraId="2807B83F">
                  <w:pPr>
                    <w:pStyle w:val="5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w:t>
                  </w:r>
                </w:p>
                <w:p w14:paraId="1F3AA04B">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清洗</w:t>
                  </w:r>
                </w:p>
              </w:tc>
              <w:tc>
                <w:tcPr>
                  <w:tcW w:w="999" w:type="dxa"/>
                  <w:noWrap w:val="0"/>
                  <w:vAlign w:val="center"/>
                </w:tcPr>
                <w:p w14:paraId="5D45ADDA">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lang w:val="en-US" w:eastAsia="zh-CN"/>
                    </w:rPr>
                    <w:t>三级</w:t>
                  </w:r>
                  <w:r>
                    <w:rPr>
                      <w:rFonts w:hint="default" w:ascii="Times New Roman" w:hAnsi="Times New Roman" w:cs="Times New Roman"/>
                      <w:color w:val="auto"/>
                      <w:sz w:val="21"/>
                      <w:szCs w:val="21"/>
                    </w:rPr>
                    <w:t>油水分离池</w:t>
                  </w:r>
                </w:p>
              </w:tc>
              <w:tc>
                <w:tcPr>
                  <w:tcW w:w="979" w:type="dxa"/>
                  <w:noWrap w:val="0"/>
                  <w:vAlign w:val="center"/>
                </w:tcPr>
                <w:p w14:paraId="75B37641">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Cs w:val="21"/>
                    </w:rPr>
                    <w:t>加油区</w:t>
                  </w:r>
                </w:p>
              </w:tc>
              <w:tc>
                <w:tcPr>
                  <w:tcW w:w="1028" w:type="dxa"/>
                  <w:noWrap w:val="0"/>
                  <w:vAlign w:val="center"/>
                </w:tcPr>
                <w:p w14:paraId="37AB927B">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油罐、加油机</w:t>
                  </w:r>
                </w:p>
              </w:tc>
            </w:tr>
            <w:tr w14:paraId="3A74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63" w:type="dxa"/>
                  <w:gridSpan w:val="2"/>
                  <w:noWrap w:val="0"/>
                  <w:vAlign w:val="center"/>
                </w:tcPr>
                <w:p w14:paraId="11D1D1B1">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
                      <w:color w:val="auto"/>
                      <w:sz w:val="21"/>
                      <w:szCs w:val="21"/>
                      <w:highlight w:val="none"/>
                    </w:rPr>
                  </w:pPr>
                  <w:r>
                    <w:rPr>
                      <w:rStyle w:val="51"/>
                      <w:rFonts w:hint="default" w:ascii="Times New Roman" w:hAnsi="Times New Roman" w:cs="Times New Roman"/>
                      <w:b/>
                      <w:color w:val="auto"/>
                      <w:sz w:val="21"/>
                      <w:szCs w:val="21"/>
                      <w:highlight w:val="none"/>
                    </w:rPr>
                    <w:t>名称</w:t>
                  </w:r>
                </w:p>
              </w:tc>
              <w:tc>
                <w:tcPr>
                  <w:tcW w:w="898" w:type="dxa"/>
                  <w:noWrap w:val="0"/>
                  <w:vAlign w:val="center"/>
                </w:tcPr>
                <w:p w14:paraId="393E832B">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w:t>
                  </w:r>
                </w:p>
                <w:p w14:paraId="73F2BC81">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rPr>
                    <w:t>垃圾</w:t>
                  </w:r>
                </w:p>
              </w:tc>
              <w:tc>
                <w:tcPr>
                  <w:tcW w:w="852" w:type="dxa"/>
                  <w:noWrap w:val="0"/>
                  <w:vAlign w:val="center"/>
                </w:tcPr>
                <w:p w14:paraId="57984A2C">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废油脂</w:t>
                  </w:r>
                </w:p>
              </w:tc>
              <w:tc>
                <w:tcPr>
                  <w:tcW w:w="978" w:type="dxa"/>
                  <w:noWrap w:val="0"/>
                  <w:vAlign w:val="center"/>
                </w:tcPr>
                <w:p w14:paraId="282356DC">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污泥</w:t>
                  </w:r>
                </w:p>
              </w:tc>
              <w:tc>
                <w:tcPr>
                  <w:tcW w:w="989" w:type="dxa"/>
                  <w:noWrap w:val="0"/>
                  <w:vAlign w:val="center"/>
                </w:tcPr>
                <w:p w14:paraId="130FF7DE">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rPr>
                    <w:t>废抹布、废手套</w:t>
                  </w:r>
                </w:p>
              </w:tc>
              <w:tc>
                <w:tcPr>
                  <w:tcW w:w="1048" w:type="dxa"/>
                  <w:noWrap w:val="0"/>
                  <w:vAlign w:val="center"/>
                </w:tcPr>
                <w:p w14:paraId="391B0E9E">
                  <w:pPr>
                    <w:pStyle w:val="50"/>
                    <w:keepNext w:val="0"/>
                    <w:keepLines w:val="0"/>
                    <w:suppressLineNumbers w:val="0"/>
                    <w:adjustRightInd w:val="0"/>
                    <w:snapToGrid w:val="0"/>
                    <w:spacing w:before="0" w:beforeAutospacing="0" w:after="0" w:afterAutospacing="0"/>
                    <w:ind w:left="0" w:right="0"/>
                    <w:jc w:val="both"/>
                    <w:rPr>
                      <w:rStyle w:val="51"/>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rPr>
                    <w:t>油罐残渣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废液</w:t>
                  </w:r>
                </w:p>
              </w:tc>
              <w:tc>
                <w:tcPr>
                  <w:tcW w:w="999" w:type="dxa"/>
                  <w:noWrap w:val="0"/>
                  <w:vAlign w:val="center"/>
                </w:tcPr>
                <w:p w14:paraId="101827AF">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废油脂</w:t>
                  </w:r>
                </w:p>
              </w:tc>
              <w:tc>
                <w:tcPr>
                  <w:tcW w:w="979" w:type="dxa"/>
                  <w:noWrap w:val="0"/>
                  <w:vAlign w:val="center"/>
                </w:tcPr>
                <w:p w14:paraId="4B96CE95">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废消</w:t>
                  </w:r>
                </w:p>
                <w:p w14:paraId="16F540D2">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防沙</w:t>
                  </w:r>
                </w:p>
              </w:tc>
              <w:tc>
                <w:tcPr>
                  <w:tcW w:w="1028" w:type="dxa"/>
                  <w:noWrap w:val="0"/>
                  <w:vAlign w:val="center"/>
                </w:tcPr>
                <w:p w14:paraId="77FF098C">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废滤网</w:t>
                  </w:r>
                </w:p>
              </w:tc>
            </w:tr>
            <w:tr w14:paraId="4B68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32" w:type="dxa"/>
                  <w:vMerge w:val="restart"/>
                  <w:noWrap w:val="0"/>
                  <w:vAlign w:val="center"/>
                </w:tcPr>
                <w:p w14:paraId="21DB644C">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
                      <w:color w:val="auto"/>
                      <w:sz w:val="21"/>
                      <w:szCs w:val="21"/>
                      <w:highlight w:val="none"/>
                    </w:rPr>
                  </w:pPr>
                  <w:r>
                    <w:rPr>
                      <w:rStyle w:val="51"/>
                      <w:rFonts w:hint="default" w:ascii="Times New Roman" w:hAnsi="Times New Roman" w:cs="Times New Roman"/>
                      <w:b/>
                      <w:color w:val="auto"/>
                      <w:sz w:val="21"/>
                      <w:szCs w:val="21"/>
                      <w:highlight w:val="none"/>
                    </w:rPr>
                    <w:t>属性</w:t>
                  </w:r>
                </w:p>
              </w:tc>
              <w:tc>
                <w:tcPr>
                  <w:tcW w:w="831" w:type="dxa"/>
                  <w:noWrap w:val="0"/>
                  <w:vAlign w:val="center"/>
                </w:tcPr>
                <w:p w14:paraId="1160DFE6">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
                      <w:color w:val="auto"/>
                      <w:sz w:val="21"/>
                      <w:szCs w:val="21"/>
                      <w:highlight w:val="none"/>
                    </w:rPr>
                  </w:pPr>
                  <w:r>
                    <w:rPr>
                      <w:rStyle w:val="51"/>
                      <w:rFonts w:hint="default" w:ascii="Times New Roman" w:hAnsi="Times New Roman" w:cs="Times New Roman"/>
                      <w:b/>
                      <w:color w:val="auto"/>
                      <w:sz w:val="21"/>
                      <w:szCs w:val="21"/>
                      <w:highlight w:val="none"/>
                    </w:rPr>
                    <w:t>属性</w:t>
                  </w:r>
                </w:p>
              </w:tc>
              <w:tc>
                <w:tcPr>
                  <w:tcW w:w="898" w:type="dxa"/>
                  <w:noWrap w:val="0"/>
                  <w:vAlign w:val="center"/>
                </w:tcPr>
                <w:p w14:paraId="5520EA62">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一般</w:t>
                  </w:r>
                </w:p>
                <w:p w14:paraId="06D82747">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固废</w:t>
                  </w:r>
                </w:p>
              </w:tc>
              <w:tc>
                <w:tcPr>
                  <w:tcW w:w="852" w:type="dxa"/>
                  <w:noWrap w:val="0"/>
                  <w:vAlign w:val="center"/>
                </w:tcPr>
                <w:p w14:paraId="2D96A681">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一般</w:t>
                  </w:r>
                </w:p>
                <w:p w14:paraId="190ED723">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固废</w:t>
                  </w:r>
                </w:p>
              </w:tc>
              <w:tc>
                <w:tcPr>
                  <w:tcW w:w="978" w:type="dxa"/>
                  <w:noWrap w:val="0"/>
                  <w:vAlign w:val="center"/>
                </w:tcPr>
                <w:p w14:paraId="511D600F">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一般</w:t>
                  </w:r>
                </w:p>
                <w:p w14:paraId="086C0E58">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固废</w:t>
                  </w:r>
                </w:p>
              </w:tc>
              <w:tc>
                <w:tcPr>
                  <w:tcW w:w="989" w:type="dxa"/>
                  <w:noWrap w:val="0"/>
                  <w:vAlign w:val="center"/>
                </w:tcPr>
                <w:p w14:paraId="4C677FF5">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危险</w:t>
                  </w:r>
                </w:p>
                <w:p w14:paraId="4F221272">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废物</w:t>
                  </w:r>
                </w:p>
              </w:tc>
              <w:tc>
                <w:tcPr>
                  <w:tcW w:w="1048" w:type="dxa"/>
                  <w:noWrap w:val="0"/>
                  <w:vAlign w:val="center"/>
                </w:tcPr>
                <w:p w14:paraId="120D56C8">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危险</w:t>
                  </w:r>
                </w:p>
                <w:p w14:paraId="09448CD8">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废物</w:t>
                  </w:r>
                </w:p>
              </w:tc>
              <w:tc>
                <w:tcPr>
                  <w:tcW w:w="999" w:type="dxa"/>
                  <w:noWrap w:val="0"/>
                  <w:vAlign w:val="center"/>
                </w:tcPr>
                <w:p w14:paraId="182C3075">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危险</w:t>
                  </w:r>
                </w:p>
                <w:p w14:paraId="3BB3E1D6">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废物</w:t>
                  </w:r>
                </w:p>
              </w:tc>
              <w:tc>
                <w:tcPr>
                  <w:tcW w:w="979" w:type="dxa"/>
                  <w:noWrap w:val="0"/>
                  <w:vAlign w:val="center"/>
                </w:tcPr>
                <w:p w14:paraId="36700AD4">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危险</w:t>
                  </w:r>
                </w:p>
                <w:p w14:paraId="4E67115D">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废物</w:t>
                  </w:r>
                </w:p>
              </w:tc>
              <w:tc>
                <w:tcPr>
                  <w:tcW w:w="1028" w:type="dxa"/>
                  <w:noWrap w:val="0"/>
                  <w:vAlign w:val="center"/>
                </w:tcPr>
                <w:p w14:paraId="77B4E2E0">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危险</w:t>
                  </w:r>
                </w:p>
                <w:p w14:paraId="2AAEE353">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废物</w:t>
                  </w:r>
                </w:p>
              </w:tc>
            </w:tr>
            <w:tr w14:paraId="466D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432" w:type="dxa"/>
                  <w:vMerge w:val="continue"/>
                  <w:noWrap w:val="0"/>
                  <w:vAlign w:val="center"/>
                </w:tcPr>
                <w:p w14:paraId="32906B28">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
                      <w:color w:val="auto"/>
                      <w:sz w:val="21"/>
                      <w:szCs w:val="21"/>
                      <w:highlight w:val="none"/>
                    </w:rPr>
                  </w:pPr>
                </w:p>
              </w:tc>
              <w:tc>
                <w:tcPr>
                  <w:tcW w:w="831" w:type="dxa"/>
                  <w:noWrap w:val="0"/>
                  <w:vAlign w:val="center"/>
                </w:tcPr>
                <w:p w14:paraId="16590A57">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
                      <w:color w:val="auto"/>
                      <w:sz w:val="21"/>
                      <w:szCs w:val="21"/>
                      <w:highlight w:val="none"/>
                    </w:rPr>
                  </w:pPr>
                  <w:r>
                    <w:rPr>
                      <w:rStyle w:val="51"/>
                      <w:rFonts w:hint="default" w:ascii="Times New Roman" w:hAnsi="Times New Roman" w:cs="Times New Roman"/>
                      <w:b/>
                      <w:color w:val="auto"/>
                      <w:sz w:val="21"/>
                      <w:szCs w:val="21"/>
                      <w:highlight w:val="none"/>
                    </w:rPr>
                    <w:t>危险废物代码</w:t>
                  </w:r>
                </w:p>
              </w:tc>
              <w:tc>
                <w:tcPr>
                  <w:tcW w:w="898" w:type="dxa"/>
                  <w:noWrap w:val="0"/>
                  <w:vAlign w:val="center"/>
                </w:tcPr>
                <w:p w14:paraId="46D4E84A">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w:t>
                  </w:r>
                </w:p>
              </w:tc>
              <w:tc>
                <w:tcPr>
                  <w:tcW w:w="852" w:type="dxa"/>
                  <w:noWrap w:val="0"/>
                  <w:vAlign w:val="center"/>
                </w:tcPr>
                <w:p w14:paraId="79612E39">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eastAsia="宋体" w:cs="Times New Roman"/>
                      <w:bCs/>
                      <w:color w:val="auto"/>
                      <w:sz w:val="21"/>
                      <w:szCs w:val="21"/>
                      <w:highlight w:val="none"/>
                      <w:lang w:val="en-US" w:eastAsia="zh-CN"/>
                    </w:rPr>
                  </w:pPr>
                  <w:r>
                    <w:rPr>
                      <w:rStyle w:val="51"/>
                      <w:rFonts w:hint="default" w:ascii="Times New Roman" w:hAnsi="Times New Roman" w:cs="Times New Roman"/>
                      <w:bCs/>
                      <w:color w:val="auto"/>
                      <w:sz w:val="21"/>
                      <w:szCs w:val="21"/>
                      <w:highlight w:val="none"/>
                      <w:lang w:val="en-US" w:eastAsia="zh-CN"/>
                    </w:rPr>
                    <w:t>/</w:t>
                  </w:r>
                </w:p>
              </w:tc>
              <w:tc>
                <w:tcPr>
                  <w:tcW w:w="978" w:type="dxa"/>
                  <w:noWrap w:val="0"/>
                  <w:vAlign w:val="center"/>
                </w:tcPr>
                <w:p w14:paraId="20E53C97">
                  <w:pPr>
                    <w:pStyle w:val="50"/>
                    <w:keepNext w:val="0"/>
                    <w:keepLines w:val="0"/>
                    <w:suppressLineNumbers w:val="0"/>
                    <w:adjustRightInd w:val="0"/>
                    <w:snapToGrid w:val="0"/>
                    <w:spacing w:before="0" w:beforeAutospacing="0" w:after="0" w:afterAutospacing="0"/>
                    <w:ind w:left="0" w:leftChars="0" w:right="0" w:rightChars="0"/>
                    <w:rPr>
                      <w:rStyle w:val="51"/>
                      <w:rFonts w:hint="default" w:ascii="Times New Roman" w:hAnsi="Times New Roman" w:cs="Times New Roman"/>
                      <w:bCs/>
                      <w:color w:val="auto"/>
                      <w:sz w:val="21"/>
                      <w:szCs w:val="21"/>
                      <w:highlight w:val="none"/>
                      <w:lang w:val="en-US" w:eastAsia="zh-CN"/>
                    </w:rPr>
                  </w:pPr>
                  <w:r>
                    <w:rPr>
                      <w:rStyle w:val="51"/>
                      <w:rFonts w:hint="default" w:ascii="Times New Roman" w:hAnsi="Times New Roman" w:cs="Times New Roman"/>
                      <w:bCs/>
                      <w:color w:val="auto"/>
                      <w:sz w:val="21"/>
                      <w:szCs w:val="21"/>
                      <w:highlight w:val="none"/>
                      <w:lang w:val="en-US" w:eastAsia="zh-CN"/>
                    </w:rPr>
                    <w:t>/</w:t>
                  </w:r>
                </w:p>
              </w:tc>
              <w:tc>
                <w:tcPr>
                  <w:tcW w:w="989" w:type="dxa"/>
                  <w:noWrap w:val="0"/>
                  <w:vAlign w:val="center"/>
                </w:tcPr>
                <w:p w14:paraId="5715FDC0">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lang w:val="en-US" w:eastAsia="zh-CN" w:bidi="ar"/>
                    </w:rPr>
                    <w:t>900-041-49</w:t>
                  </w:r>
                </w:p>
              </w:tc>
              <w:tc>
                <w:tcPr>
                  <w:tcW w:w="1048" w:type="dxa"/>
                  <w:noWrap w:val="0"/>
                  <w:vAlign w:val="center"/>
                </w:tcPr>
                <w:p w14:paraId="45B64A6B">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lang w:val="en-US" w:eastAsia="zh-CN"/>
                    </w:rPr>
                    <w:t>900-221-08</w:t>
                  </w:r>
                </w:p>
              </w:tc>
              <w:tc>
                <w:tcPr>
                  <w:tcW w:w="999" w:type="dxa"/>
                  <w:noWrap w:val="0"/>
                  <w:vAlign w:val="center"/>
                </w:tcPr>
                <w:p w14:paraId="2A4C09CE">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vertAlign w:val="baseline"/>
                      <w:lang w:val="en-US" w:eastAsia="zh-CN" w:bidi="ar"/>
                    </w:rPr>
                    <w:t>900-210-08</w:t>
                  </w:r>
                </w:p>
              </w:tc>
              <w:tc>
                <w:tcPr>
                  <w:tcW w:w="979" w:type="dxa"/>
                  <w:noWrap w:val="0"/>
                  <w:vAlign w:val="center"/>
                </w:tcPr>
                <w:p w14:paraId="1580E9F8">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vertAlign w:val="baseline"/>
                      <w:lang w:val="en-US" w:eastAsia="zh-CN" w:bidi="ar"/>
                    </w:rPr>
                    <w:t>900-042-49</w:t>
                  </w:r>
                </w:p>
              </w:tc>
              <w:tc>
                <w:tcPr>
                  <w:tcW w:w="1028" w:type="dxa"/>
                  <w:noWrap w:val="0"/>
                  <w:vAlign w:val="center"/>
                </w:tcPr>
                <w:p w14:paraId="0C25F465">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rPr>
                    <w:t>900-041-49</w:t>
                  </w:r>
                </w:p>
              </w:tc>
            </w:tr>
            <w:tr w14:paraId="4405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263" w:type="dxa"/>
                  <w:gridSpan w:val="2"/>
                  <w:noWrap w:val="0"/>
                  <w:vAlign w:val="center"/>
                </w:tcPr>
                <w:p w14:paraId="68E665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主要有毒有害物质名称</w:t>
                  </w:r>
                </w:p>
              </w:tc>
              <w:tc>
                <w:tcPr>
                  <w:tcW w:w="898" w:type="dxa"/>
                  <w:noWrap w:val="0"/>
                  <w:vAlign w:val="center"/>
                </w:tcPr>
                <w:p w14:paraId="75353D33">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w:t>
                  </w:r>
                </w:p>
              </w:tc>
              <w:tc>
                <w:tcPr>
                  <w:tcW w:w="852" w:type="dxa"/>
                  <w:noWrap w:val="0"/>
                  <w:vAlign w:val="center"/>
                </w:tcPr>
                <w:p w14:paraId="035406FF">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eastAsia="宋体" w:cs="Times New Roman"/>
                      <w:bCs/>
                      <w:color w:val="auto"/>
                      <w:sz w:val="21"/>
                      <w:szCs w:val="21"/>
                      <w:highlight w:val="none"/>
                      <w:lang w:val="en-US" w:eastAsia="zh-CN"/>
                    </w:rPr>
                  </w:pPr>
                  <w:r>
                    <w:rPr>
                      <w:rStyle w:val="51"/>
                      <w:rFonts w:hint="default" w:ascii="Times New Roman" w:hAnsi="Times New Roman" w:cs="Times New Roman"/>
                      <w:bCs/>
                      <w:color w:val="auto"/>
                      <w:sz w:val="21"/>
                      <w:szCs w:val="21"/>
                      <w:highlight w:val="none"/>
                      <w:lang w:val="en-US" w:eastAsia="zh-CN"/>
                    </w:rPr>
                    <w:t>/</w:t>
                  </w:r>
                </w:p>
              </w:tc>
              <w:tc>
                <w:tcPr>
                  <w:tcW w:w="978" w:type="dxa"/>
                  <w:noWrap w:val="0"/>
                  <w:vAlign w:val="center"/>
                </w:tcPr>
                <w:p w14:paraId="4ED611AC">
                  <w:pPr>
                    <w:pStyle w:val="50"/>
                    <w:keepNext w:val="0"/>
                    <w:keepLines w:val="0"/>
                    <w:suppressLineNumbers w:val="0"/>
                    <w:adjustRightInd w:val="0"/>
                    <w:snapToGrid w:val="0"/>
                    <w:spacing w:before="0" w:beforeAutospacing="0" w:after="0" w:afterAutospacing="0"/>
                    <w:ind w:left="0" w:leftChars="0" w:right="0" w:rightChars="0"/>
                    <w:rPr>
                      <w:rStyle w:val="51"/>
                      <w:rFonts w:hint="default" w:ascii="Times New Roman" w:hAnsi="Times New Roman" w:cs="Times New Roman"/>
                      <w:bCs/>
                      <w:color w:val="auto"/>
                      <w:sz w:val="21"/>
                      <w:szCs w:val="21"/>
                      <w:highlight w:val="none"/>
                      <w:lang w:val="en-US" w:eastAsia="zh-CN"/>
                    </w:rPr>
                  </w:pPr>
                  <w:r>
                    <w:rPr>
                      <w:rStyle w:val="51"/>
                      <w:rFonts w:hint="default" w:ascii="Times New Roman" w:hAnsi="Times New Roman" w:cs="Times New Roman"/>
                      <w:bCs/>
                      <w:color w:val="auto"/>
                      <w:sz w:val="21"/>
                      <w:szCs w:val="21"/>
                      <w:highlight w:val="none"/>
                      <w:lang w:val="en-US" w:eastAsia="zh-CN"/>
                    </w:rPr>
                    <w:t>/</w:t>
                  </w:r>
                </w:p>
              </w:tc>
              <w:tc>
                <w:tcPr>
                  <w:tcW w:w="989" w:type="dxa"/>
                  <w:noWrap w:val="0"/>
                  <w:vAlign w:val="center"/>
                </w:tcPr>
                <w:p w14:paraId="3DE3AE78">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w:t>
                  </w:r>
                </w:p>
              </w:tc>
              <w:tc>
                <w:tcPr>
                  <w:tcW w:w="1048" w:type="dxa"/>
                  <w:noWrap w:val="0"/>
                  <w:vAlign w:val="center"/>
                </w:tcPr>
                <w:p w14:paraId="7F5212C3">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w:t>
                  </w:r>
                </w:p>
              </w:tc>
              <w:tc>
                <w:tcPr>
                  <w:tcW w:w="999" w:type="dxa"/>
                  <w:noWrap w:val="0"/>
                  <w:vAlign w:val="center"/>
                </w:tcPr>
                <w:p w14:paraId="185170EC">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w:t>
                  </w:r>
                </w:p>
              </w:tc>
              <w:tc>
                <w:tcPr>
                  <w:tcW w:w="979" w:type="dxa"/>
                  <w:noWrap w:val="0"/>
                  <w:vAlign w:val="center"/>
                </w:tcPr>
                <w:p w14:paraId="0B1558D0">
                  <w:pPr>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w:t>
                  </w:r>
                </w:p>
              </w:tc>
              <w:tc>
                <w:tcPr>
                  <w:tcW w:w="1028" w:type="dxa"/>
                  <w:noWrap w:val="0"/>
                  <w:vAlign w:val="center"/>
                </w:tcPr>
                <w:p w14:paraId="51E2326A">
                  <w:pPr>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w:t>
                  </w:r>
                </w:p>
              </w:tc>
            </w:tr>
            <w:tr w14:paraId="11DC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63" w:type="dxa"/>
                  <w:gridSpan w:val="2"/>
                  <w:noWrap w:val="0"/>
                  <w:vAlign w:val="center"/>
                </w:tcPr>
                <w:p w14:paraId="3BD113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物理性状</w:t>
                  </w:r>
                </w:p>
              </w:tc>
              <w:tc>
                <w:tcPr>
                  <w:tcW w:w="898" w:type="dxa"/>
                  <w:noWrap w:val="0"/>
                  <w:vAlign w:val="center"/>
                </w:tcPr>
                <w:p w14:paraId="418E3F89">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固体</w:t>
                  </w:r>
                </w:p>
              </w:tc>
              <w:tc>
                <w:tcPr>
                  <w:tcW w:w="852" w:type="dxa"/>
                  <w:noWrap w:val="0"/>
                  <w:vAlign w:val="center"/>
                </w:tcPr>
                <w:p w14:paraId="7532BAED">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固体</w:t>
                  </w:r>
                </w:p>
              </w:tc>
              <w:tc>
                <w:tcPr>
                  <w:tcW w:w="978" w:type="dxa"/>
                  <w:noWrap w:val="0"/>
                  <w:vAlign w:val="center"/>
                </w:tcPr>
                <w:p w14:paraId="4666CFBA">
                  <w:pPr>
                    <w:pStyle w:val="50"/>
                    <w:keepNext w:val="0"/>
                    <w:keepLines w:val="0"/>
                    <w:suppressLineNumbers w:val="0"/>
                    <w:adjustRightInd w:val="0"/>
                    <w:snapToGrid w:val="0"/>
                    <w:spacing w:before="0" w:beforeAutospacing="0" w:after="0" w:afterAutospacing="0"/>
                    <w:ind w:left="0" w:leftChars="0" w:right="0" w:rightChars="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固体</w:t>
                  </w:r>
                </w:p>
              </w:tc>
              <w:tc>
                <w:tcPr>
                  <w:tcW w:w="989" w:type="dxa"/>
                  <w:noWrap w:val="0"/>
                  <w:vAlign w:val="center"/>
                </w:tcPr>
                <w:p w14:paraId="46C2251E">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固体</w:t>
                  </w:r>
                </w:p>
              </w:tc>
              <w:tc>
                <w:tcPr>
                  <w:tcW w:w="1048" w:type="dxa"/>
                  <w:noWrap w:val="0"/>
                  <w:vAlign w:val="center"/>
                </w:tcPr>
                <w:p w14:paraId="49C974DE">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lang w:val="en-US" w:eastAsia="zh-CN"/>
                    </w:rPr>
                  </w:pPr>
                  <w:r>
                    <w:rPr>
                      <w:rStyle w:val="51"/>
                      <w:rFonts w:hint="default" w:ascii="Times New Roman" w:hAnsi="Times New Roman" w:cs="Times New Roman"/>
                      <w:bCs/>
                      <w:color w:val="auto"/>
                      <w:sz w:val="21"/>
                      <w:szCs w:val="21"/>
                      <w:highlight w:val="none"/>
                    </w:rPr>
                    <w:t>固</w:t>
                  </w:r>
                  <w:r>
                    <w:rPr>
                      <w:rStyle w:val="51"/>
                      <w:rFonts w:hint="default" w:ascii="Times New Roman" w:hAnsi="Times New Roman" w:cs="Times New Roman"/>
                      <w:bCs/>
                      <w:color w:val="auto"/>
                      <w:sz w:val="21"/>
                      <w:szCs w:val="21"/>
                      <w:highlight w:val="none"/>
                      <w:lang w:eastAsia="zh-CN"/>
                    </w:rPr>
                    <w:t>、</w:t>
                  </w:r>
                  <w:r>
                    <w:rPr>
                      <w:rStyle w:val="51"/>
                      <w:rFonts w:hint="default" w:ascii="Times New Roman" w:hAnsi="Times New Roman" w:cs="Times New Roman"/>
                      <w:bCs/>
                      <w:color w:val="auto"/>
                      <w:sz w:val="21"/>
                      <w:szCs w:val="21"/>
                      <w:highlight w:val="none"/>
                      <w:lang w:val="en-US" w:eastAsia="zh-CN"/>
                    </w:rPr>
                    <w:t>液</w:t>
                  </w:r>
                </w:p>
              </w:tc>
              <w:tc>
                <w:tcPr>
                  <w:tcW w:w="999" w:type="dxa"/>
                  <w:noWrap w:val="0"/>
                  <w:vAlign w:val="center"/>
                </w:tcPr>
                <w:p w14:paraId="611372C0">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油状</w:t>
                  </w:r>
                </w:p>
              </w:tc>
              <w:tc>
                <w:tcPr>
                  <w:tcW w:w="979" w:type="dxa"/>
                  <w:noWrap w:val="0"/>
                  <w:vAlign w:val="center"/>
                </w:tcPr>
                <w:p w14:paraId="1C4F11F4">
                  <w:pPr>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固体</w:t>
                  </w:r>
                </w:p>
              </w:tc>
              <w:tc>
                <w:tcPr>
                  <w:tcW w:w="1028" w:type="dxa"/>
                  <w:noWrap w:val="0"/>
                  <w:vAlign w:val="center"/>
                </w:tcPr>
                <w:p w14:paraId="768230BF">
                  <w:pPr>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固体</w:t>
                  </w:r>
                </w:p>
              </w:tc>
            </w:tr>
            <w:tr w14:paraId="3955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63" w:type="dxa"/>
                  <w:gridSpan w:val="2"/>
                  <w:noWrap w:val="0"/>
                  <w:vAlign w:val="center"/>
                </w:tcPr>
                <w:p w14:paraId="5DC261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环境危险</w:t>
                  </w:r>
                </w:p>
                <w:p w14:paraId="269EAF63">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特性</w:t>
                  </w:r>
                </w:p>
              </w:tc>
              <w:tc>
                <w:tcPr>
                  <w:tcW w:w="898" w:type="dxa"/>
                  <w:noWrap w:val="0"/>
                  <w:vAlign w:val="center"/>
                </w:tcPr>
                <w:p w14:paraId="2F3BE3BE">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w:t>
                  </w:r>
                </w:p>
              </w:tc>
              <w:tc>
                <w:tcPr>
                  <w:tcW w:w="852" w:type="dxa"/>
                  <w:noWrap w:val="0"/>
                  <w:vAlign w:val="center"/>
                </w:tcPr>
                <w:p w14:paraId="1E8A162B">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eastAsia="宋体" w:cs="Times New Roman"/>
                      <w:bCs/>
                      <w:color w:val="auto"/>
                      <w:sz w:val="21"/>
                      <w:szCs w:val="21"/>
                      <w:highlight w:val="none"/>
                      <w:lang w:val="en-US" w:eastAsia="zh-CN"/>
                    </w:rPr>
                  </w:pPr>
                  <w:r>
                    <w:rPr>
                      <w:rStyle w:val="51"/>
                      <w:rFonts w:hint="default" w:ascii="Times New Roman" w:hAnsi="Times New Roman" w:cs="Times New Roman"/>
                      <w:bCs/>
                      <w:color w:val="auto"/>
                      <w:sz w:val="21"/>
                      <w:szCs w:val="21"/>
                      <w:highlight w:val="none"/>
                      <w:lang w:val="en-US" w:eastAsia="zh-CN"/>
                    </w:rPr>
                    <w:t>/</w:t>
                  </w:r>
                </w:p>
              </w:tc>
              <w:tc>
                <w:tcPr>
                  <w:tcW w:w="978" w:type="dxa"/>
                  <w:noWrap w:val="0"/>
                  <w:vAlign w:val="center"/>
                </w:tcPr>
                <w:p w14:paraId="3BD461C1">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lang w:val="en-US" w:eastAsia="zh-CN"/>
                    </w:rPr>
                  </w:pPr>
                  <w:r>
                    <w:rPr>
                      <w:rStyle w:val="51"/>
                      <w:rFonts w:hint="default" w:ascii="Times New Roman" w:hAnsi="Times New Roman" w:cs="Times New Roman"/>
                      <w:bCs/>
                      <w:color w:val="auto"/>
                      <w:sz w:val="21"/>
                      <w:szCs w:val="21"/>
                      <w:highlight w:val="none"/>
                      <w:lang w:val="en-US" w:eastAsia="zh-CN"/>
                    </w:rPr>
                    <w:t>/</w:t>
                  </w:r>
                </w:p>
              </w:tc>
              <w:tc>
                <w:tcPr>
                  <w:tcW w:w="989" w:type="dxa"/>
                  <w:noWrap w:val="0"/>
                  <w:vAlign w:val="center"/>
                </w:tcPr>
                <w:p w14:paraId="78FBF880">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lang w:val="en-US" w:eastAsia="zh-CN"/>
                    </w:rPr>
                    <w:t>豁免</w:t>
                  </w:r>
                </w:p>
              </w:tc>
              <w:tc>
                <w:tcPr>
                  <w:tcW w:w="1048" w:type="dxa"/>
                  <w:noWrap w:val="0"/>
                  <w:vAlign w:val="center"/>
                </w:tcPr>
                <w:p w14:paraId="41C39DFF">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T</w:t>
                  </w:r>
                  <w:r>
                    <w:rPr>
                      <w:rStyle w:val="51"/>
                      <w:rFonts w:hint="default" w:ascii="Times New Roman" w:hAnsi="Times New Roman" w:cs="Times New Roman"/>
                      <w:bCs/>
                      <w:color w:val="auto"/>
                      <w:sz w:val="21"/>
                      <w:szCs w:val="21"/>
                      <w:highlight w:val="none"/>
                      <w:lang w:eastAsia="zh-CN"/>
                    </w:rPr>
                    <w:t>，</w:t>
                  </w:r>
                  <w:r>
                    <w:rPr>
                      <w:rStyle w:val="51"/>
                      <w:rFonts w:hint="default" w:ascii="Times New Roman" w:hAnsi="Times New Roman" w:cs="Times New Roman"/>
                      <w:bCs/>
                      <w:color w:val="auto"/>
                      <w:sz w:val="21"/>
                      <w:szCs w:val="21"/>
                      <w:highlight w:val="none"/>
                    </w:rPr>
                    <w:t>I</w:t>
                  </w:r>
                </w:p>
              </w:tc>
              <w:tc>
                <w:tcPr>
                  <w:tcW w:w="999" w:type="dxa"/>
                  <w:noWrap w:val="0"/>
                  <w:vAlign w:val="center"/>
                </w:tcPr>
                <w:p w14:paraId="18C41BC8">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T</w:t>
                  </w:r>
                  <w:r>
                    <w:rPr>
                      <w:rStyle w:val="51"/>
                      <w:rFonts w:hint="default" w:ascii="Times New Roman" w:hAnsi="Times New Roman" w:cs="Times New Roman"/>
                      <w:bCs/>
                      <w:color w:val="auto"/>
                      <w:sz w:val="21"/>
                      <w:szCs w:val="21"/>
                      <w:highlight w:val="none"/>
                      <w:lang w:eastAsia="zh-CN"/>
                    </w:rPr>
                    <w:t>，</w:t>
                  </w:r>
                  <w:r>
                    <w:rPr>
                      <w:rStyle w:val="51"/>
                      <w:rFonts w:hint="default" w:ascii="Times New Roman" w:hAnsi="Times New Roman" w:cs="Times New Roman"/>
                      <w:bCs/>
                      <w:color w:val="auto"/>
                      <w:sz w:val="21"/>
                      <w:szCs w:val="21"/>
                      <w:highlight w:val="none"/>
                    </w:rPr>
                    <w:t>I</w:t>
                  </w:r>
                </w:p>
              </w:tc>
              <w:tc>
                <w:tcPr>
                  <w:tcW w:w="979" w:type="dxa"/>
                  <w:noWrap w:val="0"/>
                  <w:vAlign w:val="center"/>
                </w:tcPr>
                <w:p w14:paraId="52A120D3">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T</w:t>
                  </w:r>
                  <w:r>
                    <w:rPr>
                      <w:rStyle w:val="51"/>
                      <w:rFonts w:hint="default" w:ascii="Times New Roman" w:hAnsi="Times New Roman" w:cs="Times New Roman"/>
                      <w:bCs/>
                      <w:color w:val="auto"/>
                      <w:sz w:val="21"/>
                      <w:szCs w:val="21"/>
                      <w:highlight w:val="none"/>
                      <w:lang w:eastAsia="zh-CN"/>
                    </w:rPr>
                    <w:t>，</w:t>
                  </w:r>
                  <w:r>
                    <w:rPr>
                      <w:rStyle w:val="51"/>
                      <w:rFonts w:hint="default" w:ascii="Times New Roman" w:hAnsi="Times New Roman" w:cs="Times New Roman"/>
                      <w:bCs/>
                      <w:color w:val="auto"/>
                      <w:sz w:val="21"/>
                      <w:szCs w:val="21"/>
                      <w:highlight w:val="none"/>
                    </w:rPr>
                    <w:t>I</w:t>
                  </w:r>
                </w:p>
              </w:tc>
              <w:tc>
                <w:tcPr>
                  <w:tcW w:w="1028" w:type="dxa"/>
                  <w:noWrap w:val="0"/>
                  <w:vAlign w:val="center"/>
                </w:tcPr>
                <w:p w14:paraId="144AAD1D">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T</w:t>
                  </w:r>
                  <w:r>
                    <w:rPr>
                      <w:rStyle w:val="51"/>
                      <w:rFonts w:hint="default" w:ascii="Times New Roman" w:hAnsi="Times New Roman" w:cs="Times New Roman"/>
                      <w:bCs/>
                      <w:color w:val="auto"/>
                      <w:sz w:val="21"/>
                      <w:szCs w:val="21"/>
                      <w:highlight w:val="none"/>
                      <w:lang w:eastAsia="zh-CN"/>
                    </w:rPr>
                    <w:t>，</w:t>
                  </w:r>
                  <w:r>
                    <w:rPr>
                      <w:rStyle w:val="51"/>
                      <w:rFonts w:hint="default" w:ascii="Times New Roman" w:hAnsi="Times New Roman" w:cs="Times New Roman"/>
                      <w:bCs/>
                      <w:color w:val="auto"/>
                      <w:sz w:val="21"/>
                      <w:szCs w:val="21"/>
                      <w:highlight w:val="none"/>
                    </w:rPr>
                    <w:t>I</w:t>
                  </w:r>
                </w:p>
              </w:tc>
            </w:tr>
            <w:tr w14:paraId="6409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263" w:type="dxa"/>
                  <w:gridSpan w:val="2"/>
                  <w:noWrap w:val="0"/>
                  <w:vAlign w:val="center"/>
                </w:tcPr>
                <w:p w14:paraId="4383C758">
                  <w:pPr>
                    <w:keepNext w:val="0"/>
                    <w:keepLines w:val="0"/>
                    <w:widowControl/>
                    <w:suppressLineNumbers w:val="0"/>
                    <w:adjustRightInd w:val="0"/>
                    <w:snapToGrid w:val="0"/>
                    <w:spacing w:before="0" w:beforeAutospacing="0" w:after="0" w:afterAutospacing="0"/>
                    <w:ind w:left="0" w:right="0"/>
                    <w:jc w:val="center"/>
                    <w:rPr>
                      <w:rStyle w:val="51"/>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年度产生量</w:t>
                  </w:r>
                </w:p>
              </w:tc>
              <w:tc>
                <w:tcPr>
                  <w:tcW w:w="898" w:type="dxa"/>
                  <w:noWrap w:val="0"/>
                  <w:vAlign w:val="center"/>
                </w:tcPr>
                <w:p w14:paraId="1964E30E">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lang w:val="en-US" w:eastAsia="zh-CN"/>
                    </w:rPr>
                    <w:t>6.3875</w:t>
                  </w:r>
                  <w:r>
                    <w:rPr>
                      <w:rFonts w:hint="default" w:ascii="Times New Roman" w:hAnsi="Times New Roman" w:cs="Times New Roman"/>
                      <w:color w:val="auto"/>
                      <w:sz w:val="21"/>
                      <w:szCs w:val="21"/>
                    </w:rPr>
                    <w:t>t/a</w:t>
                  </w:r>
                </w:p>
              </w:tc>
              <w:tc>
                <w:tcPr>
                  <w:tcW w:w="852" w:type="dxa"/>
                  <w:noWrap w:val="0"/>
                  <w:vAlign w:val="center"/>
                </w:tcPr>
                <w:p w14:paraId="3D63FEA0">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rPr>
                    <w:t>0.005t/a</w:t>
                  </w:r>
                </w:p>
              </w:tc>
              <w:tc>
                <w:tcPr>
                  <w:tcW w:w="978" w:type="dxa"/>
                  <w:noWrap w:val="0"/>
                  <w:vAlign w:val="center"/>
                </w:tcPr>
                <w:p w14:paraId="4A5A179A">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0.0332t/a</w:t>
                  </w:r>
                </w:p>
              </w:tc>
              <w:tc>
                <w:tcPr>
                  <w:tcW w:w="989" w:type="dxa"/>
                  <w:noWrap w:val="0"/>
                  <w:vAlign w:val="center"/>
                </w:tcPr>
                <w:p w14:paraId="6E8E9B06">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0.05t/a</w:t>
                  </w:r>
                </w:p>
              </w:tc>
              <w:tc>
                <w:tcPr>
                  <w:tcW w:w="1048" w:type="dxa"/>
                  <w:noWrap w:val="0"/>
                  <w:vAlign w:val="center"/>
                </w:tcPr>
                <w:p w14:paraId="10F15B4A">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rPr>
                    <w:t>t/a</w:t>
                  </w:r>
                </w:p>
              </w:tc>
              <w:tc>
                <w:tcPr>
                  <w:tcW w:w="999" w:type="dxa"/>
                  <w:noWrap w:val="0"/>
                  <w:vAlign w:val="center"/>
                </w:tcPr>
                <w:p w14:paraId="4B3EFF25">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0.005t/a</w:t>
                  </w:r>
                </w:p>
              </w:tc>
              <w:tc>
                <w:tcPr>
                  <w:tcW w:w="979" w:type="dxa"/>
                  <w:noWrap w:val="0"/>
                  <w:vAlign w:val="center"/>
                </w:tcPr>
                <w:p w14:paraId="6D1523AD">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0.3t/a</w:t>
                  </w:r>
                </w:p>
              </w:tc>
              <w:tc>
                <w:tcPr>
                  <w:tcW w:w="1028" w:type="dxa"/>
                  <w:noWrap w:val="0"/>
                  <w:vAlign w:val="center"/>
                </w:tcPr>
                <w:p w14:paraId="2709C8F5">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0.01t/a</w:t>
                  </w:r>
                </w:p>
              </w:tc>
            </w:tr>
            <w:tr w14:paraId="2D97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263" w:type="dxa"/>
                  <w:gridSpan w:val="2"/>
                  <w:noWrap w:val="0"/>
                  <w:vAlign w:val="center"/>
                </w:tcPr>
                <w:p w14:paraId="752CC0DF">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贮存方式</w:t>
                  </w:r>
                </w:p>
              </w:tc>
              <w:tc>
                <w:tcPr>
                  <w:tcW w:w="898" w:type="dxa"/>
                  <w:noWrap w:val="0"/>
                  <w:vAlign w:val="center"/>
                </w:tcPr>
                <w:p w14:paraId="66791AFB">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eastAsia="宋体" w:cs="Times New Roman"/>
                      <w:bCs/>
                      <w:color w:val="auto"/>
                      <w:sz w:val="21"/>
                      <w:szCs w:val="21"/>
                      <w:highlight w:val="none"/>
                      <w:lang w:eastAsia="zh-CN"/>
                    </w:rPr>
                  </w:pPr>
                  <w:r>
                    <w:rPr>
                      <w:rStyle w:val="51"/>
                      <w:rFonts w:hint="default" w:ascii="Times New Roman" w:hAnsi="Times New Roman" w:cs="Times New Roman"/>
                      <w:bCs/>
                      <w:color w:val="auto"/>
                      <w:sz w:val="21"/>
                      <w:szCs w:val="21"/>
                      <w:highlight w:val="none"/>
                      <w:lang w:eastAsia="zh-CN"/>
                    </w:rPr>
                    <w:t>袋装</w:t>
                  </w:r>
                </w:p>
              </w:tc>
              <w:tc>
                <w:tcPr>
                  <w:tcW w:w="852" w:type="dxa"/>
                  <w:noWrap w:val="0"/>
                  <w:vAlign w:val="center"/>
                </w:tcPr>
                <w:p w14:paraId="320EC7B7">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lang w:eastAsia="zh-CN"/>
                    </w:rPr>
                  </w:pPr>
                  <w:r>
                    <w:rPr>
                      <w:rStyle w:val="51"/>
                      <w:rFonts w:hint="default" w:ascii="Times New Roman" w:hAnsi="Times New Roman" w:cs="Times New Roman"/>
                      <w:bCs/>
                      <w:color w:val="auto"/>
                      <w:sz w:val="21"/>
                      <w:szCs w:val="21"/>
                      <w:highlight w:val="none"/>
                      <w:lang w:eastAsia="zh-CN"/>
                    </w:rPr>
                    <w:t>袋装</w:t>
                  </w:r>
                </w:p>
              </w:tc>
              <w:tc>
                <w:tcPr>
                  <w:tcW w:w="978" w:type="dxa"/>
                  <w:noWrap w:val="0"/>
                  <w:vAlign w:val="center"/>
                </w:tcPr>
                <w:p w14:paraId="2ED06220">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lang w:eastAsia="zh-CN"/>
                    </w:rPr>
                  </w:pPr>
                  <w:r>
                    <w:rPr>
                      <w:rStyle w:val="51"/>
                      <w:rFonts w:hint="default" w:ascii="Times New Roman" w:hAnsi="Times New Roman" w:cs="Times New Roman"/>
                      <w:bCs/>
                      <w:color w:val="auto"/>
                      <w:sz w:val="21"/>
                      <w:szCs w:val="21"/>
                      <w:highlight w:val="none"/>
                      <w:lang w:val="en-US" w:eastAsia="zh-CN"/>
                    </w:rPr>
                    <w:t>/</w:t>
                  </w:r>
                </w:p>
              </w:tc>
              <w:tc>
                <w:tcPr>
                  <w:tcW w:w="989" w:type="dxa"/>
                  <w:noWrap w:val="0"/>
                  <w:vAlign w:val="center"/>
                </w:tcPr>
                <w:p w14:paraId="6095F70C">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Style w:val="51"/>
                      <w:rFonts w:hint="default" w:ascii="Times New Roman" w:hAnsi="Times New Roman" w:cs="Times New Roman"/>
                      <w:bCs/>
                      <w:color w:val="auto"/>
                      <w:sz w:val="21"/>
                      <w:szCs w:val="21"/>
                      <w:highlight w:val="none"/>
                      <w:lang w:eastAsia="zh-CN"/>
                    </w:rPr>
                    <w:t>袋装</w:t>
                  </w:r>
                </w:p>
              </w:tc>
              <w:tc>
                <w:tcPr>
                  <w:tcW w:w="1048" w:type="dxa"/>
                  <w:noWrap w:val="0"/>
                  <w:vAlign w:val="center"/>
                </w:tcPr>
                <w:p w14:paraId="72B1CBD7">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eastAsia="宋体" w:cs="Times New Roman"/>
                      <w:bCs/>
                      <w:color w:val="auto"/>
                      <w:sz w:val="21"/>
                      <w:szCs w:val="21"/>
                      <w:highlight w:val="none"/>
                      <w:lang w:eastAsia="zh-CN"/>
                    </w:rPr>
                  </w:pPr>
                  <w:r>
                    <w:rPr>
                      <w:rStyle w:val="51"/>
                      <w:rFonts w:hint="default" w:ascii="Times New Roman" w:hAnsi="Times New Roman" w:cs="Times New Roman"/>
                      <w:bCs/>
                      <w:color w:val="auto"/>
                      <w:sz w:val="21"/>
                      <w:szCs w:val="21"/>
                      <w:highlight w:val="none"/>
                      <w:lang w:val="en-US" w:eastAsia="zh-CN"/>
                    </w:rPr>
                    <w:t>/</w:t>
                  </w:r>
                </w:p>
              </w:tc>
              <w:tc>
                <w:tcPr>
                  <w:tcW w:w="999" w:type="dxa"/>
                  <w:noWrap w:val="0"/>
                  <w:vAlign w:val="center"/>
                </w:tcPr>
                <w:p w14:paraId="4E402554">
                  <w:pPr>
                    <w:pStyle w:val="50"/>
                    <w:keepNext w:val="0"/>
                    <w:keepLines w:val="0"/>
                    <w:suppressLineNumbers w:val="0"/>
                    <w:adjustRightInd w:val="0"/>
                    <w:snapToGrid w:val="0"/>
                    <w:spacing w:before="0" w:beforeAutospacing="0" w:after="0" w:afterAutospacing="0"/>
                    <w:ind w:left="0" w:right="0"/>
                    <w:rPr>
                      <w:rStyle w:val="51"/>
                      <w:rFonts w:hint="eastAsia" w:ascii="Times New Roman" w:hAnsi="Times New Roman" w:eastAsia="宋体" w:cs="Times New Roman"/>
                      <w:bCs/>
                      <w:color w:val="auto"/>
                      <w:sz w:val="21"/>
                      <w:szCs w:val="21"/>
                      <w:highlight w:val="none"/>
                      <w:lang w:eastAsia="zh-CN"/>
                    </w:rPr>
                  </w:pPr>
                  <w:r>
                    <w:rPr>
                      <w:rStyle w:val="51"/>
                      <w:rFonts w:hint="default" w:ascii="Times New Roman" w:hAnsi="Times New Roman" w:cs="Times New Roman"/>
                      <w:bCs/>
                      <w:color w:val="auto"/>
                      <w:sz w:val="21"/>
                      <w:szCs w:val="21"/>
                      <w:highlight w:val="none"/>
                    </w:rPr>
                    <w:t>暂存于</w:t>
                  </w:r>
                  <w:r>
                    <w:rPr>
                      <w:rStyle w:val="51"/>
                      <w:rFonts w:hint="eastAsia" w:cs="Times New Roman"/>
                      <w:bCs/>
                      <w:color w:val="auto"/>
                      <w:sz w:val="21"/>
                      <w:szCs w:val="21"/>
                      <w:highlight w:val="none"/>
                      <w:lang w:eastAsia="zh-CN"/>
                    </w:rPr>
                    <w:t>危废暂存点</w:t>
                  </w:r>
                </w:p>
              </w:tc>
              <w:tc>
                <w:tcPr>
                  <w:tcW w:w="979" w:type="dxa"/>
                  <w:noWrap w:val="0"/>
                  <w:vAlign w:val="center"/>
                </w:tcPr>
                <w:p w14:paraId="3DD05349">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lang w:eastAsia="zh-CN"/>
                    </w:rPr>
                    <w:t>袋装</w:t>
                  </w:r>
                </w:p>
              </w:tc>
              <w:tc>
                <w:tcPr>
                  <w:tcW w:w="1028" w:type="dxa"/>
                  <w:noWrap w:val="0"/>
                  <w:vAlign w:val="center"/>
                </w:tcPr>
                <w:p w14:paraId="3A18FFE5">
                  <w:pPr>
                    <w:pStyle w:val="50"/>
                    <w:keepNext w:val="0"/>
                    <w:keepLines w:val="0"/>
                    <w:suppressLineNumbers w:val="0"/>
                    <w:adjustRightInd w:val="0"/>
                    <w:snapToGrid w:val="0"/>
                    <w:spacing w:before="0" w:beforeAutospacing="0" w:after="0" w:afterAutospacing="0"/>
                    <w:ind w:left="0" w:right="0"/>
                    <w:rPr>
                      <w:rStyle w:val="51"/>
                      <w:rFonts w:hint="eastAsia" w:ascii="Times New Roman" w:hAnsi="Times New Roman" w:eastAsia="宋体" w:cs="Times New Roman"/>
                      <w:bCs/>
                      <w:color w:val="auto"/>
                      <w:sz w:val="21"/>
                      <w:szCs w:val="21"/>
                      <w:highlight w:val="none"/>
                      <w:lang w:eastAsia="zh-CN"/>
                    </w:rPr>
                  </w:pPr>
                  <w:r>
                    <w:rPr>
                      <w:rStyle w:val="51"/>
                      <w:rFonts w:hint="default" w:ascii="Times New Roman" w:hAnsi="Times New Roman" w:cs="Times New Roman"/>
                      <w:bCs/>
                      <w:color w:val="auto"/>
                      <w:sz w:val="21"/>
                      <w:szCs w:val="21"/>
                      <w:highlight w:val="none"/>
                    </w:rPr>
                    <w:t>暂存于</w:t>
                  </w:r>
                  <w:r>
                    <w:rPr>
                      <w:rStyle w:val="51"/>
                      <w:rFonts w:hint="eastAsia" w:cs="Times New Roman"/>
                      <w:bCs/>
                      <w:color w:val="auto"/>
                      <w:sz w:val="21"/>
                      <w:szCs w:val="21"/>
                      <w:highlight w:val="none"/>
                      <w:lang w:eastAsia="zh-CN"/>
                    </w:rPr>
                    <w:t>危废暂存点</w:t>
                  </w:r>
                </w:p>
              </w:tc>
            </w:tr>
            <w:tr w14:paraId="0403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3" w:type="dxa"/>
                  <w:gridSpan w:val="2"/>
                  <w:noWrap w:val="0"/>
                  <w:vAlign w:val="center"/>
                </w:tcPr>
                <w:p w14:paraId="4E0B63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auto"/>
                      <w:kern w:val="0"/>
                      <w:sz w:val="21"/>
                      <w:szCs w:val="21"/>
                      <w:highlight w:val="none"/>
                      <w:lang w:bidi="ar"/>
                    </w:rPr>
                  </w:pPr>
                  <w:r>
                    <w:rPr>
                      <w:rFonts w:hint="default" w:ascii="Times New Roman" w:hAnsi="Times New Roman" w:cs="Times New Roman"/>
                      <w:b/>
                      <w:color w:val="auto"/>
                      <w:kern w:val="0"/>
                      <w:sz w:val="21"/>
                      <w:szCs w:val="21"/>
                      <w:highlight w:val="none"/>
                      <w:lang w:bidi="ar"/>
                    </w:rPr>
                    <w:t>利用处置方式和去向</w:t>
                  </w:r>
                </w:p>
              </w:tc>
              <w:tc>
                <w:tcPr>
                  <w:tcW w:w="898" w:type="dxa"/>
                  <w:noWrap w:val="0"/>
                  <w:vAlign w:val="center"/>
                </w:tcPr>
                <w:p w14:paraId="06598021">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统一收集后</w:t>
                  </w:r>
                  <w:r>
                    <w:rPr>
                      <w:rStyle w:val="51"/>
                      <w:rFonts w:hint="default" w:ascii="Times New Roman" w:hAnsi="Times New Roman" w:cs="Times New Roman"/>
                      <w:bCs/>
                      <w:color w:val="auto"/>
                      <w:sz w:val="21"/>
                      <w:szCs w:val="21"/>
                      <w:highlight w:val="none"/>
                    </w:rPr>
                    <w:t>委托环卫部门清运处置</w:t>
                  </w:r>
                </w:p>
              </w:tc>
              <w:tc>
                <w:tcPr>
                  <w:tcW w:w="852" w:type="dxa"/>
                  <w:noWrap w:val="0"/>
                  <w:vAlign w:val="center"/>
                </w:tcPr>
                <w:p w14:paraId="28B4F307">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rPr>
                    <w:t>交由具有相应处理资质的单位处置</w:t>
                  </w:r>
                </w:p>
              </w:tc>
              <w:tc>
                <w:tcPr>
                  <w:tcW w:w="978" w:type="dxa"/>
                  <w:noWrap w:val="0"/>
                  <w:vAlign w:val="center"/>
                </w:tcPr>
                <w:p w14:paraId="5845CA5D">
                  <w:pPr>
                    <w:pStyle w:val="5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交由</w:t>
                  </w:r>
                  <w:r>
                    <w:rPr>
                      <w:rFonts w:hint="eastAsia"/>
                      <w:color w:val="auto"/>
                    </w:rPr>
                    <w:t>寻甸绿运垃圾清运有限公司</w:t>
                  </w:r>
                  <w:r>
                    <w:rPr>
                      <w:rFonts w:hint="default" w:ascii="Times New Roman" w:hAnsi="Times New Roman" w:cs="Times New Roman"/>
                      <w:color w:val="auto"/>
                      <w:sz w:val="21"/>
                      <w:szCs w:val="21"/>
                      <w:lang w:val="en-US" w:eastAsia="zh-CN"/>
                    </w:rPr>
                    <w:t>处置</w:t>
                  </w:r>
                </w:p>
              </w:tc>
              <w:tc>
                <w:tcPr>
                  <w:tcW w:w="989" w:type="dxa"/>
                  <w:noWrap w:val="0"/>
                  <w:vAlign w:val="center"/>
                </w:tcPr>
                <w:p w14:paraId="2E1605E8">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rPr>
                    <w:t>暂存于</w:t>
                  </w: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rPr>
                    <w:t>，委托有资质的单 位及时清运，合理处置</w:t>
                  </w:r>
                </w:p>
              </w:tc>
              <w:tc>
                <w:tcPr>
                  <w:tcW w:w="1048" w:type="dxa"/>
                  <w:noWrap w:val="0"/>
                  <w:vAlign w:val="center"/>
                </w:tcPr>
                <w:p w14:paraId="3B44EC72">
                  <w:pPr>
                    <w:pStyle w:val="50"/>
                    <w:keepNext w:val="0"/>
                    <w:keepLines w:val="0"/>
                    <w:suppressLineNumbers w:val="0"/>
                    <w:adjustRightInd w:val="0"/>
                    <w:snapToGrid w:val="0"/>
                    <w:spacing w:before="0" w:beforeAutospacing="0" w:after="0" w:afterAutospacing="0"/>
                    <w:ind w:left="0" w:right="0"/>
                    <w:jc w:val="center"/>
                    <w:rPr>
                      <w:rStyle w:val="51"/>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rPr>
                    <w:t>由清洗单位收集运 走，交由有资质的单位处置，不在项目区暂存</w:t>
                  </w:r>
                </w:p>
              </w:tc>
              <w:tc>
                <w:tcPr>
                  <w:tcW w:w="999" w:type="dxa"/>
                  <w:noWrap w:val="0"/>
                  <w:vAlign w:val="center"/>
                </w:tcPr>
                <w:p w14:paraId="4DA19032">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及时收集存储在</w:t>
                  </w:r>
                  <w:r>
                    <w:rPr>
                      <w:rFonts w:hint="eastAsia" w:cs="Times New Roman"/>
                      <w:color w:val="auto"/>
                      <w:sz w:val="21"/>
                      <w:szCs w:val="21"/>
                      <w:lang w:eastAsia="zh-CN"/>
                    </w:rPr>
                    <w:t>危废暂存点</w:t>
                  </w:r>
                  <w:r>
                    <w:rPr>
                      <w:rFonts w:hint="default" w:ascii="Times New Roman" w:hAnsi="Times New Roman" w:cs="Times New Roman"/>
                      <w:color w:val="auto"/>
                      <w:sz w:val="21"/>
                      <w:szCs w:val="21"/>
                    </w:rPr>
                    <w:t>，委托有资质的单位处理</w:t>
                  </w:r>
                </w:p>
              </w:tc>
              <w:tc>
                <w:tcPr>
                  <w:tcW w:w="979" w:type="dxa"/>
                  <w:noWrap w:val="0"/>
                  <w:vAlign w:val="center"/>
                </w:tcPr>
                <w:p w14:paraId="7CD8E17F">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rPr>
                    <w:t>暂存于</w:t>
                  </w: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rPr>
                    <w:t>，委托有资质的单位及时清运，合理处置</w:t>
                  </w:r>
                </w:p>
              </w:tc>
              <w:tc>
                <w:tcPr>
                  <w:tcW w:w="1028" w:type="dxa"/>
                  <w:noWrap w:val="0"/>
                  <w:vAlign w:val="center"/>
                </w:tcPr>
                <w:p w14:paraId="6B890ED9">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及时收集存储在</w:t>
                  </w:r>
                  <w:r>
                    <w:rPr>
                      <w:rFonts w:hint="eastAsia" w:cs="Times New Roman"/>
                      <w:color w:val="auto"/>
                      <w:sz w:val="21"/>
                      <w:szCs w:val="21"/>
                      <w:lang w:eastAsia="zh-CN"/>
                    </w:rPr>
                    <w:t>危废暂存点</w:t>
                  </w:r>
                  <w:r>
                    <w:rPr>
                      <w:rFonts w:hint="default" w:ascii="Times New Roman" w:hAnsi="Times New Roman" w:cs="Times New Roman"/>
                      <w:color w:val="auto"/>
                      <w:sz w:val="21"/>
                      <w:szCs w:val="21"/>
                    </w:rPr>
                    <w:t>，委托有资质的单位处理</w:t>
                  </w:r>
                </w:p>
              </w:tc>
            </w:tr>
            <w:tr w14:paraId="3ABB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63" w:type="dxa"/>
                  <w:gridSpan w:val="2"/>
                  <w:noWrap w:val="0"/>
                  <w:vAlign w:val="center"/>
                </w:tcPr>
                <w:p w14:paraId="364613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auto"/>
                      <w:kern w:val="0"/>
                      <w:sz w:val="21"/>
                      <w:szCs w:val="21"/>
                      <w:highlight w:val="none"/>
                      <w:lang w:bidi="ar"/>
                    </w:rPr>
                  </w:pPr>
                  <w:r>
                    <w:rPr>
                      <w:rFonts w:hint="default" w:ascii="Times New Roman" w:hAnsi="Times New Roman" w:cs="Times New Roman"/>
                      <w:b/>
                      <w:color w:val="auto"/>
                      <w:kern w:val="0"/>
                      <w:sz w:val="21"/>
                      <w:szCs w:val="21"/>
                      <w:highlight w:val="none"/>
                      <w:lang w:bidi="ar"/>
                    </w:rPr>
                    <w:t>利用或处置量</w:t>
                  </w:r>
                </w:p>
              </w:tc>
              <w:tc>
                <w:tcPr>
                  <w:tcW w:w="898" w:type="dxa"/>
                  <w:noWrap w:val="0"/>
                  <w:vAlign w:val="center"/>
                </w:tcPr>
                <w:p w14:paraId="6C5A2508">
                  <w:pPr>
                    <w:pStyle w:val="50"/>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lang w:val="en-US" w:eastAsia="zh-CN"/>
                    </w:rPr>
                    <w:t>6.3875</w:t>
                  </w:r>
                  <w:r>
                    <w:rPr>
                      <w:rFonts w:hint="default" w:ascii="Times New Roman" w:hAnsi="Times New Roman" w:cs="Times New Roman"/>
                      <w:color w:val="auto"/>
                      <w:sz w:val="21"/>
                      <w:szCs w:val="21"/>
                    </w:rPr>
                    <w:t>t/a</w:t>
                  </w:r>
                </w:p>
              </w:tc>
              <w:tc>
                <w:tcPr>
                  <w:tcW w:w="852" w:type="dxa"/>
                  <w:noWrap w:val="0"/>
                  <w:vAlign w:val="center"/>
                </w:tcPr>
                <w:p w14:paraId="7DA9E960">
                  <w:pPr>
                    <w:pStyle w:val="50"/>
                    <w:keepNext w:val="0"/>
                    <w:keepLines w:val="0"/>
                    <w:suppressLineNumbers w:val="0"/>
                    <w:adjustRightInd w:val="0"/>
                    <w:snapToGrid w:val="0"/>
                    <w:spacing w:before="0" w:beforeAutospacing="0" w:after="0" w:afterAutospacing="0"/>
                    <w:ind w:left="0" w:leftChars="0" w:right="0" w:rightChars="0"/>
                    <w:rPr>
                      <w:rStyle w:val="51"/>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rPr>
                    <w:t>0.005t/a</w:t>
                  </w:r>
                </w:p>
              </w:tc>
              <w:tc>
                <w:tcPr>
                  <w:tcW w:w="978" w:type="dxa"/>
                  <w:noWrap w:val="0"/>
                  <w:vAlign w:val="center"/>
                </w:tcPr>
                <w:p w14:paraId="05E939F2">
                  <w:pPr>
                    <w:pStyle w:val="50"/>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0.0332t/a</w:t>
                  </w:r>
                </w:p>
              </w:tc>
              <w:tc>
                <w:tcPr>
                  <w:tcW w:w="989" w:type="dxa"/>
                  <w:noWrap w:val="0"/>
                  <w:vAlign w:val="center"/>
                </w:tcPr>
                <w:p w14:paraId="75BC12D8">
                  <w:pPr>
                    <w:pStyle w:val="50"/>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0.05t/a</w:t>
                  </w:r>
                </w:p>
              </w:tc>
              <w:tc>
                <w:tcPr>
                  <w:tcW w:w="1048" w:type="dxa"/>
                  <w:noWrap w:val="0"/>
                  <w:vAlign w:val="center"/>
                </w:tcPr>
                <w:p w14:paraId="23A4497D">
                  <w:pPr>
                    <w:pStyle w:val="50"/>
                    <w:keepNext w:val="0"/>
                    <w:keepLines w:val="0"/>
                    <w:suppressLineNumbers w:val="0"/>
                    <w:adjustRightInd w:val="0"/>
                    <w:snapToGrid w:val="0"/>
                    <w:spacing w:before="0" w:beforeAutospacing="0" w:after="0" w:afterAutospacing="0"/>
                    <w:ind w:left="0" w:leftChars="0" w:right="0" w:rightChars="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rPr>
                    <w:t>t/a</w:t>
                  </w:r>
                </w:p>
              </w:tc>
              <w:tc>
                <w:tcPr>
                  <w:tcW w:w="999" w:type="dxa"/>
                  <w:noWrap w:val="0"/>
                  <w:vAlign w:val="center"/>
                </w:tcPr>
                <w:p w14:paraId="5FFCDC17">
                  <w:pPr>
                    <w:pStyle w:val="50"/>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0.005t/a</w:t>
                  </w:r>
                </w:p>
              </w:tc>
              <w:tc>
                <w:tcPr>
                  <w:tcW w:w="979" w:type="dxa"/>
                  <w:noWrap w:val="0"/>
                  <w:vAlign w:val="center"/>
                </w:tcPr>
                <w:p w14:paraId="62E4F4CB">
                  <w:pPr>
                    <w:pStyle w:val="50"/>
                    <w:keepNext w:val="0"/>
                    <w:keepLines w:val="0"/>
                    <w:suppressLineNumbers w:val="0"/>
                    <w:adjustRightInd w:val="0"/>
                    <w:snapToGrid w:val="0"/>
                    <w:spacing w:before="0" w:beforeAutospacing="0" w:after="0" w:afterAutospacing="0"/>
                    <w:ind w:left="0" w:leftChars="0" w:right="0" w:rightChars="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0.3t/a</w:t>
                  </w:r>
                </w:p>
              </w:tc>
              <w:tc>
                <w:tcPr>
                  <w:tcW w:w="1028" w:type="dxa"/>
                  <w:noWrap w:val="0"/>
                  <w:vAlign w:val="center"/>
                </w:tcPr>
                <w:p w14:paraId="19BC7B98">
                  <w:pPr>
                    <w:pStyle w:val="50"/>
                    <w:keepNext w:val="0"/>
                    <w:keepLines w:val="0"/>
                    <w:suppressLineNumbers w:val="0"/>
                    <w:adjustRightInd w:val="0"/>
                    <w:snapToGrid w:val="0"/>
                    <w:spacing w:before="0" w:beforeAutospacing="0" w:after="0" w:afterAutospacing="0"/>
                    <w:ind w:left="0" w:leftChars="0" w:right="0" w:rightChars="0"/>
                    <w:rPr>
                      <w:rStyle w:val="51"/>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rPr>
                    <w:t>0.01t/a</w:t>
                  </w:r>
                </w:p>
              </w:tc>
            </w:tr>
            <w:tr w14:paraId="5C8C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1263" w:type="dxa"/>
                  <w:gridSpan w:val="2"/>
                  <w:noWrap w:val="0"/>
                  <w:vAlign w:val="center"/>
                </w:tcPr>
                <w:p w14:paraId="1F3E912D">
                  <w:pPr>
                    <w:keepNext w:val="0"/>
                    <w:keepLines w:val="0"/>
                    <w:widowControl/>
                    <w:suppressLineNumbers w:val="0"/>
                    <w:adjustRightInd w:val="0"/>
                    <w:snapToGrid w:val="0"/>
                    <w:spacing w:before="0" w:beforeAutospacing="0" w:after="0" w:afterAutospacing="0"/>
                    <w:ind w:left="0" w:right="0"/>
                    <w:jc w:val="center"/>
                    <w:rPr>
                      <w:rStyle w:val="51"/>
                      <w:rFonts w:hint="default" w:ascii="Times New Roman" w:hAnsi="Times New Roman" w:cs="Times New Roman"/>
                      <w:b/>
                      <w:color w:val="auto"/>
                      <w:sz w:val="21"/>
                      <w:szCs w:val="21"/>
                      <w:highlight w:val="none"/>
                    </w:rPr>
                  </w:pPr>
                  <w:r>
                    <w:rPr>
                      <w:rStyle w:val="51"/>
                      <w:rFonts w:hint="default" w:ascii="Times New Roman" w:hAnsi="Times New Roman" w:cs="Times New Roman"/>
                      <w:b/>
                      <w:color w:val="auto"/>
                      <w:sz w:val="21"/>
                      <w:szCs w:val="21"/>
                      <w:highlight w:val="none"/>
                    </w:rPr>
                    <w:t>环境管理</w:t>
                  </w:r>
                </w:p>
                <w:p w14:paraId="7F59FE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auto"/>
                      <w:kern w:val="0"/>
                      <w:sz w:val="21"/>
                      <w:szCs w:val="21"/>
                      <w:highlight w:val="none"/>
                      <w:lang w:bidi="ar"/>
                    </w:rPr>
                  </w:pPr>
                  <w:r>
                    <w:rPr>
                      <w:rStyle w:val="51"/>
                      <w:rFonts w:hint="default" w:ascii="Times New Roman" w:hAnsi="Times New Roman" w:cs="Times New Roman"/>
                      <w:b/>
                      <w:color w:val="auto"/>
                      <w:sz w:val="21"/>
                      <w:szCs w:val="21"/>
                      <w:highlight w:val="none"/>
                    </w:rPr>
                    <w:t>要求</w:t>
                  </w:r>
                </w:p>
              </w:tc>
              <w:tc>
                <w:tcPr>
                  <w:tcW w:w="898" w:type="dxa"/>
                  <w:noWrap w:val="0"/>
                  <w:vAlign w:val="center"/>
                </w:tcPr>
                <w:p w14:paraId="79DB47C1">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100%处置</w:t>
                  </w:r>
                </w:p>
              </w:tc>
              <w:tc>
                <w:tcPr>
                  <w:tcW w:w="852" w:type="dxa"/>
                  <w:noWrap w:val="0"/>
                  <w:vAlign w:val="center"/>
                </w:tcPr>
                <w:p w14:paraId="60C3A156">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100%处置</w:t>
                  </w:r>
                </w:p>
              </w:tc>
              <w:tc>
                <w:tcPr>
                  <w:tcW w:w="978" w:type="dxa"/>
                  <w:noWrap w:val="0"/>
                  <w:vAlign w:val="center"/>
                </w:tcPr>
                <w:p w14:paraId="46440FC7">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100%处置</w:t>
                  </w:r>
                </w:p>
              </w:tc>
              <w:tc>
                <w:tcPr>
                  <w:tcW w:w="989" w:type="dxa"/>
                  <w:noWrap w:val="0"/>
                  <w:vAlign w:val="center"/>
                </w:tcPr>
                <w:p w14:paraId="37497A43">
                  <w:pPr>
                    <w:pStyle w:val="50"/>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100%处置</w:t>
                  </w:r>
                </w:p>
              </w:tc>
              <w:tc>
                <w:tcPr>
                  <w:tcW w:w="1048" w:type="dxa"/>
                  <w:noWrap w:val="0"/>
                  <w:vAlign w:val="center"/>
                </w:tcPr>
                <w:p w14:paraId="17023E20">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100%处置，并建立台账、转移联单制</w:t>
                  </w:r>
                </w:p>
              </w:tc>
              <w:tc>
                <w:tcPr>
                  <w:tcW w:w="999" w:type="dxa"/>
                  <w:noWrap w:val="0"/>
                  <w:vAlign w:val="center"/>
                </w:tcPr>
                <w:p w14:paraId="5561EFFC">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100%处置，并建立台账、转移联单制</w:t>
                  </w:r>
                </w:p>
              </w:tc>
              <w:tc>
                <w:tcPr>
                  <w:tcW w:w="979" w:type="dxa"/>
                  <w:noWrap w:val="0"/>
                  <w:vAlign w:val="center"/>
                </w:tcPr>
                <w:p w14:paraId="45352F34">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100%处置</w:t>
                  </w:r>
                </w:p>
              </w:tc>
              <w:tc>
                <w:tcPr>
                  <w:tcW w:w="1028" w:type="dxa"/>
                  <w:noWrap w:val="0"/>
                  <w:vAlign w:val="center"/>
                </w:tcPr>
                <w:p w14:paraId="33E77A56">
                  <w:pPr>
                    <w:pStyle w:val="50"/>
                    <w:keepNext w:val="0"/>
                    <w:keepLines w:val="0"/>
                    <w:suppressLineNumbers w:val="0"/>
                    <w:adjustRightInd w:val="0"/>
                    <w:snapToGrid w:val="0"/>
                    <w:spacing w:before="0" w:beforeAutospacing="0" w:after="0" w:afterAutospacing="0"/>
                    <w:ind w:left="0" w:right="0"/>
                    <w:rPr>
                      <w:rStyle w:val="51"/>
                      <w:rFonts w:hint="default" w:ascii="Times New Roman" w:hAnsi="Times New Roman" w:cs="Times New Roman"/>
                      <w:bCs/>
                      <w:color w:val="auto"/>
                      <w:sz w:val="21"/>
                      <w:szCs w:val="21"/>
                      <w:highlight w:val="none"/>
                    </w:rPr>
                  </w:pPr>
                  <w:r>
                    <w:rPr>
                      <w:rStyle w:val="51"/>
                      <w:rFonts w:hint="default" w:ascii="Times New Roman" w:hAnsi="Times New Roman" w:cs="Times New Roman"/>
                      <w:bCs/>
                      <w:color w:val="auto"/>
                      <w:sz w:val="21"/>
                      <w:szCs w:val="21"/>
                      <w:highlight w:val="none"/>
                    </w:rPr>
                    <w:t>100%处置，并建立台账、转移联单制</w:t>
                  </w:r>
                </w:p>
              </w:tc>
            </w:tr>
          </w:tbl>
          <w:p w14:paraId="23A833B3">
            <w:pPr>
              <w:spacing w:line="360" w:lineRule="auto"/>
              <w:ind w:firstLine="556"/>
              <w:rPr>
                <w:rFonts w:hint="default" w:ascii="Times New Roman" w:hAnsi="Times New Roman" w:cs="Times New Roman"/>
                <w:color w:val="auto"/>
                <w:kern w:val="1"/>
                <w:sz w:val="24"/>
                <w:szCs w:val="24"/>
              </w:rPr>
            </w:pPr>
            <w:r>
              <w:rPr>
                <w:rFonts w:hint="default" w:ascii="Times New Roman" w:hAnsi="Times New Roman" w:cs="Times New Roman"/>
                <w:color w:val="auto"/>
                <w:kern w:val="1"/>
                <w:sz w:val="24"/>
                <w:szCs w:val="24"/>
              </w:rPr>
              <w:t>综上所述，本项目固废去向明确，且均得到有效的处理、处置，固废处置率为100%，不会对当地环境造成不良影响。</w:t>
            </w:r>
          </w:p>
          <w:p w14:paraId="403F5178">
            <w:pPr>
              <w:spacing w:line="360" w:lineRule="auto"/>
              <w:ind w:firstLine="480" w:firstLineChars="200"/>
              <w:contextualSpacing/>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w:t>
            </w:r>
            <w:r>
              <w:rPr>
                <w:rFonts w:hint="default" w:ascii="Times New Roman" w:hAnsi="Times New Roman" w:eastAsia="宋体" w:cs="Times New Roman"/>
                <w:color w:val="auto"/>
                <w:sz w:val="24"/>
                <w:szCs w:val="24"/>
              </w:rPr>
              <w:t>《危险废物贮存污染控制标准》（GB 18597-20</w:t>
            </w:r>
            <w:r>
              <w:rPr>
                <w:rFonts w:hint="default" w:ascii="Times New Roman" w:hAnsi="Times New Roman" w:eastAsia="宋体" w:cs="Times New Roman"/>
                <w:color w:val="auto"/>
                <w:sz w:val="24"/>
                <w:szCs w:val="24"/>
                <w:lang w:val="en-US" w:eastAsia="zh-CN"/>
              </w:rPr>
              <w:t>23</w:t>
            </w:r>
            <w:r>
              <w:rPr>
                <w:rFonts w:hint="default" w:ascii="Times New Roman" w:hAnsi="Times New Roman" w:cs="Times New Roman"/>
                <w:color w:val="auto"/>
                <w:sz w:val="24"/>
                <w:szCs w:val="24"/>
                <w:lang w:val="en-US" w:eastAsia="zh-CN"/>
              </w:rPr>
              <w:t>）中要求</w:t>
            </w:r>
            <w:r>
              <w:rPr>
                <w:rFonts w:hint="default" w:ascii="Times New Roman" w:hAnsi="Times New Roman" w:cs="Times New Roman"/>
                <w:color w:val="auto"/>
                <w:sz w:val="24"/>
                <w:szCs w:val="24"/>
                <w:lang w:eastAsia="zh-CN"/>
              </w:rPr>
              <w:t>：</w:t>
            </w:r>
          </w:p>
          <w:p w14:paraId="7C498B36">
            <w:pPr>
              <w:pStyle w:val="49"/>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14:paraId="16D22EFC">
            <w:pPr>
              <w:pStyle w:val="49"/>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57"/>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eastAsia" w:cs="Times New Roman"/>
                <w:color w:val="auto"/>
                <w:sz w:val="24"/>
                <w:szCs w:val="24"/>
                <w:highlight w:val="none"/>
                <w:lang w:eastAsia="zh-CN"/>
              </w:rPr>
              <w:t>危险废物暂存</w:t>
            </w:r>
            <w:r>
              <w:rPr>
                <w:rFonts w:hint="eastAsia" w:cs="Times New Roman"/>
                <w:color w:val="auto"/>
                <w:sz w:val="24"/>
                <w:szCs w:val="24"/>
                <w:highlight w:val="none"/>
                <w:lang w:val="en-US" w:eastAsia="zh-CN"/>
              </w:rPr>
              <w:t>点</w:t>
            </w:r>
            <w:r>
              <w:rPr>
                <w:rFonts w:hint="default" w:ascii="Times New Roman" w:hAnsi="Times New Roman" w:eastAsia="宋体" w:cs="Times New Roman"/>
                <w:color w:val="auto"/>
                <w:sz w:val="24"/>
                <w:szCs w:val="24"/>
                <w:highlight w:val="none"/>
              </w:rPr>
              <w:t>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采用“抗渗混凝土+2mm厚HDPE+环氧树脂”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14:paraId="746F3363">
            <w:pPr>
              <w:pStyle w:val="49"/>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14:paraId="34E362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贮存设施应根据危险废物的形态、物理化学性质、包装形式和污染物迁移途径，采取必要的防风、防晒、防雨、防漏、防渗、防腐以及其他环境污染防治措施，不应露天堆放危险废物。</w:t>
            </w:r>
          </w:p>
          <w:p w14:paraId="08C34A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贮存设施应根据危险废物的类别、数量、形态、物理化学性质和污染防治等要求设置必要的贮存分区，避免不相容的危险废物接触、混合。</w:t>
            </w:r>
          </w:p>
          <w:p w14:paraId="63AC3E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贮存设施或贮存分区内地面、墙面裙脚、堵截泄漏的围堰、接触危险废物的隔板和墙体等应采用坚固的材料建造，表面无裂缝。</w:t>
            </w:r>
          </w:p>
          <w:p w14:paraId="7C8640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cm/s），或至少2mm厚高密度聚乙烯膜等人工防渗材料（渗透系数不大于10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cm/s），或其他防渗性能等效的材料。</w:t>
            </w:r>
          </w:p>
          <w:p w14:paraId="3EB8CD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同一贮存设施宜采用相同的防渗、防腐工艺（包括防渗、防腐结构或材料），防渗、防腐材料应覆盖所有可能与废物及其渗滤液、渗漏液等接触的构筑物表面；采用不同防渗、防腐工艺应分别建设贮存分区。</w:t>
            </w:r>
          </w:p>
          <w:p w14:paraId="4028C6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贮存设施应采取技术和管理措施防止无关人员进入。</w:t>
            </w:r>
          </w:p>
          <w:p w14:paraId="4D572008">
            <w:pPr>
              <w:spacing w:line="360" w:lineRule="auto"/>
              <w:ind w:firstLine="482" w:firstLineChars="200"/>
              <w:rPr>
                <w:rFonts w:hint="default" w:ascii="Times New Roman" w:hAnsi="Times New Roman" w:cs="Times New Roman"/>
                <w:b/>
                <w:bCs/>
                <w:color w:val="auto"/>
                <w:sz w:val="24"/>
                <w:shd w:val="clear" w:color="auto" w:fill="FFFFFF"/>
              </w:rPr>
            </w:pPr>
            <w:r>
              <w:rPr>
                <w:rFonts w:hint="eastAsia" w:cs="Times New Roman"/>
                <w:b/>
                <w:bCs/>
                <w:color w:val="auto"/>
                <w:sz w:val="24"/>
                <w:shd w:val="clear" w:color="auto" w:fill="FFFFFF"/>
                <w:lang w:eastAsia="zh-CN"/>
              </w:rPr>
              <w:t>危废暂存点</w:t>
            </w:r>
            <w:r>
              <w:rPr>
                <w:rFonts w:hint="default" w:ascii="Times New Roman" w:hAnsi="Times New Roman" w:cs="Times New Roman"/>
                <w:b/>
                <w:bCs/>
                <w:color w:val="auto"/>
                <w:sz w:val="24"/>
                <w:shd w:val="clear" w:color="auto" w:fill="FFFFFF"/>
              </w:rPr>
              <w:t>标识和信息板设置标准：</w:t>
            </w:r>
          </w:p>
          <w:p w14:paraId="4E28E262">
            <w:pPr>
              <w:spacing w:line="360" w:lineRule="auto"/>
              <w:jc w:val="center"/>
              <w:rPr>
                <w:rFonts w:hint="default" w:ascii="Times New Roman" w:hAnsi="Times New Roman" w:eastAsia="宋体" w:cs="Times New Roman"/>
                <w:color w:val="auto"/>
                <w:szCs w:val="20"/>
                <w:shd w:val="clear" w:color="auto" w:fill="FFFFFF"/>
                <w:lang w:eastAsia="zh-CN"/>
              </w:rPr>
            </w:pPr>
            <w:r>
              <w:rPr>
                <w:rFonts w:hint="default" w:ascii="Times New Roman" w:hAnsi="Times New Roman" w:cs="Times New Roman"/>
                <w:color w:val="auto"/>
              </w:rPr>
              <w:drawing>
                <wp:inline distT="0" distB="0" distL="114300" distR="114300">
                  <wp:extent cx="2489835" cy="1956435"/>
                  <wp:effectExtent l="0" t="0" r="5715" b="5715"/>
                  <wp:docPr id="4" name="图片 2"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W020230515591221879653"/>
                          <pic:cNvPicPr>
                            <a:picLocks noChangeAspect="1"/>
                          </pic:cNvPicPr>
                        </pic:nvPicPr>
                        <pic:blipFill>
                          <a:blip r:embed="rId19"/>
                          <a:stretch>
                            <a:fillRect/>
                          </a:stretch>
                        </pic:blipFill>
                        <pic:spPr>
                          <a:xfrm>
                            <a:off x="0" y="0"/>
                            <a:ext cx="2489835" cy="1956435"/>
                          </a:xfrm>
                          <a:prstGeom prst="rect">
                            <a:avLst/>
                          </a:prstGeom>
                          <a:noFill/>
                          <a:ln>
                            <a:noFill/>
                          </a:ln>
                        </pic:spPr>
                      </pic:pic>
                    </a:graphicData>
                  </a:graphic>
                </wp:inline>
              </w:drawing>
            </w:r>
            <w:r>
              <w:rPr>
                <w:rFonts w:hint="default" w:ascii="Times New Roman" w:hAnsi="Times New Roman" w:eastAsia="宋体" w:cs="Times New Roman"/>
                <w:color w:val="auto"/>
                <w:szCs w:val="20"/>
                <w:shd w:val="clear" w:color="auto" w:fill="FFFFFF"/>
                <w:lang w:eastAsia="zh-CN"/>
              </w:rPr>
              <w:drawing>
                <wp:inline distT="0" distB="0" distL="114300" distR="114300">
                  <wp:extent cx="2477770" cy="2750820"/>
                  <wp:effectExtent l="0" t="0" r="17780" b="11430"/>
                  <wp:docPr id="1" name="图片 3" descr="W02023051559122296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W020230515591222963411"/>
                          <pic:cNvPicPr>
                            <a:picLocks noChangeAspect="1"/>
                          </pic:cNvPicPr>
                        </pic:nvPicPr>
                        <pic:blipFill>
                          <a:blip r:embed="rId20"/>
                          <a:stretch>
                            <a:fillRect/>
                          </a:stretch>
                        </pic:blipFill>
                        <pic:spPr>
                          <a:xfrm>
                            <a:off x="0" y="0"/>
                            <a:ext cx="2477770" cy="2750820"/>
                          </a:xfrm>
                          <a:prstGeom prst="rect">
                            <a:avLst/>
                          </a:prstGeom>
                          <a:noFill/>
                          <a:ln>
                            <a:noFill/>
                          </a:ln>
                        </pic:spPr>
                      </pic:pic>
                    </a:graphicData>
                  </a:graphic>
                </wp:inline>
              </w:drawing>
            </w:r>
          </w:p>
          <w:p w14:paraId="3E206FE4">
            <w:pPr>
              <w:spacing w:line="360" w:lineRule="auto"/>
              <w:jc w:val="center"/>
              <w:rPr>
                <w:rFonts w:hint="default" w:ascii="Times New Roman" w:hAnsi="Times New Roman" w:cs="Times New Roman"/>
                <w:color w:val="auto"/>
                <w:szCs w:val="21"/>
                <w:shd w:val="clear" w:color="auto" w:fill="FFFFFF"/>
              </w:rPr>
            </w:pPr>
            <w:r>
              <w:rPr>
                <w:rFonts w:hint="default" w:ascii="Times New Roman" w:hAnsi="Times New Roman" w:cs="Times New Roman"/>
                <w:b/>
                <w:bCs/>
                <w:color w:val="auto"/>
                <w:szCs w:val="21"/>
              </w:rPr>
              <w:t>图4-</w:t>
            </w:r>
            <w:r>
              <w:rPr>
                <w:rFonts w:hint="default" w:ascii="Times New Roman" w:hAnsi="Times New Roman" w:cs="Times New Roman"/>
                <w:b/>
                <w:bCs/>
                <w:color w:val="auto"/>
                <w:szCs w:val="21"/>
                <w:lang w:val="en-US" w:eastAsia="zh-CN"/>
              </w:rPr>
              <w:t>1横版危险废物贮存设施标志（横版和竖版）</w:t>
            </w:r>
          </w:p>
          <w:p w14:paraId="5948C7FF">
            <w:pPr>
              <w:jc w:val="center"/>
              <w:rPr>
                <w:rFonts w:hint="default" w:ascii="Times New Roman" w:hAnsi="Times New Roman" w:cs="Times New Roman"/>
                <w:b/>
                <w:bCs/>
                <w:color w:val="auto"/>
                <w:szCs w:val="21"/>
              </w:rPr>
            </w:pPr>
            <w:r>
              <w:rPr>
                <w:rFonts w:hint="default" w:ascii="Times New Roman" w:hAnsi="Times New Roman" w:eastAsia="宋体" w:cs="Times New Roman"/>
                <w:color w:val="auto"/>
                <w:sz w:val="24"/>
                <w:shd w:val="clear" w:color="auto" w:fill="FFFFFF"/>
                <w:lang w:eastAsia="zh-CN"/>
              </w:rPr>
              <w:drawing>
                <wp:inline distT="0" distB="0" distL="114300" distR="114300">
                  <wp:extent cx="2842895" cy="2809875"/>
                  <wp:effectExtent l="0" t="0" r="14605" b="9525"/>
                  <wp:docPr id="2" name="图片 4" descr="　1.危险废物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　1.危险废物标签"/>
                          <pic:cNvPicPr>
                            <a:picLocks noChangeAspect="1"/>
                          </pic:cNvPicPr>
                        </pic:nvPicPr>
                        <pic:blipFill>
                          <a:blip r:embed="rId21"/>
                          <a:stretch>
                            <a:fillRect/>
                          </a:stretch>
                        </pic:blipFill>
                        <pic:spPr>
                          <a:xfrm>
                            <a:off x="0" y="0"/>
                            <a:ext cx="2842895" cy="2809875"/>
                          </a:xfrm>
                          <a:prstGeom prst="rect">
                            <a:avLst/>
                          </a:prstGeom>
                          <a:noFill/>
                          <a:ln>
                            <a:noFill/>
                          </a:ln>
                        </pic:spPr>
                      </pic:pic>
                    </a:graphicData>
                  </a:graphic>
                </wp:inline>
              </w:drawing>
            </w:r>
          </w:p>
          <w:p w14:paraId="121C396F">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图4</w:t>
            </w:r>
            <w:r>
              <w:rPr>
                <w:rFonts w:hint="default" w:ascii="Times New Roman" w:hAnsi="Times New Roman" w:cs="Times New Roman"/>
                <w:b/>
                <w:bCs/>
                <w:color w:val="auto"/>
                <w:szCs w:val="21"/>
                <w:lang w:val="en-US" w:eastAsia="zh-CN"/>
              </w:rPr>
              <w:t>-2危险废物标签</w:t>
            </w:r>
          </w:p>
          <w:p w14:paraId="1A60FAEE">
            <w:pPr>
              <w:pStyle w:val="4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14:paraId="0D2AF40D">
            <w:pPr>
              <w:pStyle w:val="49"/>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14:paraId="45A7E56C">
            <w:pPr>
              <w:pStyle w:val="49"/>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w:t>
            </w:r>
            <w:r>
              <w:rPr>
                <w:rFonts w:hint="eastAsia" w:cs="Times New Roman"/>
                <w:color w:val="auto"/>
                <w:spacing w:val="-3"/>
                <w:sz w:val="24"/>
                <w:szCs w:val="24"/>
                <w:highlight w:val="none"/>
                <w:lang w:val="en-US" w:eastAsia="zh-CN"/>
              </w:rPr>
              <w:t xml:space="preserve"> </w:t>
            </w:r>
            <w:r>
              <w:rPr>
                <w:rFonts w:hint="default" w:ascii="Times New Roman" w:hAnsi="Times New Roman" w:eastAsia="宋体" w:cs="Times New Roman"/>
                <w:color w:val="auto"/>
                <w:spacing w:val="-3"/>
                <w:sz w:val="24"/>
                <w:szCs w:val="24"/>
                <w:highlight w:val="none"/>
              </w:rPr>
              <w:t>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14:paraId="2886F687">
            <w:pPr>
              <w:pStyle w:val="4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14:paraId="7DABB281">
            <w:pPr>
              <w:pStyle w:val="4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14:paraId="1DD84C6F">
            <w:pPr>
              <w:pStyle w:val="4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14:paraId="19489E5A">
            <w:pPr>
              <w:pStyle w:val="49"/>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right="0" w:rightChars="0" w:firstLine="480" w:firstLineChars="200"/>
              <w:jc w:val="left"/>
              <w:textAlignment w:val="auto"/>
              <w:rPr>
                <w:rFonts w:hint="default" w:ascii="Times New Roman" w:hAnsi="Times New Roman" w:cs="Times New Roman"/>
                <w:b/>
                <w:color w:val="auto"/>
                <w:sz w:val="24"/>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w:t>
            </w:r>
            <w:r>
              <w:rPr>
                <w:rFonts w:hint="default" w:ascii="Times New Roman" w:hAnsi="Times New Roman" w:cs="Times New Roman"/>
                <w:color w:val="auto"/>
                <w:sz w:val="24"/>
                <w:szCs w:val="24"/>
                <w:highlight w:val="none"/>
                <w:lang w:val="en-US" w:eastAsia="zh-CN"/>
              </w:rPr>
              <w:t>较大</w:t>
            </w:r>
            <w:r>
              <w:rPr>
                <w:rFonts w:hint="default" w:ascii="Times New Roman" w:hAnsi="Times New Roman" w:eastAsia="宋体" w:cs="Times New Roman"/>
                <w:color w:val="auto"/>
                <w:sz w:val="24"/>
                <w:szCs w:val="24"/>
                <w:highlight w:val="none"/>
              </w:rPr>
              <w:t>影响。</w:t>
            </w:r>
          </w:p>
          <w:p w14:paraId="3F2CF6C5">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lang w:val="en-US" w:eastAsia="zh-CN"/>
              </w:rPr>
              <w:t>5、土壤</w:t>
            </w:r>
            <w:r>
              <w:rPr>
                <w:rFonts w:hint="default" w:ascii="Times New Roman" w:hAnsi="Times New Roman" w:cs="Times New Roman"/>
                <w:b/>
                <w:color w:val="auto"/>
                <w:sz w:val="24"/>
              </w:rPr>
              <w:t>环境</w:t>
            </w:r>
            <w:r>
              <w:rPr>
                <w:rFonts w:hint="default" w:ascii="Times New Roman" w:hAnsi="Times New Roman" w:cs="Times New Roman"/>
                <w:b/>
                <w:color w:val="auto"/>
                <w:sz w:val="24"/>
                <w:lang w:val="en-US" w:eastAsia="zh-CN"/>
              </w:rPr>
              <w:t>影响</w:t>
            </w:r>
            <w:r>
              <w:rPr>
                <w:rFonts w:hint="default" w:ascii="Times New Roman" w:hAnsi="Times New Roman" w:cs="Times New Roman"/>
                <w:b/>
                <w:color w:val="auto"/>
                <w:sz w:val="24"/>
              </w:rPr>
              <w:t>分析</w:t>
            </w:r>
            <w:r>
              <w:rPr>
                <w:rFonts w:hint="default" w:ascii="Times New Roman" w:hAnsi="Times New Roman" w:cs="Times New Roman"/>
                <w:b/>
                <w:color w:val="auto"/>
                <w:sz w:val="24"/>
                <w:lang w:val="en-US" w:eastAsia="zh-CN"/>
              </w:rPr>
              <w:t>及保护措施</w:t>
            </w:r>
          </w:p>
          <w:p w14:paraId="328BCA8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2"/>
                <w:lang w:bidi="ar"/>
              </w:rPr>
            </w:pPr>
            <w:r>
              <w:rPr>
                <w:rFonts w:hint="default" w:ascii="Times New Roman" w:hAnsi="Times New Roman" w:cs="Times New Roman"/>
                <w:b/>
                <w:bCs/>
                <w:color w:val="auto"/>
                <w:sz w:val="24"/>
                <w:szCs w:val="22"/>
                <w:lang w:eastAsia="zh-CN" w:bidi="ar"/>
              </w:rPr>
              <w:t>（</w:t>
            </w:r>
            <w:r>
              <w:rPr>
                <w:rFonts w:hint="default" w:ascii="Times New Roman" w:hAnsi="Times New Roman" w:cs="Times New Roman"/>
                <w:b/>
                <w:bCs/>
                <w:color w:val="auto"/>
                <w:sz w:val="24"/>
                <w:szCs w:val="22"/>
                <w:lang w:val="en-US" w:eastAsia="zh-CN" w:bidi="ar"/>
              </w:rPr>
              <w:t>1</w:t>
            </w:r>
            <w:r>
              <w:rPr>
                <w:rFonts w:hint="default" w:ascii="Times New Roman" w:hAnsi="Times New Roman" w:cs="Times New Roman"/>
                <w:b/>
                <w:bCs/>
                <w:color w:val="auto"/>
                <w:sz w:val="24"/>
                <w:szCs w:val="22"/>
                <w:lang w:eastAsia="zh-CN" w:bidi="ar"/>
              </w:rPr>
              <w:t>）</w:t>
            </w:r>
            <w:r>
              <w:rPr>
                <w:rFonts w:hint="default" w:ascii="Times New Roman" w:hAnsi="Times New Roman" w:cs="Times New Roman"/>
                <w:b/>
                <w:bCs/>
                <w:color w:val="auto"/>
                <w:sz w:val="24"/>
                <w:szCs w:val="22"/>
                <w:lang w:bidi="ar"/>
              </w:rPr>
              <w:t>土壤环境影响识别</w:t>
            </w:r>
          </w:p>
          <w:p w14:paraId="3A66CF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bidi="ar"/>
              </w:rPr>
            </w:pPr>
            <w:r>
              <w:rPr>
                <w:rFonts w:hint="default" w:ascii="Times New Roman" w:hAnsi="Times New Roman" w:cs="Times New Roman"/>
                <w:color w:val="auto"/>
                <w:sz w:val="24"/>
                <w:szCs w:val="22"/>
                <w:lang w:bidi="ar"/>
              </w:rPr>
              <w:t>根据工程组成，</w:t>
            </w:r>
            <w:r>
              <w:rPr>
                <w:rFonts w:hint="default" w:ascii="Times New Roman" w:hAnsi="Times New Roman" w:cs="Times New Roman"/>
                <w:color w:val="auto"/>
                <w:sz w:val="24"/>
                <w:szCs w:val="22"/>
                <w:lang w:val="en-US" w:eastAsia="zh-CN" w:bidi="ar"/>
              </w:rPr>
              <w:t>本项目主要从</w:t>
            </w:r>
            <w:r>
              <w:rPr>
                <w:rFonts w:hint="default" w:ascii="Times New Roman" w:hAnsi="Times New Roman" w:cs="Times New Roman"/>
                <w:color w:val="auto"/>
                <w:sz w:val="24"/>
                <w:szCs w:val="22"/>
                <w:lang w:bidi="ar"/>
              </w:rPr>
              <w:t>运营期</w:t>
            </w:r>
            <w:r>
              <w:rPr>
                <w:rFonts w:hint="default" w:ascii="Times New Roman" w:hAnsi="Times New Roman" w:cs="Times New Roman"/>
                <w:color w:val="auto"/>
                <w:sz w:val="24"/>
                <w:szCs w:val="22"/>
                <w:lang w:val="en-US" w:eastAsia="zh-CN" w:bidi="ar"/>
              </w:rPr>
              <w:t>分析</w:t>
            </w:r>
            <w:r>
              <w:rPr>
                <w:rFonts w:hint="default" w:ascii="Times New Roman" w:hAnsi="Times New Roman" w:cs="Times New Roman"/>
                <w:color w:val="auto"/>
                <w:sz w:val="24"/>
                <w:szCs w:val="22"/>
                <w:lang w:bidi="ar"/>
              </w:rPr>
              <w:t>对土壤的环境影响。</w:t>
            </w:r>
          </w:p>
          <w:p w14:paraId="1E5C63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bidi="ar"/>
              </w:rPr>
            </w:pPr>
            <w:r>
              <w:rPr>
                <w:rFonts w:hint="default" w:ascii="Times New Roman" w:hAnsi="Times New Roman" w:cs="Times New Roman"/>
                <w:color w:val="auto"/>
                <w:sz w:val="24"/>
                <w:szCs w:val="22"/>
                <w:lang w:bidi="ar"/>
              </w:rPr>
              <w:t>运营期环境影响识别主要针对排放的大气污染物、废水污染物等。本项目对土壤的影响类型和途径见表</w:t>
            </w:r>
            <w:r>
              <w:rPr>
                <w:rFonts w:hint="default" w:ascii="Times New Roman" w:hAnsi="Times New Roman" w:cs="Times New Roman"/>
                <w:color w:val="auto"/>
                <w:sz w:val="24"/>
                <w:szCs w:val="22"/>
                <w:lang w:val="en-US" w:eastAsia="zh-CN" w:bidi="ar"/>
              </w:rPr>
              <w:t>4-</w:t>
            </w:r>
            <w:r>
              <w:rPr>
                <w:rFonts w:hint="eastAsia" w:cs="Times New Roman"/>
                <w:color w:val="auto"/>
                <w:sz w:val="24"/>
                <w:szCs w:val="22"/>
                <w:lang w:val="en-US" w:eastAsia="zh-CN" w:bidi="ar"/>
              </w:rPr>
              <w:t>15</w:t>
            </w:r>
            <w:r>
              <w:rPr>
                <w:rFonts w:hint="default" w:ascii="Times New Roman" w:hAnsi="Times New Roman" w:cs="Times New Roman"/>
                <w:color w:val="auto"/>
                <w:sz w:val="24"/>
                <w:szCs w:val="22"/>
                <w:lang w:bidi="ar"/>
              </w:rPr>
              <w:t>。本项目土壤环境影响识别见下表。</w:t>
            </w:r>
          </w:p>
          <w:p w14:paraId="2E673D49">
            <w:pPr>
              <w:ind w:firstLine="527" w:firstLineChars="250"/>
              <w:jc w:val="center"/>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表</w:t>
            </w:r>
            <w:r>
              <w:rPr>
                <w:rFonts w:hint="default" w:ascii="Times New Roman" w:hAnsi="Times New Roman" w:cs="Times New Roman"/>
                <w:b/>
                <w:color w:val="auto"/>
                <w:sz w:val="21"/>
                <w:szCs w:val="20"/>
                <w:lang w:val="en-US" w:eastAsia="zh-CN"/>
              </w:rPr>
              <w:t>4</w:t>
            </w:r>
            <w:r>
              <w:rPr>
                <w:rFonts w:hint="default" w:ascii="Times New Roman" w:hAnsi="Times New Roman" w:cs="Times New Roman"/>
                <w:b/>
                <w:color w:val="auto"/>
                <w:sz w:val="21"/>
                <w:szCs w:val="20"/>
              </w:rPr>
              <w:t>-</w:t>
            </w:r>
            <w:r>
              <w:rPr>
                <w:rFonts w:hint="eastAsia" w:cs="Times New Roman"/>
                <w:b/>
                <w:color w:val="auto"/>
                <w:sz w:val="21"/>
                <w:szCs w:val="20"/>
                <w:lang w:val="en-US" w:eastAsia="zh-CN"/>
              </w:rPr>
              <w:t>15</w:t>
            </w:r>
            <w:r>
              <w:rPr>
                <w:rFonts w:hint="default" w:ascii="Times New Roman" w:hAnsi="Times New Roman" w:cs="Times New Roman"/>
                <w:b/>
                <w:color w:val="auto"/>
                <w:sz w:val="21"/>
                <w:szCs w:val="20"/>
              </w:rPr>
              <w:t xml:space="preserve">  本项目土壤环境影响类型与影响途径表</w:t>
            </w:r>
          </w:p>
          <w:tbl>
            <w:tblPr>
              <w:tblStyle w:val="27"/>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2320"/>
              <w:gridCol w:w="2162"/>
              <w:gridCol w:w="2854"/>
            </w:tblGrid>
            <w:tr w14:paraId="3977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08" w:type="dxa"/>
                  <w:vMerge w:val="restart"/>
                  <w:noWrap w:val="0"/>
                  <w:vAlign w:val="center"/>
                </w:tcPr>
                <w:p w14:paraId="274CAF94">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不同时段</w:t>
                  </w:r>
                </w:p>
              </w:tc>
              <w:tc>
                <w:tcPr>
                  <w:tcW w:w="7336" w:type="dxa"/>
                  <w:gridSpan w:val="3"/>
                  <w:noWrap w:val="0"/>
                  <w:vAlign w:val="center"/>
                </w:tcPr>
                <w:p w14:paraId="38D3DC99">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污染影响型</w:t>
                  </w:r>
                </w:p>
              </w:tc>
            </w:tr>
            <w:tr w14:paraId="640A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08" w:type="dxa"/>
                  <w:vMerge w:val="continue"/>
                  <w:noWrap w:val="0"/>
                  <w:vAlign w:val="center"/>
                </w:tcPr>
                <w:p w14:paraId="30D2BFE5">
                  <w:pPr>
                    <w:widowControl w:val="0"/>
                    <w:jc w:val="center"/>
                    <w:rPr>
                      <w:rFonts w:hint="default" w:ascii="Times New Roman" w:hAnsi="Times New Roman" w:cs="Times New Roman"/>
                      <w:b/>
                      <w:bCs/>
                      <w:color w:val="auto"/>
                      <w:sz w:val="21"/>
                      <w:szCs w:val="22"/>
                    </w:rPr>
                  </w:pPr>
                </w:p>
              </w:tc>
              <w:tc>
                <w:tcPr>
                  <w:tcW w:w="2320" w:type="dxa"/>
                  <w:noWrap w:val="0"/>
                  <w:vAlign w:val="center"/>
                </w:tcPr>
                <w:p w14:paraId="27C72E7E">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大气沉降</w:t>
                  </w:r>
                </w:p>
              </w:tc>
              <w:tc>
                <w:tcPr>
                  <w:tcW w:w="2162" w:type="dxa"/>
                  <w:noWrap w:val="0"/>
                  <w:vAlign w:val="center"/>
                </w:tcPr>
                <w:p w14:paraId="004847AE">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地面径流</w:t>
                  </w:r>
                </w:p>
              </w:tc>
              <w:tc>
                <w:tcPr>
                  <w:tcW w:w="2854" w:type="dxa"/>
                  <w:noWrap w:val="0"/>
                  <w:vAlign w:val="center"/>
                </w:tcPr>
                <w:p w14:paraId="793BB0C0">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垂直入渗</w:t>
                  </w:r>
                </w:p>
              </w:tc>
            </w:tr>
            <w:tr w14:paraId="3702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08" w:type="dxa"/>
                  <w:noWrap w:val="0"/>
                  <w:vAlign w:val="center"/>
                </w:tcPr>
                <w:p w14:paraId="4C0FC304">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运营期</w:t>
                  </w:r>
                </w:p>
              </w:tc>
              <w:tc>
                <w:tcPr>
                  <w:tcW w:w="2320" w:type="dxa"/>
                  <w:noWrap w:val="0"/>
                  <w:vAlign w:val="center"/>
                </w:tcPr>
                <w:p w14:paraId="0D516B42">
                  <w:pPr>
                    <w:widowControl w:val="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rPr>
                    <w:t>√</w:t>
                  </w:r>
                </w:p>
              </w:tc>
              <w:tc>
                <w:tcPr>
                  <w:tcW w:w="2162" w:type="dxa"/>
                  <w:noWrap w:val="0"/>
                  <w:vAlign w:val="center"/>
                </w:tcPr>
                <w:p w14:paraId="69B0D019">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w:t>
                  </w:r>
                </w:p>
              </w:tc>
              <w:tc>
                <w:tcPr>
                  <w:tcW w:w="2854" w:type="dxa"/>
                  <w:noWrap w:val="0"/>
                  <w:vAlign w:val="center"/>
                </w:tcPr>
                <w:p w14:paraId="4B8B8531">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w:t>
                  </w:r>
                </w:p>
              </w:tc>
            </w:tr>
            <w:tr w14:paraId="3150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944" w:type="dxa"/>
                  <w:gridSpan w:val="4"/>
                  <w:noWrap w:val="0"/>
                  <w:vAlign w:val="center"/>
                </w:tcPr>
                <w:p w14:paraId="57A5FA3F">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注：在有可能产生的土壤环境影响类型处打“√”，列表未涵盖的打“－”。</w:t>
                  </w:r>
                </w:p>
              </w:tc>
            </w:tr>
          </w:tbl>
          <w:p w14:paraId="3AB70830">
            <w:pPr>
              <w:ind w:firstLine="527" w:firstLineChars="250"/>
              <w:jc w:val="center"/>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表</w:t>
            </w:r>
            <w:r>
              <w:rPr>
                <w:rFonts w:hint="default" w:ascii="Times New Roman" w:hAnsi="Times New Roman" w:cs="Times New Roman"/>
                <w:b/>
                <w:color w:val="auto"/>
                <w:sz w:val="21"/>
                <w:szCs w:val="20"/>
                <w:lang w:val="en-US" w:eastAsia="zh-CN"/>
              </w:rPr>
              <w:t>4</w:t>
            </w:r>
            <w:r>
              <w:rPr>
                <w:rFonts w:hint="default" w:ascii="Times New Roman" w:hAnsi="Times New Roman" w:cs="Times New Roman"/>
                <w:b/>
                <w:color w:val="auto"/>
                <w:sz w:val="21"/>
                <w:szCs w:val="20"/>
              </w:rPr>
              <w:t>-</w:t>
            </w:r>
            <w:r>
              <w:rPr>
                <w:rFonts w:hint="eastAsia" w:cs="Times New Roman"/>
                <w:b/>
                <w:color w:val="auto"/>
                <w:sz w:val="21"/>
                <w:szCs w:val="20"/>
                <w:lang w:val="en-US" w:eastAsia="zh-CN"/>
              </w:rPr>
              <w:t>16</w:t>
            </w:r>
            <w:r>
              <w:rPr>
                <w:rFonts w:hint="default" w:ascii="Times New Roman" w:hAnsi="Times New Roman" w:cs="Times New Roman"/>
                <w:b/>
                <w:color w:val="auto"/>
                <w:sz w:val="21"/>
                <w:szCs w:val="20"/>
              </w:rPr>
              <w:t xml:space="preserve">  本项目污染影响型土壤环境影响源及影响因子识别表</w:t>
            </w:r>
          </w:p>
          <w:tbl>
            <w:tblPr>
              <w:tblStyle w:val="27"/>
              <w:tblW w:w="9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923"/>
              <w:gridCol w:w="1420"/>
              <w:gridCol w:w="1890"/>
              <w:gridCol w:w="1319"/>
              <w:gridCol w:w="1050"/>
            </w:tblGrid>
            <w:tr w14:paraId="56A7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05" w:type="dxa"/>
                  <w:noWrap w:val="0"/>
                  <w:vAlign w:val="center"/>
                </w:tcPr>
                <w:p w14:paraId="2F5005DF">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污染源</w:t>
                  </w:r>
                </w:p>
              </w:tc>
              <w:tc>
                <w:tcPr>
                  <w:tcW w:w="1923" w:type="dxa"/>
                  <w:noWrap w:val="0"/>
                  <w:vAlign w:val="center"/>
                </w:tcPr>
                <w:p w14:paraId="47A9FB6F">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工艺流程/节点</w:t>
                  </w:r>
                </w:p>
              </w:tc>
              <w:tc>
                <w:tcPr>
                  <w:tcW w:w="1420" w:type="dxa"/>
                  <w:noWrap w:val="0"/>
                  <w:vAlign w:val="center"/>
                </w:tcPr>
                <w:p w14:paraId="71F4D964">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污染途径</w:t>
                  </w:r>
                </w:p>
              </w:tc>
              <w:tc>
                <w:tcPr>
                  <w:tcW w:w="1890" w:type="dxa"/>
                  <w:noWrap w:val="0"/>
                  <w:vAlign w:val="center"/>
                </w:tcPr>
                <w:p w14:paraId="25A2A90C">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全部污染物指标</w:t>
                  </w:r>
                  <w:r>
                    <w:rPr>
                      <w:rFonts w:hint="default" w:ascii="Times New Roman" w:hAnsi="Times New Roman" w:cs="Times New Roman"/>
                      <w:b/>
                      <w:bCs/>
                      <w:color w:val="auto"/>
                      <w:sz w:val="21"/>
                      <w:szCs w:val="22"/>
                      <w:vertAlign w:val="superscript"/>
                    </w:rPr>
                    <w:t>a</w:t>
                  </w:r>
                </w:p>
              </w:tc>
              <w:tc>
                <w:tcPr>
                  <w:tcW w:w="1319" w:type="dxa"/>
                  <w:noWrap w:val="0"/>
                  <w:vAlign w:val="center"/>
                </w:tcPr>
                <w:p w14:paraId="7BA3D2C9">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特征因子</w:t>
                  </w:r>
                </w:p>
              </w:tc>
              <w:tc>
                <w:tcPr>
                  <w:tcW w:w="1050" w:type="dxa"/>
                  <w:noWrap w:val="0"/>
                  <w:vAlign w:val="center"/>
                </w:tcPr>
                <w:p w14:paraId="025E80DE">
                  <w:pPr>
                    <w:widowControl w:val="0"/>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备注</w:t>
                  </w:r>
                  <w:r>
                    <w:rPr>
                      <w:rFonts w:hint="default" w:ascii="Times New Roman" w:hAnsi="Times New Roman" w:cs="Times New Roman"/>
                      <w:b/>
                      <w:bCs/>
                      <w:color w:val="auto"/>
                      <w:sz w:val="21"/>
                      <w:szCs w:val="22"/>
                      <w:vertAlign w:val="superscript"/>
                    </w:rPr>
                    <w:t>b</w:t>
                  </w:r>
                </w:p>
              </w:tc>
            </w:tr>
            <w:tr w14:paraId="4EAB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05" w:type="dxa"/>
                  <w:vMerge w:val="restart"/>
                  <w:noWrap w:val="0"/>
                  <w:vAlign w:val="center"/>
                </w:tcPr>
                <w:p w14:paraId="6C9DB36F">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油罐区</w:t>
                  </w:r>
                </w:p>
              </w:tc>
              <w:tc>
                <w:tcPr>
                  <w:tcW w:w="1923" w:type="dxa"/>
                  <w:vMerge w:val="restart"/>
                  <w:noWrap w:val="0"/>
                  <w:vAlign w:val="center"/>
                </w:tcPr>
                <w:p w14:paraId="7215CB9D">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油品储存</w:t>
                  </w:r>
                </w:p>
              </w:tc>
              <w:tc>
                <w:tcPr>
                  <w:tcW w:w="1420" w:type="dxa"/>
                  <w:noWrap w:val="0"/>
                  <w:vAlign w:val="center"/>
                </w:tcPr>
                <w:p w14:paraId="01875D4E">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大气沉降</w:t>
                  </w:r>
                </w:p>
              </w:tc>
              <w:tc>
                <w:tcPr>
                  <w:tcW w:w="1890" w:type="dxa"/>
                  <w:noWrap w:val="0"/>
                  <w:vAlign w:val="center"/>
                </w:tcPr>
                <w:p w14:paraId="17CA304A">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VOC</w:t>
                  </w:r>
                  <w:r>
                    <w:rPr>
                      <w:rFonts w:hint="default" w:ascii="Times New Roman" w:hAnsi="Times New Roman" w:cs="Times New Roman"/>
                      <w:color w:val="auto"/>
                      <w:sz w:val="21"/>
                      <w:szCs w:val="22"/>
                      <w:vertAlign w:val="subscript"/>
                    </w:rPr>
                    <w:t>S</w:t>
                  </w:r>
                </w:p>
              </w:tc>
              <w:tc>
                <w:tcPr>
                  <w:tcW w:w="1319" w:type="dxa"/>
                  <w:noWrap w:val="0"/>
                  <w:vAlign w:val="center"/>
                </w:tcPr>
                <w:p w14:paraId="4815A339">
                  <w:pPr>
                    <w:widowControl w:val="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w:t>
                  </w:r>
                </w:p>
              </w:tc>
              <w:tc>
                <w:tcPr>
                  <w:tcW w:w="1050" w:type="dxa"/>
                  <w:noWrap w:val="0"/>
                  <w:vAlign w:val="center"/>
                </w:tcPr>
                <w:p w14:paraId="34C924EE">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连续</w:t>
                  </w:r>
                </w:p>
              </w:tc>
            </w:tr>
            <w:tr w14:paraId="103D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1405" w:type="dxa"/>
                  <w:vMerge w:val="continue"/>
                  <w:noWrap w:val="0"/>
                  <w:vAlign w:val="center"/>
                </w:tcPr>
                <w:p w14:paraId="1A32358B">
                  <w:pPr>
                    <w:widowControl w:val="0"/>
                    <w:jc w:val="center"/>
                    <w:rPr>
                      <w:rFonts w:hint="default" w:ascii="Times New Roman" w:hAnsi="Times New Roman" w:cs="Times New Roman"/>
                      <w:color w:val="auto"/>
                      <w:sz w:val="21"/>
                      <w:szCs w:val="22"/>
                    </w:rPr>
                  </w:pPr>
                </w:p>
              </w:tc>
              <w:tc>
                <w:tcPr>
                  <w:tcW w:w="1923" w:type="dxa"/>
                  <w:vMerge w:val="continue"/>
                  <w:noWrap w:val="0"/>
                  <w:vAlign w:val="center"/>
                </w:tcPr>
                <w:p w14:paraId="0E557817">
                  <w:pPr>
                    <w:widowControl w:val="0"/>
                    <w:jc w:val="center"/>
                    <w:rPr>
                      <w:rFonts w:hint="default" w:ascii="Times New Roman" w:hAnsi="Times New Roman" w:cs="Times New Roman"/>
                      <w:color w:val="auto"/>
                      <w:sz w:val="21"/>
                      <w:szCs w:val="22"/>
                    </w:rPr>
                  </w:pPr>
                </w:p>
              </w:tc>
              <w:tc>
                <w:tcPr>
                  <w:tcW w:w="1420" w:type="dxa"/>
                  <w:noWrap w:val="0"/>
                  <w:vAlign w:val="center"/>
                </w:tcPr>
                <w:p w14:paraId="3FA5652E">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垂直入渗</w:t>
                  </w:r>
                </w:p>
              </w:tc>
              <w:tc>
                <w:tcPr>
                  <w:tcW w:w="1890" w:type="dxa"/>
                  <w:noWrap w:val="0"/>
                  <w:vAlign w:val="center"/>
                </w:tcPr>
                <w:p w14:paraId="4A7C67AD">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汽油、柴油</w:t>
                  </w:r>
                </w:p>
              </w:tc>
              <w:tc>
                <w:tcPr>
                  <w:tcW w:w="1319" w:type="dxa"/>
                  <w:noWrap w:val="0"/>
                  <w:vAlign w:val="center"/>
                </w:tcPr>
                <w:p w14:paraId="7423CDEB">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石油烃</w:t>
                  </w:r>
                </w:p>
              </w:tc>
              <w:tc>
                <w:tcPr>
                  <w:tcW w:w="1050" w:type="dxa"/>
                  <w:noWrap w:val="0"/>
                  <w:vAlign w:val="center"/>
                </w:tcPr>
                <w:p w14:paraId="467A7074">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事故</w:t>
                  </w:r>
                </w:p>
              </w:tc>
            </w:tr>
            <w:tr w14:paraId="2B75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05" w:type="dxa"/>
                  <w:vMerge w:val="restart"/>
                  <w:noWrap w:val="0"/>
                  <w:vAlign w:val="center"/>
                </w:tcPr>
                <w:p w14:paraId="57EC62AB">
                  <w:pPr>
                    <w:widowControl w:val="0"/>
                    <w:jc w:val="center"/>
                    <w:rPr>
                      <w:rFonts w:hint="eastAsia" w:ascii="Times New Roman" w:hAnsi="Times New Roman" w:eastAsia="宋体" w:cs="Times New Roman"/>
                      <w:color w:val="auto"/>
                      <w:sz w:val="21"/>
                      <w:szCs w:val="22"/>
                      <w:lang w:eastAsia="zh-CN"/>
                    </w:rPr>
                  </w:pPr>
                  <w:r>
                    <w:rPr>
                      <w:rFonts w:hint="eastAsia" w:cs="Times New Roman"/>
                      <w:color w:val="auto"/>
                      <w:sz w:val="21"/>
                      <w:szCs w:val="22"/>
                      <w:lang w:eastAsia="zh-CN"/>
                    </w:rPr>
                    <w:t>危废暂存点</w:t>
                  </w:r>
                </w:p>
              </w:tc>
              <w:tc>
                <w:tcPr>
                  <w:tcW w:w="1923" w:type="dxa"/>
                  <w:vMerge w:val="restart"/>
                  <w:noWrap w:val="0"/>
                  <w:vAlign w:val="center"/>
                </w:tcPr>
                <w:p w14:paraId="0C57B449">
                  <w:pPr>
                    <w:widowControl w:val="0"/>
                    <w:jc w:val="center"/>
                    <w:rPr>
                      <w:rFonts w:hint="default" w:ascii="Times New Roman" w:hAnsi="Times New Roman" w:cs="Times New Roman"/>
                      <w:color w:val="auto"/>
                      <w:sz w:val="21"/>
                      <w:szCs w:val="22"/>
                    </w:rPr>
                  </w:pPr>
                  <w:r>
                    <w:rPr>
                      <w:rFonts w:hint="default" w:ascii="Times New Roman" w:hAnsi="Times New Roman" w:cs="Times New Roman"/>
                      <w:bCs/>
                      <w:color w:val="auto"/>
                      <w:sz w:val="21"/>
                      <w:szCs w:val="21"/>
                      <w:highlight w:val="none"/>
                      <w:lang w:val="en-US" w:eastAsia="zh-CN"/>
                    </w:rPr>
                    <w:t>废油脂</w:t>
                  </w:r>
                  <w:r>
                    <w:rPr>
                      <w:rFonts w:hint="default" w:ascii="Times New Roman" w:hAnsi="Times New Roman" w:cs="Times New Roman"/>
                      <w:color w:val="auto"/>
                      <w:sz w:val="21"/>
                      <w:szCs w:val="22"/>
                    </w:rPr>
                    <w:t>等危险废物储存</w:t>
                  </w:r>
                </w:p>
              </w:tc>
              <w:tc>
                <w:tcPr>
                  <w:tcW w:w="1420" w:type="dxa"/>
                  <w:noWrap w:val="0"/>
                  <w:vAlign w:val="center"/>
                </w:tcPr>
                <w:p w14:paraId="4324B41C">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大气沉降</w:t>
                  </w:r>
                </w:p>
              </w:tc>
              <w:tc>
                <w:tcPr>
                  <w:tcW w:w="1890" w:type="dxa"/>
                  <w:noWrap w:val="0"/>
                  <w:vAlign w:val="center"/>
                </w:tcPr>
                <w:p w14:paraId="6E2A60B3">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VOC</w:t>
                  </w:r>
                  <w:r>
                    <w:rPr>
                      <w:rFonts w:hint="default" w:ascii="Times New Roman" w:hAnsi="Times New Roman" w:cs="Times New Roman"/>
                      <w:color w:val="auto"/>
                      <w:sz w:val="21"/>
                      <w:szCs w:val="22"/>
                      <w:vertAlign w:val="subscript"/>
                    </w:rPr>
                    <w:t>S</w:t>
                  </w:r>
                </w:p>
              </w:tc>
              <w:tc>
                <w:tcPr>
                  <w:tcW w:w="1319" w:type="dxa"/>
                  <w:noWrap w:val="0"/>
                  <w:vAlign w:val="center"/>
                </w:tcPr>
                <w:p w14:paraId="3A97F53C">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w:t>
                  </w:r>
                </w:p>
              </w:tc>
              <w:tc>
                <w:tcPr>
                  <w:tcW w:w="1050" w:type="dxa"/>
                  <w:noWrap w:val="0"/>
                  <w:vAlign w:val="center"/>
                </w:tcPr>
                <w:p w14:paraId="5D922894">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连续</w:t>
                  </w:r>
                </w:p>
              </w:tc>
            </w:tr>
            <w:tr w14:paraId="0439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05" w:type="dxa"/>
                  <w:vMerge w:val="continue"/>
                  <w:noWrap w:val="0"/>
                  <w:vAlign w:val="center"/>
                </w:tcPr>
                <w:p w14:paraId="243E2693">
                  <w:pPr>
                    <w:widowControl w:val="0"/>
                    <w:jc w:val="center"/>
                    <w:rPr>
                      <w:rFonts w:hint="default" w:ascii="Times New Roman" w:hAnsi="Times New Roman" w:cs="Times New Roman"/>
                      <w:color w:val="auto"/>
                      <w:sz w:val="21"/>
                      <w:szCs w:val="22"/>
                    </w:rPr>
                  </w:pPr>
                </w:p>
              </w:tc>
              <w:tc>
                <w:tcPr>
                  <w:tcW w:w="1923" w:type="dxa"/>
                  <w:vMerge w:val="continue"/>
                  <w:noWrap w:val="0"/>
                  <w:vAlign w:val="center"/>
                </w:tcPr>
                <w:p w14:paraId="3E3D1540">
                  <w:pPr>
                    <w:widowControl w:val="0"/>
                    <w:jc w:val="center"/>
                    <w:rPr>
                      <w:rFonts w:hint="default" w:ascii="Times New Roman" w:hAnsi="Times New Roman" w:cs="Times New Roman"/>
                      <w:color w:val="auto"/>
                      <w:sz w:val="21"/>
                      <w:szCs w:val="22"/>
                    </w:rPr>
                  </w:pPr>
                </w:p>
              </w:tc>
              <w:tc>
                <w:tcPr>
                  <w:tcW w:w="1420" w:type="dxa"/>
                  <w:noWrap w:val="0"/>
                  <w:vAlign w:val="center"/>
                </w:tcPr>
                <w:p w14:paraId="412DE36D">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垂直入渗</w:t>
                  </w:r>
                </w:p>
              </w:tc>
              <w:tc>
                <w:tcPr>
                  <w:tcW w:w="1890" w:type="dxa"/>
                  <w:noWrap w:val="0"/>
                  <w:vAlign w:val="center"/>
                </w:tcPr>
                <w:p w14:paraId="020C6252">
                  <w:pPr>
                    <w:widowControl w:val="0"/>
                    <w:jc w:val="center"/>
                    <w:rPr>
                      <w:rFonts w:hint="default" w:ascii="Times New Roman" w:hAnsi="Times New Roman" w:cs="Times New Roman"/>
                      <w:color w:val="auto"/>
                      <w:sz w:val="21"/>
                      <w:szCs w:val="22"/>
                    </w:rPr>
                  </w:pPr>
                  <w:r>
                    <w:rPr>
                      <w:rFonts w:hint="default" w:ascii="Times New Roman" w:hAnsi="Times New Roman" w:cs="Times New Roman"/>
                      <w:bCs/>
                      <w:color w:val="auto"/>
                      <w:sz w:val="21"/>
                      <w:szCs w:val="21"/>
                      <w:highlight w:val="none"/>
                      <w:lang w:val="en-US" w:eastAsia="zh-CN"/>
                    </w:rPr>
                    <w:t>废油脂</w:t>
                  </w:r>
                </w:p>
              </w:tc>
              <w:tc>
                <w:tcPr>
                  <w:tcW w:w="1319" w:type="dxa"/>
                  <w:noWrap w:val="0"/>
                  <w:vAlign w:val="center"/>
                </w:tcPr>
                <w:p w14:paraId="338BD3BA">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石油烃</w:t>
                  </w:r>
                </w:p>
              </w:tc>
              <w:tc>
                <w:tcPr>
                  <w:tcW w:w="1050" w:type="dxa"/>
                  <w:noWrap w:val="0"/>
                  <w:vAlign w:val="center"/>
                </w:tcPr>
                <w:p w14:paraId="349A5046">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事故</w:t>
                  </w:r>
                </w:p>
              </w:tc>
            </w:tr>
            <w:tr w14:paraId="4E1F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05" w:type="dxa"/>
                  <w:noWrap w:val="0"/>
                  <w:vAlign w:val="center"/>
                </w:tcPr>
                <w:p w14:paraId="2BEB134B">
                  <w:pPr>
                    <w:widowControl w:val="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污水处理设施</w:t>
                  </w:r>
                </w:p>
              </w:tc>
              <w:tc>
                <w:tcPr>
                  <w:tcW w:w="1923" w:type="dxa"/>
                  <w:noWrap w:val="0"/>
                  <w:vAlign w:val="center"/>
                </w:tcPr>
                <w:p w14:paraId="08979E20">
                  <w:pPr>
                    <w:widowControl w:val="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污水处理</w:t>
                  </w:r>
                </w:p>
              </w:tc>
              <w:tc>
                <w:tcPr>
                  <w:tcW w:w="1420" w:type="dxa"/>
                  <w:noWrap w:val="0"/>
                  <w:vAlign w:val="center"/>
                </w:tcPr>
                <w:p w14:paraId="4E89081C">
                  <w:pPr>
                    <w:widowControl w:val="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污水下渗</w:t>
                  </w:r>
                </w:p>
              </w:tc>
              <w:tc>
                <w:tcPr>
                  <w:tcW w:w="1890" w:type="dxa"/>
                  <w:noWrap w:val="0"/>
                  <w:vAlign w:val="center"/>
                </w:tcPr>
                <w:p w14:paraId="761394A2">
                  <w:pPr>
                    <w:widowControl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污水</w:t>
                  </w:r>
                </w:p>
              </w:tc>
              <w:tc>
                <w:tcPr>
                  <w:tcW w:w="1319" w:type="dxa"/>
                  <w:noWrap w:val="0"/>
                  <w:vAlign w:val="center"/>
                </w:tcPr>
                <w:p w14:paraId="2CACB040">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w:t>
                  </w:r>
                </w:p>
              </w:tc>
              <w:tc>
                <w:tcPr>
                  <w:tcW w:w="1050" w:type="dxa"/>
                  <w:noWrap w:val="0"/>
                  <w:vAlign w:val="center"/>
                </w:tcPr>
                <w:p w14:paraId="76B5C4FE">
                  <w:pPr>
                    <w:widowControl w:val="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事故</w:t>
                  </w:r>
                </w:p>
              </w:tc>
            </w:tr>
            <w:tr w14:paraId="287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9007" w:type="dxa"/>
                  <w:gridSpan w:val="6"/>
                  <w:noWrap w:val="0"/>
                  <w:vAlign w:val="center"/>
                </w:tcPr>
                <w:p w14:paraId="16B828D6">
                  <w:pPr>
                    <w:widowControl w:val="0"/>
                    <w:jc w:val="both"/>
                    <w:rPr>
                      <w:rFonts w:hint="default" w:ascii="Times New Roman" w:hAnsi="Times New Roman" w:cs="Times New Roman"/>
                      <w:color w:val="auto"/>
                      <w:sz w:val="21"/>
                      <w:szCs w:val="22"/>
                    </w:rPr>
                  </w:pPr>
                  <w:r>
                    <w:rPr>
                      <w:rFonts w:hint="default" w:ascii="Times New Roman" w:hAnsi="Times New Roman" w:cs="Times New Roman"/>
                      <w:color w:val="auto"/>
                      <w:sz w:val="21"/>
                      <w:szCs w:val="22"/>
                      <w:vertAlign w:val="superscript"/>
                    </w:rPr>
                    <w:t xml:space="preserve">a </w:t>
                  </w:r>
                  <w:r>
                    <w:rPr>
                      <w:rFonts w:hint="default" w:ascii="Times New Roman" w:hAnsi="Times New Roman" w:cs="Times New Roman"/>
                      <w:color w:val="auto"/>
                      <w:sz w:val="21"/>
                      <w:szCs w:val="22"/>
                    </w:rPr>
                    <w:t xml:space="preserve">根据工程分析结果填写。 </w:t>
                  </w:r>
                </w:p>
                <w:p w14:paraId="0622C63C">
                  <w:pPr>
                    <w:widowControl w:val="0"/>
                    <w:rPr>
                      <w:rFonts w:hint="default" w:ascii="Times New Roman" w:hAnsi="Times New Roman" w:cs="Times New Roman"/>
                      <w:color w:val="auto"/>
                      <w:sz w:val="21"/>
                      <w:szCs w:val="22"/>
                    </w:rPr>
                  </w:pPr>
                  <w:r>
                    <w:rPr>
                      <w:rFonts w:hint="default" w:ascii="Times New Roman" w:hAnsi="Times New Roman" w:cs="Times New Roman"/>
                      <w:color w:val="auto"/>
                      <w:sz w:val="21"/>
                      <w:szCs w:val="22"/>
                      <w:vertAlign w:val="superscript"/>
                    </w:rPr>
                    <w:t xml:space="preserve">b </w:t>
                  </w:r>
                  <w:r>
                    <w:rPr>
                      <w:rFonts w:hint="default" w:ascii="Times New Roman" w:hAnsi="Times New Roman" w:cs="Times New Roman"/>
                      <w:color w:val="auto"/>
                      <w:sz w:val="21"/>
                      <w:szCs w:val="22"/>
                    </w:rPr>
                    <w:t>应描述污染源特征，如连续、间断、正常、事故等；涉及大气沉降途径的，应识别建设项目周边的土壤环境敏感目标。</w:t>
                  </w:r>
                </w:p>
              </w:tc>
            </w:tr>
          </w:tbl>
          <w:p w14:paraId="1DC81FA4">
            <w:pPr>
              <w:spacing w:line="360" w:lineRule="auto"/>
              <w:ind w:firstLine="482" w:firstLineChars="200"/>
              <w:rPr>
                <w:rFonts w:hint="default" w:ascii="Times New Roman" w:hAnsi="Times New Roman" w:cs="Times New Roman"/>
                <w:b/>
                <w:bCs/>
                <w:color w:val="auto"/>
                <w:kern w:val="1"/>
                <w:sz w:val="24"/>
                <w:szCs w:val="22"/>
              </w:rPr>
            </w:pPr>
            <w:r>
              <w:rPr>
                <w:rFonts w:hint="default" w:ascii="Times New Roman" w:hAnsi="Times New Roman" w:cs="Times New Roman"/>
                <w:b/>
                <w:bCs/>
                <w:color w:val="auto"/>
                <w:kern w:val="1"/>
                <w:sz w:val="24"/>
                <w:szCs w:val="22"/>
                <w:lang w:val="en-US" w:eastAsia="zh-CN"/>
              </w:rPr>
              <w:t>（2）土</w:t>
            </w:r>
            <w:r>
              <w:rPr>
                <w:rFonts w:hint="default" w:ascii="Times New Roman" w:hAnsi="Times New Roman" w:cs="Times New Roman"/>
                <w:b/>
                <w:bCs/>
                <w:color w:val="auto"/>
                <w:kern w:val="1"/>
                <w:sz w:val="24"/>
                <w:szCs w:val="22"/>
              </w:rPr>
              <w:t>壤环境影响分析</w:t>
            </w:r>
          </w:p>
          <w:p w14:paraId="01A7C6C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①地面漫流对土壤环境的影响</w:t>
            </w:r>
          </w:p>
          <w:p w14:paraId="228946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本项目地面漫流主要是考虑事故状况下，加油过程和卸油过程中如阀门使用管理不 当、脱岗失控和主观臆断、设备腐蚀穿孔、施工和检修遗留隐患会造成油品流失（泄漏）， 此时污染物将通过地面漫流进入土壤环境中。本项目建成后，加油站</w:t>
            </w:r>
            <w:r>
              <w:rPr>
                <w:rFonts w:hint="default" w:ascii="Times New Roman" w:hAnsi="Times New Roman" w:cs="Times New Roman"/>
                <w:color w:val="auto"/>
                <w:sz w:val="24"/>
                <w:szCs w:val="24"/>
                <w:lang w:val="en-US" w:eastAsia="zh-CN"/>
              </w:rPr>
              <w:t>进行了分区防渗</w:t>
            </w:r>
            <w:r>
              <w:rPr>
                <w:rFonts w:hint="default" w:ascii="Times New Roman" w:hAnsi="Times New Roman" w:eastAsia="宋体" w:cs="Times New Roman"/>
                <w:color w:val="auto"/>
                <w:sz w:val="24"/>
                <w:szCs w:val="24"/>
              </w:rPr>
              <w:t>，防渗性能满足《环境影响评价技术导则 地下水环境》(HJ610-2016) 和《石油化工工程防渗技术规范》(GBT 50934-2013)的要求，采取以上措施后对环境影响</w:t>
            </w:r>
            <w:r>
              <w:rPr>
                <w:rFonts w:hint="default" w:ascii="Times New Roman" w:hAnsi="Times New Roman" w:cs="Times New Roman"/>
                <w:color w:val="auto"/>
                <w:sz w:val="24"/>
                <w:szCs w:val="24"/>
                <w:lang w:val="en-US" w:eastAsia="zh-CN"/>
              </w:rPr>
              <w:t>较小</w:t>
            </w:r>
            <w:r>
              <w:rPr>
                <w:rFonts w:hint="default" w:ascii="Times New Roman" w:hAnsi="Times New Roman" w:eastAsia="宋体" w:cs="Times New Roman"/>
                <w:color w:val="auto"/>
                <w:sz w:val="24"/>
                <w:szCs w:val="24"/>
              </w:rPr>
              <w:t xml:space="preserve">。 </w:t>
            </w:r>
          </w:p>
          <w:p w14:paraId="6C5903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②垂直入渗对土壤环境的影响</w:t>
            </w:r>
          </w:p>
          <w:p w14:paraId="3CA0E83E">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的垂直入渗主要考虑事故状况下，当输油管线及储油罐泄漏时对土壤环境造成的影响。项目输油管线及储油罐位于地下，当罐体或管线由于老化或腐蚀等情况发生泄漏事故时，污染物将通过垂直入渗的方式进入土壤、甚至地下水环境中。项目油罐均有液位计，用于预防油罐爆炸事故和溢油事故，安装一次、二次</w:t>
            </w:r>
            <w:r>
              <w:rPr>
                <w:rFonts w:hint="eastAsia" w:cs="Times New Roman"/>
                <w:color w:val="auto"/>
                <w:sz w:val="24"/>
                <w:szCs w:val="24"/>
                <w:lang w:eastAsia="zh-CN"/>
              </w:rPr>
              <w:t>油气回收系统</w:t>
            </w:r>
            <w:r>
              <w:rPr>
                <w:rFonts w:hint="default" w:ascii="Times New Roman" w:hAnsi="Times New Roman" w:eastAsia="宋体" w:cs="Times New Roman"/>
                <w:color w:val="auto"/>
                <w:sz w:val="24"/>
                <w:szCs w:val="24"/>
              </w:rPr>
              <w:t>，储油罐安装通气管，管口设有呼吸阀。油罐采用双层油罐，工艺管线采用双层复合管线。油罐和管线具备泄</w:t>
            </w:r>
            <w:r>
              <w:rPr>
                <w:rFonts w:hint="eastAsia" w:cs="Times New Roman"/>
                <w:color w:val="auto"/>
                <w:sz w:val="24"/>
                <w:szCs w:val="24"/>
                <w:lang w:eastAsia="zh-CN"/>
              </w:rPr>
              <w:t>漏</w:t>
            </w:r>
            <w:r>
              <w:rPr>
                <w:rFonts w:hint="default" w:ascii="Times New Roman" w:hAnsi="Times New Roman" w:eastAsia="宋体" w:cs="Times New Roman"/>
                <w:color w:val="auto"/>
                <w:sz w:val="24"/>
                <w:szCs w:val="24"/>
              </w:rPr>
              <w:t>报警装置。当发生油品泄漏事故时能够及时发现，并启动应急预案对泄漏的汽油进行及时的收集和处理，对土壤环境造成的影响很小。</w:t>
            </w:r>
          </w:p>
          <w:p w14:paraId="7CB64661">
            <w:pPr>
              <w:adjustRightInd w:val="0"/>
              <w:spacing w:line="360" w:lineRule="auto"/>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③污水下渗</w:t>
            </w:r>
            <w:r>
              <w:rPr>
                <w:rFonts w:hint="default" w:ascii="Times New Roman" w:hAnsi="Times New Roman" w:eastAsia="宋体" w:cs="Times New Roman"/>
                <w:color w:val="auto"/>
                <w:sz w:val="24"/>
                <w:szCs w:val="24"/>
              </w:rPr>
              <w:t>对土壤环境的影响</w:t>
            </w:r>
          </w:p>
          <w:p w14:paraId="79BCA407">
            <w:pPr>
              <w:adjustRightInd w:val="0"/>
              <w:spacing w:line="360" w:lineRule="auto"/>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因操作失误、设备失修、腐蚀、工艺失控、停电、设备损坏等原因，可能造成污水下渗，污染物进入外环境，会造成周边地表水体的水质变化；泄漏废水还会通过土壤下渗进一步造成地下水污染。</w:t>
            </w:r>
          </w:p>
          <w:p w14:paraId="58FB77C0">
            <w:pPr>
              <w:spacing w:line="360" w:lineRule="auto"/>
              <w:ind w:firstLine="480" w:firstLineChars="200"/>
              <w:rPr>
                <w:rFonts w:hint="default" w:ascii="Times New Roman" w:hAnsi="Times New Roman" w:cs="Times New Roman"/>
                <w:b/>
                <w:bCs/>
                <w:color w:val="auto"/>
                <w:sz w:val="24"/>
                <w:szCs w:val="36"/>
                <w:lang w:val="en-US" w:eastAsia="zh-CN"/>
              </w:rPr>
            </w:pPr>
            <w:r>
              <w:rPr>
                <w:rFonts w:hint="default" w:ascii="Times New Roman" w:hAnsi="Times New Roman" w:eastAsia="宋体" w:cs="Times New Roman"/>
                <w:color w:val="auto"/>
                <w:sz w:val="24"/>
                <w:szCs w:val="24"/>
              </w:rPr>
              <w:t>本项目建成后，加油站内地面做混凝土硬化处理，</w:t>
            </w:r>
            <w:r>
              <w:rPr>
                <w:rFonts w:hint="default" w:ascii="Times New Roman" w:hAnsi="Times New Roman" w:eastAsia="宋体" w:cs="Times New Roman"/>
                <w:color w:val="auto"/>
                <w:sz w:val="24"/>
                <w:szCs w:val="24"/>
                <w:lang w:val="en-US" w:eastAsia="zh-CN"/>
              </w:rPr>
              <w:t>所有污水处理设施均做防渗处理</w:t>
            </w:r>
            <w:r>
              <w:rPr>
                <w:rFonts w:hint="default" w:ascii="Times New Roman" w:hAnsi="Times New Roman" w:eastAsia="宋体" w:cs="Times New Roman"/>
                <w:color w:val="auto"/>
                <w:sz w:val="24"/>
                <w:szCs w:val="24"/>
              </w:rPr>
              <w:t>防渗性能满足《环境影响评价技术导则 地下水环境》(HJ610-2016)的要</w:t>
            </w:r>
            <w:r>
              <w:rPr>
                <w:rFonts w:hint="eastAsia" w:cs="Times New Roman"/>
                <w:color w:val="auto"/>
                <w:sz w:val="24"/>
                <w:szCs w:val="24"/>
                <w:lang w:val="en-US" w:eastAsia="zh-CN"/>
              </w:rPr>
              <w:t>求，</w:t>
            </w:r>
            <w:r>
              <w:rPr>
                <w:rFonts w:hint="default" w:ascii="Times New Roman" w:hAnsi="Times New Roman" w:eastAsia="宋体" w:cs="Times New Roman"/>
                <w:color w:val="auto"/>
                <w:sz w:val="24"/>
                <w:szCs w:val="24"/>
              </w:rPr>
              <w:t>采取以上措施后对环境影响不大。</w:t>
            </w:r>
          </w:p>
          <w:p w14:paraId="1BC64A5B">
            <w:pPr>
              <w:spacing w:line="360" w:lineRule="auto"/>
              <w:ind w:firstLine="482" w:firstLineChars="200"/>
              <w:rPr>
                <w:rFonts w:hint="default" w:ascii="Times New Roman" w:hAnsi="Times New Roman" w:cs="Times New Roman"/>
                <w:b/>
                <w:bCs/>
                <w:color w:val="auto"/>
                <w:sz w:val="24"/>
                <w:szCs w:val="36"/>
              </w:rPr>
            </w:pPr>
            <w:r>
              <w:rPr>
                <w:rFonts w:hint="default" w:ascii="Times New Roman" w:hAnsi="Times New Roman" w:cs="Times New Roman"/>
                <w:b/>
                <w:bCs/>
                <w:color w:val="auto"/>
                <w:sz w:val="24"/>
                <w:szCs w:val="36"/>
                <w:lang w:val="en-US" w:eastAsia="zh-CN"/>
              </w:rPr>
              <w:t>（3）</w:t>
            </w:r>
            <w:r>
              <w:rPr>
                <w:rFonts w:hint="default" w:ascii="Times New Roman" w:hAnsi="Times New Roman" w:cs="Times New Roman"/>
                <w:b/>
                <w:bCs/>
                <w:color w:val="auto"/>
                <w:sz w:val="24"/>
                <w:szCs w:val="36"/>
              </w:rPr>
              <w:t>土壤保护措施及对策</w:t>
            </w:r>
          </w:p>
          <w:p w14:paraId="777CB6E9">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本项目土壤影响类型主要为大气沉降影响、入渗影响和地面漫流影响，因此项目土壤保护措施及对策分别针对大气沉降、入渗及地面漫流展开。</w:t>
            </w:r>
          </w:p>
          <w:p w14:paraId="43FF996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1）大气沉降影响土壤保护措施及对策</w:t>
            </w:r>
          </w:p>
          <w:p w14:paraId="1C743AE6">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根据建设单位提供的资料，项目</w:t>
            </w:r>
            <w:r>
              <w:rPr>
                <w:rFonts w:hint="eastAsia" w:cs="Times New Roman"/>
                <w:bCs/>
                <w:color w:val="auto"/>
                <w:sz w:val="24"/>
                <w:szCs w:val="24"/>
                <w:lang w:val="en-US" w:eastAsia="zh-CN"/>
              </w:rPr>
              <w:t>拟</w:t>
            </w:r>
            <w:r>
              <w:rPr>
                <w:rFonts w:hint="default" w:ascii="Times New Roman" w:hAnsi="Times New Roman" w:cs="Times New Roman"/>
                <w:bCs/>
                <w:color w:val="auto"/>
                <w:sz w:val="24"/>
                <w:szCs w:val="24"/>
              </w:rPr>
              <w:t>采取的风险防范措施如下：</w:t>
            </w:r>
          </w:p>
          <w:p w14:paraId="33DD1975">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①为防止大气沉降影响，尽可能从源头控制油气废气的产生，加油站应设置卸油油气回收系统和加油油气回收系统，规范的加油作业和及时维护设施设备等措施来减少油气废气的产生量；</w:t>
            </w:r>
          </w:p>
          <w:p w14:paraId="221B72A3">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②占地范围内应采取绿化措施；</w:t>
            </w:r>
          </w:p>
          <w:p w14:paraId="30B77B0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2）入渗影响土壤保护措施及对策</w:t>
            </w:r>
          </w:p>
          <w:p w14:paraId="58FD39B9">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根据建设单位提供的资料，项目已采取的风险防范措施如下：</w:t>
            </w:r>
          </w:p>
          <w:p w14:paraId="1A08179E">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分区防渗</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重点防渗区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包含储油罐区、输油管线及</w:t>
            </w:r>
            <w:r>
              <w:rPr>
                <w:rFonts w:hint="eastAsia" w:cs="Times New Roman"/>
                <w:color w:val="auto"/>
                <w:sz w:val="24"/>
                <w:szCs w:val="24"/>
                <w:lang w:eastAsia="zh-CN"/>
              </w:rPr>
              <w:t>危废暂存点</w:t>
            </w:r>
            <w:r>
              <w:rPr>
                <w:rFonts w:hint="default" w:ascii="Times New Roman" w:hAnsi="Times New Roman" w:cs="Times New Roman"/>
                <w:color w:val="auto"/>
                <w:sz w:val="24"/>
                <w:szCs w:val="24"/>
              </w:rPr>
              <w:t>、三级油水分离池。一般防渗区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包含加油区、环保沟、卸油区、隔油池、化粪池等区域。简单防渗区：主要为站房地面及场区除绿化用地外进行一般的地面硬化处理。</w:t>
            </w:r>
          </w:p>
          <w:p w14:paraId="6D5E81C8">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②设置低液位监测系统，卸油时当油料达到油罐容量90%时，高液位报警装置应被触动发出警示；当油料达到油罐容量95%时，禁止继续向油罐内卸油。</w:t>
            </w:r>
          </w:p>
          <w:p w14:paraId="239E485E">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③采用双层储油罐，油罐采取防渗、防漏、防腐等处理。各油罐池内均需设检测立管，定期检查油罐是否泄漏，并记录备案。</w:t>
            </w:r>
          </w:p>
          <w:p w14:paraId="1A022962">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④油罐池内间隙用沙填充，一旦发生油品泄漏，吸收了油品的沙应作为危险废物，委托有资质的单位清运处置。</w:t>
            </w:r>
          </w:p>
          <w:p w14:paraId="21E1E5A8">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本环评要求建设单位还需采取的污染防治措施：项目</w:t>
            </w:r>
            <w:r>
              <w:rPr>
                <w:rFonts w:hint="eastAsia" w:cs="Times New Roman"/>
                <w:color w:val="auto"/>
                <w:sz w:val="24"/>
                <w:szCs w:val="24"/>
                <w:lang w:eastAsia="zh-CN"/>
              </w:rPr>
              <w:t>危废暂存点</w:t>
            </w:r>
            <w:r>
              <w:rPr>
                <w:rFonts w:hint="default" w:ascii="Times New Roman" w:hAnsi="Times New Roman" w:cs="Times New Roman"/>
                <w:color w:val="auto"/>
                <w:sz w:val="24"/>
                <w:szCs w:val="24"/>
              </w:rPr>
              <w:t>应设置成封闭式，</w:t>
            </w:r>
            <w:r>
              <w:rPr>
                <w:rFonts w:hint="eastAsia" w:cs="Times New Roman"/>
                <w:color w:val="auto"/>
                <w:sz w:val="24"/>
                <w:szCs w:val="24"/>
                <w:lang w:eastAsia="zh-CN"/>
              </w:rPr>
              <w:t>危废暂存点</w:t>
            </w:r>
            <w:r>
              <w:rPr>
                <w:rFonts w:hint="default" w:ascii="Times New Roman" w:hAnsi="Times New Roman" w:cs="Times New Roman"/>
                <w:color w:val="auto"/>
                <w:sz w:val="24"/>
                <w:szCs w:val="24"/>
              </w:rPr>
              <w:t>须采取防渗措施。</w:t>
            </w:r>
          </w:p>
          <w:p w14:paraId="7C6DD8C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3）地面漫流影响土壤保护措施及对策</w:t>
            </w:r>
          </w:p>
          <w:p w14:paraId="23DC19DE">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根据建设单位提供的资料，项目已采取的风险防范措施如下：</w:t>
            </w:r>
          </w:p>
          <w:p w14:paraId="08F310F4">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根据项目区的地形特点优化地面布局，在加油区四周设置导流沟，用于收集加油区</w:t>
            </w:r>
            <w:r>
              <w:rPr>
                <w:rFonts w:hint="eastAsia" w:cs="Times New Roman"/>
                <w:color w:val="auto"/>
                <w:sz w:val="24"/>
                <w:szCs w:val="24"/>
                <w:lang w:val="en-US" w:eastAsia="zh-CN"/>
              </w:rPr>
              <w:t>地坪冲洗水及油污</w:t>
            </w:r>
            <w:r>
              <w:rPr>
                <w:rFonts w:hint="default" w:ascii="Times New Roman" w:hAnsi="Times New Roman" w:cs="Times New Roman"/>
                <w:color w:val="auto"/>
                <w:sz w:val="24"/>
                <w:szCs w:val="24"/>
              </w:rPr>
              <w:t>，导流沟与</w:t>
            </w:r>
            <w:r>
              <w:rPr>
                <w:rFonts w:hint="default" w:ascii="Times New Roman" w:hAnsi="Times New Roman" w:cs="Times New Roman"/>
                <w:color w:val="auto"/>
                <w:sz w:val="24"/>
                <w:szCs w:val="24"/>
                <w:lang w:val="en-US" w:eastAsia="zh-CN"/>
              </w:rPr>
              <w:t>三级</w:t>
            </w:r>
            <w:r>
              <w:rPr>
                <w:rFonts w:hint="default" w:ascii="Times New Roman" w:hAnsi="Times New Roman" w:cs="Times New Roman"/>
                <w:color w:val="auto"/>
                <w:sz w:val="24"/>
                <w:szCs w:val="24"/>
              </w:rPr>
              <w:t>油水分离池相连，导流沟采取防渗处理。项目区内设置地面硬化防止地面漫流土壤环境污染。</w:t>
            </w:r>
          </w:p>
          <w:p w14:paraId="4E61DCD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采取以上措施后，</w:t>
            </w:r>
            <w:r>
              <w:rPr>
                <w:rFonts w:hint="default" w:ascii="Times New Roman" w:hAnsi="Times New Roman" w:cs="Times New Roman"/>
                <w:snapToGrid w:val="0"/>
                <w:color w:val="auto"/>
                <w:sz w:val="24"/>
                <w:szCs w:val="24"/>
              </w:rPr>
              <w:t>运营期项目对土壤环境的影响在可接受范围内。</w:t>
            </w:r>
          </w:p>
          <w:p w14:paraId="2299DE4A">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污水下渗影响</w:t>
            </w:r>
            <w:r>
              <w:rPr>
                <w:rFonts w:hint="default" w:ascii="Times New Roman" w:hAnsi="Times New Roman" w:cs="Times New Roman"/>
                <w:b w:val="0"/>
                <w:bCs w:val="0"/>
                <w:color w:val="auto"/>
                <w:sz w:val="24"/>
                <w:szCs w:val="24"/>
              </w:rPr>
              <w:t>土壤保护措施及对策</w:t>
            </w:r>
          </w:p>
          <w:p w14:paraId="5EA48CC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lang w:val="en-US" w:eastAsia="zh-CN" w:bidi="ar-SA"/>
              </w:rPr>
              <w:t>本项目排水系统采用雨污分流制。食堂含油废水经隔油池预处理后与其余办公生活废水及外来人员冲厕废水一同进入化粪池处理，地面冲洗废水经三级油水分离池处理，上述所有废水</w:t>
            </w:r>
            <w:r>
              <w:rPr>
                <w:rFonts w:hint="eastAsia" w:cs="Times New Roman"/>
                <w:color w:val="auto"/>
                <w:kern w:val="2"/>
                <w:sz w:val="24"/>
                <w:szCs w:val="24"/>
                <w:lang w:val="en-US" w:eastAsia="zh-CN" w:bidi="ar-SA"/>
              </w:rPr>
              <w:t>委托寻甸绿运垃圾清运有限公司清运处置</w:t>
            </w:r>
            <w:r>
              <w:rPr>
                <w:rFonts w:hint="default" w:ascii="Times New Roman" w:hAnsi="Times New Roman" w:eastAsia="宋体" w:cs="Times New Roman"/>
                <w:color w:val="auto"/>
                <w:kern w:val="2"/>
                <w:sz w:val="24"/>
                <w:szCs w:val="24"/>
                <w:lang w:val="en-US" w:eastAsia="zh-CN" w:bidi="ar-SA"/>
              </w:rPr>
              <w:t>。隔油池、化粪池设置防渗处理。</w:t>
            </w:r>
            <w:r>
              <w:rPr>
                <w:rFonts w:hint="default" w:ascii="Times New Roman" w:hAnsi="Times New Roman" w:cs="Times New Roman"/>
                <w:color w:val="auto"/>
                <w:sz w:val="24"/>
                <w:szCs w:val="24"/>
              </w:rPr>
              <w:t>采取以上措施后，</w:t>
            </w:r>
            <w:r>
              <w:rPr>
                <w:rFonts w:hint="default" w:ascii="Times New Roman" w:hAnsi="Times New Roman" w:cs="Times New Roman"/>
                <w:snapToGrid w:val="0"/>
                <w:color w:val="auto"/>
                <w:sz w:val="24"/>
                <w:szCs w:val="24"/>
              </w:rPr>
              <w:t>运营期项目对土壤环境的影响在可接受范围内。</w:t>
            </w:r>
          </w:p>
          <w:p w14:paraId="4FAAA3E2">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结论</w:t>
            </w:r>
          </w:p>
          <w:p w14:paraId="6DBC3999">
            <w:pPr>
              <w:spacing w:line="360" w:lineRule="auto"/>
              <w:ind w:firstLine="480"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rPr>
              <w:t>根据以下情况，可得出该建设项目土壤环境影响可接受的结论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运营期，通过对大气污染物排放量核算，污染物排放达标，加之落实污染防治措施和环境风险应急预案防止泄漏发生，因此通过大气沉降和油品</w:t>
            </w:r>
            <w:r>
              <w:rPr>
                <w:rFonts w:hint="eastAsia" w:cs="Times New Roman"/>
                <w:color w:val="auto"/>
                <w:sz w:val="24"/>
                <w:szCs w:val="24"/>
                <w:lang w:eastAsia="zh-CN"/>
              </w:rPr>
              <w:t>泄漏</w:t>
            </w:r>
            <w:r>
              <w:rPr>
                <w:rFonts w:hint="default" w:ascii="Times New Roman" w:hAnsi="Times New Roman" w:cs="Times New Roman"/>
                <w:color w:val="auto"/>
                <w:sz w:val="24"/>
                <w:szCs w:val="24"/>
              </w:rPr>
              <w:t>造成加油站周边土壤污染的可能性很小。</w:t>
            </w:r>
          </w:p>
          <w:p w14:paraId="4EE41D03">
            <w:pPr>
              <w:spacing w:line="360" w:lineRule="auto"/>
              <w:ind w:firstLine="482" w:firstLineChars="200"/>
              <w:rPr>
                <w:rFonts w:hint="default" w:ascii="Times New Roman" w:hAnsi="Times New Roman" w:cs="Times New Roman"/>
                <w:b/>
                <w:color w:val="auto"/>
                <w:sz w:val="32"/>
                <w:szCs w:val="32"/>
                <w:lang w:val="en-US" w:eastAsia="zh-CN"/>
              </w:rPr>
            </w:pPr>
            <w:r>
              <w:rPr>
                <w:rFonts w:hint="default" w:ascii="Times New Roman" w:hAnsi="Times New Roman" w:cs="Times New Roman"/>
                <w:b/>
                <w:color w:val="auto"/>
                <w:sz w:val="24"/>
                <w:szCs w:val="22"/>
                <w:lang w:val="en-US" w:eastAsia="zh-CN"/>
              </w:rPr>
              <w:t>6、</w:t>
            </w:r>
            <w:r>
              <w:rPr>
                <w:rFonts w:hint="default" w:ascii="Times New Roman" w:hAnsi="Times New Roman" w:cs="Times New Roman"/>
                <w:b/>
                <w:color w:val="auto"/>
                <w:sz w:val="24"/>
                <w:szCs w:val="22"/>
              </w:rPr>
              <w:t>地下水环境影响分析</w:t>
            </w:r>
            <w:r>
              <w:rPr>
                <w:rFonts w:hint="default" w:ascii="Times New Roman" w:hAnsi="Times New Roman" w:cs="Times New Roman"/>
                <w:b/>
                <w:color w:val="auto"/>
                <w:sz w:val="24"/>
                <w:lang w:val="en-US" w:eastAsia="zh-CN"/>
              </w:rPr>
              <w:t>及保护措施</w:t>
            </w:r>
          </w:p>
          <w:p w14:paraId="3E0785D1">
            <w:pPr>
              <w:tabs>
                <w:tab w:val="left" w:pos="228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试行）》，“地下水原则上不开展专项评价，涉及集中式饮用水水源和热水、矿泉水、温泉等特殊地下水资源保护区的开展地下水专项评价工作”和“地下水原则上不开展环境质量现状调查”，本项目所属区域不涉及集中式饮用水水源和热水、矿泉水、温泉等特殊地下水资源保护区</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因此本项目地下水环境影响评价工作简单分析即可。</w:t>
            </w:r>
          </w:p>
          <w:p w14:paraId="6E71D49B">
            <w:pPr>
              <w:spacing w:line="360" w:lineRule="auto"/>
              <w:ind w:firstLine="482" w:firstLineChars="200"/>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lang w:val="en-US" w:eastAsia="zh-CN"/>
              </w:rPr>
              <w:t>（1）</w:t>
            </w:r>
            <w:r>
              <w:rPr>
                <w:rFonts w:hint="default" w:ascii="Times New Roman" w:hAnsi="Times New Roman" w:eastAsia="宋体" w:cs="Times New Roman"/>
                <w:b/>
                <w:bCs/>
                <w:color w:val="auto"/>
                <w:sz w:val="24"/>
                <w:szCs w:val="24"/>
              </w:rPr>
              <w:t>地下水类型及含水层组</w:t>
            </w:r>
          </w:p>
          <w:p w14:paraId="5A5D8C2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根据《</w:t>
            </w:r>
            <w:r>
              <w:rPr>
                <w:rFonts w:hint="eastAsia" w:cs="Times New Roman"/>
                <w:color w:val="auto"/>
                <w:sz w:val="24"/>
                <w:szCs w:val="24"/>
                <w:lang w:val="en-US" w:eastAsia="zh-CN"/>
              </w:rPr>
              <w:t>梧桐加油站隐患治理项目岩土工程勘察报告</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32"/>
              </w:rPr>
              <w:t>拟建项目</w:t>
            </w:r>
            <w:r>
              <w:rPr>
                <w:rFonts w:ascii="Times New Roman" w:hAnsi="Times New Roman" w:eastAsia="宋体"/>
                <w:color w:val="auto"/>
                <w:sz w:val="24"/>
              </w:rPr>
              <w:t>场地</w:t>
            </w:r>
            <w:r>
              <w:rPr>
                <w:rFonts w:hint="eastAsia" w:ascii="Times New Roman" w:hAnsi="Times New Roman" w:eastAsia="宋体"/>
                <w:color w:val="auto"/>
                <w:sz w:val="24"/>
              </w:rPr>
              <w:t>地貌单元属于山间盆地</w:t>
            </w:r>
            <w:r>
              <w:rPr>
                <w:rFonts w:hint="default" w:ascii="Times New Roman" w:hAnsi="Times New Roman" w:cs="Times New Roman"/>
                <w:color w:val="auto"/>
                <w:sz w:val="24"/>
                <w:szCs w:val="24"/>
              </w:rPr>
              <w:t>。地下水类型为</w:t>
            </w:r>
            <w:r>
              <w:rPr>
                <w:rFonts w:hint="eastAsia" w:ascii="Times New Roman" w:hAnsi="Times New Roman" w:eastAsia="宋体"/>
                <w:bCs/>
                <w:color w:val="auto"/>
                <w:sz w:val="24"/>
              </w:rPr>
              <w:t>上层滞水、孔隙潜水</w:t>
            </w:r>
            <w:r>
              <w:rPr>
                <w:rFonts w:hint="default" w:ascii="Times New Roman" w:hAnsi="Times New Roman" w:cs="Times New Roman"/>
                <w:color w:val="auto"/>
                <w:sz w:val="24"/>
                <w:szCs w:val="24"/>
              </w:rPr>
              <w:t>。</w:t>
            </w:r>
            <w:r>
              <w:rPr>
                <w:rFonts w:hint="eastAsia" w:ascii="宋体" w:eastAsia="宋体"/>
                <w:color w:val="auto"/>
                <w:sz w:val="24"/>
              </w:rPr>
              <w:t>上层滞水为滞留在表层的素填土中的地下水，富水性弱，此层水随季节变化而变化较大。孔隙潜水为</w:t>
            </w:r>
            <w:r>
              <w:rPr>
                <w:rFonts w:hint="eastAsia" w:ascii="Times New Roman" w:hAnsi="Times New Roman" w:eastAsia="宋体"/>
                <w:bCs/>
                <w:color w:val="auto"/>
                <w:sz w:val="24"/>
              </w:rPr>
              <w:t>微承压，受大气降水和附近地表水补给，随季节变化而变化较大，旱季、雨季水位变幅约0.5米。</w:t>
            </w:r>
          </w:p>
          <w:p w14:paraId="4EF93409">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）地下水补径排关系</w:t>
            </w:r>
          </w:p>
          <w:p w14:paraId="75A304CF">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rPr>
              <w:t>根据</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梧桐加油站隐患治理项目岩土工程勘察报告</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szCs w:val="32"/>
              </w:rPr>
              <w:t>拟建项目区域</w:t>
            </w:r>
            <w:r>
              <w:rPr>
                <w:rFonts w:hint="default" w:ascii="Times New Roman" w:hAnsi="Times New Roman" w:cs="Times New Roman"/>
                <w:color w:val="auto"/>
                <w:sz w:val="24"/>
                <w:szCs w:val="32"/>
                <w:lang w:eastAsia="zh-CN"/>
              </w:rPr>
              <w:t>，地下水整体由</w:t>
            </w:r>
            <w:r>
              <w:rPr>
                <w:rFonts w:hint="eastAsia" w:cs="Times New Roman"/>
                <w:color w:val="auto"/>
                <w:sz w:val="24"/>
                <w:szCs w:val="32"/>
                <w:lang w:val="en-US" w:eastAsia="zh-CN"/>
              </w:rPr>
              <w:t>西南</w:t>
            </w:r>
            <w:r>
              <w:rPr>
                <w:rFonts w:hint="default" w:ascii="Times New Roman" w:hAnsi="Times New Roman" w:cs="Times New Roman"/>
                <w:color w:val="auto"/>
                <w:sz w:val="24"/>
                <w:szCs w:val="32"/>
                <w:lang w:eastAsia="zh-CN"/>
              </w:rPr>
              <w:t>向</w:t>
            </w:r>
            <w:r>
              <w:rPr>
                <w:rFonts w:hint="eastAsia" w:cs="Times New Roman"/>
                <w:color w:val="auto"/>
                <w:sz w:val="24"/>
                <w:szCs w:val="32"/>
                <w:lang w:val="en-US" w:eastAsia="zh-CN"/>
              </w:rPr>
              <w:t>东北</w:t>
            </w:r>
            <w:r>
              <w:rPr>
                <w:rFonts w:hint="default" w:ascii="Times New Roman" w:hAnsi="Times New Roman" w:cs="Times New Roman"/>
                <w:color w:val="auto"/>
                <w:sz w:val="24"/>
                <w:szCs w:val="32"/>
                <w:lang w:eastAsia="zh-CN"/>
              </w:rPr>
              <w:t>径流排泄</w:t>
            </w:r>
            <w:r>
              <w:rPr>
                <w:rFonts w:hint="default" w:ascii="Times New Roman" w:hAnsi="Times New Roman" w:cs="Times New Roman"/>
                <w:color w:val="auto"/>
                <w:sz w:val="24"/>
                <w:szCs w:val="32"/>
              </w:rPr>
              <w:t>。</w:t>
            </w:r>
          </w:p>
          <w:p w14:paraId="3CD19343">
            <w:pPr>
              <w:spacing w:line="360" w:lineRule="auto"/>
              <w:ind w:firstLine="480" w:firstLineChars="200"/>
              <w:rPr>
                <w:rFonts w:hint="eastAsia" w:ascii="Times New Roman" w:hAnsi="Times New Roman" w:eastAsia="宋体" w:cs="Times New Roman"/>
                <w:bCs/>
                <w:color w:val="auto"/>
                <w:sz w:val="24"/>
                <w:szCs w:val="22"/>
                <w:lang w:eastAsia="zh-CN"/>
              </w:rPr>
            </w:pPr>
            <w:r>
              <w:rPr>
                <w:rFonts w:hint="default" w:ascii="Times New Roman" w:hAnsi="Times New Roman" w:cs="Times New Roman"/>
                <w:bCs/>
                <w:color w:val="auto"/>
                <w:sz w:val="24"/>
                <w:szCs w:val="22"/>
              </w:rPr>
              <w:t>场地内地下水补给来源主要靠大气降水和地表水的入渗补给和控制</w:t>
            </w:r>
            <w:r>
              <w:rPr>
                <w:rFonts w:hint="eastAsia" w:cs="Times New Roman"/>
                <w:bCs/>
                <w:color w:val="auto"/>
                <w:sz w:val="24"/>
                <w:szCs w:val="22"/>
                <w:lang w:eastAsia="zh-CN"/>
              </w:rPr>
              <w:t>。</w:t>
            </w:r>
          </w:p>
          <w:p w14:paraId="55D03488">
            <w:pPr>
              <w:spacing w:line="360" w:lineRule="auto"/>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项目区周边无集中式地下饮用水水源地、特殊地下水源、分散式饮用水水源地等地下水环境保护目标。为防止项目区废水对地下水产生影响，项目区的储油区、输油管线、</w:t>
            </w:r>
            <w:r>
              <w:rPr>
                <w:rFonts w:hint="eastAsia" w:cs="Times New Roman"/>
                <w:bCs/>
                <w:color w:val="auto"/>
                <w:sz w:val="24"/>
                <w:szCs w:val="22"/>
                <w:lang w:eastAsia="zh-CN"/>
              </w:rPr>
              <w:t>危废暂存点</w:t>
            </w:r>
            <w:r>
              <w:rPr>
                <w:rFonts w:hint="default" w:ascii="Times New Roman" w:hAnsi="Times New Roman" w:cs="Times New Roman"/>
                <w:bCs/>
                <w:color w:val="auto"/>
                <w:sz w:val="24"/>
                <w:szCs w:val="22"/>
              </w:rPr>
              <w:t>、加油区、沉淀池和收集池要采取防渗措施，确保不会发生渗漏，避免对地下水造成影响。</w:t>
            </w:r>
          </w:p>
          <w:p w14:paraId="3BBB9F22">
            <w:pPr>
              <w:spacing w:line="360" w:lineRule="auto"/>
              <w:ind w:firstLine="482" w:firstLineChars="200"/>
              <w:rPr>
                <w:rFonts w:hint="default" w:ascii="Times New Roman" w:hAnsi="Times New Roman" w:cs="Times New Roman"/>
                <w:b/>
                <w:bCs w:val="0"/>
                <w:color w:val="auto"/>
                <w:kern w:val="0"/>
                <w:sz w:val="24"/>
              </w:rPr>
            </w:pPr>
            <w:r>
              <w:rPr>
                <w:rFonts w:hint="default" w:ascii="Times New Roman" w:hAnsi="Times New Roman" w:cs="Times New Roman"/>
                <w:b/>
                <w:bCs w:val="0"/>
                <w:color w:val="auto"/>
                <w:kern w:val="0"/>
                <w:sz w:val="24"/>
                <w:szCs w:val="24"/>
                <w:lang w:val="en-US" w:eastAsia="zh-CN" w:bidi="ar"/>
              </w:rPr>
              <w:t>（3）</w:t>
            </w:r>
            <w:r>
              <w:rPr>
                <w:rFonts w:hint="default" w:ascii="Times New Roman" w:hAnsi="Times New Roman" w:cs="Times New Roman"/>
                <w:b/>
                <w:bCs w:val="0"/>
                <w:color w:val="auto"/>
                <w:kern w:val="0"/>
                <w:sz w:val="24"/>
              </w:rPr>
              <w:t>地下水污染途径</w:t>
            </w:r>
          </w:p>
          <w:p w14:paraId="083A611B">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污染物从污染源进入地下水所经过的路径称为地下水污染途径，地下水污染途径是多种多样的。根据工程分析，该项目可能对地下水造成污染的途径主要有： </w:t>
            </w:r>
          </w:p>
          <w:p w14:paraId="66F1138E">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①若储油罐或输油管线发生破损，则油品会发生泄漏，从而对地下水造成污染； </w:t>
            </w:r>
          </w:p>
          <w:p w14:paraId="519C9883">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w:t>
            </w:r>
            <w:r>
              <w:rPr>
                <w:rFonts w:hint="eastAsia" w:cs="Times New Roman"/>
                <w:color w:val="auto"/>
                <w:kern w:val="0"/>
                <w:sz w:val="24"/>
                <w:lang w:eastAsia="zh-CN"/>
              </w:rPr>
              <w:t>危废暂存点</w:t>
            </w:r>
            <w:r>
              <w:rPr>
                <w:rFonts w:hint="default" w:ascii="Times New Roman" w:hAnsi="Times New Roman" w:cs="Times New Roman"/>
                <w:color w:val="auto"/>
                <w:kern w:val="0"/>
                <w:sz w:val="24"/>
              </w:rPr>
              <w:t xml:space="preserve">存放的废机油，在存放桶破裂且地面防渗层发生破损的情况下会发生渗漏，对地下水造成污染； </w:t>
            </w:r>
          </w:p>
          <w:p w14:paraId="03242358">
            <w:pPr>
              <w:widowControl/>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③化粪池、隔油池，三级油水分离池混凝土底部发生破损的情况下会发生渗漏，对地下水造成污染。</w:t>
            </w:r>
          </w:p>
          <w:p w14:paraId="3A96B672">
            <w:pPr>
              <w:adjustRightInd w:val="0"/>
              <w:snapToGrid w:val="0"/>
              <w:spacing w:line="360" w:lineRule="auto"/>
              <w:ind w:firstLine="480"/>
              <w:rPr>
                <w:rFonts w:hint="default" w:ascii="Times New Roman" w:hAnsi="Times New Roman" w:cs="Times New Roman"/>
                <w:b/>
                <w:color w:val="auto"/>
                <w:sz w:val="24"/>
                <w:szCs w:val="22"/>
              </w:rPr>
            </w:pPr>
            <w:r>
              <w:rPr>
                <w:rFonts w:hint="default" w:ascii="Times New Roman" w:hAnsi="Times New Roman" w:cs="Times New Roman"/>
                <w:b/>
                <w:color w:val="auto"/>
                <w:sz w:val="24"/>
                <w:szCs w:val="22"/>
              </w:rPr>
              <w:t>（</w:t>
            </w:r>
            <w:r>
              <w:rPr>
                <w:rFonts w:hint="default" w:ascii="Times New Roman" w:hAnsi="Times New Roman" w:cs="Times New Roman"/>
                <w:b/>
                <w:color w:val="auto"/>
                <w:sz w:val="24"/>
                <w:szCs w:val="22"/>
                <w:lang w:val="en-US" w:eastAsia="zh-CN"/>
              </w:rPr>
              <w:t>4</w:t>
            </w:r>
            <w:r>
              <w:rPr>
                <w:rFonts w:hint="default" w:ascii="Times New Roman" w:hAnsi="Times New Roman" w:cs="Times New Roman"/>
                <w:b/>
                <w:color w:val="auto"/>
                <w:sz w:val="24"/>
                <w:szCs w:val="22"/>
              </w:rPr>
              <w:t>）环境影响分析</w:t>
            </w:r>
          </w:p>
          <w:p w14:paraId="63D0A11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项目储油罐和输油管线泄漏或渗漏会对地下水产生严重污染，会使地下水产生严重异味，无法饮用，并具有较强的致畸、致癌性，且由于这种渗漏必然穿过较厚的土壤层，使土壤层中吸附了大量的油品，土壤层吸附的燃料油不仅会造成植物生物的死亡，而且土壤层吸附的燃料油还会随着地表水的下渗对土壤层的冲刷作用补充到地下水，这样尽管污染源得到及时控制，由于含水层的自净降解是一个长期的过程，达到地下水的完全恢复需几十年甚至上百年的时间。 </w:t>
            </w:r>
          </w:p>
          <w:p w14:paraId="093D8362">
            <w:pPr>
              <w:spacing w:line="360" w:lineRule="auto"/>
              <w:ind w:firstLine="480" w:firstLineChars="200"/>
              <w:rPr>
                <w:rFonts w:hint="default" w:ascii="Times New Roman" w:hAnsi="Times New Roman" w:cs="Times New Roman"/>
                <w:b/>
                <w:color w:val="auto"/>
                <w:sz w:val="24"/>
                <w:szCs w:val="24"/>
                <w:lang w:val="en-US" w:eastAsia="zh-CN"/>
              </w:rPr>
            </w:pPr>
            <w:r>
              <w:rPr>
                <w:rFonts w:hint="default" w:ascii="Times New Roman" w:hAnsi="Times New Roman" w:cs="Times New Roman"/>
                <w:color w:val="auto"/>
                <w:kern w:val="0"/>
                <w:sz w:val="24"/>
              </w:rPr>
              <w:t>项目可能影响地下水的主要途径是：通过泄漏污染地下水，污染对象主要为浅部含水层，污染程度除受废水污染物化学成分、浓度及当地的降水、径流和入渗等条件影响外，还受地质结构、岩土成分、厚度、饱和和非饱和渗透性能以及对污染物的吸附滞留能力的影响。由于项目区域采用水泥硬化等防渗措施，阻碍污染物进入含水层，不会对浅层地下水产生影响，更不会影响深部承压水。项目不直接取用地下水，通过采取合理的地下水防渗措施后，项目建设对项目区域地下水的影响很小。</w:t>
            </w:r>
          </w:p>
          <w:p w14:paraId="058C1B36">
            <w:pPr>
              <w:adjustRightInd w:val="0"/>
              <w:spacing w:line="360" w:lineRule="auto"/>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w:t>
            </w:r>
            <w:r>
              <w:rPr>
                <w:rFonts w:hint="default"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rPr>
              <w:t>）地下水污染防治措施</w:t>
            </w:r>
          </w:p>
          <w:p w14:paraId="455ECE9D">
            <w:pPr>
              <w:adjustRightInd w:val="0"/>
              <w:spacing w:line="360" w:lineRule="auto"/>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1）污染防治措施</w:t>
            </w:r>
          </w:p>
          <w:p w14:paraId="2402A4C2">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根据建设单位提供的资料，项目</w:t>
            </w:r>
            <w:r>
              <w:rPr>
                <w:rFonts w:hint="default" w:ascii="Times New Roman" w:hAnsi="Times New Roman" w:cs="Times New Roman"/>
                <w:color w:val="auto"/>
                <w:sz w:val="24"/>
                <w:szCs w:val="24"/>
                <w:lang w:val="en-US" w:eastAsia="zh-CN"/>
              </w:rPr>
              <w:t>拟</w:t>
            </w:r>
            <w:r>
              <w:rPr>
                <w:rFonts w:hint="default" w:ascii="Times New Roman" w:hAnsi="Times New Roman" w:cs="Times New Roman"/>
                <w:color w:val="auto"/>
                <w:sz w:val="24"/>
                <w:szCs w:val="24"/>
              </w:rPr>
              <w:t>采取以下防渗措施：</w:t>
            </w:r>
          </w:p>
          <w:p w14:paraId="47C7470E">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①油罐采用双层卧式油罐，并采用防腐防渗技术，对储油罐内外表面、油罐池的内表面、油罐区地面、输油管线外表面采取防渗防腐处理，并采用不低于加强级的防腐绝缘保护层。</w:t>
            </w:r>
          </w:p>
          <w:p w14:paraId="7496F329">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ja-JP"/>
              </w:rPr>
              <w:t>②</w:t>
            </w:r>
            <w:r>
              <w:rPr>
                <w:rFonts w:hint="default" w:ascii="Times New Roman" w:hAnsi="Times New Roman" w:cs="Times New Roman"/>
                <w:color w:val="auto"/>
                <w:sz w:val="24"/>
                <w:szCs w:val="24"/>
              </w:rPr>
              <w:t>加油管线采用固定工艺管道，且采用无缝钢管，在对钢管有严重腐蚀作用的土壤地段直埋管道时，选用耐油、耐土壤腐蚀、导静电的复合管材。</w:t>
            </w:r>
          </w:p>
          <w:p w14:paraId="17FDD1F5">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ja-JP"/>
              </w:rPr>
              <w:t>③</w:t>
            </w:r>
            <w:r>
              <w:rPr>
                <w:rFonts w:hint="default" w:ascii="Times New Roman" w:hAnsi="Times New Roman" w:cs="Times New Roman"/>
                <w:color w:val="auto"/>
                <w:sz w:val="24"/>
                <w:szCs w:val="24"/>
              </w:rPr>
              <w:t>化粪池、</w:t>
            </w:r>
            <w:r>
              <w:rPr>
                <w:rFonts w:hint="default" w:ascii="Times New Roman" w:hAnsi="Times New Roman" w:cs="Times New Roman"/>
                <w:color w:val="auto"/>
                <w:sz w:val="24"/>
                <w:szCs w:val="24"/>
                <w:lang w:val="en-US" w:eastAsia="zh-CN"/>
              </w:rPr>
              <w:t>隔油池、环保沟</w:t>
            </w:r>
            <w:r>
              <w:rPr>
                <w:rFonts w:hint="default" w:ascii="Times New Roman" w:hAnsi="Times New Roman" w:cs="Times New Roman"/>
                <w:color w:val="auto"/>
                <w:sz w:val="24"/>
                <w:szCs w:val="24"/>
              </w:rPr>
              <w:t>按一般防渗要求进行防渗。</w:t>
            </w:r>
          </w:p>
          <w:p w14:paraId="161E70A7">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④站房、项目区地面进行硬化。</w:t>
            </w:r>
          </w:p>
          <w:p w14:paraId="093E2117">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⑤设置低液位监测系统，卸油时当油料达到油罐容量90%时，高液位报警装置应被触动发出警示；当油料达到油罐容量95%时，禁止继续向油罐内卸油。</w:t>
            </w:r>
          </w:p>
          <w:p w14:paraId="0F16C509">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⑥各油罐池内均需设检测立管，定期检查油罐是否泄漏，并记录备案。</w:t>
            </w:r>
          </w:p>
          <w:p w14:paraId="05711369">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⑦油罐池内间隙用沙填充，一旦发生油品泄漏，吸收了油品的沙应作为危险废物，委托有资质的单位清运处置。</w:t>
            </w:r>
          </w:p>
          <w:p w14:paraId="60F74FCB">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⑧液位仪在线</w:t>
            </w:r>
            <w:r>
              <w:rPr>
                <w:rFonts w:hint="eastAsia" w:cs="Times New Roman"/>
                <w:color w:val="auto"/>
                <w:sz w:val="24"/>
                <w:szCs w:val="24"/>
                <w:lang w:val="en-US" w:eastAsia="zh-CN"/>
              </w:rPr>
              <w:t>监控</w:t>
            </w:r>
            <w:r>
              <w:rPr>
                <w:rFonts w:hint="default" w:ascii="Times New Roman" w:hAnsi="Times New Roman" w:cs="Times New Roman"/>
                <w:color w:val="auto"/>
                <w:sz w:val="24"/>
                <w:szCs w:val="24"/>
              </w:rPr>
              <w:t>系统1套</w:t>
            </w:r>
            <w:r>
              <w:rPr>
                <w:rFonts w:hint="default" w:ascii="Times New Roman" w:hAnsi="Times New Roman" w:eastAsia="宋体" w:cs="Times New Roman"/>
                <w:color w:val="auto"/>
                <w:kern w:val="2"/>
                <w:sz w:val="24"/>
                <w:szCs w:val="24"/>
                <w:highlight w:val="none"/>
                <w:lang w:val="en-US" w:eastAsia="zh-CN" w:bidi="ar-SA"/>
              </w:rPr>
              <w:t>，观测油罐是否渗漏，防止油品损失、对地下水和土壤的污染。</w:t>
            </w:r>
          </w:p>
          <w:p w14:paraId="4C3E0C81">
            <w:pPr>
              <w:adjustRightInd w:val="0"/>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⑨设置卸油油气回收系统和加油油气回收系统，规范加油作业，及时维护设施设备。</w:t>
            </w:r>
          </w:p>
          <w:p w14:paraId="682E26F1">
            <w:pPr>
              <w:adjustRightInd w:val="0"/>
              <w:spacing w:line="360" w:lineRule="auto"/>
              <w:ind w:firstLine="480" w:firstLineChars="200"/>
              <w:textAlignment w:val="baseline"/>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rPr>
              <w:t>⑩</w:t>
            </w:r>
            <w:r>
              <w:rPr>
                <w:rFonts w:hint="default" w:ascii="Times New Roman" w:hAnsi="Times New Roman" w:cs="Times New Roman"/>
                <w:color w:val="auto"/>
                <w:sz w:val="24"/>
                <w:szCs w:val="24"/>
                <w:lang w:eastAsia="zh-CN"/>
              </w:rPr>
              <w:t>设置常规地下水监测井</w:t>
            </w:r>
            <w:r>
              <w:rPr>
                <w:rFonts w:hint="eastAsia" w:ascii="Times New Roman" w:hAnsi="Times New Roman" w:cs="Times New Roman"/>
                <w:color w:val="auto"/>
                <w:sz w:val="24"/>
                <w:szCs w:val="24"/>
                <w:lang w:eastAsia="zh-CN"/>
              </w:rPr>
              <w:t>（103°15′34.779″,25°43′26.131″）</w:t>
            </w:r>
            <w:r>
              <w:rPr>
                <w:rFonts w:hint="eastAsia" w:ascii="Times New Roman" w:hAnsi="Times New Roman" w:cs="Times New Roman"/>
                <w:color w:val="auto"/>
                <w:sz w:val="24"/>
                <w:szCs w:val="24"/>
                <w:lang w:val="en-US" w:eastAsia="zh-CN"/>
              </w:rPr>
              <w:t>,要求定期开展监测工作，监测井要求设置于油罐区地下水流向的下游，并在保证安全的情况下尽可能靠近油罐，监测井结构采用一孔成井工艺，并考虑区域10年内地下水水位变幅，滤水管长度和设置位置应覆盖水位变幅。</w:t>
            </w:r>
          </w:p>
          <w:p w14:paraId="6CCF7B74">
            <w:pPr>
              <w:adjustRightInd w:val="0"/>
              <w:spacing w:line="360" w:lineRule="auto"/>
              <w:ind w:firstLine="482" w:firstLineChars="200"/>
              <w:textAlignment w:val="baseline"/>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本环评要求建设单位还需采取的污染防治措施如下：</w:t>
            </w:r>
          </w:p>
          <w:p w14:paraId="09E86A58">
            <w:pPr>
              <w:adjustRightInd w:val="0"/>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①项目对</w:t>
            </w:r>
            <w:r>
              <w:rPr>
                <w:rFonts w:hint="eastAsia" w:cs="Times New Roman"/>
                <w:color w:val="auto"/>
                <w:sz w:val="24"/>
                <w:szCs w:val="24"/>
                <w:lang w:eastAsia="zh-CN"/>
              </w:rPr>
              <w:t>危废暂存点</w:t>
            </w:r>
            <w:r>
              <w:rPr>
                <w:rFonts w:hint="default" w:ascii="Times New Roman" w:hAnsi="Times New Roman" w:cs="Times New Roman"/>
                <w:color w:val="auto"/>
                <w:sz w:val="24"/>
                <w:szCs w:val="24"/>
              </w:rPr>
              <w:t>按重点防渗要求进行防渗，防止危险废物中所含的油品下渗，造成地下水污染。</w:t>
            </w:r>
          </w:p>
          <w:p w14:paraId="2648FC56">
            <w:pPr>
              <w:adjustRightInd w:val="0"/>
              <w:spacing w:line="360" w:lineRule="auto"/>
              <w:ind w:firstLine="480" w:firstLineChars="200"/>
              <w:jc w:val="left"/>
              <w:textAlignment w:val="baseline"/>
              <w:rPr>
                <w:rFonts w:hint="default" w:ascii="Times New Roman" w:hAnsi="Times New Roman" w:cs="Times New Roman"/>
                <w:color w:val="auto"/>
                <w:kern w:val="0"/>
                <w:sz w:val="24"/>
                <w:szCs w:val="24"/>
                <w:lang w:val="zh-CN"/>
              </w:rPr>
            </w:pPr>
            <w:r>
              <w:rPr>
                <w:rFonts w:hint="default" w:ascii="Times New Roman" w:hAnsi="Times New Roman" w:cs="Times New Roman"/>
                <w:color w:val="auto"/>
                <w:kern w:val="0"/>
                <w:sz w:val="24"/>
                <w:szCs w:val="24"/>
              </w:rPr>
              <w:t>②项目产生的废水应严格按照本环评的要求，</w:t>
            </w:r>
            <w:r>
              <w:rPr>
                <w:rFonts w:hint="default" w:ascii="Times New Roman" w:hAnsi="Times New Roman" w:cs="Times New Roman"/>
                <w:color w:val="auto"/>
                <w:sz w:val="24"/>
                <w:lang w:val="en-US" w:eastAsia="zh-CN"/>
              </w:rPr>
              <w:t>站内</w:t>
            </w:r>
            <w:r>
              <w:rPr>
                <w:rFonts w:hint="eastAsia" w:cs="Times New Roman"/>
                <w:color w:val="auto"/>
                <w:sz w:val="24"/>
                <w:lang w:val="en-US" w:eastAsia="zh-CN"/>
              </w:rPr>
              <w:t>废水及时委托寻甸绿运垃圾清运有限公司清运处置</w:t>
            </w:r>
            <w:r>
              <w:rPr>
                <w:rFonts w:hint="default" w:ascii="Times New Roman" w:hAnsi="Times New Roman" w:cs="Times New Roman"/>
                <w:color w:val="auto"/>
                <w:sz w:val="24"/>
              </w:rPr>
              <w:t>。</w:t>
            </w:r>
            <w:r>
              <w:rPr>
                <w:rFonts w:hint="default" w:ascii="Times New Roman" w:hAnsi="Times New Roman" w:cs="Times New Roman"/>
                <w:color w:val="auto"/>
                <w:kern w:val="0"/>
                <w:sz w:val="24"/>
                <w:szCs w:val="24"/>
                <w:lang w:val="zh-CN"/>
              </w:rPr>
              <w:t>禁止项目废水</w:t>
            </w:r>
            <w:r>
              <w:rPr>
                <w:rFonts w:hint="default" w:ascii="Times New Roman" w:hAnsi="Times New Roman" w:eastAsia="宋体" w:cs="Times New Roman"/>
                <w:color w:val="auto"/>
                <w:kern w:val="0"/>
                <w:sz w:val="24"/>
                <w:szCs w:val="24"/>
                <w:lang w:val="zh-CN"/>
              </w:rPr>
              <w:t>未经处理随意乱排。</w:t>
            </w:r>
          </w:p>
          <w:p w14:paraId="297BB8AA">
            <w:pPr>
              <w:adjustRightInd w:val="0"/>
              <w:spacing w:line="360" w:lineRule="auto"/>
              <w:ind w:firstLine="480" w:firstLineChars="200"/>
              <w:textAlignment w:val="baseline"/>
              <w:rPr>
                <w:rFonts w:hint="default" w:ascii="Times New Roman" w:hAnsi="Times New Roman" w:cs="Times New Roman"/>
                <w:b/>
                <w:color w:val="auto"/>
                <w:sz w:val="24"/>
                <w:szCs w:val="24"/>
              </w:rPr>
            </w:pPr>
            <w:r>
              <w:rPr>
                <w:rFonts w:hint="default" w:ascii="Times New Roman" w:hAnsi="Times New Roman" w:eastAsia="宋体" w:cs="Times New Roman"/>
                <w:color w:val="auto"/>
                <w:sz w:val="24"/>
                <w:szCs w:val="24"/>
              </w:rPr>
              <w:t>③油罐区设置</w:t>
            </w:r>
            <w:r>
              <w:rPr>
                <w:rFonts w:hint="eastAsia" w:cs="Times New Roman"/>
                <w:color w:val="auto"/>
                <w:sz w:val="24"/>
                <w:szCs w:val="24"/>
                <w:lang w:val="en-US" w:eastAsia="zh-CN"/>
              </w:rPr>
              <w:t>有</w:t>
            </w:r>
            <w:r>
              <w:rPr>
                <w:rFonts w:hint="default" w:ascii="Times New Roman" w:hAnsi="Times New Roman" w:eastAsia="宋体" w:cs="Times New Roman"/>
                <w:color w:val="auto"/>
                <w:sz w:val="24"/>
                <w:szCs w:val="24"/>
              </w:rPr>
              <w:t>地下水观测井，位于油罐区地下水流向的下游。观测油罐是否渗漏，防止油品损失、对地下水和土壤的污染。</w:t>
            </w:r>
          </w:p>
          <w:p w14:paraId="29117AF9">
            <w:pPr>
              <w:adjustRightInd w:val="0"/>
              <w:spacing w:line="360" w:lineRule="auto"/>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w:t>
            </w:r>
            <w:r>
              <w:rPr>
                <w:rFonts w:hint="default" w:ascii="Times New Roman" w:hAnsi="Times New Roman" w:cs="Times New Roman"/>
                <w:b/>
                <w:color w:val="auto"/>
                <w:sz w:val="24"/>
                <w:szCs w:val="24"/>
                <w:lang w:val="en-US" w:eastAsia="zh-CN"/>
              </w:rPr>
              <w:t>项目区</w:t>
            </w:r>
            <w:r>
              <w:rPr>
                <w:rFonts w:hint="default" w:ascii="Times New Roman" w:hAnsi="Times New Roman" w:eastAsia="宋体" w:cs="Times New Roman"/>
                <w:b/>
                <w:bCs/>
                <w:color w:val="auto"/>
                <w:kern w:val="2"/>
                <w:sz w:val="24"/>
                <w:szCs w:val="24"/>
                <w:highlight w:val="none"/>
                <w:lang w:val="en-US" w:eastAsia="zh-CN" w:bidi="ar-SA"/>
              </w:rPr>
              <w:t>具体防渗建议措施</w:t>
            </w:r>
          </w:p>
          <w:p w14:paraId="65B648A7">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根据项目区污染防渗要求，对项目区的防渗提出具体的防渗建议措施。</w:t>
            </w:r>
          </w:p>
          <w:p w14:paraId="5DAA61B5">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①罐区</w:t>
            </w:r>
          </w:p>
          <w:p w14:paraId="419F588C">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a.为防止罐区地表污水的入渗，填方区域应采用素土掺碎石分层回填夯实，分层厚度不大于300mm，夯实系数不小于0.97。为满足站场排雨水要求，场地设计排水坡度为0.5%～2.0%，道路局部纵坡可达8%。罐组区内地坪采用100mm厚C30素混凝土铺砌，工艺装置区等人员活动频繁场地采用800mm厚方砖铺砌。</w:t>
            </w:r>
          </w:p>
          <w:p w14:paraId="67DA5854">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b. 双层储罐采用柔性防渗，上面为防渗导液层20cm厚中沙下面铺10cm厚中细沙保护层。</w:t>
            </w:r>
          </w:p>
          <w:p w14:paraId="53EFF927">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c.储罐区地面、倒罐泵棚、污水处理装置场地采用刚性防渗，即混凝土面层或基层中添加水泥基渗透结晶型防渗剂。一般污染防治区中污水检查井、阀井、化粪池、漏油等防渗方式为刷防渗涂料。</w:t>
            </w:r>
          </w:p>
          <w:p w14:paraId="22969E78">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②管线</w:t>
            </w:r>
          </w:p>
          <w:p w14:paraId="1B3F647F">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油路管线采用无缝双层钢管，使用焊接工艺，敷设于地下。</w:t>
            </w:r>
          </w:p>
          <w:p w14:paraId="388AE459">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w:t>
            </w:r>
            <w:r>
              <w:rPr>
                <w:rFonts w:hint="eastAsia" w:cs="Times New Roman"/>
                <w:color w:val="auto"/>
                <w:kern w:val="2"/>
                <w:sz w:val="24"/>
                <w:szCs w:val="24"/>
                <w:highlight w:val="none"/>
                <w:lang w:val="en-US" w:eastAsia="zh-CN" w:bidi="ar-SA"/>
              </w:rPr>
              <w:t>危废暂存点</w:t>
            </w:r>
          </w:p>
          <w:p w14:paraId="096944B9">
            <w:pPr>
              <w:pStyle w:val="6"/>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参照《危险废物贮存污染控制标准》（GB 18597-2023）的要求进行建设，</w:t>
            </w:r>
            <w:r>
              <w:rPr>
                <w:rFonts w:hint="eastAsia" w:cs="Times New Roman"/>
                <w:color w:val="auto"/>
                <w:sz w:val="24"/>
                <w:szCs w:val="24"/>
                <w:lang w:val="en-US" w:eastAsia="zh-CN"/>
              </w:rPr>
              <w:t>危废暂存点</w:t>
            </w:r>
            <w:r>
              <w:rPr>
                <w:rFonts w:hint="default" w:ascii="Times New Roman" w:hAnsi="Times New Roman" w:eastAsia="宋体" w:cs="Times New Roman"/>
                <w:color w:val="auto"/>
                <w:sz w:val="24"/>
                <w:szCs w:val="24"/>
              </w:rPr>
              <w:t>的基础地面必须防渗，防渗层为至少1m厚粘土层（渗透系数≤10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cm/s），或2mm厚高密度聚乙烯，或至少2mm厚的其它人工材料，渗透系数≤10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w:t>
            </w:r>
          </w:p>
          <w:p w14:paraId="0F4BE1C5">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④三级油水分离池</w:t>
            </w:r>
          </w:p>
          <w:p w14:paraId="1C366360">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本项目三级油水分离池防渗按《环境影响评价技术导则</w:t>
            </w:r>
            <w:r>
              <w:rPr>
                <w:rFonts w:hint="default" w:ascii="Times New Roman" w:hAnsi="Times New Roman" w:cs="Times New Roman"/>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地下水环境》（HJ610-2016）中相关要求采取防渗措施，等效黏土防渗层 Mb≥6.0m，K≤1.0×10</w:t>
            </w:r>
            <w:r>
              <w:rPr>
                <w:rFonts w:hint="default" w:ascii="Times New Roman" w:hAnsi="Times New Roman" w:eastAsia="宋体" w:cs="Times New Roman"/>
                <w:color w:val="auto"/>
                <w:kern w:val="2"/>
                <w:sz w:val="24"/>
                <w:szCs w:val="24"/>
                <w:highlight w:val="none"/>
                <w:vertAlign w:val="superscript"/>
                <w:lang w:val="en-US" w:eastAsia="zh-CN" w:bidi="ar-SA"/>
              </w:rPr>
              <w:t>-7</w:t>
            </w:r>
            <w:r>
              <w:rPr>
                <w:rFonts w:hint="default" w:ascii="Times New Roman" w:hAnsi="Times New Roman" w:eastAsia="宋体" w:cs="Times New Roman"/>
                <w:color w:val="auto"/>
                <w:kern w:val="2"/>
                <w:sz w:val="24"/>
                <w:szCs w:val="24"/>
                <w:highlight w:val="none"/>
                <w:lang w:val="en-US" w:eastAsia="zh-CN" w:bidi="ar-SA"/>
              </w:rPr>
              <w:t>cm/s。</w:t>
            </w:r>
          </w:p>
          <w:p w14:paraId="5CA3E8AC">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⑤一般防渗区</w:t>
            </w:r>
          </w:p>
          <w:p w14:paraId="11AD8423">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进行场地平整并压实，在压实基土的基础上依次浇筑抗渗等级不小于P6、厚度不小于10cm的抗渗混凝土。</w:t>
            </w:r>
          </w:p>
          <w:p w14:paraId="132FF1AE">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3）污废水渗漏检测及地下水污染监控措施</w:t>
            </w:r>
          </w:p>
          <w:p w14:paraId="382D9E44">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如果一旦油罐发生泄漏，对于少量</w:t>
            </w:r>
            <w:r>
              <w:rPr>
                <w:rFonts w:hint="eastAsia" w:cs="Times New Roman"/>
                <w:color w:val="auto"/>
                <w:kern w:val="2"/>
                <w:sz w:val="24"/>
                <w:szCs w:val="24"/>
                <w:highlight w:val="none"/>
                <w:lang w:val="en-US" w:eastAsia="zh-CN" w:bidi="ar-SA"/>
              </w:rPr>
              <w:t>泄漏</w:t>
            </w:r>
            <w:r>
              <w:rPr>
                <w:rFonts w:hint="default" w:ascii="Times New Roman" w:hAnsi="Times New Roman" w:eastAsia="宋体" w:cs="Times New Roman"/>
                <w:color w:val="auto"/>
                <w:kern w:val="2"/>
                <w:sz w:val="24"/>
                <w:szCs w:val="24"/>
                <w:highlight w:val="none"/>
                <w:lang w:val="en-US" w:eastAsia="zh-CN" w:bidi="ar-SA"/>
              </w:rPr>
              <w:t>，立即使用砂子或其它惰性材料吸收；一旦油罐发生大量</w:t>
            </w:r>
            <w:r>
              <w:rPr>
                <w:rFonts w:hint="eastAsia" w:cs="Times New Roman"/>
                <w:color w:val="auto"/>
                <w:kern w:val="2"/>
                <w:sz w:val="24"/>
                <w:szCs w:val="24"/>
                <w:highlight w:val="none"/>
                <w:lang w:val="en-US" w:eastAsia="zh-CN" w:bidi="ar-SA"/>
              </w:rPr>
              <w:t>泄漏</w:t>
            </w:r>
            <w:r>
              <w:rPr>
                <w:rFonts w:hint="default" w:ascii="Times New Roman" w:hAnsi="Times New Roman" w:eastAsia="宋体" w:cs="Times New Roman"/>
                <w:color w:val="auto"/>
                <w:kern w:val="2"/>
                <w:sz w:val="24"/>
                <w:szCs w:val="24"/>
                <w:highlight w:val="none"/>
                <w:lang w:val="en-US" w:eastAsia="zh-CN" w:bidi="ar-SA"/>
              </w:rPr>
              <w:t>，建设单位还应采取以下措施：</w:t>
            </w:r>
          </w:p>
          <w:p w14:paraId="7FC0A1AC">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①关闭泄露源头，切断油泵电源。</w:t>
            </w:r>
          </w:p>
          <w:p w14:paraId="65A27FF4">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②用消防沙袋将</w:t>
            </w:r>
            <w:r>
              <w:rPr>
                <w:rFonts w:hint="eastAsia" w:cs="Times New Roman"/>
                <w:color w:val="auto"/>
                <w:kern w:val="2"/>
                <w:sz w:val="24"/>
                <w:szCs w:val="24"/>
                <w:highlight w:val="none"/>
                <w:lang w:val="en-US" w:eastAsia="zh-CN" w:bidi="ar-SA"/>
              </w:rPr>
              <w:t>泄漏</w:t>
            </w:r>
            <w:r>
              <w:rPr>
                <w:rFonts w:hint="default" w:ascii="Times New Roman" w:hAnsi="Times New Roman" w:eastAsia="宋体" w:cs="Times New Roman"/>
                <w:color w:val="auto"/>
                <w:kern w:val="2"/>
                <w:sz w:val="24"/>
                <w:szCs w:val="24"/>
                <w:highlight w:val="none"/>
                <w:lang w:val="en-US" w:eastAsia="zh-CN" w:bidi="ar-SA"/>
              </w:rPr>
              <w:t>的油品围住，以防流入排水系统或更大范围地扩散。</w:t>
            </w:r>
          </w:p>
          <w:p w14:paraId="5921D86F">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③用棉纱或拖布等不易产生静电的物品尽可能回收漏出的油品，清理油污。</w:t>
            </w:r>
          </w:p>
          <w:p w14:paraId="59BCF9FC">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④关闭加油站入口，禁止闲杂人员及其他车辆进入加油站。</w:t>
            </w:r>
          </w:p>
          <w:p w14:paraId="7A1AA04D">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⑤禁止任何车辆启动引擎。</w:t>
            </w:r>
          </w:p>
          <w:p w14:paraId="2496C6E3">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⑥记录详细情况并写出事故报告，如实向主管部门汇报。</w:t>
            </w:r>
          </w:p>
          <w:p w14:paraId="658C75F7">
            <w:pPr>
              <w:pStyle w:val="6"/>
              <w:spacing w:line="360" w:lineRule="auto"/>
              <w:ind w:firstLine="480"/>
              <w:rPr>
                <w:rFonts w:hint="default" w:ascii="Times New Roman" w:hAnsi="Times New Roman" w:cs="Times New Roman"/>
                <w:color w:val="auto"/>
                <w:sz w:val="24"/>
                <w:highlight w:val="none"/>
              </w:rPr>
            </w:pPr>
            <w:r>
              <w:rPr>
                <w:rFonts w:hint="default" w:ascii="Times New Roman" w:hAnsi="Times New Roman" w:eastAsia="宋体" w:cs="Times New Roman"/>
                <w:color w:val="auto"/>
                <w:kern w:val="2"/>
                <w:sz w:val="24"/>
                <w:szCs w:val="24"/>
                <w:highlight w:val="none"/>
                <w:lang w:val="en-US" w:eastAsia="zh-CN" w:bidi="ar-SA"/>
              </w:rPr>
              <w:t>⑦若发现油品泄漏，需启动环境预警和开展应急响应。应急响应措施主要有泄漏加油站停运、油品阻隔和泄漏油品回收。在1天内向环境保护主管部门报告，在5个工作日内提供泄漏加油站的初始环境报告，包括责任人的名称和电话号码，泄漏物的类型、体积和地下水污染物浓度，并采取应急响应措施</w:t>
            </w:r>
            <w:r>
              <w:rPr>
                <w:rFonts w:hint="default" w:ascii="Times New Roman" w:hAnsi="Times New Roman" w:cs="Times New Roman"/>
                <w:color w:val="auto"/>
                <w:sz w:val="24"/>
                <w:highlight w:val="none"/>
              </w:rPr>
              <w:t>。</w:t>
            </w:r>
          </w:p>
          <w:p w14:paraId="73230333">
            <w:pPr>
              <w:pStyle w:val="6"/>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rPr>
              <w:t>此外，项目建设单位设置</w:t>
            </w:r>
            <w:r>
              <w:rPr>
                <w:rFonts w:hint="default" w:ascii="Times New Roman" w:hAnsi="Times New Roman" w:cs="Times New Roman"/>
                <w:color w:val="auto"/>
                <w:sz w:val="24"/>
                <w:highlight w:val="none"/>
                <w:lang w:eastAsia="zh-CN"/>
              </w:rPr>
              <w:t>了</w:t>
            </w:r>
            <w:r>
              <w:rPr>
                <w:rFonts w:hint="default" w:ascii="Times New Roman" w:hAnsi="Times New Roman" w:cs="Times New Roman"/>
                <w:color w:val="auto"/>
                <w:sz w:val="24"/>
                <w:highlight w:val="none"/>
              </w:rPr>
              <w:t>1个</w:t>
            </w:r>
            <w:r>
              <w:rPr>
                <w:rFonts w:hint="default" w:ascii="Times New Roman" w:hAnsi="Times New Roman" w:cs="Times New Roman"/>
                <w:color w:val="auto"/>
                <w:sz w:val="24"/>
                <w:highlight w:val="none"/>
                <w:lang w:eastAsia="zh-CN"/>
              </w:rPr>
              <w:t>油罐区观测</w:t>
            </w:r>
            <w:r>
              <w:rPr>
                <w:rFonts w:hint="default" w:ascii="Times New Roman" w:hAnsi="Times New Roman" w:cs="Times New Roman"/>
                <w:color w:val="auto"/>
                <w:sz w:val="24"/>
                <w:highlight w:val="none"/>
              </w:rPr>
              <w:t>井</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eastAsia="zh-CN"/>
              </w:rPr>
              <w:t>1103°15′34.827″,25°43′25.904″</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。观测油罐是否渗漏，防止油品损失、对地下水和土壤的污染。</w:t>
            </w:r>
          </w:p>
          <w:p w14:paraId="72A388F6">
            <w:pPr>
              <w:pStyle w:val="6"/>
              <w:spacing w:line="360" w:lineRule="auto"/>
              <w:ind w:firstLine="480"/>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项目</w:t>
            </w:r>
            <w:r>
              <w:rPr>
                <w:rFonts w:hint="default" w:ascii="Times New Roman" w:hAnsi="Times New Roman" w:cs="Times New Roman"/>
                <w:color w:val="auto"/>
                <w:sz w:val="24"/>
                <w:szCs w:val="24"/>
                <w:highlight w:val="none"/>
                <w:lang w:val="en-US" w:eastAsia="zh-CN"/>
              </w:rPr>
              <w:t>生活废水中食堂废水经隔油池处理后和其余生活废水、外来人员冲厕废水一同排入化粪池处理，</w:t>
            </w:r>
            <w:r>
              <w:rPr>
                <w:rFonts w:hint="eastAsia" w:cs="Times New Roman"/>
                <w:color w:val="auto"/>
                <w:sz w:val="24"/>
                <w:szCs w:val="24"/>
                <w:highlight w:val="none"/>
                <w:lang w:val="en-US" w:eastAsia="zh-CN"/>
              </w:rPr>
              <w:t>化粪池委托寻甸绿运垃圾清运有限公司清运处置</w:t>
            </w:r>
            <w:r>
              <w:rPr>
                <w:rFonts w:hint="default" w:ascii="Times New Roman" w:hAnsi="Times New Roman" w:cs="Times New Roman"/>
                <w:color w:val="auto"/>
                <w:kern w:val="2"/>
                <w:sz w:val="24"/>
                <w:szCs w:val="24"/>
                <w:highlight w:val="none"/>
                <w:lang w:val="en-US" w:eastAsia="zh-CN" w:bidi="ar-SA"/>
              </w:rPr>
              <w:t>；本次评价要求：项目区污水管网、化粪池、三级油水分离池、</w:t>
            </w:r>
            <w:r>
              <w:rPr>
                <w:rFonts w:hint="eastAsia" w:cs="Times New Roman"/>
                <w:color w:val="auto"/>
                <w:kern w:val="2"/>
                <w:sz w:val="24"/>
                <w:szCs w:val="24"/>
                <w:highlight w:val="none"/>
                <w:lang w:val="en-US" w:eastAsia="zh-CN" w:bidi="ar-SA"/>
              </w:rPr>
              <w:t>危废暂存点</w:t>
            </w:r>
            <w:r>
              <w:rPr>
                <w:rFonts w:hint="default" w:ascii="Times New Roman" w:hAnsi="Times New Roman" w:cs="Times New Roman"/>
                <w:color w:val="auto"/>
                <w:kern w:val="2"/>
                <w:sz w:val="24"/>
                <w:szCs w:val="24"/>
                <w:highlight w:val="none"/>
                <w:lang w:val="en-US" w:eastAsia="zh-CN" w:bidi="ar-SA"/>
              </w:rPr>
              <w:t>等环保设施均需进行硬化防渗，可防止因污水下渗导致地下水受污染。具体分区及防渗要求见表4-</w:t>
            </w:r>
            <w:r>
              <w:rPr>
                <w:rFonts w:hint="eastAsia" w:cs="Times New Roman"/>
                <w:color w:val="auto"/>
                <w:kern w:val="2"/>
                <w:sz w:val="24"/>
                <w:szCs w:val="24"/>
                <w:highlight w:val="none"/>
                <w:lang w:val="en-US" w:eastAsia="zh-CN" w:bidi="ar-SA"/>
              </w:rPr>
              <w:t>17</w:t>
            </w:r>
            <w:r>
              <w:rPr>
                <w:rFonts w:hint="default" w:ascii="Times New Roman" w:hAnsi="Times New Roman" w:cs="Times New Roman"/>
                <w:color w:val="auto"/>
                <w:kern w:val="2"/>
                <w:sz w:val="24"/>
                <w:szCs w:val="24"/>
                <w:highlight w:val="none"/>
                <w:lang w:val="en-US" w:eastAsia="zh-CN" w:bidi="ar-SA"/>
              </w:rPr>
              <w:t>。</w:t>
            </w:r>
          </w:p>
          <w:p w14:paraId="37DD8C1A">
            <w:pPr>
              <w:jc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rPr>
              <w:t>表</w:t>
            </w:r>
            <w:r>
              <w:rPr>
                <w:rFonts w:hint="default" w:ascii="Times New Roman" w:hAnsi="Times New Roman" w:cs="Times New Roman"/>
                <w:b/>
                <w:color w:val="auto"/>
                <w:sz w:val="21"/>
                <w:szCs w:val="22"/>
                <w:lang w:val="en-US" w:eastAsia="zh-CN"/>
              </w:rPr>
              <w:t>4</w:t>
            </w:r>
            <w:r>
              <w:rPr>
                <w:rFonts w:hint="default" w:ascii="Times New Roman" w:hAnsi="Times New Roman" w:cs="Times New Roman"/>
                <w:b/>
                <w:color w:val="auto"/>
                <w:sz w:val="21"/>
                <w:szCs w:val="22"/>
              </w:rPr>
              <w:t>-</w:t>
            </w:r>
            <w:r>
              <w:rPr>
                <w:rFonts w:hint="eastAsia" w:cs="Times New Roman"/>
                <w:b/>
                <w:color w:val="auto"/>
                <w:sz w:val="21"/>
                <w:szCs w:val="22"/>
                <w:lang w:val="en-US" w:eastAsia="zh-CN"/>
              </w:rPr>
              <w:t>17</w:t>
            </w:r>
            <w:r>
              <w:rPr>
                <w:rFonts w:hint="default" w:ascii="Times New Roman" w:hAnsi="Times New Roman" w:cs="Times New Roman"/>
                <w:b/>
                <w:color w:val="auto"/>
                <w:sz w:val="21"/>
                <w:szCs w:val="22"/>
              </w:rPr>
              <w:t xml:space="preserve">  站内防渗分区及要求一览表</w:t>
            </w:r>
          </w:p>
          <w:tbl>
            <w:tblPr>
              <w:tblStyle w:val="27"/>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413"/>
              <w:gridCol w:w="5113"/>
            </w:tblGrid>
            <w:tr w14:paraId="18B6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92" w:type="dxa"/>
                  <w:noWrap w:val="0"/>
                  <w:vAlign w:val="center"/>
                </w:tcPr>
                <w:p w14:paraId="6939D84B">
                  <w:pPr>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分区</w:t>
                  </w:r>
                </w:p>
              </w:tc>
              <w:tc>
                <w:tcPr>
                  <w:tcW w:w="2413" w:type="dxa"/>
                  <w:noWrap w:val="0"/>
                  <w:vAlign w:val="center"/>
                </w:tcPr>
                <w:p w14:paraId="04FBEE1F">
                  <w:pPr>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地点</w:t>
                  </w:r>
                </w:p>
              </w:tc>
              <w:tc>
                <w:tcPr>
                  <w:tcW w:w="5113" w:type="dxa"/>
                  <w:noWrap w:val="0"/>
                  <w:vAlign w:val="center"/>
                </w:tcPr>
                <w:p w14:paraId="5DF1F074">
                  <w:pPr>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防渗要求</w:t>
                  </w:r>
                </w:p>
              </w:tc>
            </w:tr>
            <w:tr w14:paraId="1314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492" w:type="dxa"/>
                  <w:vMerge w:val="restart"/>
                  <w:noWrap w:val="0"/>
                  <w:vAlign w:val="center"/>
                </w:tcPr>
                <w:p w14:paraId="6476733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重点防渗区</w:t>
                  </w:r>
                </w:p>
              </w:tc>
              <w:tc>
                <w:tcPr>
                  <w:tcW w:w="2413" w:type="dxa"/>
                  <w:noWrap w:val="0"/>
                  <w:vAlign w:val="center"/>
                </w:tcPr>
                <w:p w14:paraId="7BAA5B91">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储罐区（底部及四周）</w:t>
                  </w:r>
                </w:p>
              </w:tc>
              <w:tc>
                <w:tcPr>
                  <w:tcW w:w="5113" w:type="dxa"/>
                  <w:vMerge w:val="restart"/>
                  <w:noWrap w:val="0"/>
                  <w:vAlign w:val="center"/>
                </w:tcPr>
                <w:p w14:paraId="1FDB3984">
                  <w:pPr>
                    <w:autoSpaceDE w:val="0"/>
                    <w:autoSpaceDN w:val="0"/>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pacing w:val="-3"/>
                      <w:sz w:val="21"/>
                      <w:szCs w:val="21"/>
                    </w:rPr>
                    <w:t xml:space="preserve">等效黏土防渗层 </w:t>
                  </w:r>
                  <w:r>
                    <w:rPr>
                      <w:rFonts w:hint="default" w:ascii="Times New Roman" w:hAnsi="Times New Roman" w:eastAsia="Times New Roman" w:cs="Times New Roman"/>
                      <w:bCs/>
                      <w:color w:val="auto"/>
                      <w:sz w:val="21"/>
                      <w:szCs w:val="21"/>
                    </w:rPr>
                    <w:t>Mb≥6.0m</w:t>
                  </w:r>
                  <w:r>
                    <w:rPr>
                      <w:rFonts w:hint="default" w:ascii="Times New Roman" w:hAnsi="Times New Roman" w:cs="Times New Roman"/>
                      <w:bCs/>
                      <w:color w:val="auto"/>
                      <w:sz w:val="21"/>
                      <w:szCs w:val="21"/>
                    </w:rPr>
                    <w:t>，</w:t>
                  </w:r>
                  <w:r>
                    <w:rPr>
                      <w:rFonts w:hint="default" w:ascii="Times New Roman" w:hAnsi="Times New Roman" w:eastAsia="Times New Roman" w:cs="Times New Roman"/>
                      <w:bCs/>
                      <w:color w:val="auto"/>
                      <w:sz w:val="21"/>
                      <w:szCs w:val="21"/>
                    </w:rPr>
                    <w:t>K≤1.0</w:t>
                  </w:r>
                  <w:r>
                    <w:rPr>
                      <w:rFonts w:hint="default" w:ascii="Times New Roman" w:hAnsi="Times New Roman" w:cs="Times New Roman"/>
                      <w:bCs/>
                      <w:color w:val="auto"/>
                      <w:sz w:val="21"/>
                      <w:szCs w:val="21"/>
                    </w:rPr>
                    <w:t>×</w:t>
                  </w:r>
                  <w:r>
                    <w:rPr>
                      <w:rFonts w:hint="default" w:ascii="Times New Roman" w:hAnsi="Times New Roman" w:eastAsia="Times New Roman" w:cs="Times New Roman"/>
                      <w:bCs/>
                      <w:color w:val="auto"/>
                      <w:sz w:val="21"/>
                      <w:szCs w:val="21"/>
                    </w:rPr>
                    <w:t>10</w:t>
                  </w:r>
                  <w:r>
                    <w:rPr>
                      <w:rFonts w:hint="default" w:ascii="Times New Roman" w:hAnsi="Times New Roman" w:eastAsia="Times New Roman" w:cs="Times New Roman"/>
                      <w:bCs/>
                      <w:color w:val="auto"/>
                      <w:position w:val="8"/>
                      <w:sz w:val="21"/>
                      <w:szCs w:val="21"/>
                      <w:vertAlign w:val="superscript"/>
                    </w:rPr>
                    <w:t>-</w:t>
                  </w:r>
                  <w:r>
                    <w:rPr>
                      <w:rFonts w:hint="default" w:ascii="Times New Roman" w:hAnsi="Times New Roman" w:eastAsia="宋体" w:cs="Times New Roman"/>
                      <w:bCs/>
                      <w:color w:val="auto"/>
                      <w:position w:val="8"/>
                      <w:sz w:val="21"/>
                      <w:szCs w:val="21"/>
                      <w:vertAlign w:val="superscript"/>
                      <w:lang w:val="en-US" w:eastAsia="zh-CN"/>
                    </w:rPr>
                    <w:t>7</w:t>
                  </w:r>
                  <w:r>
                    <w:rPr>
                      <w:rFonts w:hint="default" w:ascii="Times New Roman" w:hAnsi="Times New Roman" w:eastAsia="Times New Roman" w:cs="Times New Roman"/>
                      <w:bCs/>
                      <w:color w:val="auto"/>
                      <w:sz w:val="21"/>
                      <w:szCs w:val="21"/>
                    </w:rPr>
                    <w:t>cm/s</w:t>
                  </w:r>
                  <w:r>
                    <w:rPr>
                      <w:rFonts w:hint="default" w:ascii="Times New Roman" w:hAnsi="Times New Roman" w:cs="Times New Roman"/>
                      <w:bCs/>
                      <w:color w:val="auto"/>
                      <w:sz w:val="21"/>
                      <w:szCs w:val="21"/>
                    </w:rPr>
                    <w:t>；</w:t>
                  </w:r>
                </w:p>
              </w:tc>
            </w:tr>
            <w:tr w14:paraId="242C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92" w:type="dxa"/>
                  <w:vMerge w:val="continue"/>
                  <w:noWrap w:val="0"/>
                  <w:vAlign w:val="center"/>
                </w:tcPr>
                <w:p w14:paraId="6E2FFE0A">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72EEF138">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输油管线</w:t>
                  </w:r>
                </w:p>
              </w:tc>
              <w:tc>
                <w:tcPr>
                  <w:tcW w:w="5113" w:type="dxa"/>
                  <w:vMerge w:val="continue"/>
                  <w:noWrap w:val="0"/>
                  <w:vAlign w:val="center"/>
                </w:tcPr>
                <w:p w14:paraId="06508259">
                  <w:pPr>
                    <w:autoSpaceDE w:val="0"/>
                    <w:autoSpaceDN w:val="0"/>
                    <w:adjustRightInd w:val="0"/>
                    <w:snapToGrid w:val="0"/>
                    <w:jc w:val="center"/>
                    <w:rPr>
                      <w:rFonts w:hint="default" w:ascii="Times New Roman" w:hAnsi="Times New Roman" w:cs="Times New Roman"/>
                      <w:bCs/>
                      <w:color w:val="auto"/>
                      <w:spacing w:val="-3"/>
                      <w:sz w:val="21"/>
                      <w:szCs w:val="21"/>
                    </w:rPr>
                  </w:pPr>
                </w:p>
              </w:tc>
            </w:tr>
            <w:tr w14:paraId="3AD2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92" w:type="dxa"/>
                  <w:vMerge w:val="continue"/>
                  <w:noWrap w:val="0"/>
                  <w:vAlign w:val="center"/>
                </w:tcPr>
                <w:p w14:paraId="4A8B387B">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0272B668">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三级油水分离池</w:t>
                  </w:r>
                </w:p>
              </w:tc>
              <w:tc>
                <w:tcPr>
                  <w:tcW w:w="5113" w:type="dxa"/>
                  <w:vMerge w:val="continue"/>
                  <w:noWrap w:val="0"/>
                  <w:vAlign w:val="center"/>
                </w:tcPr>
                <w:p w14:paraId="2AC86FFC">
                  <w:pPr>
                    <w:autoSpaceDE w:val="0"/>
                    <w:autoSpaceDN w:val="0"/>
                    <w:adjustRightInd w:val="0"/>
                    <w:snapToGrid w:val="0"/>
                    <w:jc w:val="center"/>
                    <w:rPr>
                      <w:rFonts w:hint="default" w:ascii="Times New Roman" w:hAnsi="Times New Roman" w:cs="Times New Roman"/>
                      <w:bCs/>
                      <w:color w:val="auto"/>
                      <w:spacing w:val="-3"/>
                      <w:sz w:val="21"/>
                      <w:szCs w:val="21"/>
                    </w:rPr>
                  </w:pPr>
                </w:p>
              </w:tc>
            </w:tr>
            <w:tr w14:paraId="2C2A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92" w:type="dxa"/>
                  <w:vMerge w:val="continue"/>
                  <w:noWrap w:val="0"/>
                  <w:vAlign w:val="center"/>
                </w:tcPr>
                <w:p w14:paraId="560BE98E">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17FED3DE">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危废暂存点</w:t>
                  </w:r>
                </w:p>
              </w:tc>
              <w:tc>
                <w:tcPr>
                  <w:tcW w:w="5113" w:type="dxa"/>
                  <w:noWrap w:val="0"/>
                  <w:vAlign w:val="center"/>
                </w:tcPr>
                <w:p w14:paraId="17C2ADCB">
                  <w:pPr>
                    <w:autoSpaceDE w:val="0"/>
                    <w:autoSpaceDN w:val="0"/>
                    <w:adjustRightInd w:val="0"/>
                    <w:snapToGrid w:val="0"/>
                    <w:jc w:val="both"/>
                    <w:rPr>
                      <w:rFonts w:hint="default" w:ascii="Times New Roman" w:hAnsi="Times New Roman" w:cs="Times New Roman"/>
                      <w:bCs/>
                      <w:color w:val="auto"/>
                      <w:spacing w:val="-3"/>
                      <w:sz w:val="21"/>
                      <w:szCs w:val="21"/>
                    </w:rPr>
                  </w:pP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rPr>
                    <w:t>的基础地面必须防渗，防渗层为至少1m厚粘土层（渗透系数≤10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cm/s），或2mm厚高密度聚乙烯，或至少2mm厚的其它人工材料，渗透系数≤10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p>
              </w:tc>
            </w:tr>
            <w:tr w14:paraId="53F3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492" w:type="dxa"/>
                  <w:vMerge w:val="restart"/>
                  <w:noWrap w:val="0"/>
                  <w:vAlign w:val="center"/>
                </w:tcPr>
                <w:p w14:paraId="3029D49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一般防渗区</w:t>
                  </w:r>
                </w:p>
              </w:tc>
              <w:tc>
                <w:tcPr>
                  <w:tcW w:w="2413" w:type="dxa"/>
                  <w:noWrap w:val="0"/>
                  <w:vAlign w:val="center"/>
                </w:tcPr>
                <w:p w14:paraId="6048638C">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隔油池</w:t>
                  </w:r>
                </w:p>
              </w:tc>
              <w:tc>
                <w:tcPr>
                  <w:tcW w:w="5113" w:type="dxa"/>
                  <w:vMerge w:val="restart"/>
                  <w:noWrap w:val="0"/>
                  <w:vAlign w:val="center"/>
                </w:tcPr>
                <w:p w14:paraId="035A26E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pacing w:val="-3"/>
                      <w:sz w:val="21"/>
                      <w:szCs w:val="21"/>
                    </w:rPr>
                    <w:t xml:space="preserve">等效黏土防渗层 </w:t>
                  </w:r>
                  <w:r>
                    <w:rPr>
                      <w:rFonts w:hint="default" w:ascii="Times New Roman" w:hAnsi="Times New Roman" w:eastAsia="Times New Roman" w:cs="Times New Roman"/>
                      <w:bCs/>
                      <w:color w:val="auto"/>
                      <w:sz w:val="21"/>
                      <w:szCs w:val="21"/>
                    </w:rPr>
                    <w:t>Mb≥</w:t>
                  </w:r>
                  <w:r>
                    <w:rPr>
                      <w:rFonts w:hint="default" w:ascii="Times New Roman" w:hAnsi="Times New Roman" w:eastAsia="宋体" w:cs="Times New Roman"/>
                      <w:bCs/>
                      <w:color w:val="auto"/>
                      <w:sz w:val="21"/>
                      <w:szCs w:val="21"/>
                      <w:lang w:val="en-US" w:eastAsia="zh-CN"/>
                    </w:rPr>
                    <w:t>1.5</w:t>
                  </w:r>
                  <w:r>
                    <w:rPr>
                      <w:rFonts w:hint="default" w:ascii="Times New Roman" w:hAnsi="Times New Roman" w:eastAsia="Times New Roman" w:cs="Times New Roman"/>
                      <w:bCs/>
                      <w:color w:val="auto"/>
                      <w:sz w:val="21"/>
                      <w:szCs w:val="21"/>
                    </w:rPr>
                    <w:t>m</w:t>
                  </w:r>
                  <w:r>
                    <w:rPr>
                      <w:rFonts w:hint="default" w:ascii="Times New Roman" w:hAnsi="Times New Roman" w:cs="Times New Roman"/>
                      <w:bCs/>
                      <w:color w:val="auto"/>
                      <w:sz w:val="21"/>
                      <w:szCs w:val="21"/>
                    </w:rPr>
                    <w:t>，</w:t>
                  </w:r>
                  <w:r>
                    <w:rPr>
                      <w:rFonts w:hint="default" w:ascii="Times New Roman" w:hAnsi="Times New Roman" w:eastAsia="Times New Roman" w:cs="Times New Roman"/>
                      <w:bCs/>
                      <w:color w:val="auto"/>
                      <w:sz w:val="21"/>
                      <w:szCs w:val="21"/>
                    </w:rPr>
                    <w:t>K≤1.0</w:t>
                  </w:r>
                  <w:r>
                    <w:rPr>
                      <w:rFonts w:hint="default" w:ascii="Times New Roman" w:hAnsi="Times New Roman" w:cs="Times New Roman"/>
                      <w:bCs/>
                      <w:color w:val="auto"/>
                      <w:sz w:val="21"/>
                      <w:szCs w:val="21"/>
                    </w:rPr>
                    <w:t>×</w:t>
                  </w:r>
                  <w:r>
                    <w:rPr>
                      <w:rFonts w:hint="default" w:ascii="Times New Roman" w:hAnsi="Times New Roman" w:eastAsia="Times New Roman" w:cs="Times New Roman"/>
                      <w:bCs/>
                      <w:color w:val="auto"/>
                      <w:sz w:val="21"/>
                      <w:szCs w:val="21"/>
                    </w:rPr>
                    <w:t>10</w:t>
                  </w:r>
                  <w:r>
                    <w:rPr>
                      <w:rFonts w:hint="default" w:ascii="Times New Roman" w:hAnsi="Times New Roman" w:eastAsia="Times New Roman" w:cs="Times New Roman"/>
                      <w:bCs/>
                      <w:color w:val="auto"/>
                      <w:position w:val="8"/>
                      <w:sz w:val="21"/>
                      <w:szCs w:val="21"/>
                      <w:vertAlign w:val="superscript"/>
                    </w:rPr>
                    <w:t>-</w:t>
                  </w:r>
                  <w:r>
                    <w:rPr>
                      <w:rFonts w:hint="default" w:ascii="Times New Roman" w:hAnsi="Times New Roman" w:eastAsia="宋体" w:cs="Times New Roman"/>
                      <w:bCs/>
                      <w:color w:val="auto"/>
                      <w:position w:val="8"/>
                      <w:sz w:val="21"/>
                      <w:szCs w:val="21"/>
                      <w:vertAlign w:val="superscript"/>
                      <w:lang w:val="en-US" w:eastAsia="zh-CN"/>
                    </w:rPr>
                    <w:t>7</w:t>
                  </w:r>
                  <w:r>
                    <w:rPr>
                      <w:rFonts w:hint="default" w:ascii="Times New Roman" w:hAnsi="Times New Roman" w:eastAsia="Times New Roman" w:cs="Times New Roman"/>
                      <w:bCs/>
                      <w:color w:val="auto"/>
                      <w:sz w:val="21"/>
                      <w:szCs w:val="21"/>
                    </w:rPr>
                    <w:t>cm/s</w:t>
                  </w:r>
                  <w:r>
                    <w:rPr>
                      <w:rFonts w:hint="default" w:ascii="Times New Roman" w:hAnsi="Times New Roman" w:cs="Times New Roman"/>
                      <w:bCs/>
                      <w:color w:val="auto"/>
                      <w:sz w:val="21"/>
                      <w:szCs w:val="21"/>
                    </w:rPr>
                    <w:t>；</w:t>
                  </w:r>
                </w:p>
              </w:tc>
            </w:tr>
            <w:tr w14:paraId="2788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492" w:type="dxa"/>
                  <w:vMerge w:val="continue"/>
                  <w:noWrap w:val="0"/>
                  <w:vAlign w:val="center"/>
                </w:tcPr>
                <w:p w14:paraId="151A5942">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35624619">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化粪池</w:t>
                  </w:r>
                </w:p>
              </w:tc>
              <w:tc>
                <w:tcPr>
                  <w:tcW w:w="5113" w:type="dxa"/>
                  <w:vMerge w:val="continue"/>
                  <w:noWrap w:val="0"/>
                  <w:vAlign w:val="center"/>
                </w:tcPr>
                <w:p w14:paraId="775C9613">
                  <w:pPr>
                    <w:adjustRightInd w:val="0"/>
                    <w:snapToGrid w:val="0"/>
                    <w:jc w:val="center"/>
                    <w:rPr>
                      <w:rFonts w:hint="default" w:ascii="Times New Roman" w:hAnsi="Times New Roman" w:cs="Times New Roman"/>
                      <w:bCs/>
                      <w:color w:val="auto"/>
                      <w:sz w:val="21"/>
                      <w:szCs w:val="21"/>
                    </w:rPr>
                  </w:pPr>
                </w:p>
              </w:tc>
            </w:tr>
            <w:tr w14:paraId="01E0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2" w:type="dxa"/>
                  <w:vMerge w:val="continue"/>
                  <w:noWrap w:val="0"/>
                  <w:vAlign w:val="center"/>
                </w:tcPr>
                <w:p w14:paraId="234CF76E">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58654C8C">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环保沟</w:t>
                  </w:r>
                </w:p>
              </w:tc>
              <w:tc>
                <w:tcPr>
                  <w:tcW w:w="5113" w:type="dxa"/>
                  <w:vMerge w:val="continue"/>
                  <w:noWrap w:val="0"/>
                  <w:vAlign w:val="center"/>
                </w:tcPr>
                <w:p w14:paraId="5F827BB0">
                  <w:pPr>
                    <w:adjustRightInd w:val="0"/>
                    <w:snapToGrid w:val="0"/>
                    <w:jc w:val="center"/>
                    <w:rPr>
                      <w:rFonts w:hint="default" w:ascii="Times New Roman" w:hAnsi="Times New Roman" w:cs="Times New Roman"/>
                      <w:bCs/>
                      <w:color w:val="auto"/>
                      <w:sz w:val="21"/>
                      <w:szCs w:val="21"/>
                    </w:rPr>
                  </w:pPr>
                </w:p>
              </w:tc>
            </w:tr>
            <w:tr w14:paraId="5C9D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492" w:type="dxa"/>
                  <w:vMerge w:val="continue"/>
                  <w:noWrap w:val="0"/>
                  <w:vAlign w:val="center"/>
                </w:tcPr>
                <w:p w14:paraId="53ADAEDF">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5FE5187D">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加油区</w:t>
                  </w:r>
                </w:p>
              </w:tc>
              <w:tc>
                <w:tcPr>
                  <w:tcW w:w="5113" w:type="dxa"/>
                  <w:vMerge w:val="continue"/>
                  <w:noWrap w:val="0"/>
                  <w:vAlign w:val="center"/>
                </w:tcPr>
                <w:p w14:paraId="1C806BE3">
                  <w:pPr>
                    <w:adjustRightInd w:val="0"/>
                    <w:snapToGrid w:val="0"/>
                    <w:jc w:val="center"/>
                    <w:rPr>
                      <w:rFonts w:hint="default" w:ascii="Times New Roman" w:hAnsi="Times New Roman" w:cs="Times New Roman"/>
                      <w:bCs/>
                      <w:color w:val="auto"/>
                      <w:sz w:val="21"/>
                      <w:szCs w:val="21"/>
                    </w:rPr>
                  </w:pPr>
                </w:p>
              </w:tc>
            </w:tr>
            <w:tr w14:paraId="7BD5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492" w:type="dxa"/>
                  <w:vMerge w:val="continue"/>
                  <w:noWrap w:val="0"/>
                  <w:vAlign w:val="center"/>
                </w:tcPr>
                <w:p w14:paraId="56BE7F88">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5532411F">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卸油区</w:t>
                  </w:r>
                </w:p>
              </w:tc>
              <w:tc>
                <w:tcPr>
                  <w:tcW w:w="5113" w:type="dxa"/>
                  <w:vMerge w:val="continue"/>
                  <w:noWrap w:val="0"/>
                  <w:vAlign w:val="center"/>
                </w:tcPr>
                <w:p w14:paraId="07C3BF76">
                  <w:pPr>
                    <w:adjustRightInd w:val="0"/>
                    <w:snapToGrid w:val="0"/>
                    <w:jc w:val="center"/>
                    <w:rPr>
                      <w:rFonts w:hint="default" w:ascii="Times New Roman" w:hAnsi="Times New Roman" w:cs="Times New Roman"/>
                      <w:bCs/>
                      <w:color w:val="auto"/>
                      <w:sz w:val="21"/>
                      <w:szCs w:val="21"/>
                    </w:rPr>
                  </w:pPr>
                </w:p>
              </w:tc>
            </w:tr>
            <w:tr w14:paraId="3052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92" w:type="dxa"/>
                  <w:vMerge w:val="restart"/>
                  <w:noWrap w:val="0"/>
                  <w:vAlign w:val="center"/>
                </w:tcPr>
                <w:p w14:paraId="2C82E58A">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简单防渗区</w:t>
                  </w:r>
                </w:p>
              </w:tc>
              <w:tc>
                <w:tcPr>
                  <w:tcW w:w="2413" w:type="dxa"/>
                  <w:noWrap w:val="0"/>
                  <w:vAlign w:val="center"/>
                </w:tcPr>
                <w:p w14:paraId="1A628054">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生活办公区</w:t>
                  </w:r>
                </w:p>
              </w:tc>
              <w:tc>
                <w:tcPr>
                  <w:tcW w:w="5113" w:type="dxa"/>
                  <w:vMerge w:val="restart"/>
                  <w:noWrap w:val="0"/>
                  <w:vAlign w:val="center"/>
                </w:tcPr>
                <w:p w14:paraId="07D444F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采取一般地面硬化</w:t>
                  </w:r>
                </w:p>
              </w:tc>
            </w:tr>
            <w:tr w14:paraId="3B87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92" w:type="dxa"/>
                  <w:vMerge w:val="continue"/>
                  <w:noWrap w:val="0"/>
                  <w:vAlign w:val="center"/>
                </w:tcPr>
                <w:p w14:paraId="78FB0716">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215E611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项目区道路、停车场</w:t>
                  </w:r>
                </w:p>
              </w:tc>
              <w:tc>
                <w:tcPr>
                  <w:tcW w:w="5113" w:type="dxa"/>
                  <w:vMerge w:val="continue"/>
                  <w:noWrap w:val="0"/>
                  <w:vAlign w:val="center"/>
                </w:tcPr>
                <w:p w14:paraId="7A8742EA">
                  <w:pPr>
                    <w:adjustRightInd w:val="0"/>
                    <w:snapToGrid w:val="0"/>
                    <w:jc w:val="center"/>
                    <w:rPr>
                      <w:rFonts w:hint="default" w:ascii="Times New Roman" w:hAnsi="Times New Roman" w:cs="Times New Roman"/>
                      <w:bCs/>
                      <w:color w:val="auto"/>
                      <w:sz w:val="21"/>
                      <w:szCs w:val="21"/>
                    </w:rPr>
                  </w:pPr>
                </w:p>
              </w:tc>
            </w:tr>
            <w:tr w14:paraId="3838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92" w:type="dxa"/>
                  <w:vMerge w:val="continue"/>
                  <w:noWrap w:val="0"/>
                  <w:vAlign w:val="center"/>
                </w:tcPr>
                <w:p w14:paraId="7BD7E4C1">
                  <w:pPr>
                    <w:adjustRightInd w:val="0"/>
                    <w:snapToGrid w:val="0"/>
                    <w:jc w:val="center"/>
                    <w:rPr>
                      <w:rFonts w:hint="default" w:ascii="Times New Roman" w:hAnsi="Times New Roman" w:cs="Times New Roman"/>
                      <w:bCs/>
                      <w:color w:val="auto"/>
                      <w:sz w:val="21"/>
                      <w:szCs w:val="21"/>
                    </w:rPr>
                  </w:pPr>
                </w:p>
              </w:tc>
              <w:tc>
                <w:tcPr>
                  <w:tcW w:w="2413" w:type="dxa"/>
                  <w:noWrap w:val="0"/>
                  <w:vAlign w:val="center"/>
                </w:tcPr>
                <w:p w14:paraId="43BEFB0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站内其它区域</w:t>
                  </w:r>
                </w:p>
              </w:tc>
              <w:tc>
                <w:tcPr>
                  <w:tcW w:w="5113" w:type="dxa"/>
                  <w:vMerge w:val="continue"/>
                  <w:noWrap w:val="0"/>
                  <w:vAlign w:val="center"/>
                </w:tcPr>
                <w:p w14:paraId="6B4EE8A4">
                  <w:pPr>
                    <w:adjustRightInd w:val="0"/>
                    <w:snapToGrid w:val="0"/>
                    <w:jc w:val="center"/>
                    <w:rPr>
                      <w:rFonts w:hint="default" w:ascii="Times New Roman" w:hAnsi="Times New Roman" w:cs="Times New Roman"/>
                      <w:bCs/>
                      <w:color w:val="auto"/>
                      <w:sz w:val="21"/>
                      <w:szCs w:val="21"/>
                    </w:rPr>
                  </w:pPr>
                </w:p>
              </w:tc>
            </w:tr>
          </w:tbl>
          <w:p w14:paraId="08F6D33F">
            <w:pPr>
              <w:adjustRightInd w:val="0"/>
              <w:spacing w:line="360" w:lineRule="auto"/>
              <w:ind w:firstLine="482" w:firstLineChars="200"/>
              <w:jc w:val="left"/>
              <w:textAlignment w:val="baseline"/>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4</w:t>
            </w:r>
            <w:r>
              <w:rPr>
                <w:rFonts w:hint="default" w:ascii="Times New Roman" w:hAnsi="Times New Roman" w:cs="Times New Roman"/>
                <w:b/>
                <w:color w:val="auto"/>
                <w:kern w:val="0"/>
                <w:sz w:val="24"/>
              </w:rPr>
              <w:t>）地下水污染监控措施</w:t>
            </w:r>
          </w:p>
          <w:p w14:paraId="492A1D6A">
            <w:pPr>
              <w:adjustRightInd w:val="0"/>
              <w:spacing w:line="360" w:lineRule="auto"/>
              <w:ind w:firstLine="480" w:firstLineChars="200"/>
              <w:textAlignment w:val="baseline"/>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根据环境保护部关于印发《加油站地下水污染防治技术指南</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》的通知</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环办水体函[2017]323号</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及</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排污单位自行监测技术指南 储油库、加油站</w:t>
            </w:r>
            <w:r>
              <w:rPr>
                <w:rFonts w:hint="default" w:ascii="Times New Roman" w:hAnsi="Times New Roman" w:cs="Times New Roman"/>
                <w:color w:val="auto"/>
                <w:sz w:val="24"/>
                <w:szCs w:val="22"/>
              </w:rPr>
              <w:t xml:space="preserve">》（HJ </w:t>
            </w:r>
            <w:r>
              <w:rPr>
                <w:rFonts w:hint="default" w:ascii="Times New Roman" w:hAnsi="Times New Roman" w:cs="Times New Roman"/>
                <w:color w:val="auto"/>
                <w:sz w:val="24"/>
                <w:szCs w:val="22"/>
                <w:lang w:val="en-US" w:eastAsia="zh-CN"/>
              </w:rPr>
              <w:t>1249</w:t>
            </w:r>
            <w:r>
              <w:rPr>
                <w:rFonts w:hint="default" w:ascii="Times New Roman" w:hAnsi="Times New Roman" w:cs="Times New Roman"/>
                <w:color w:val="auto"/>
                <w:sz w:val="24"/>
                <w:szCs w:val="22"/>
              </w:rPr>
              <w:t>-20</w:t>
            </w:r>
            <w:r>
              <w:rPr>
                <w:rFonts w:hint="default" w:ascii="Times New Roman" w:hAnsi="Times New Roman" w:cs="Times New Roman"/>
                <w:color w:val="auto"/>
                <w:sz w:val="24"/>
                <w:szCs w:val="22"/>
                <w:lang w:val="en-US" w:eastAsia="zh-CN"/>
              </w:rPr>
              <w:t>22</w:t>
            </w:r>
            <w:r>
              <w:rPr>
                <w:rFonts w:hint="default" w:ascii="Times New Roman" w:hAnsi="Times New Roman" w:cs="Times New Roman"/>
                <w:color w:val="auto"/>
                <w:sz w:val="24"/>
                <w:szCs w:val="22"/>
              </w:rPr>
              <w:t>）</w:t>
            </w:r>
            <w:r>
              <w:rPr>
                <w:rFonts w:hint="default" w:ascii="Times New Roman" w:hAnsi="Times New Roman" w:cs="Times New Roman"/>
                <w:color w:val="auto"/>
                <w:kern w:val="0"/>
                <w:sz w:val="24"/>
              </w:rPr>
              <w:t>相关要求，项目需布设监测井用于地下水日常监测。本环评要求建设单位按照相关要求设置</w:t>
            </w:r>
            <w:r>
              <w:rPr>
                <w:rFonts w:hint="default" w:ascii="Times New Roman" w:hAnsi="Times New Roman" w:cs="Times New Roman"/>
                <w:color w:val="auto"/>
                <w:kern w:val="0"/>
                <w:sz w:val="24"/>
                <w:lang w:val="en-US" w:eastAsia="zh-CN"/>
              </w:rPr>
              <w:t>油罐</w:t>
            </w:r>
            <w:r>
              <w:rPr>
                <w:rFonts w:hint="eastAsia" w:cs="Times New Roman"/>
                <w:color w:val="auto"/>
                <w:kern w:val="0"/>
                <w:sz w:val="24"/>
                <w:lang w:val="en-US" w:eastAsia="zh-CN"/>
              </w:rPr>
              <w:t>区地下水监测</w:t>
            </w:r>
            <w:r>
              <w:rPr>
                <w:rFonts w:hint="default" w:ascii="Times New Roman" w:hAnsi="Times New Roman" w:cs="Times New Roman"/>
                <w:color w:val="auto"/>
                <w:kern w:val="0"/>
                <w:sz w:val="24"/>
                <w:lang w:val="en-US" w:eastAsia="zh-CN"/>
              </w:rPr>
              <w:t>井</w:t>
            </w:r>
            <w:r>
              <w:rPr>
                <w:rFonts w:hint="default" w:ascii="Times New Roman" w:hAnsi="Times New Roman" w:cs="Times New Roman"/>
                <w:color w:val="auto"/>
                <w:kern w:val="0"/>
                <w:sz w:val="24"/>
              </w:rPr>
              <w:t>。</w:t>
            </w:r>
          </w:p>
          <w:p w14:paraId="364AB951">
            <w:pPr>
              <w:adjustRightInd w:val="0"/>
              <w:spacing w:line="360" w:lineRule="auto"/>
              <w:ind w:firstLine="480" w:firstLineChars="200"/>
              <w:textAlignment w:val="baseline"/>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项目在运营期内，需每周进行一次定性监测，可通过肉眼观察、使用测油膏、便携式气体监测仪等其他快速方法判定</w:t>
            </w:r>
            <w:r>
              <w:rPr>
                <w:rFonts w:hint="default" w:ascii="Times New Roman" w:hAnsi="Times New Roman" w:cs="Times New Roman"/>
                <w:color w:val="auto"/>
                <w:kern w:val="0"/>
                <w:sz w:val="24"/>
                <w:lang w:val="en-US" w:eastAsia="zh-CN"/>
              </w:rPr>
              <w:t>油罐观测</w:t>
            </w:r>
            <w:r>
              <w:rPr>
                <w:rFonts w:hint="default" w:ascii="Times New Roman" w:hAnsi="Times New Roman" w:cs="Times New Roman"/>
                <w:color w:val="auto"/>
                <w:kern w:val="0"/>
                <w:sz w:val="24"/>
              </w:rPr>
              <w:t>井是否存在油品污染。</w:t>
            </w:r>
          </w:p>
          <w:p w14:paraId="4948FE5F">
            <w:pPr>
              <w:adjustRightInd w:val="0"/>
              <w:spacing w:line="360" w:lineRule="auto"/>
              <w:ind w:firstLine="480" w:firstLineChars="200"/>
              <w:textAlignment w:val="baseline"/>
              <w:rPr>
                <w:rFonts w:hint="default" w:ascii="Times New Roman" w:hAnsi="Times New Roman" w:cs="Times New Roman"/>
                <w:color w:val="auto"/>
                <w:kern w:val="0"/>
                <w:sz w:val="24"/>
              </w:rPr>
            </w:pPr>
            <w:r>
              <w:rPr>
                <w:rFonts w:hint="default" w:ascii="Times New Roman" w:hAnsi="Times New Roman" w:cs="Times New Roman"/>
                <w:color w:val="auto"/>
                <w:kern w:val="0"/>
                <w:sz w:val="24"/>
              </w:rPr>
              <w:t>如果定性监测发现地下水存在油品污染，需立即启动定量监测；如果定性监测未发现问题，则</w:t>
            </w:r>
            <w:r>
              <w:rPr>
                <w:rFonts w:hint="eastAsia" w:cs="Times New Roman"/>
                <w:color w:val="auto"/>
                <w:kern w:val="0"/>
                <w:sz w:val="24"/>
                <w:lang w:val="en-US" w:eastAsia="zh-CN"/>
              </w:rPr>
              <w:t>按下表</w:t>
            </w:r>
            <w:r>
              <w:rPr>
                <w:rFonts w:hint="default" w:ascii="Times New Roman" w:hAnsi="Times New Roman" w:cs="Times New Roman"/>
                <w:color w:val="auto"/>
                <w:kern w:val="0"/>
                <w:sz w:val="24"/>
              </w:rPr>
              <w:t>定量监测。定量监测指标见表</w:t>
            </w:r>
            <w:r>
              <w:rPr>
                <w:rFonts w:hint="default" w:ascii="Times New Roman" w:hAnsi="Times New Roman" w:cs="Times New Roman"/>
                <w:color w:val="auto"/>
                <w:kern w:val="0"/>
                <w:sz w:val="24"/>
                <w:lang w:val="en-US" w:eastAsia="zh-CN"/>
              </w:rPr>
              <w:t>4</w:t>
            </w:r>
            <w:r>
              <w:rPr>
                <w:rFonts w:hint="default" w:ascii="Times New Roman" w:hAnsi="Times New Roman" w:cs="Times New Roman"/>
                <w:color w:val="auto"/>
                <w:kern w:val="0"/>
                <w:sz w:val="24"/>
              </w:rPr>
              <w:t>-</w:t>
            </w:r>
            <w:r>
              <w:rPr>
                <w:rFonts w:hint="eastAsia" w:cs="Times New Roman"/>
                <w:color w:val="auto"/>
                <w:kern w:val="0"/>
                <w:sz w:val="24"/>
                <w:lang w:val="en-US" w:eastAsia="zh-CN"/>
              </w:rPr>
              <w:t>18</w:t>
            </w:r>
            <w:r>
              <w:rPr>
                <w:rFonts w:hint="default" w:ascii="Times New Roman" w:hAnsi="Times New Roman" w:cs="Times New Roman"/>
                <w:color w:val="auto"/>
                <w:kern w:val="0"/>
                <w:sz w:val="24"/>
              </w:rPr>
              <w:t>。</w:t>
            </w:r>
          </w:p>
          <w:p w14:paraId="6A94890B">
            <w:pPr>
              <w:adjustRightInd w:val="0"/>
              <w:spacing w:line="240" w:lineRule="auto"/>
              <w:ind w:firstLine="422" w:firstLineChars="200"/>
              <w:jc w:val="center"/>
              <w:textAlignment w:val="baseline"/>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表</w:t>
            </w:r>
            <w:r>
              <w:rPr>
                <w:rFonts w:hint="default" w:ascii="Times New Roman" w:hAnsi="Times New Roman" w:cs="Times New Roman"/>
                <w:b/>
                <w:color w:val="auto"/>
                <w:kern w:val="0"/>
                <w:sz w:val="21"/>
                <w:szCs w:val="21"/>
                <w:lang w:val="en-US" w:eastAsia="zh-CN"/>
              </w:rPr>
              <w:t>4</w:t>
            </w:r>
            <w:r>
              <w:rPr>
                <w:rFonts w:hint="default" w:ascii="Times New Roman" w:hAnsi="Times New Roman" w:cs="Times New Roman"/>
                <w:b/>
                <w:color w:val="auto"/>
                <w:kern w:val="0"/>
                <w:sz w:val="21"/>
                <w:szCs w:val="21"/>
              </w:rPr>
              <w:t>-</w:t>
            </w:r>
            <w:r>
              <w:rPr>
                <w:rFonts w:hint="eastAsia" w:cs="Times New Roman"/>
                <w:b/>
                <w:color w:val="auto"/>
                <w:kern w:val="0"/>
                <w:sz w:val="21"/>
                <w:szCs w:val="21"/>
                <w:lang w:val="en-US" w:eastAsia="zh-CN"/>
              </w:rPr>
              <w:t>18</w:t>
            </w:r>
            <w:r>
              <w:rPr>
                <w:rFonts w:hint="default" w:ascii="Times New Roman" w:hAnsi="Times New Roman" w:cs="Times New Roman"/>
                <w:b/>
                <w:color w:val="auto"/>
                <w:kern w:val="0"/>
                <w:sz w:val="21"/>
                <w:szCs w:val="21"/>
              </w:rPr>
              <w:t xml:space="preserve"> </w:t>
            </w:r>
            <w:r>
              <w:rPr>
                <w:rFonts w:hint="default" w:ascii="Times New Roman" w:hAnsi="Times New Roman" w:cs="Times New Roman"/>
                <w:b/>
                <w:color w:val="auto"/>
                <w:kern w:val="0"/>
                <w:sz w:val="21"/>
                <w:szCs w:val="21"/>
                <w:lang w:val="en-US" w:eastAsia="zh-CN"/>
              </w:rPr>
              <w:t xml:space="preserve">  </w:t>
            </w:r>
            <w:r>
              <w:rPr>
                <w:rFonts w:hint="default" w:ascii="Times New Roman" w:hAnsi="Times New Roman" w:cs="Times New Roman"/>
                <w:b/>
                <w:color w:val="auto"/>
                <w:kern w:val="0"/>
                <w:sz w:val="21"/>
                <w:szCs w:val="21"/>
              </w:rPr>
              <w:t>地下水定量监测指标</w:t>
            </w:r>
          </w:p>
          <w:tbl>
            <w:tblPr>
              <w:tblStyle w:val="27"/>
              <w:tblW w:w="8808"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488"/>
              <w:gridCol w:w="1061"/>
              <w:gridCol w:w="2359"/>
              <w:gridCol w:w="1173"/>
              <w:gridCol w:w="887"/>
              <w:gridCol w:w="1220"/>
              <w:gridCol w:w="1220"/>
            </w:tblGrid>
            <w:tr w14:paraId="4E07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88" w:type="dxa"/>
                  <w:gridSpan w:val="2"/>
                  <w:noWrap w:val="0"/>
                  <w:vAlign w:val="center"/>
                </w:tcPr>
                <w:p w14:paraId="3E7E61A0">
                  <w:pPr>
                    <w:autoSpaceDE w:val="0"/>
                    <w:autoSpaceDN w:val="0"/>
                    <w:adjustRightInd w:val="0"/>
                    <w:spacing w:line="240" w:lineRule="atLeast"/>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sz w:val="21"/>
                      <w:szCs w:val="21"/>
                    </w:rPr>
                    <w:t>阶段</w:t>
                  </w:r>
                </w:p>
              </w:tc>
              <w:tc>
                <w:tcPr>
                  <w:tcW w:w="1061" w:type="dxa"/>
                  <w:noWrap w:val="0"/>
                  <w:vAlign w:val="center"/>
                </w:tcPr>
                <w:p w14:paraId="3A314FF7">
                  <w:pPr>
                    <w:autoSpaceDE w:val="0"/>
                    <w:autoSpaceDN w:val="0"/>
                    <w:adjustRightInd w:val="0"/>
                    <w:spacing w:line="240" w:lineRule="atLeast"/>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sz w:val="21"/>
                      <w:szCs w:val="21"/>
                    </w:rPr>
                    <w:t>监测地点</w:t>
                  </w:r>
                </w:p>
              </w:tc>
              <w:tc>
                <w:tcPr>
                  <w:tcW w:w="2359" w:type="dxa"/>
                  <w:noWrap w:val="0"/>
                  <w:vAlign w:val="center"/>
                </w:tcPr>
                <w:p w14:paraId="7C64F208">
                  <w:pPr>
                    <w:autoSpaceDE w:val="0"/>
                    <w:autoSpaceDN w:val="0"/>
                    <w:adjustRightInd w:val="0"/>
                    <w:spacing w:line="240" w:lineRule="atLeast"/>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sz w:val="21"/>
                      <w:szCs w:val="21"/>
                    </w:rPr>
                    <w:t>监测项目</w:t>
                  </w:r>
                </w:p>
              </w:tc>
              <w:tc>
                <w:tcPr>
                  <w:tcW w:w="1173" w:type="dxa"/>
                  <w:noWrap w:val="0"/>
                  <w:vAlign w:val="center"/>
                </w:tcPr>
                <w:p w14:paraId="63913ACA">
                  <w:pPr>
                    <w:autoSpaceDE w:val="0"/>
                    <w:autoSpaceDN w:val="0"/>
                    <w:adjustRightInd w:val="0"/>
                    <w:spacing w:line="240" w:lineRule="atLeast"/>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sz w:val="21"/>
                      <w:szCs w:val="21"/>
                    </w:rPr>
                    <w:t>监测频率</w:t>
                  </w:r>
                </w:p>
              </w:tc>
              <w:tc>
                <w:tcPr>
                  <w:tcW w:w="887" w:type="dxa"/>
                  <w:noWrap w:val="0"/>
                  <w:vAlign w:val="center"/>
                </w:tcPr>
                <w:p w14:paraId="3E79F1F1">
                  <w:pPr>
                    <w:autoSpaceDE w:val="0"/>
                    <w:autoSpaceDN w:val="0"/>
                    <w:adjustRightInd w:val="0"/>
                    <w:spacing w:line="240" w:lineRule="atLeast"/>
                    <w:jc w:val="center"/>
                    <w:textAlignment w:val="baseline"/>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标准</w:t>
                  </w:r>
                </w:p>
              </w:tc>
              <w:tc>
                <w:tcPr>
                  <w:tcW w:w="1220" w:type="dxa"/>
                  <w:noWrap w:val="0"/>
                  <w:vAlign w:val="center"/>
                </w:tcPr>
                <w:p w14:paraId="3D9B8312">
                  <w:pPr>
                    <w:autoSpaceDE w:val="0"/>
                    <w:autoSpaceDN w:val="0"/>
                    <w:adjustRightInd w:val="0"/>
                    <w:spacing w:line="240" w:lineRule="atLeast"/>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sz w:val="21"/>
                      <w:szCs w:val="21"/>
                    </w:rPr>
                    <w:t>采样时间</w:t>
                  </w:r>
                </w:p>
              </w:tc>
              <w:tc>
                <w:tcPr>
                  <w:tcW w:w="1220" w:type="dxa"/>
                  <w:noWrap w:val="0"/>
                  <w:vAlign w:val="center"/>
                </w:tcPr>
                <w:p w14:paraId="3FC12F41">
                  <w:pPr>
                    <w:autoSpaceDE w:val="0"/>
                    <w:autoSpaceDN w:val="0"/>
                    <w:adjustRightInd w:val="0"/>
                    <w:spacing w:line="240" w:lineRule="atLeast"/>
                    <w:jc w:val="center"/>
                    <w:textAlignment w:val="baseline"/>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sz w:val="21"/>
                      <w:szCs w:val="21"/>
                    </w:rPr>
                    <w:t>实施机构</w:t>
                  </w:r>
                </w:p>
              </w:tc>
            </w:tr>
            <w:tr w14:paraId="6520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0" w:type="dxa"/>
                  <w:vMerge w:val="restart"/>
                  <w:noWrap w:val="0"/>
                  <w:vAlign w:val="center"/>
                </w:tcPr>
                <w:p w14:paraId="422F1EA3">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运</w:t>
                  </w:r>
                </w:p>
                <w:p w14:paraId="5D462460">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营</w:t>
                  </w:r>
                </w:p>
                <w:p w14:paraId="216131D8">
                  <w:pPr>
                    <w:autoSpaceDE w:val="0"/>
                    <w:autoSpaceDN w:val="0"/>
                    <w:adjustRightInd w:val="0"/>
                    <w:spacing w:line="240" w:lineRule="atLeast"/>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期</w:t>
                  </w:r>
                </w:p>
              </w:tc>
              <w:tc>
                <w:tcPr>
                  <w:tcW w:w="488" w:type="dxa"/>
                  <w:vMerge w:val="restart"/>
                  <w:noWrap w:val="0"/>
                  <w:vAlign w:val="center"/>
                </w:tcPr>
                <w:p w14:paraId="13508B0C">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地</w:t>
                  </w:r>
                </w:p>
                <w:p w14:paraId="6C6A6D7C">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下</w:t>
                  </w:r>
                </w:p>
                <w:p w14:paraId="2CB837B5">
                  <w:pPr>
                    <w:autoSpaceDE w:val="0"/>
                    <w:autoSpaceDN w:val="0"/>
                    <w:adjustRightInd w:val="0"/>
                    <w:spacing w:line="240" w:lineRule="atLeast"/>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水</w:t>
                  </w:r>
                </w:p>
              </w:tc>
              <w:tc>
                <w:tcPr>
                  <w:tcW w:w="1061" w:type="dxa"/>
                  <w:vMerge w:val="restart"/>
                  <w:noWrap w:val="0"/>
                  <w:vAlign w:val="center"/>
                </w:tcPr>
                <w:p w14:paraId="02EE4576">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地下水跟 踪监测井</w:t>
                  </w:r>
                </w:p>
              </w:tc>
              <w:tc>
                <w:tcPr>
                  <w:tcW w:w="2359" w:type="dxa"/>
                  <w:noWrap w:val="0"/>
                  <w:vAlign w:val="center"/>
                </w:tcPr>
                <w:p w14:paraId="13F72794">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萘</w:t>
                  </w:r>
                </w:p>
              </w:tc>
              <w:tc>
                <w:tcPr>
                  <w:tcW w:w="1173" w:type="dxa"/>
                  <w:vMerge w:val="restart"/>
                  <w:noWrap w:val="0"/>
                  <w:vAlign w:val="center"/>
                </w:tcPr>
                <w:p w14:paraId="623D5160">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1 次/季度</w:t>
                  </w:r>
                </w:p>
              </w:tc>
              <w:tc>
                <w:tcPr>
                  <w:tcW w:w="887" w:type="dxa"/>
                  <w:vMerge w:val="restart"/>
                  <w:noWrap w:val="0"/>
                  <w:vAlign w:val="center"/>
                </w:tcPr>
                <w:p w14:paraId="29375D7B">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《地下水质量标准》(GB/T14848-2017</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Ⅱ</w:t>
                  </w:r>
                  <w:r>
                    <w:rPr>
                      <w:rFonts w:hint="default" w:ascii="Times New Roman" w:hAnsi="Times New Roman" w:cs="Times New Roman"/>
                      <w:bCs/>
                      <w:color w:val="auto"/>
                      <w:kern w:val="0"/>
                      <w:sz w:val="21"/>
                      <w:szCs w:val="21"/>
                    </w:rPr>
                    <w:t>类标准</w:t>
                  </w:r>
                </w:p>
              </w:tc>
              <w:tc>
                <w:tcPr>
                  <w:tcW w:w="1220" w:type="dxa"/>
                  <w:vMerge w:val="restart"/>
                  <w:noWrap w:val="0"/>
                  <w:vAlign w:val="center"/>
                </w:tcPr>
                <w:p w14:paraId="60236790">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r>
                    <w:rPr>
                      <w:rFonts w:hint="default" w:ascii="Times New Roman" w:hAnsi="Times New Roman" w:eastAsia="宋体" w:cs="Times New Roman"/>
                      <w:color w:val="auto"/>
                      <w:sz w:val="21"/>
                      <w:szCs w:val="21"/>
                    </w:rPr>
                    <w:t>正常运营时间</w:t>
                  </w:r>
                </w:p>
              </w:tc>
              <w:tc>
                <w:tcPr>
                  <w:tcW w:w="1220" w:type="dxa"/>
                  <w:vMerge w:val="restart"/>
                  <w:noWrap w:val="0"/>
                  <w:vAlign w:val="center"/>
                </w:tcPr>
                <w:p w14:paraId="2E9F4EA8">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r>
                    <w:rPr>
                      <w:rFonts w:hint="default" w:ascii="Times New Roman" w:hAnsi="Times New Roman" w:eastAsia="宋体" w:cs="Times New Roman"/>
                      <w:color w:val="auto"/>
                      <w:sz w:val="21"/>
                      <w:szCs w:val="21"/>
                    </w:rPr>
                    <w:t>有资质的监测单位</w:t>
                  </w:r>
                </w:p>
              </w:tc>
            </w:tr>
            <w:tr w14:paraId="2F64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400" w:type="dxa"/>
                  <w:vMerge w:val="continue"/>
                  <w:noWrap w:val="0"/>
                  <w:vAlign w:val="center"/>
                </w:tcPr>
                <w:p w14:paraId="14C65873">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488" w:type="dxa"/>
                  <w:vMerge w:val="continue"/>
                  <w:noWrap w:val="0"/>
                  <w:vAlign w:val="center"/>
                </w:tcPr>
                <w:p w14:paraId="03EBA1D3">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1061" w:type="dxa"/>
                  <w:vMerge w:val="continue"/>
                  <w:noWrap w:val="0"/>
                  <w:vAlign w:val="center"/>
                </w:tcPr>
                <w:p w14:paraId="2C20A08E">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2359" w:type="dxa"/>
                  <w:noWrap w:val="0"/>
                  <w:vAlign w:val="center"/>
                </w:tcPr>
                <w:p w14:paraId="117F7658">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苯、甲苯、乙苯、邻二甲苯、间（对）二甲苯</w:t>
                  </w:r>
                </w:p>
              </w:tc>
              <w:tc>
                <w:tcPr>
                  <w:tcW w:w="1173" w:type="dxa"/>
                  <w:vMerge w:val="continue"/>
                  <w:noWrap w:val="0"/>
                  <w:vAlign w:val="center"/>
                </w:tcPr>
                <w:p w14:paraId="411F9152">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887" w:type="dxa"/>
                  <w:vMerge w:val="continue"/>
                  <w:noWrap w:val="0"/>
                  <w:vAlign w:val="center"/>
                </w:tcPr>
                <w:p w14:paraId="702FEBC4">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c>
                <w:tcPr>
                  <w:tcW w:w="1220" w:type="dxa"/>
                  <w:vMerge w:val="continue"/>
                  <w:noWrap w:val="0"/>
                  <w:vAlign w:val="center"/>
                </w:tcPr>
                <w:p w14:paraId="1C75FB58">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c>
                <w:tcPr>
                  <w:tcW w:w="1220" w:type="dxa"/>
                  <w:vMerge w:val="continue"/>
                  <w:noWrap w:val="0"/>
                  <w:vAlign w:val="center"/>
                </w:tcPr>
                <w:p w14:paraId="5D1FD747">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r>
            <w:tr w14:paraId="37C5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400" w:type="dxa"/>
                  <w:vMerge w:val="continue"/>
                  <w:noWrap w:val="0"/>
                  <w:vAlign w:val="center"/>
                </w:tcPr>
                <w:p w14:paraId="7C220B02">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488" w:type="dxa"/>
                  <w:vMerge w:val="continue"/>
                  <w:noWrap w:val="0"/>
                  <w:vAlign w:val="center"/>
                </w:tcPr>
                <w:p w14:paraId="23CF145F">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1061" w:type="dxa"/>
                  <w:vMerge w:val="continue"/>
                  <w:noWrap w:val="0"/>
                  <w:vAlign w:val="center"/>
                </w:tcPr>
                <w:p w14:paraId="59994B19">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2359" w:type="dxa"/>
                  <w:noWrap w:val="0"/>
                  <w:vAlign w:val="center"/>
                </w:tcPr>
                <w:p w14:paraId="7C1CD9FE">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甲基叔丁基醚</w:t>
                  </w:r>
                </w:p>
              </w:tc>
              <w:tc>
                <w:tcPr>
                  <w:tcW w:w="1173" w:type="dxa"/>
                  <w:vMerge w:val="continue"/>
                  <w:noWrap w:val="0"/>
                  <w:vAlign w:val="center"/>
                </w:tcPr>
                <w:p w14:paraId="753A9108">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887" w:type="dxa"/>
                  <w:vMerge w:val="continue"/>
                  <w:noWrap w:val="0"/>
                  <w:vAlign w:val="center"/>
                </w:tcPr>
                <w:p w14:paraId="1E935278">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c>
                <w:tcPr>
                  <w:tcW w:w="1220" w:type="dxa"/>
                  <w:vMerge w:val="continue"/>
                  <w:noWrap w:val="0"/>
                  <w:vAlign w:val="center"/>
                </w:tcPr>
                <w:p w14:paraId="5FF729AE">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c>
                <w:tcPr>
                  <w:tcW w:w="1220" w:type="dxa"/>
                  <w:vMerge w:val="continue"/>
                  <w:noWrap w:val="0"/>
                  <w:vAlign w:val="center"/>
                </w:tcPr>
                <w:p w14:paraId="024162CC">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r>
            <w:tr w14:paraId="214D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00" w:type="dxa"/>
                  <w:vMerge w:val="continue"/>
                  <w:noWrap w:val="0"/>
                  <w:vAlign w:val="center"/>
                </w:tcPr>
                <w:p w14:paraId="4E6EFC18">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488" w:type="dxa"/>
                  <w:vMerge w:val="continue"/>
                  <w:noWrap w:val="0"/>
                  <w:vAlign w:val="center"/>
                </w:tcPr>
                <w:p w14:paraId="3EE5D3AC">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1061" w:type="dxa"/>
                  <w:vMerge w:val="continue"/>
                  <w:noWrap w:val="0"/>
                  <w:vAlign w:val="center"/>
                </w:tcPr>
                <w:p w14:paraId="5942C6E3">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p>
              </w:tc>
              <w:tc>
                <w:tcPr>
                  <w:tcW w:w="2359" w:type="dxa"/>
                  <w:noWrap w:val="0"/>
                  <w:vAlign w:val="center"/>
                </w:tcPr>
                <w:p w14:paraId="575A8FF6">
                  <w:pPr>
                    <w:autoSpaceDE w:val="0"/>
                    <w:autoSpaceDN w:val="0"/>
                    <w:adjustRightIn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石油类、石油烃（C</w:t>
                  </w:r>
                  <w:r>
                    <w:rPr>
                      <w:rFonts w:hint="default" w:ascii="Times New Roman" w:hAnsi="Times New Roman" w:eastAsia="宋体" w:cs="Times New Roman"/>
                      <w:color w:val="auto"/>
                      <w:sz w:val="21"/>
                      <w:szCs w:val="21"/>
                      <w:vertAlign w:val="subscript"/>
                    </w:rPr>
                    <w:t>6</w:t>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9</w:t>
                  </w:r>
                  <w:r>
                    <w:rPr>
                      <w:rFonts w:hint="default" w:ascii="Times New Roman" w:hAnsi="Times New Roman" w:eastAsia="宋体" w:cs="Times New Roman"/>
                      <w:color w:val="auto"/>
                      <w:sz w:val="21"/>
                      <w:szCs w:val="21"/>
                    </w:rPr>
                    <w:t>）、石油烃（C</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40</w:t>
                  </w:r>
                  <w:r>
                    <w:rPr>
                      <w:rFonts w:hint="default" w:ascii="Times New Roman" w:hAnsi="Times New Roman" w:eastAsia="宋体" w:cs="Times New Roman"/>
                      <w:color w:val="auto"/>
                      <w:sz w:val="21"/>
                      <w:szCs w:val="21"/>
                    </w:rPr>
                    <w:t>）、甲基叔丁基醚</w:t>
                  </w:r>
                  <w:r>
                    <w:rPr>
                      <w:rFonts w:hint="default" w:ascii="Times New Roman" w:hAnsi="Times New Roman" w:eastAsia="宋体" w:cs="Times New Roman"/>
                      <w:color w:val="auto"/>
                      <w:sz w:val="21"/>
                      <w:szCs w:val="21"/>
                      <w:vertAlign w:val="superscript"/>
                    </w:rPr>
                    <w:t>d</w:t>
                  </w:r>
                </w:p>
              </w:tc>
              <w:tc>
                <w:tcPr>
                  <w:tcW w:w="1173" w:type="dxa"/>
                  <w:noWrap w:val="0"/>
                  <w:vAlign w:val="center"/>
                </w:tcPr>
                <w:p w14:paraId="4F25B878">
                  <w:pPr>
                    <w:autoSpaceDE w:val="0"/>
                    <w:autoSpaceDN w:val="0"/>
                    <w:adjustRightInd w:val="0"/>
                    <w:spacing w:line="240" w:lineRule="atLeast"/>
                    <w:jc w:val="center"/>
                    <w:textAlignment w:val="baseline"/>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1 次/</w:t>
                  </w:r>
                  <w:r>
                    <w:rPr>
                      <w:rFonts w:hint="default" w:ascii="Times New Roman" w:hAnsi="Times New Roman" w:cs="Times New Roman"/>
                      <w:color w:val="auto"/>
                      <w:kern w:val="0"/>
                      <w:sz w:val="21"/>
                      <w:szCs w:val="21"/>
                    </w:rPr>
                    <w:t>半年</w:t>
                  </w:r>
                </w:p>
              </w:tc>
              <w:tc>
                <w:tcPr>
                  <w:tcW w:w="887" w:type="dxa"/>
                  <w:vMerge w:val="continue"/>
                  <w:noWrap w:val="0"/>
                  <w:vAlign w:val="center"/>
                </w:tcPr>
                <w:p w14:paraId="7C375D5A">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c>
                <w:tcPr>
                  <w:tcW w:w="1220" w:type="dxa"/>
                  <w:vMerge w:val="continue"/>
                  <w:noWrap w:val="0"/>
                  <w:vAlign w:val="center"/>
                </w:tcPr>
                <w:p w14:paraId="318355B7">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c>
                <w:tcPr>
                  <w:tcW w:w="1220" w:type="dxa"/>
                  <w:vMerge w:val="continue"/>
                  <w:noWrap w:val="0"/>
                  <w:vAlign w:val="center"/>
                </w:tcPr>
                <w:p w14:paraId="2DD6AD22">
                  <w:pPr>
                    <w:autoSpaceDE w:val="0"/>
                    <w:autoSpaceDN w:val="0"/>
                    <w:adjustRightInd w:val="0"/>
                    <w:spacing w:line="240" w:lineRule="atLeast"/>
                    <w:jc w:val="center"/>
                    <w:textAlignment w:val="baseline"/>
                    <w:rPr>
                      <w:rFonts w:hint="default" w:ascii="Times New Roman" w:hAnsi="Times New Roman" w:cs="Times New Roman"/>
                      <w:bCs/>
                      <w:color w:val="auto"/>
                      <w:kern w:val="0"/>
                      <w:sz w:val="21"/>
                      <w:szCs w:val="21"/>
                    </w:rPr>
                  </w:pPr>
                </w:p>
              </w:tc>
            </w:tr>
          </w:tbl>
          <w:p w14:paraId="4DF7A398">
            <w:pPr>
              <w:widowControl/>
              <w:spacing w:line="360" w:lineRule="auto"/>
              <w:ind w:firstLine="482" w:firstLineChars="200"/>
              <w:jc w:val="left"/>
              <w:rPr>
                <w:rFonts w:hint="default" w:ascii="Times New Roman" w:hAnsi="Times New Roman" w:cs="Times New Roman"/>
                <w:color w:val="auto"/>
                <w:kern w:val="0"/>
                <w:sz w:val="24"/>
              </w:rPr>
            </w:pPr>
            <w:r>
              <w:rPr>
                <w:rFonts w:hint="default" w:ascii="Times New Roman" w:hAnsi="Times New Roman" w:cs="Times New Roman"/>
                <w:b/>
                <w:bCs/>
                <w:color w:val="auto"/>
                <w:kern w:val="0"/>
                <w:sz w:val="24"/>
                <w:lang w:val="en-US" w:eastAsia="zh-CN"/>
              </w:rPr>
              <w:t>（7）</w:t>
            </w:r>
            <w:r>
              <w:rPr>
                <w:rFonts w:hint="default" w:ascii="Times New Roman" w:hAnsi="Times New Roman" w:cs="Times New Roman"/>
                <w:b/>
                <w:bCs/>
                <w:color w:val="auto"/>
                <w:kern w:val="0"/>
                <w:sz w:val="24"/>
              </w:rPr>
              <w:t xml:space="preserve">地下水影响评价小结 </w:t>
            </w:r>
          </w:p>
          <w:p w14:paraId="092B91E2">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建设项目场地内地下水主要受地表水及大气降水补给。 </w:t>
            </w:r>
          </w:p>
          <w:p w14:paraId="4651F1CF">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项目区储罐、输油管线、</w:t>
            </w:r>
            <w:r>
              <w:rPr>
                <w:rFonts w:hint="eastAsia" w:cs="Times New Roman"/>
                <w:color w:val="auto"/>
                <w:kern w:val="0"/>
                <w:sz w:val="24"/>
                <w:lang w:eastAsia="zh-CN"/>
              </w:rPr>
              <w:t>危废暂存点</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三级</w:t>
            </w:r>
            <w:r>
              <w:rPr>
                <w:rFonts w:hint="default" w:ascii="Times New Roman" w:hAnsi="Times New Roman" w:cs="Times New Roman"/>
                <w:color w:val="auto"/>
                <w:kern w:val="0"/>
                <w:sz w:val="24"/>
              </w:rPr>
              <w:t>油水分离池、</w:t>
            </w:r>
            <w:r>
              <w:rPr>
                <w:rFonts w:hint="default" w:ascii="Times New Roman" w:hAnsi="Times New Roman" w:cs="Times New Roman"/>
                <w:color w:val="auto"/>
                <w:kern w:val="0"/>
                <w:sz w:val="24"/>
                <w:lang w:val="en-US" w:eastAsia="zh-CN"/>
              </w:rPr>
              <w:t>化粪池</w:t>
            </w:r>
            <w:r>
              <w:rPr>
                <w:rFonts w:hint="default" w:ascii="Times New Roman" w:hAnsi="Times New Roman" w:cs="Times New Roman"/>
                <w:color w:val="auto"/>
                <w:kern w:val="0"/>
                <w:sz w:val="24"/>
              </w:rPr>
              <w:t>等区域均按照《环境影响评价技术导则-地下水环境》（HJ610-2016）的要求进行建设，有效防止了废水的下渗途径和下渗量。在采取评价要求和相关设计资料提出的防控措施后，正常情况下不会有油品渗透对地下水造成影响。</w:t>
            </w:r>
          </w:p>
          <w:p w14:paraId="23151C4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kern w:val="1"/>
                <w:sz w:val="24"/>
                <w:szCs w:val="24"/>
                <w:lang w:val="en-US" w:eastAsia="zh-CN"/>
              </w:rPr>
            </w:pPr>
            <w:r>
              <w:rPr>
                <w:rFonts w:hint="default" w:ascii="Times New Roman" w:hAnsi="Times New Roman" w:cs="Times New Roman"/>
                <w:b/>
                <w:color w:val="auto"/>
                <w:kern w:val="1"/>
                <w:sz w:val="24"/>
                <w:szCs w:val="24"/>
                <w:lang w:val="en-US" w:eastAsia="zh-CN"/>
              </w:rPr>
              <w:t>7、</w:t>
            </w:r>
            <w:r>
              <w:rPr>
                <w:rFonts w:hint="default" w:ascii="Times New Roman" w:hAnsi="Times New Roman" w:cs="Times New Roman"/>
                <w:b/>
                <w:color w:val="auto"/>
                <w:kern w:val="1"/>
                <w:sz w:val="24"/>
                <w:szCs w:val="24"/>
              </w:rPr>
              <w:t>环境风险评价</w:t>
            </w:r>
            <w:r>
              <w:rPr>
                <w:rFonts w:hint="default" w:ascii="Times New Roman" w:hAnsi="Times New Roman" w:cs="Times New Roman"/>
                <w:b/>
                <w:color w:val="auto"/>
                <w:kern w:val="1"/>
                <w:sz w:val="24"/>
                <w:szCs w:val="24"/>
                <w:lang w:val="en-US" w:eastAsia="zh-CN"/>
              </w:rPr>
              <w:t>及保护措施</w:t>
            </w:r>
          </w:p>
          <w:p w14:paraId="5DAC0934">
            <w:pPr>
              <w:spacing w:line="360" w:lineRule="auto"/>
              <w:ind w:firstLine="480" w:firstLineChars="200"/>
              <w:outlineLvl w:val="0"/>
              <w:rPr>
                <w:rFonts w:hint="default" w:ascii="Times New Roman" w:hAnsi="Times New Roman" w:cs="Times New Roman"/>
                <w:color w:val="auto"/>
                <w:kern w:val="1"/>
                <w:sz w:val="24"/>
                <w:szCs w:val="22"/>
              </w:rPr>
            </w:pPr>
            <w:bookmarkStart w:id="25" w:name="_Toc4952"/>
            <w:bookmarkStart w:id="26" w:name="_Toc25295"/>
            <w:bookmarkStart w:id="27" w:name="_Toc11450"/>
            <w:r>
              <w:rPr>
                <w:rFonts w:hint="default" w:ascii="Times New Roman" w:hAnsi="Times New Roman" w:cs="Times New Roman"/>
                <w:color w:val="auto"/>
                <w:kern w:val="1"/>
                <w:sz w:val="24"/>
                <w:szCs w:val="22"/>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bookmarkEnd w:id="25"/>
            <w:bookmarkEnd w:id="26"/>
            <w:bookmarkEnd w:id="27"/>
          </w:p>
          <w:p w14:paraId="75E037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0"/>
              <w:rPr>
                <w:rFonts w:hint="default" w:ascii="Times New Roman" w:hAnsi="Times New Roman" w:cs="Times New Roman"/>
                <w:b/>
                <w:color w:val="auto"/>
                <w:kern w:val="1"/>
                <w:sz w:val="24"/>
                <w:szCs w:val="22"/>
              </w:rPr>
            </w:pPr>
            <w:bookmarkStart w:id="28" w:name="_Toc24117"/>
            <w:bookmarkStart w:id="29" w:name="_Toc17827"/>
            <w:bookmarkStart w:id="30" w:name="_Toc4235"/>
            <w:r>
              <w:rPr>
                <w:rFonts w:hint="default" w:ascii="Times New Roman" w:hAnsi="Times New Roman" w:cs="Times New Roman"/>
                <w:b/>
                <w:color w:val="auto"/>
                <w:kern w:val="1"/>
                <w:sz w:val="24"/>
                <w:szCs w:val="22"/>
                <w:lang w:val="en-US" w:eastAsia="zh-CN"/>
              </w:rPr>
              <w:t>1、</w:t>
            </w:r>
            <w:r>
              <w:rPr>
                <w:rFonts w:hint="default" w:ascii="Times New Roman" w:hAnsi="Times New Roman" w:cs="Times New Roman"/>
                <w:b/>
                <w:color w:val="auto"/>
                <w:kern w:val="1"/>
                <w:sz w:val="24"/>
                <w:szCs w:val="22"/>
              </w:rPr>
              <w:t>评价依据</w:t>
            </w:r>
            <w:bookmarkEnd w:id="28"/>
            <w:bookmarkEnd w:id="29"/>
            <w:bookmarkEnd w:id="30"/>
          </w:p>
          <w:p w14:paraId="69D09734">
            <w:pPr>
              <w:spacing w:line="360" w:lineRule="auto"/>
              <w:ind w:firstLine="480" w:firstLineChars="200"/>
              <w:outlineLvl w:val="0"/>
              <w:rPr>
                <w:rFonts w:hint="default" w:ascii="Times New Roman" w:hAnsi="Times New Roman" w:cs="Times New Roman"/>
                <w:color w:val="auto"/>
                <w:kern w:val="1"/>
                <w:sz w:val="24"/>
                <w:szCs w:val="22"/>
              </w:rPr>
            </w:pPr>
            <w:bookmarkStart w:id="31" w:name="_Toc31887"/>
            <w:bookmarkStart w:id="32" w:name="_Toc30346"/>
            <w:bookmarkStart w:id="33" w:name="_Toc24008"/>
            <w:r>
              <w:rPr>
                <w:rFonts w:hint="default" w:ascii="Times New Roman" w:hAnsi="Times New Roman" w:cs="Times New Roman"/>
                <w:color w:val="auto"/>
                <w:kern w:val="1"/>
                <w:sz w:val="24"/>
                <w:szCs w:val="22"/>
              </w:rPr>
              <w:t>（1）风险调查</w:t>
            </w:r>
            <w:bookmarkEnd w:id="31"/>
            <w:bookmarkEnd w:id="32"/>
            <w:bookmarkEnd w:id="33"/>
          </w:p>
          <w:p w14:paraId="4601801D">
            <w:pPr>
              <w:spacing w:line="360" w:lineRule="auto"/>
              <w:ind w:firstLine="480" w:firstLineChars="200"/>
              <w:outlineLvl w:val="0"/>
              <w:rPr>
                <w:rFonts w:hint="default" w:ascii="Times New Roman" w:hAnsi="Times New Roman" w:cs="Times New Roman"/>
                <w:color w:val="auto"/>
                <w:kern w:val="1"/>
                <w:sz w:val="24"/>
                <w:szCs w:val="22"/>
              </w:rPr>
            </w:pPr>
            <w:bookmarkStart w:id="34" w:name="_Toc22055"/>
            <w:bookmarkStart w:id="35" w:name="_Toc15454"/>
            <w:bookmarkStart w:id="36" w:name="_Toc21544"/>
            <w:r>
              <w:rPr>
                <w:rFonts w:hint="default" w:ascii="Times New Roman" w:hAnsi="Times New Roman" w:cs="Times New Roman"/>
                <w:color w:val="auto"/>
                <w:kern w:val="1"/>
                <w:sz w:val="24"/>
                <w:szCs w:val="22"/>
              </w:rPr>
              <w:t>按照《建设项目环境风险评价技术导则》（HJ169-2018）附录中附录B及《重大危险源辨识》（GB18218-2018），本项目主要风险物质为汽油、柴油</w:t>
            </w:r>
            <w:bookmarkEnd w:id="34"/>
            <w:r>
              <w:rPr>
                <w:rFonts w:hint="eastAsia" w:cs="Times New Roman"/>
                <w:color w:val="auto"/>
                <w:kern w:val="1"/>
                <w:sz w:val="24"/>
                <w:szCs w:val="22"/>
                <w:lang w:eastAsia="zh-CN"/>
              </w:rPr>
              <w:t>、废矿物油（油泥等危废）</w:t>
            </w:r>
            <w:r>
              <w:rPr>
                <w:rFonts w:hint="default" w:ascii="Times New Roman" w:hAnsi="Times New Roman" w:cs="Times New Roman"/>
                <w:color w:val="auto"/>
                <w:kern w:val="1"/>
                <w:sz w:val="24"/>
                <w:szCs w:val="22"/>
              </w:rPr>
              <w:t>，</w:t>
            </w:r>
            <w:r>
              <w:rPr>
                <w:rFonts w:hint="default" w:ascii="Times New Roman" w:hAnsi="Times New Roman" w:cs="Times New Roman"/>
                <w:color w:val="auto"/>
                <w:sz w:val="24"/>
                <w:szCs w:val="32"/>
              </w:rPr>
              <w:t>其主要理化性质和危险特性分别见表</w:t>
            </w:r>
            <w:r>
              <w:rPr>
                <w:rFonts w:hint="default" w:ascii="Times New Roman" w:hAnsi="Times New Roman" w:cs="Times New Roman"/>
                <w:color w:val="auto"/>
                <w:sz w:val="24"/>
                <w:szCs w:val="32"/>
                <w:lang w:val="en-US" w:eastAsia="zh-CN"/>
              </w:rPr>
              <w:t>4-</w:t>
            </w:r>
            <w:r>
              <w:rPr>
                <w:rFonts w:hint="eastAsia" w:cs="Times New Roman"/>
                <w:color w:val="auto"/>
                <w:sz w:val="24"/>
                <w:szCs w:val="32"/>
                <w:lang w:val="en-US" w:eastAsia="zh-CN"/>
              </w:rPr>
              <w:t>19</w:t>
            </w:r>
            <w:r>
              <w:rPr>
                <w:rFonts w:hint="default" w:ascii="Times New Roman" w:hAnsi="Times New Roman" w:cs="Times New Roman"/>
                <w:color w:val="auto"/>
                <w:sz w:val="24"/>
                <w:szCs w:val="32"/>
              </w:rPr>
              <w:t>和表</w:t>
            </w:r>
            <w:r>
              <w:rPr>
                <w:rFonts w:hint="default" w:ascii="Times New Roman" w:hAnsi="Times New Roman" w:cs="Times New Roman"/>
                <w:color w:val="auto"/>
                <w:sz w:val="24"/>
                <w:szCs w:val="32"/>
                <w:lang w:val="en-US" w:eastAsia="zh-CN"/>
              </w:rPr>
              <w:t>4-2</w:t>
            </w:r>
            <w:r>
              <w:rPr>
                <w:rFonts w:hint="eastAsia" w:cs="Times New Roman"/>
                <w:color w:val="auto"/>
                <w:sz w:val="24"/>
                <w:szCs w:val="32"/>
                <w:lang w:val="en-US" w:eastAsia="zh-CN"/>
              </w:rPr>
              <w:t>0</w:t>
            </w:r>
            <w:r>
              <w:rPr>
                <w:rFonts w:hint="default" w:ascii="Times New Roman" w:hAnsi="Times New Roman" w:cs="Times New Roman"/>
                <w:color w:val="auto"/>
                <w:sz w:val="24"/>
                <w:szCs w:val="32"/>
              </w:rPr>
              <w:t>。</w:t>
            </w:r>
            <w:bookmarkEnd w:id="35"/>
            <w:bookmarkEnd w:id="36"/>
          </w:p>
          <w:p w14:paraId="74F906E1">
            <w:pPr>
              <w:spacing w:line="240" w:lineRule="auto"/>
              <w:ind w:firstLine="422" w:firstLineChars="200"/>
              <w:jc w:val="center"/>
              <w:outlineLvl w:val="0"/>
              <w:rPr>
                <w:rFonts w:hint="default" w:ascii="Times New Roman" w:hAnsi="Times New Roman" w:cs="Times New Roman"/>
                <w:b/>
                <w:bCs/>
                <w:color w:val="auto"/>
                <w:kern w:val="1"/>
                <w:sz w:val="21"/>
                <w:szCs w:val="21"/>
              </w:rPr>
            </w:pPr>
            <w:bookmarkStart w:id="37" w:name="_Toc9549"/>
            <w:bookmarkStart w:id="38" w:name="_Toc170"/>
            <w:bookmarkStart w:id="39" w:name="_Toc25236"/>
            <w:r>
              <w:rPr>
                <w:rFonts w:hint="default" w:ascii="Times New Roman" w:hAnsi="Times New Roman" w:cs="Times New Roman"/>
                <w:b/>
                <w:bCs/>
                <w:color w:val="auto"/>
                <w:kern w:val="1"/>
                <w:sz w:val="21"/>
                <w:szCs w:val="21"/>
              </w:rPr>
              <w:t>表</w:t>
            </w:r>
            <w:r>
              <w:rPr>
                <w:rFonts w:hint="default" w:ascii="Times New Roman" w:hAnsi="Times New Roman" w:cs="Times New Roman"/>
                <w:b/>
                <w:bCs/>
                <w:color w:val="auto"/>
                <w:kern w:val="1"/>
                <w:sz w:val="21"/>
                <w:szCs w:val="21"/>
                <w:lang w:val="en-US" w:eastAsia="zh-CN"/>
              </w:rPr>
              <w:t>4-</w:t>
            </w:r>
            <w:r>
              <w:rPr>
                <w:rFonts w:hint="eastAsia" w:cs="Times New Roman"/>
                <w:b/>
                <w:bCs/>
                <w:color w:val="auto"/>
                <w:kern w:val="1"/>
                <w:sz w:val="21"/>
                <w:szCs w:val="21"/>
                <w:lang w:val="en-US" w:eastAsia="zh-CN"/>
              </w:rPr>
              <w:t>19</w:t>
            </w:r>
            <w:r>
              <w:rPr>
                <w:rFonts w:hint="default" w:ascii="Times New Roman" w:hAnsi="Times New Roman" w:cs="Times New Roman"/>
                <w:b/>
                <w:bCs/>
                <w:color w:val="auto"/>
                <w:kern w:val="1"/>
                <w:sz w:val="21"/>
                <w:szCs w:val="21"/>
              </w:rPr>
              <w:t xml:space="preserve">  汽油的理化性质和危险特性</w:t>
            </w:r>
            <w:bookmarkEnd w:id="37"/>
            <w:bookmarkEnd w:id="38"/>
          </w:p>
          <w:tbl>
            <w:tblPr>
              <w:tblStyle w:val="27"/>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2042"/>
              <w:gridCol w:w="477"/>
              <w:gridCol w:w="524"/>
              <w:gridCol w:w="1102"/>
              <w:gridCol w:w="759"/>
              <w:gridCol w:w="2353"/>
            </w:tblGrid>
            <w:tr w14:paraId="6865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120" w:type="dxa"/>
                  <w:gridSpan w:val="7"/>
                  <w:tcBorders>
                    <w:top w:val="single" w:color="auto" w:sz="4" w:space="0"/>
                    <w:left w:val="single" w:color="auto" w:sz="4" w:space="0"/>
                    <w:bottom w:val="single" w:color="auto" w:sz="4" w:space="0"/>
                    <w:right w:val="single" w:color="auto" w:sz="4" w:space="0"/>
                  </w:tcBorders>
                  <w:noWrap w:val="0"/>
                  <w:vAlign w:val="center"/>
                </w:tcPr>
                <w:p w14:paraId="0CBF6C73">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第一部分  危险性概述</w:t>
                  </w:r>
                </w:p>
              </w:tc>
            </w:tr>
            <w:tr w14:paraId="62CE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757A590F">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危险性类别</w:t>
                  </w:r>
                </w:p>
              </w:tc>
              <w:tc>
                <w:tcPr>
                  <w:tcW w:w="2519" w:type="dxa"/>
                  <w:gridSpan w:val="2"/>
                  <w:tcBorders>
                    <w:top w:val="single" w:color="auto" w:sz="4" w:space="0"/>
                    <w:left w:val="single" w:color="auto" w:sz="4" w:space="0"/>
                    <w:bottom w:val="single" w:color="auto" w:sz="4" w:space="0"/>
                    <w:right w:val="single" w:color="auto" w:sz="4" w:space="0"/>
                  </w:tcBorders>
                  <w:noWrap w:val="0"/>
                  <w:vAlign w:val="center"/>
                </w:tcPr>
                <w:p w14:paraId="4E5F85EF">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第3类 易燃液体</w:t>
                  </w:r>
                </w:p>
              </w:tc>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665E42F">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燃烧爆炸性</w:t>
                  </w:r>
                </w:p>
              </w:tc>
              <w:tc>
                <w:tcPr>
                  <w:tcW w:w="3112" w:type="dxa"/>
                  <w:gridSpan w:val="2"/>
                  <w:tcBorders>
                    <w:top w:val="single" w:color="auto" w:sz="4" w:space="0"/>
                    <w:left w:val="single" w:color="auto" w:sz="4" w:space="0"/>
                    <w:bottom w:val="single" w:color="auto" w:sz="4" w:space="0"/>
                    <w:right w:val="single" w:color="auto" w:sz="4" w:space="0"/>
                  </w:tcBorders>
                  <w:noWrap w:val="0"/>
                  <w:vAlign w:val="center"/>
                </w:tcPr>
                <w:p w14:paraId="563E4A86">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其蒸气与空气形成爆炸性混合物，遇明火、高热极易燃烧爆炸</w:t>
                  </w:r>
                </w:p>
              </w:tc>
            </w:tr>
            <w:tr w14:paraId="524C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503869AD">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侵入途径</w:t>
                  </w:r>
                </w:p>
              </w:tc>
              <w:tc>
                <w:tcPr>
                  <w:tcW w:w="2519" w:type="dxa"/>
                  <w:gridSpan w:val="2"/>
                  <w:tcBorders>
                    <w:top w:val="single" w:color="auto" w:sz="4" w:space="0"/>
                    <w:left w:val="single" w:color="auto" w:sz="4" w:space="0"/>
                    <w:bottom w:val="single" w:color="auto" w:sz="4" w:space="0"/>
                    <w:right w:val="single" w:color="auto" w:sz="4" w:space="0"/>
                  </w:tcBorders>
                  <w:noWrap w:val="0"/>
                  <w:vAlign w:val="center"/>
                </w:tcPr>
                <w:p w14:paraId="260974F1">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吸入、食入、经皮吸收</w:t>
                  </w:r>
                </w:p>
              </w:tc>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7B10334">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有害燃烧产物</w:t>
                  </w:r>
                </w:p>
              </w:tc>
              <w:tc>
                <w:tcPr>
                  <w:tcW w:w="3112" w:type="dxa"/>
                  <w:gridSpan w:val="2"/>
                  <w:tcBorders>
                    <w:top w:val="single" w:color="auto" w:sz="4" w:space="0"/>
                    <w:left w:val="single" w:color="auto" w:sz="4" w:space="0"/>
                    <w:bottom w:val="single" w:color="auto" w:sz="4" w:space="0"/>
                    <w:right w:val="single" w:color="auto" w:sz="4" w:space="0"/>
                  </w:tcBorders>
                  <w:noWrap w:val="0"/>
                  <w:vAlign w:val="center"/>
                </w:tcPr>
                <w:p w14:paraId="507A3AFD">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一氧化碳、二氧化碳</w:t>
                  </w:r>
                </w:p>
              </w:tc>
            </w:tr>
            <w:tr w14:paraId="7748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202742D8">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健康危险</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6958CE64">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作用中枢神经系统，急性中毒症状有头晕、头痛、恶心、呕吐、步态不稳、共济失调。高浓度吸入出现中毒脑病。极高浓度吸入引起意识突然丧失，反射性呼吸停止及化学性肺炎。可致角膜溃疡、穿孔、甚至失明。皮肤接触致急性皮炎。急性经口中毒性引起急性胃肠炎，重者出现类似急性吸入中毒症状。慢性中毒：神经衰弱综合症，周围神经病，皮肤损害。</w:t>
                  </w:r>
                </w:p>
              </w:tc>
            </w:tr>
            <w:tr w14:paraId="421F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328C26C6">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环境危害</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6387FE21">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该物质对环境有危害，应特别注意对水、土壤、大气和饮用水的污染。</w:t>
                  </w:r>
                </w:p>
              </w:tc>
            </w:tr>
            <w:tr w14:paraId="17BE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120" w:type="dxa"/>
                  <w:gridSpan w:val="7"/>
                  <w:tcBorders>
                    <w:top w:val="single" w:color="auto" w:sz="4" w:space="0"/>
                    <w:left w:val="single" w:color="auto" w:sz="4" w:space="0"/>
                    <w:bottom w:val="single" w:color="auto" w:sz="4" w:space="0"/>
                    <w:right w:val="single" w:color="auto" w:sz="4" w:space="0"/>
                  </w:tcBorders>
                  <w:noWrap w:val="0"/>
                  <w:vAlign w:val="center"/>
                </w:tcPr>
                <w:p w14:paraId="6BC0584F">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第二部分  理化特性</w:t>
                  </w:r>
                </w:p>
              </w:tc>
            </w:tr>
            <w:tr w14:paraId="269F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1FC91DC1">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外观及性状</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3E345859">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无色或淡黄色易挥发液体，具有特殊臭味。</w:t>
                  </w:r>
                </w:p>
              </w:tc>
            </w:tr>
            <w:tr w14:paraId="7006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3067BC13">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熔点（℃）</w:t>
                  </w:r>
                </w:p>
              </w:tc>
              <w:tc>
                <w:tcPr>
                  <w:tcW w:w="2042" w:type="dxa"/>
                  <w:tcBorders>
                    <w:top w:val="single" w:color="auto" w:sz="4" w:space="0"/>
                    <w:left w:val="single" w:color="auto" w:sz="4" w:space="0"/>
                    <w:bottom w:val="single" w:color="auto" w:sz="4" w:space="0"/>
                    <w:right w:val="single" w:color="auto" w:sz="4" w:space="0"/>
                  </w:tcBorders>
                  <w:noWrap w:val="0"/>
                  <w:vAlign w:val="center"/>
                </w:tcPr>
                <w:p w14:paraId="6691230A">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2862" w:type="dxa"/>
                  <w:gridSpan w:val="4"/>
                  <w:tcBorders>
                    <w:top w:val="single" w:color="auto" w:sz="4" w:space="0"/>
                    <w:left w:val="single" w:color="auto" w:sz="4" w:space="0"/>
                    <w:bottom w:val="single" w:color="auto" w:sz="4" w:space="0"/>
                    <w:right w:val="single" w:color="auto" w:sz="4" w:space="0"/>
                  </w:tcBorders>
                  <w:noWrap w:val="0"/>
                  <w:vAlign w:val="center"/>
                </w:tcPr>
                <w:p w14:paraId="33DA6EC0">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相对密度（水=1）</w:t>
                  </w:r>
                </w:p>
              </w:tc>
              <w:tc>
                <w:tcPr>
                  <w:tcW w:w="2353" w:type="dxa"/>
                  <w:tcBorders>
                    <w:top w:val="single" w:color="auto" w:sz="4" w:space="0"/>
                    <w:left w:val="single" w:color="auto" w:sz="4" w:space="0"/>
                    <w:bottom w:val="single" w:color="auto" w:sz="4" w:space="0"/>
                    <w:right w:val="single" w:color="auto" w:sz="4" w:space="0"/>
                  </w:tcBorders>
                  <w:noWrap w:val="0"/>
                  <w:vAlign w:val="center"/>
                </w:tcPr>
                <w:p w14:paraId="11E24A60">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0.70～0.79</w:t>
                  </w:r>
                </w:p>
              </w:tc>
            </w:tr>
            <w:tr w14:paraId="6AD8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64892D4C">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闪点（℃）</w:t>
                  </w:r>
                </w:p>
              </w:tc>
              <w:tc>
                <w:tcPr>
                  <w:tcW w:w="2042" w:type="dxa"/>
                  <w:tcBorders>
                    <w:top w:val="single" w:color="auto" w:sz="4" w:space="0"/>
                    <w:left w:val="single" w:color="auto" w:sz="4" w:space="0"/>
                    <w:bottom w:val="single" w:color="auto" w:sz="4" w:space="0"/>
                    <w:right w:val="single" w:color="auto" w:sz="4" w:space="0"/>
                  </w:tcBorders>
                  <w:noWrap w:val="0"/>
                  <w:vAlign w:val="center"/>
                </w:tcPr>
                <w:p w14:paraId="5404A162">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2862" w:type="dxa"/>
                  <w:gridSpan w:val="4"/>
                  <w:tcBorders>
                    <w:top w:val="single" w:color="auto" w:sz="4" w:space="0"/>
                    <w:left w:val="single" w:color="auto" w:sz="4" w:space="0"/>
                    <w:bottom w:val="single" w:color="auto" w:sz="4" w:space="0"/>
                    <w:right w:val="single" w:color="auto" w:sz="4" w:space="0"/>
                  </w:tcBorders>
                  <w:noWrap w:val="0"/>
                  <w:vAlign w:val="center"/>
                </w:tcPr>
                <w:p w14:paraId="5F6BFC7D">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相对密度（空气=1）</w:t>
                  </w:r>
                </w:p>
              </w:tc>
              <w:tc>
                <w:tcPr>
                  <w:tcW w:w="2353" w:type="dxa"/>
                  <w:tcBorders>
                    <w:top w:val="single" w:color="auto" w:sz="4" w:space="0"/>
                    <w:left w:val="single" w:color="auto" w:sz="4" w:space="0"/>
                    <w:bottom w:val="single" w:color="auto" w:sz="4" w:space="0"/>
                    <w:right w:val="single" w:color="auto" w:sz="4" w:space="0"/>
                  </w:tcBorders>
                  <w:noWrap w:val="0"/>
                  <w:vAlign w:val="center"/>
                </w:tcPr>
                <w:p w14:paraId="3C237099">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14:paraId="1FBF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1840FC9E">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引燃温度（℃）</w:t>
                  </w:r>
                </w:p>
              </w:tc>
              <w:tc>
                <w:tcPr>
                  <w:tcW w:w="2042" w:type="dxa"/>
                  <w:tcBorders>
                    <w:top w:val="single" w:color="auto" w:sz="4" w:space="0"/>
                    <w:left w:val="single" w:color="auto" w:sz="4" w:space="0"/>
                    <w:bottom w:val="single" w:color="auto" w:sz="4" w:space="0"/>
                    <w:right w:val="single" w:color="auto" w:sz="4" w:space="0"/>
                  </w:tcBorders>
                  <w:noWrap w:val="0"/>
                  <w:vAlign w:val="center"/>
                </w:tcPr>
                <w:p w14:paraId="51D12D83">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415～530</w:t>
                  </w:r>
                </w:p>
              </w:tc>
              <w:tc>
                <w:tcPr>
                  <w:tcW w:w="2862" w:type="dxa"/>
                  <w:gridSpan w:val="4"/>
                  <w:tcBorders>
                    <w:top w:val="single" w:color="auto" w:sz="4" w:space="0"/>
                    <w:left w:val="single" w:color="auto" w:sz="4" w:space="0"/>
                    <w:bottom w:val="single" w:color="auto" w:sz="4" w:space="0"/>
                    <w:right w:val="single" w:color="auto" w:sz="4" w:space="0"/>
                  </w:tcBorders>
                  <w:noWrap w:val="0"/>
                  <w:vAlign w:val="center"/>
                </w:tcPr>
                <w:p w14:paraId="46AC26A5">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爆炸上限%（V/V）</w:t>
                  </w:r>
                </w:p>
              </w:tc>
              <w:tc>
                <w:tcPr>
                  <w:tcW w:w="2353" w:type="dxa"/>
                  <w:tcBorders>
                    <w:top w:val="single" w:color="auto" w:sz="4" w:space="0"/>
                    <w:left w:val="single" w:color="auto" w:sz="4" w:space="0"/>
                    <w:bottom w:val="single" w:color="auto" w:sz="4" w:space="0"/>
                    <w:right w:val="single" w:color="auto" w:sz="4" w:space="0"/>
                  </w:tcBorders>
                  <w:noWrap w:val="0"/>
                  <w:vAlign w:val="center"/>
                </w:tcPr>
                <w:p w14:paraId="44532393">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r>
            <w:tr w14:paraId="2E95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1FB59BB3">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沸点（℃）</w:t>
                  </w:r>
                </w:p>
              </w:tc>
              <w:tc>
                <w:tcPr>
                  <w:tcW w:w="2042" w:type="dxa"/>
                  <w:tcBorders>
                    <w:top w:val="single" w:color="auto" w:sz="4" w:space="0"/>
                    <w:left w:val="single" w:color="auto" w:sz="4" w:space="0"/>
                    <w:bottom w:val="single" w:color="auto" w:sz="4" w:space="0"/>
                    <w:right w:val="single" w:color="auto" w:sz="4" w:space="0"/>
                  </w:tcBorders>
                  <w:noWrap w:val="0"/>
                  <w:vAlign w:val="center"/>
                </w:tcPr>
                <w:p w14:paraId="73B77EC3">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40～200</w:t>
                  </w:r>
                </w:p>
              </w:tc>
              <w:tc>
                <w:tcPr>
                  <w:tcW w:w="2862" w:type="dxa"/>
                  <w:gridSpan w:val="4"/>
                  <w:tcBorders>
                    <w:top w:val="single" w:color="auto" w:sz="4" w:space="0"/>
                    <w:left w:val="single" w:color="auto" w:sz="4" w:space="0"/>
                    <w:bottom w:val="single" w:color="auto" w:sz="4" w:space="0"/>
                    <w:right w:val="single" w:color="auto" w:sz="4" w:space="0"/>
                  </w:tcBorders>
                  <w:noWrap w:val="0"/>
                  <w:vAlign w:val="center"/>
                </w:tcPr>
                <w:p w14:paraId="2C3113E9">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爆炸下限%（V/V）</w:t>
                  </w:r>
                </w:p>
              </w:tc>
              <w:tc>
                <w:tcPr>
                  <w:tcW w:w="2353" w:type="dxa"/>
                  <w:tcBorders>
                    <w:top w:val="single" w:color="auto" w:sz="4" w:space="0"/>
                    <w:left w:val="single" w:color="auto" w:sz="4" w:space="0"/>
                    <w:bottom w:val="single" w:color="auto" w:sz="4" w:space="0"/>
                    <w:right w:val="single" w:color="auto" w:sz="4" w:space="0"/>
                  </w:tcBorders>
                  <w:noWrap w:val="0"/>
                  <w:vAlign w:val="center"/>
                </w:tcPr>
                <w:p w14:paraId="52B1053C">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r>
            <w:tr w14:paraId="4384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5FBBBBCE">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溶解性</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5DE4BB09">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不溶于水、易溶于苯、二硫化碳、醇、易溶于脂肪。</w:t>
                  </w:r>
                </w:p>
              </w:tc>
            </w:tr>
            <w:tr w14:paraId="73CD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027BFF7E">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主要用途</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3F3D14BC">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主要用作汽油机的燃料，用于橡胶、制鞋、印刷、制革等行业，也可用作机械零件的去污剂。</w:t>
                  </w:r>
                </w:p>
              </w:tc>
            </w:tr>
            <w:tr w14:paraId="118F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120" w:type="dxa"/>
                  <w:gridSpan w:val="7"/>
                  <w:tcBorders>
                    <w:top w:val="single" w:color="auto" w:sz="4" w:space="0"/>
                    <w:left w:val="single" w:color="auto" w:sz="4" w:space="0"/>
                    <w:bottom w:val="single" w:color="auto" w:sz="4" w:space="0"/>
                    <w:right w:val="single" w:color="auto" w:sz="4" w:space="0"/>
                  </w:tcBorders>
                  <w:noWrap w:val="0"/>
                  <w:vAlign w:val="center"/>
                </w:tcPr>
                <w:p w14:paraId="04410431">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第三部分  稳定性及化学活性</w:t>
                  </w:r>
                </w:p>
              </w:tc>
            </w:tr>
            <w:tr w14:paraId="4099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22168FFB">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稳定性</w:t>
                  </w:r>
                </w:p>
              </w:tc>
              <w:tc>
                <w:tcPr>
                  <w:tcW w:w="3043" w:type="dxa"/>
                  <w:gridSpan w:val="3"/>
                  <w:tcBorders>
                    <w:top w:val="single" w:color="auto" w:sz="4" w:space="0"/>
                    <w:left w:val="single" w:color="auto" w:sz="4" w:space="0"/>
                    <w:bottom w:val="single" w:color="auto" w:sz="4" w:space="0"/>
                    <w:right w:val="single" w:color="auto" w:sz="4" w:space="0"/>
                  </w:tcBorders>
                  <w:noWrap w:val="0"/>
                  <w:vAlign w:val="center"/>
                </w:tcPr>
                <w:p w14:paraId="506E8021">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w:t>
                  </w:r>
                </w:p>
              </w:tc>
              <w:tc>
                <w:tcPr>
                  <w:tcW w:w="1861" w:type="dxa"/>
                  <w:gridSpan w:val="2"/>
                  <w:tcBorders>
                    <w:top w:val="single" w:color="auto" w:sz="4" w:space="0"/>
                    <w:left w:val="single" w:color="auto" w:sz="4" w:space="0"/>
                    <w:bottom w:val="single" w:color="auto" w:sz="4" w:space="0"/>
                    <w:right w:val="single" w:color="auto" w:sz="4" w:space="0"/>
                  </w:tcBorders>
                  <w:noWrap w:val="0"/>
                  <w:vAlign w:val="center"/>
                </w:tcPr>
                <w:p w14:paraId="7332C415">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避免接触的条件</w:t>
                  </w:r>
                </w:p>
              </w:tc>
              <w:tc>
                <w:tcPr>
                  <w:tcW w:w="2353" w:type="dxa"/>
                  <w:tcBorders>
                    <w:top w:val="single" w:color="auto" w:sz="4" w:space="0"/>
                    <w:left w:val="single" w:color="auto" w:sz="4" w:space="0"/>
                    <w:bottom w:val="single" w:color="auto" w:sz="4" w:space="0"/>
                    <w:right w:val="single" w:color="auto" w:sz="4" w:space="0"/>
                  </w:tcBorders>
                  <w:noWrap w:val="0"/>
                  <w:vAlign w:val="center"/>
                </w:tcPr>
                <w:p w14:paraId="06B8813D">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明火、高热</w:t>
                  </w:r>
                </w:p>
              </w:tc>
            </w:tr>
            <w:tr w14:paraId="0809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1BD11596">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禁配物</w:t>
                  </w:r>
                </w:p>
              </w:tc>
              <w:tc>
                <w:tcPr>
                  <w:tcW w:w="3043" w:type="dxa"/>
                  <w:gridSpan w:val="3"/>
                  <w:tcBorders>
                    <w:top w:val="single" w:color="auto" w:sz="4" w:space="0"/>
                    <w:left w:val="single" w:color="auto" w:sz="4" w:space="0"/>
                    <w:bottom w:val="single" w:color="auto" w:sz="4" w:space="0"/>
                    <w:right w:val="single" w:color="auto" w:sz="4" w:space="0"/>
                  </w:tcBorders>
                  <w:noWrap w:val="0"/>
                  <w:vAlign w:val="center"/>
                </w:tcPr>
                <w:p w14:paraId="38D9871E">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强氧化剂</w:t>
                  </w:r>
                </w:p>
              </w:tc>
              <w:tc>
                <w:tcPr>
                  <w:tcW w:w="1861" w:type="dxa"/>
                  <w:gridSpan w:val="2"/>
                  <w:tcBorders>
                    <w:top w:val="single" w:color="auto" w:sz="4" w:space="0"/>
                    <w:left w:val="single" w:color="auto" w:sz="4" w:space="0"/>
                    <w:bottom w:val="single" w:color="auto" w:sz="4" w:space="0"/>
                    <w:right w:val="single" w:color="auto" w:sz="4" w:space="0"/>
                  </w:tcBorders>
                  <w:noWrap w:val="0"/>
                  <w:vAlign w:val="center"/>
                </w:tcPr>
                <w:p w14:paraId="7E8A6ED2">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聚合危害</w:t>
                  </w:r>
                </w:p>
              </w:tc>
              <w:tc>
                <w:tcPr>
                  <w:tcW w:w="2353" w:type="dxa"/>
                  <w:tcBorders>
                    <w:top w:val="single" w:color="auto" w:sz="4" w:space="0"/>
                    <w:left w:val="single" w:color="auto" w:sz="4" w:space="0"/>
                    <w:bottom w:val="single" w:color="auto" w:sz="4" w:space="0"/>
                    <w:right w:val="single" w:color="auto" w:sz="4" w:space="0"/>
                  </w:tcBorders>
                  <w:noWrap w:val="0"/>
                  <w:vAlign w:val="center"/>
                </w:tcPr>
                <w:p w14:paraId="0DB04577">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不聚合</w:t>
                  </w:r>
                </w:p>
              </w:tc>
            </w:tr>
            <w:tr w14:paraId="3A80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65F450E3">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分解产物</w:t>
                  </w:r>
                </w:p>
              </w:tc>
              <w:tc>
                <w:tcPr>
                  <w:tcW w:w="3043" w:type="dxa"/>
                  <w:gridSpan w:val="3"/>
                  <w:tcBorders>
                    <w:top w:val="single" w:color="auto" w:sz="4" w:space="0"/>
                    <w:left w:val="single" w:color="auto" w:sz="4" w:space="0"/>
                    <w:bottom w:val="single" w:color="auto" w:sz="4" w:space="0"/>
                    <w:right w:val="single" w:color="auto" w:sz="4" w:space="0"/>
                  </w:tcBorders>
                  <w:noWrap w:val="0"/>
                  <w:vAlign w:val="center"/>
                </w:tcPr>
                <w:p w14:paraId="1F8A47FE">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一氧化碳、二氧化碳</w:t>
                  </w:r>
                </w:p>
              </w:tc>
              <w:tc>
                <w:tcPr>
                  <w:tcW w:w="1861" w:type="dxa"/>
                  <w:gridSpan w:val="2"/>
                  <w:tcBorders>
                    <w:top w:val="single" w:color="auto" w:sz="4" w:space="0"/>
                    <w:left w:val="single" w:color="auto" w:sz="4" w:space="0"/>
                    <w:bottom w:val="single" w:color="auto" w:sz="4" w:space="0"/>
                    <w:right w:val="single" w:color="auto" w:sz="4" w:space="0"/>
                  </w:tcBorders>
                  <w:noWrap w:val="0"/>
                  <w:vAlign w:val="center"/>
                </w:tcPr>
                <w:p w14:paraId="4D8EA850">
                  <w:pPr>
                    <w:widowControl w:val="0"/>
                    <w:jc w:val="center"/>
                    <w:rPr>
                      <w:rFonts w:hint="default" w:ascii="Times New Roman" w:hAnsi="Times New Roman" w:cs="Times New Roman"/>
                      <w:color w:val="auto"/>
                      <w:sz w:val="21"/>
                      <w:szCs w:val="21"/>
                    </w:rPr>
                  </w:pPr>
                </w:p>
              </w:tc>
              <w:tc>
                <w:tcPr>
                  <w:tcW w:w="2353" w:type="dxa"/>
                  <w:tcBorders>
                    <w:top w:val="single" w:color="auto" w:sz="4" w:space="0"/>
                    <w:left w:val="single" w:color="auto" w:sz="4" w:space="0"/>
                    <w:bottom w:val="single" w:color="auto" w:sz="4" w:space="0"/>
                    <w:right w:val="single" w:color="auto" w:sz="4" w:space="0"/>
                  </w:tcBorders>
                  <w:noWrap w:val="0"/>
                  <w:vAlign w:val="center"/>
                </w:tcPr>
                <w:p w14:paraId="2088AF50">
                  <w:pPr>
                    <w:widowControl w:val="0"/>
                    <w:jc w:val="center"/>
                    <w:rPr>
                      <w:rFonts w:hint="default" w:ascii="Times New Roman" w:hAnsi="Times New Roman" w:cs="Times New Roman"/>
                      <w:color w:val="auto"/>
                      <w:sz w:val="21"/>
                      <w:szCs w:val="21"/>
                    </w:rPr>
                  </w:pPr>
                </w:p>
              </w:tc>
            </w:tr>
            <w:tr w14:paraId="1D6E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120" w:type="dxa"/>
                  <w:gridSpan w:val="7"/>
                  <w:tcBorders>
                    <w:top w:val="single" w:color="auto" w:sz="4" w:space="0"/>
                    <w:left w:val="single" w:color="auto" w:sz="4" w:space="0"/>
                    <w:bottom w:val="single" w:color="auto" w:sz="4" w:space="0"/>
                    <w:right w:val="single" w:color="auto" w:sz="4" w:space="0"/>
                  </w:tcBorders>
                  <w:noWrap w:val="0"/>
                  <w:vAlign w:val="center"/>
                </w:tcPr>
                <w:p w14:paraId="09C64F97">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第四部分  毒理学资料</w:t>
                  </w:r>
                </w:p>
              </w:tc>
            </w:tr>
            <w:tr w14:paraId="7143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45CC173D">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急性毒性</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7B28ED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rPr>
                    <w:t>67000mg/kg(小鼠经口)，（120号溶剂汽油）</w:t>
                  </w:r>
                </w:p>
                <w:p w14:paraId="24361269">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rPr>
                    <w:t>103000mg/kg小鼠，2小时（120号溶剂汽油）</w:t>
                  </w:r>
                </w:p>
              </w:tc>
            </w:tr>
            <w:tr w14:paraId="7713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7992369C">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急性毒性</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549F000B">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浓度吸入出现中毒性脑病。极高浓度吸入引起意识突然丧失、反射呼吸停止和化学性肺炎。可致角膜溃疡、穿孔，甚至失明。皮肤接触至急性接触性皮炎或过敏性皮炎。急性经口中毒引起急性胃肠炎；重者出现类似急性胃肠炎；重者出现类似急性吸入中毒症状。</w:t>
                  </w:r>
                </w:p>
              </w:tc>
            </w:tr>
            <w:tr w14:paraId="11D6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6C97AE8A">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慢性中毒</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55DA6E0F">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神经衰弱综合症，周围神经病，皮肤损害。</w:t>
                  </w:r>
                </w:p>
              </w:tc>
            </w:tr>
            <w:tr w14:paraId="52A5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60A3C6FD">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刺激性</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0A3CAEE1">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人经眼：140ppm（8小时），轻度刺激。</w:t>
                  </w:r>
                </w:p>
              </w:tc>
            </w:tr>
            <w:tr w14:paraId="403F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863" w:type="dxa"/>
                  <w:tcBorders>
                    <w:top w:val="single" w:color="auto" w:sz="4" w:space="0"/>
                    <w:left w:val="single" w:color="auto" w:sz="4" w:space="0"/>
                    <w:bottom w:val="single" w:color="auto" w:sz="4" w:space="0"/>
                    <w:right w:val="single" w:color="auto" w:sz="4" w:space="0"/>
                  </w:tcBorders>
                  <w:noWrap w:val="0"/>
                  <w:vAlign w:val="center"/>
                </w:tcPr>
                <w:p w14:paraId="606D95F4">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最高容许浓度</w:t>
                  </w:r>
                </w:p>
              </w:tc>
              <w:tc>
                <w:tcPr>
                  <w:tcW w:w="7257" w:type="dxa"/>
                  <w:gridSpan w:val="6"/>
                  <w:tcBorders>
                    <w:top w:val="single" w:color="auto" w:sz="4" w:space="0"/>
                    <w:left w:val="single" w:color="auto" w:sz="4" w:space="0"/>
                    <w:bottom w:val="single" w:color="auto" w:sz="4" w:space="0"/>
                    <w:right w:val="single" w:color="auto" w:sz="4" w:space="0"/>
                  </w:tcBorders>
                  <w:noWrap w:val="0"/>
                  <w:vAlign w:val="center"/>
                </w:tcPr>
                <w:p w14:paraId="6F161BED">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300mg/m³</w:t>
                  </w:r>
                </w:p>
              </w:tc>
            </w:tr>
          </w:tbl>
          <w:p w14:paraId="49E36CCC">
            <w:pPr>
              <w:spacing w:line="240" w:lineRule="auto"/>
              <w:ind w:firstLine="422" w:firstLineChars="200"/>
              <w:jc w:val="center"/>
              <w:outlineLvl w:val="0"/>
              <w:rPr>
                <w:rFonts w:hint="default" w:ascii="Times New Roman" w:hAnsi="Times New Roman" w:cs="Times New Roman"/>
                <w:b/>
                <w:bCs/>
                <w:color w:val="auto"/>
                <w:kern w:val="1"/>
                <w:sz w:val="21"/>
                <w:szCs w:val="21"/>
              </w:rPr>
            </w:pPr>
            <w:bookmarkStart w:id="40" w:name="_Toc16261"/>
            <w:bookmarkStart w:id="41" w:name="_Toc5535"/>
            <w:r>
              <w:rPr>
                <w:rFonts w:hint="default" w:ascii="Times New Roman" w:hAnsi="Times New Roman" w:cs="Times New Roman"/>
                <w:b/>
                <w:bCs/>
                <w:color w:val="auto"/>
                <w:kern w:val="1"/>
                <w:sz w:val="21"/>
                <w:szCs w:val="21"/>
              </w:rPr>
              <w:t>表</w:t>
            </w:r>
            <w:r>
              <w:rPr>
                <w:rFonts w:hint="default" w:ascii="Times New Roman" w:hAnsi="Times New Roman" w:cs="Times New Roman"/>
                <w:b/>
                <w:bCs/>
                <w:color w:val="auto"/>
                <w:kern w:val="1"/>
                <w:sz w:val="21"/>
                <w:szCs w:val="21"/>
                <w:lang w:val="en-US" w:eastAsia="zh-CN"/>
              </w:rPr>
              <w:t>4-</w:t>
            </w:r>
            <w:r>
              <w:rPr>
                <w:rFonts w:hint="eastAsia" w:cs="Times New Roman"/>
                <w:b/>
                <w:bCs/>
                <w:color w:val="auto"/>
                <w:kern w:val="1"/>
                <w:sz w:val="21"/>
                <w:szCs w:val="21"/>
                <w:lang w:val="en-US" w:eastAsia="zh-CN"/>
              </w:rPr>
              <w:t>20</w:t>
            </w:r>
            <w:r>
              <w:rPr>
                <w:rFonts w:hint="default" w:ascii="Times New Roman" w:hAnsi="Times New Roman" w:cs="Times New Roman"/>
                <w:b/>
                <w:bCs/>
                <w:color w:val="auto"/>
                <w:kern w:val="1"/>
                <w:sz w:val="21"/>
                <w:szCs w:val="21"/>
              </w:rPr>
              <w:t xml:space="preserve">  柴油的理化性质和危险特性</w:t>
            </w:r>
            <w:bookmarkEnd w:id="40"/>
            <w:bookmarkEnd w:id="41"/>
          </w:p>
          <w:tbl>
            <w:tblPr>
              <w:tblStyle w:val="2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968"/>
              <w:gridCol w:w="966"/>
              <w:gridCol w:w="1690"/>
              <w:gridCol w:w="409"/>
              <w:gridCol w:w="2269"/>
            </w:tblGrid>
            <w:tr w14:paraId="6CBB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100" w:type="dxa"/>
                  <w:gridSpan w:val="6"/>
                  <w:tcBorders>
                    <w:top w:val="single" w:color="auto" w:sz="4" w:space="0"/>
                    <w:left w:val="single" w:color="auto" w:sz="4" w:space="0"/>
                    <w:bottom w:val="single" w:color="auto" w:sz="4" w:space="0"/>
                    <w:right w:val="single" w:color="auto" w:sz="4" w:space="0"/>
                  </w:tcBorders>
                  <w:noWrap w:val="0"/>
                  <w:vAlign w:val="center"/>
                </w:tcPr>
                <w:p w14:paraId="008D5AB4">
                  <w:pPr>
                    <w:widowControl w:val="0"/>
                    <w:spacing w:before="24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第一部分  危险性概述</w:t>
                  </w:r>
                </w:p>
              </w:tc>
            </w:tr>
            <w:tr w14:paraId="2377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297AEBB0">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危险性类别</w:t>
                  </w:r>
                </w:p>
              </w:tc>
              <w:tc>
                <w:tcPr>
                  <w:tcW w:w="2934" w:type="dxa"/>
                  <w:gridSpan w:val="2"/>
                  <w:tcBorders>
                    <w:top w:val="single" w:color="auto" w:sz="4" w:space="0"/>
                    <w:left w:val="single" w:color="auto" w:sz="4" w:space="0"/>
                    <w:bottom w:val="single" w:color="auto" w:sz="4" w:space="0"/>
                    <w:right w:val="single" w:color="auto" w:sz="4" w:space="0"/>
                  </w:tcBorders>
                  <w:noWrap w:val="0"/>
                  <w:vAlign w:val="center"/>
                </w:tcPr>
                <w:p w14:paraId="635EEF77">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第3类 易燃液体</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21CAD8D3">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燃烧爆炸性</w:t>
                  </w:r>
                </w:p>
              </w:tc>
              <w:tc>
                <w:tcPr>
                  <w:tcW w:w="2678" w:type="dxa"/>
                  <w:gridSpan w:val="2"/>
                  <w:tcBorders>
                    <w:top w:val="single" w:color="auto" w:sz="4" w:space="0"/>
                    <w:left w:val="single" w:color="auto" w:sz="4" w:space="0"/>
                    <w:bottom w:val="single" w:color="auto" w:sz="4" w:space="0"/>
                    <w:right w:val="single" w:color="auto" w:sz="4" w:space="0"/>
                  </w:tcBorders>
                  <w:noWrap w:val="0"/>
                  <w:vAlign w:val="center"/>
                </w:tcPr>
                <w:p w14:paraId="73CE875D">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遇热、火花、明火易燃，可蓄积静电,引起电火花</w:t>
                  </w:r>
                </w:p>
              </w:tc>
            </w:tr>
            <w:tr w14:paraId="78ED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1E3894E7">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侵入途径</w:t>
                  </w:r>
                </w:p>
              </w:tc>
              <w:tc>
                <w:tcPr>
                  <w:tcW w:w="2934" w:type="dxa"/>
                  <w:gridSpan w:val="2"/>
                  <w:tcBorders>
                    <w:top w:val="single" w:color="auto" w:sz="4" w:space="0"/>
                    <w:left w:val="single" w:color="auto" w:sz="4" w:space="0"/>
                    <w:bottom w:val="single" w:color="auto" w:sz="4" w:space="0"/>
                    <w:right w:val="single" w:color="auto" w:sz="4" w:space="0"/>
                  </w:tcBorders>
                  <w:noWrap w:val="0"/>
                  <w:vAlign w:val="center"/>
                </w:tcPr>
                <w:p w14:paraId="71D09D68">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吸入、食入、经皮吸收</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0DCD77F2">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有害燃烧产物</w:t>
                  </w:r>
                </w:p>
              </w:tc>
              <w:tc>
                <w:tcPr>
                  <w:tcW w:w="2678" w:type="dxa"/>
                  <w:gridSpan w:val="2"/>
                  <w:tcBorders>
                    <w:top w:val="single" w:color="auto" w:sz="4" w:space="0"/>
                    <w:left w:val="single" w:color="auto" w:sz="4" w:space="0"/>
                    <w:bottom w:val="single" w:color="auto" w:sz="4" w:space="0"/>
                    <w:right w:val="single" w:color="auto" w:sz="4" w:space="0"/>
                  </w:tcBorders>
                  <w:noWrap w:val="0"/>
                  <w:vAlign w:val="center"/>
                </w:tcPr>
                <w:p w14:paraId="29769885">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一氧化碳、二氧化碳</w:t>
                  </w:r>
                </w:p>
              </w:tc>
            </w:tr>
            <w:tr w14:paraId="224B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022064C4">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环境危害</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737FAF6F">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该物质对环境有危害，应特别注意对水、土壤、大气和饮用水的污染。</w:t>
                  </w:r>
                </w:p>
              </w:tc>
            </w:tr>
            <w:tr w14:paraId="2848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100" w:type="dxa"/>
                  <w:gridSpan w:val="6"/>
                  <w:tcBorders>
                    <w:top w:val="single" w:color="auto" w:sz="4" w:space="0"/>
                    <w:left w:val="single" w:color="auto" w:sz="4" w:space="0"/>
                    <w:bottom w:val="single" w:color="auto" w:sz="4" w:space="0"/>
                    <w:right w:val="single" w:color="auto" w:sz="4" w:space="0"/>
                  </w:tcBorders>
                  <w:noWrap w:val="0"/>
                  <w:vAlign w:val="center"/>
                </w:tcPr>
                <w:p w14:paraId="39EB3A03">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第二部分  理化特性</w:t>
                  </w:r>
                </w:p>
              </w:tc>
            </w:tr>
            <w:tr w14:paraId="3157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5956F528">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外观及性状</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25B0BE22">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白色或淡黄色液体</w:t>
                  </w:r>
                </w:p>
              </w:tc>
            </w:tr>
            <w:tr w14:paraId="37C5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01E72107">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熔点（℃）</w:t>
                  </w:r>
                </w:p>
              </w:tc>
              <w:tc>
                <w:tcPr>
                  <w:tcW w:w="1968" w:type="dxa"/>
                  <w:tcBorders>
                    <w:top w:val="single" w:color="auto" w:sz="4" w:space="0"/>
                    <w:left w:val="single" w:color="auto" w:sz="4" w:space="0"/>
                    <w:bottom w:val="single" w:color="auto" w:sz="4" w:space="0"/>
                    <w:right w:val="single" w:color="auto" w:sz="4" w:space="0"/>
                  </w:tcBorders>
                  <w:noWrap w:val="0"/>
                  <w:vAlign w:val="center"/>
                </w:tcPr>
                <w:p w14:paraId="7E96AAF8">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-29.56</w:t>
                  </w:r>
                </w:p>
              </w:tc>
              <w:tc>
                <w:tcPr>
                  <w:tcW w:w="3065" w:type="dxa"/>
                  <w:gridSpan w:val="3"/>
                  <w:tcBorders>
                    <w:top w:val="single" w:color="auto" w:sz="4" w:space="0"/>
                    <w:left w:val="single" w:color="auto" w:sz="4" w:space="0"/>
                    <w:bottom w:val="single" w:color="auto" w:sz="4" w:space="0"/>
                    <w:right w:val="single" w:color="auto" w:sz="4" w:space="0"/>
                  </w:tcBorders>
                  <w:noWrap w:val="0"/>
                  <w:vAlign w:val="center"/>
                </w:tcPr>
                <w:p w14:paraId="64CF91D5">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相对密度（水=1）</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242451FA">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0.85</w:t>
                  </w:r>
                </w:p>
              </w:tc>
            </w:tr>
            <w:tr w14:paraId="33B2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17114619">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闪点（℃）</w:t>
                  </w:r>
                </w:p>
              </w:tc>
              <w:tc>
                <w:tcPr>
                  <w:tcW w:w="1968" w:type="dxa"/>
                  <w:tcBorders>
                    <w:top w:val="single" w:color="auto" w:sz="4" w:space="0"/>
                    <w:left w:val="single" w:color="auto" w:sz="4" w:space="0"/>
                    <w:bottom w:val="single" w:color="auto" w:sz="4" w:space="0"/>
                    <w:right w:val="single" w:color="auto" w:sz="4" w:space="0"/>
                  </w:tcBorders>
                  <w:noWrap w:val="0"/>
                  <w:vAlign w:val="center"/>
                </w:tcPr>
                <w:p w14:paraId="72929B22">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3065" w:type="dxa"/>
                  <w:gridSpan w:val="3"/>
                  <w:tcBorders>
                    <w:top w:val="single" w:color="auto" w:sz="4" w:space="0"/>
                    <w:left w:val="single" w:color="auto" w:sz="4" w:space="0"/>
                    <w:bottom w:val="single" w:color="auto" w:sz="4" w:space="0"/>
                    <w:right w:val="single" w:color="auto" w:sz="4" w:space="0"/>
                  </w:tcBorders>
                  <w:noWrap w:val="0"/>
                  <w:vAlign w:val="center"/>
                </w:tcPr>
                <w:p w14:paraId="7E1B95D6">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相对密度（空气=1）</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19B32607">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r>
            <w:tr w14:paraId="2FAA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7EF78213">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引燃温度（℃）</w:t>
                  </w:r>
                </w:p>
              </w:tc>
              <w:tc>
                <w:tcPr>
                  <w:tcW w:w="1968" w:type="dxa"/>
                  <w:tcBorders>
                    <w:top w:val="single" w:color="auto" w:sz="4" w:space="0"/>
                    <w:left w:val="single" w:color="auto" w:sz="4" w:space="0"/>
                    <w:bottom w:val="single" w:color="auto" w:sz="4" w:space="0"/>
                    <w:right w:val="single" w:color="auto" w:sz="4" w:space="0"/>
                  </w:tcBorders>
                  <w:noWrap w:val="0"/>
                  <w:vAlign w:val="center"/>
                </w:tcPr>
                <w:p w14:paraId="2049377F">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455</w:t>
                  </w:r>
                </w:p>
              </w:tc>
              <w:tc>
                <w:tcPr>
                  <w:tcW w:w="3065" w:type="dxa"/>
                  <w:gridSpan w:val="3"/>
                  <w:tcBorders>
                    <w:top w:val="single" w:color="auto" w:sz="4" w:space="0"/>
                    <w:left w:val="single" w:color="auto" w:sz="4" w:space="0"/>
                    <w:bottom w:val="single" w:color="auto" w:sz="4" w:space="0"/>
                    <w:right w:val="single" w:color="auto" w:sz="4" w:space="0"/>
                  </w:tcBorders>
                  <w:noWrap w:val="0"/>
                  <w:vAlign w:val="center"/>
                </w:tcPr>
                <w:p w14:paraId="01EDD306">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爆炸上限%（V/V）</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4E5B4B14">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r>
            <w:tr w14:paraId="3F2E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2DA5B207">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沸点（℃）</w:t>
                  </w:r>
                </w:p>
              </w:tc>
              <w:tc>
                <w:tcPr>
                  <w:tcW w:w="1968" w:type="dxa"/>
                  <w:tcBorders>
                    <w:top w:val="single" w:color="auto" w:sz="4" w:space="0"/>
                    <w:left w:val="single" w:color="auto" w:sz="4" w:space="0"/>
                    <w:bottom w:val="single" w:color="auto" w:sz="4" w:space="0"/>
                    <w:right w:val="single" w:color="auto" w:sz="4" w:space="0"/>
                  </w:tcBorders>
                  <w:noWrap w:val="0"/>
                  <w:vAlign w:val="center"/>
                </w:tcPr>
                <w:p w14:paraId="213084FD">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180～370</w:t>
                  </w:r>
                </w:p>
              </w:tc>
              <w:tc>
                <w:tcPr>
                  <w:tcW w:w="3065" w:type="dxa"/>
                  <w:gridSpan w:val="3"/>
                  <w:tcBorders>
                    <w:top w:val="single" w:color="auto" w:sz="4" w:space="0"/>
                    <w:left w:val="single" w:color="auto" w:sz="4" w:space="0"/>
                    <w:bottom w:val="single" w:color="auto" w:sz="4" w:space="0"/>
                    <w:right w:val="single" w:color="auto" w:sz="4" w:space="0"/>
                  </w:tcBorders>
                  <w:noWrap w:val="0"/>
                  <w:vAlign w:val="center"/>
                </w:tcPr>
                <w:p w14:paraId="43DC42C0">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爆炸下限%（V/V）</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37DBFB7F">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r>
            <w:tr w14:paraId="1B12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1393A180">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溶解性</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2FDF7B12">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不溶于水，易溶于苯、二硫化碳、醇，易溶于脂肪。</w:t>
                  </w:r>
                </w:p>
              </w:tc>
            </w:tr>
            <w:tr w14:paraId="7895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1FF65304">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主要用途</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6BE15C89">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用作柴油机的燃料等。</w:t>
                  </w:r>
                </w:p>
              </w:tc>
            </w:tr>
            <w:tr w14:paraId="245B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100" w:type="dxa"/>
                  <w:gridSpan w:val="6"/>
                  <w:tcBorders>
                    <w:top w:val="single" w:color="auto" w:sz="4" w:space="0"/>
                    <w:left w:val="single" w:color="auto" w:sz="4" w:space="0"/>
                    <w:bottom w:val="single" w:color="auto" w:sz="4" w:space="0"/>
                    <w:right w:val="single" w:color="auto" w:sz="4" w:space="0"/>
                  </w:tcBorders>
                  <w:noWrap w:val="0"/>
                  <w:vAlign w:val="center"/>
                </w:tcPr>
                <w:p w14:paraId="3BDCF572">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第三部分  稳定性及化学活性</w:t>
                  </w:r>
                </w:p>
              </w:tc>
            </w:tr>
            <w:tr w14:paraId="0C39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677ADC50">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稳定性</w:t>
                  </w:r>
                </w:p>
              </w:tc>
              <w:tc>
                <w:tcPr>
                  <w:tcW w:w="2934" w:type="dxa"/>
                  <w:gridSpan w:val="2"/>
                  <w:tcBorders>
                    <w:top w:val="single" w:color="auto" w:sz="4" w:space="0"/>
                    <w:left w:val="single" w:color="auto" w:sz="4" w:space="0"/>
                    <w:bottom w:val="single" w:color="auto" w:sz="4" w:space="0"/>
                    <w:right w:val="single" w:color="auto" w:sz="4" w:space="0"/>
                  </w:tcBorders>
                  <w:noWrap w:val="0"/>
                  <w:vAlign w:val="center"/>
                </w:tcPr>
                <w:p w14:paraId="207F78DE">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w:t>
                  </w:r>
                </w:p>
              </w:tc>
              <w:tc>
                <w:tcPr>
                  <w:tcW w:w="2099" w:type="dxa"/>
                  <w:gridSpan w:val="2"/>
                  <w:tcBorders>
                    <w:top w:val="single" w:color="auto" w:sz="4" w:space="0"/>
                    <w:left w:val="single" w:color="auto" w:sz="4" w:space="0"/>
                    <w:bottom w:val="single" w:color="auto" w:sz="4" w:space="0"/>
                    <w:right w:val="single" w:color="auto" w:sz="4" w:space="0"/>
                  </w:tcBorders>
                  <w:noWrap w:val="0"/>
                  <w:vAlign w:val="center"/>
                </w:tcPr>
                <w:p w14:paraId="6B7A95EA">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避免接触的条件</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3DCF9F02">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明火、高热</w:t>
                  </w:r>
                </w:p>
              </w:tc>
            </w:tr>
            <w:tr w14:paraId="18DB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18E520C0">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禁配物</w:t>
                  </w:r>
                </w:p>
              </w:tc>
              <w:tc>
                <w:tcPr>
                  <w:tcW w:w="2934" w:type="dxa"/>
                  <w:gridSpan w:val="2"/>
                  <w:tcBorders>
                    <w:top w:val="single" w:color="auto" w:sz="4" w:space="0"/>
                    <w:left w:val="single" w:color="auto" w:sz="4" w:space="0"/>
                    <w:bottom w:val="single" w:color="auto" w:sz="4" w:space="0"/>
                    <w:right w:val="single" w:color="auto" w:sz="4" w:space="0"/>
                  </w:tcBorders>
                  <w:noWrap w:val="0"/>
                  <w:vAlign w:val="center"/>
                </w:tcPr>
                <w:p w14:paraId="4F60C39E">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强氧化剂、卤素</w:t>
                  </w:r>
                </w:p>
              </w:tc>
              <w:tc>
                <w:tcPr>
                  <w:tcW w:w="2099" w:type="dxa"/>
                  <w:gridSpan w:val="2"/>
                  <w:tcBorders>
                    <w:top w:val="single" w:color="auto" w:sz="4" w:space="0"/>
                    <w:left w:val="single" w:color="auto" w:sz="4" w:space="0"/>
                    <w:bottom w:val="single" w:color="auto" w:sz="4" w:space="0"/>
                    <w:right w:val="single" w:color="auto" w:sz="4" w:space="0"/>
                  </w:tcBorders>
                  <w:noWrap w:val="0"/>
                  <w:vAlign w:val="center"/>
                </w:tcPr>
                <w:p w14:paraId="6171A028">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聚合危害</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3AF97FDE">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不聚合</w:t>
                  </w:r>
                </w:p>
              </w:tc>
            </w:tr>
            <w:tr w14:paraId="49F9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7D8C2168">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分解产物</w:t>
                  </w:r>
                </w:p>
              </w:tc>
              <w:tc>
                <w:tcPr>
                  <w:tcW w:w="2934" w:type="dxa"/>
                  <w:gridSpan w:val="2"/>
                  <w:tcBorders>
                    <w:top w:val="single" w:color="auto" w:sz="4" w:space="0"/>
                    <w:left w:val="single" w:color="auto" w:sz="4" w:space="0"/>
                    <w:bottom w:val="single" w:color="auto" w:sz="4" w:space="0"/>
                    <w:right w:val="single" w:color="auto" w:sz="4" w:space="0"/>
                  </w:tcBorders>
                  <w:noWrap w:val="0"/>
                  <w:vAlign w:val="center"/>
                </w:tcPr>
                <w:p w14:paraId="18736E51">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一氧化碳、二氧化碳</w:t>
                  </w:r>
                </w:p>
              </w:tc>
              <w:tc>
                <w:tcPr>
                  <w:tcW w:w="2099" w:type="dxa"/>
                  <w:gridSpan w:val="2"/>
                  <w:tcBorders>
                    <w:top w:val="single" w:color="auto" w:sz="4" w:space="0"/>
                    <w:left w:val="single" w:color="auto" w:sz="4" w:space="0"/>
                    <w:bottom w:val="single" w:color="auto" w:sz="4" w:space="0"/>
                    <w:right w:val="single" w:color="auto" w:sz="4" w:space="0"/>
                  </w:tcBorders>
                  <w:noWrap w:val="0"/>
                  <w:vAlign w:val="center"/>
                </w:tcPr>
                <w:p w14:paraId="4E4E3643">
                  <w:pPr>
                    <w:widowControl w:val="0"/>
                    <w:jc w:val="center"/>
                    <w:rPr>
                      <w:rFonts w:hint="default" w:ascii="Times New Roman" w:hAnsi="Times New Roman" w:cs="Times New Roman"/>
                      <w:color w:val="auto"/>
                      <w:sz w:val="21"/>
                      <w:szCs w:val="21"/>
                    </w:rPr>
                  </w:pPr>
                </w:p>
              </w:tc>
              <w:tc>
                <w:tcPr>
                  <w:tcW w:w="2269" w:type="dxa"/>
                  <w:tcBorders>
                    <w:top w:val="single" w:color="auto" w:sz="4" w:space="0"/>
                    <w:left w:val="single" w:color="auto" w:sz="4" w:space="0"/>
                    <w:bottom w:val="single" w:color="auto" w:sz="4" w:space="0"/>
                    <w:right w:val="single" w:color="auto" w:sz="4" w:space="0"/>
                  </w:tcBorders>
                  <w:noWrap w:val="0"/>
                  <w:vAlign w:val="center"/>
                </w:tcPr>
                <w:p w14:paraId="1CF4DE79">
                  <w:pPr>
                    <w:widowControl w:val="0"/>
                    <w:jc w:val="center"/>
                    <w:rPr>
                      <w:rFonts w:hint="default" w:ascii="Times New Roman" w:hAnsi="Times New Roman" w:cs="Times New Roman"/>
                      <w:color w:val="auto"/>
                      <w:sz w:val="21"/>
                      <w:szCs w:val="21"/>
                    </w:rPr>
                  </w:pPr>
                </w:p>
              </w:tc>
            </w:tr>
            <w:tr w14:paraId="49CE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100" w:type="dxa"/>
                  <w:gridSpan w:val="6"/>
                  <w:tcBorders>
                    <w:top w:val="single" w:color="auto" w:sz="4" w:space="0"/>
                    <w:left w:val="single" w:color="auto" w:sz="4" w:space="0"/>
                    <w:bottom w:val="single" w:color="auto" w:sz="4" w:space="0"/>
                    <w:right w:val="single" w:color="auto" w:sz="4" w:space="0"/>
                  </w:tcBorders>
                  <w:noWrap w:val="0"/>
                  <w:vAlign w:val="center"/>
                </w:tcPr>
                <w:p w14:paraId="03E736E7">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第四部分  毒理学资料</w:t>
                  </w:r>
                </w:p>
              </w:tc>
            </w:tr>
            <w:tr w14:paraId="499A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15D22F4A">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急性毒性</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430CE5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 7500mg/kg（大鼠经口）</w:t>
                  </w:r>
                </w:p>
                <w:p w14:paraId="72954027">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 :&gt;5 ml/kg（兔经皮）</w:t>
                  </w:r>
                </w:p>
              </w:tc>
            </w:tr>
            <w:tr w14:paraId="034F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170FF4B0">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急性毒性</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76ECA545">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皮肤接触柴油可引起接触皮炎、油性痤疮，吸入可引起吸入性肺炎，能经胎盘进入胎儿血中。</w:t>
                  </w:r>
                </w:p>
              </w:tc>
            </w:tr>
            <w:tr w14:paraId="7E98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57C16261">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慢性中毒</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6ACC955D">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柴油废气可引起眼、鼻刺激症状，头痛。</w:t>
                  </w:r>
                </w:p>
              </w:tc>
            </w:tr>
            <w:tr w14:paraId="6334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311CE744">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刺激性</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0B7A5546">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具有刺激作用</w:t>
                  </w:r>
                </w:p>
              </w:tc>
            </w:tr>
            <w:tr w14:paraId="7D2E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798" w:type="dxa"/>
                  <w:tcBorders>
                    <w:top w:val="single" w:color="auto" w:sz="4" w:space="0"/>
                    <w:left w:val="single" w:color="auto" w:sz="4" w:space="0"/>
                    <w:bottom w:val="single" w:color="auto" w:sz="4" w:space="0"/>
                    <w:right w:val="single" w:color="auto" w:sz="4" w:space="0"/>
                  </w:tcBorders>
                  <w:noWrap w:val="0"/>
                  <w:vAlign w:val="center"/>
                </w:tcPr>
                <w:p w14:paraId="29E7B1B5">
                  <w:pPr>
                    <w:widowControl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最高容许浓度</w:t>
                  </w:r>
                </w:p>
              </w:tc>
              <w:tc>
                <w:tcPr>
                  <w:tcW w:w="7302" w:type="dxa"/>
                  <w:gridSpan w:val="5"/>
                  <w:tcBorders>
                    <w:top w:val="single" w:color="auto" w:sz="4" w:space="0"/>
                    <w:left w:val="single" w:color="auto" w:sz="4" w:space="0"/>
                    <w:bottom w:val="single" w:color="auto" w:sz="4" w:space="0"/>
                    <w:right w:val="single" w:color="auto" w:sz="4" w:space="0"/>
                  </w:tcBorders>
                  <w:noWrap w:val="0"/>
                  <w:vAlign w:val="center"/>
                </w:tcPr>
                <w:p w14:paraId="1884EEAE">
                  <w:pPr>
                    <w:widowControl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目前无标准</w:t>
                  </w:r>
                </w:p>
              </w:tc>
            </w:tr>
          </w:tbl>
          <w:p w14:paraId="591FA434">
            <w:pPr>
              <w:spacing w:line="360" w:lineRule="auto"/>
              <w:ind w:firstLine="480" w:firstLineChars="200"/>
              <w:outlineLvl w:val="0"/>
              <w:rPr>
                <w:rFonts w:hint="default" w:ascii="Times New Roman" w:hAnsi="Times New Roman" w:cs="Times New Roman"/>
                <w:color w:val="auto"/>
                <w:kern w:val="1"/>
                <w:sz w:val="24"/>
                <w:szCs w:val="22"/>
              </w:rPr>
            </w:pPr>
            <w:bookmarkStart w:id="42" w:name="_Toc5822"/>
            <w:bookmarkStart w:id="43" w:name="_Toc14465"/>
            <w:r>
              <w:rPr>
                <w:rFonts w:hint="default" w:ascii="Times New Roman" w:hAnsi="Times New Roman" w:cs="Times New Roman"/>
                <w:color w:val="auto"/>
                <w:kern w:val="1"/>
                <w:sz w:val="24"/>
                <w:szCs w:val="22"/>
              </w:rPr>
              <w:t>（2）风险潜势初判及风险评价等级</w:t>
            </w:r>
            <w:bookmarkEnd w:id="39"/>
            <w:bookmarkEnd w:id="42"/>
            <w:bookmarkEnd w:id="43"/>
          </w:p>
          <w:p w14:paraId="443C1EAB">
            <w:pPr>
              <w:spacing w:line="360" w:lineRule="auto"/>
              <w:ind w:firstLine="480" w:firstLineChars="200"/>
              <w:outlineLvl w:val="0"/>
              <w:rPr>
                <w:rFonts w:hint="default" w:ascii="Times New Roman" w:hAnsi="Times New Roman" w:cs="Times New Roman"/>
                <w:color w:val="auto"/>
                <w:kern w:val="1"/>
                <w:sz w:val="24"/>
                <w:szCs w:val="22"/>
              </w:rPr>
            </w:pPr>
            <w:bookmarkStart w:id="44" w:name="_Toc25296"/>
            <w:bookmarkStart w:id="45" w:name="_Toc29923"/>
            <w:bookmarkStart w:id="46" w:name="_Toc25814"/>
            <w:r>
              <w:rPr>
                <w:rFonts w:hint="default" w:ascii="Times New Roman" w:hAnsi="Times New Roman" w:cs="Times New Roman"/>
                <w:color w:val="auto"/>
                <w:kern w:val="1"/>
                <w:sz w:val="24"/>
                <w:szCs w:val="22"/>
              </w:rPr>
              <w:t>①风险潜势初判</w:t>
            </w:r>
            <w:bookmarkEnd w:id="44"/>
            <w:bookmarkEnd w:id="45"/>
            <w:bookmarkEnd w:id="46"/>
          </w:p>
          <w:p w14:paraId="38DF836F">
            <w:pPr>
              <w:spacing w:line="360" w:lineRule="auto"/>
              <w:ind w:firstLine="480" w:firstLineChars="200"/>
              <w:outlineLvl w:val="0"/>
              <w:rPr>
                <w:rFonts w:hint="default" w:ascii="Times New Roman" w:hAnsi="Times New Roman" w:cs="Times New Roman"/>
                <w:color w:val="auto"/>
                <w:kern w:val="1"/>
                <w:szCs w:val="20"/>
              </w:rPr>
            </w:pPr>
            <w:bookmarkStart w:id="47" w:name="_Toc12846"/>
            <w:bookmarkStart w:id="48" w:name="_Toc3745"/>
            <w:bookmarkStart w:id="49" w:name="_Toc32571"/>
            <w:r>
              <w:rPr>
                <w:rFonts w:hint="default" w:ascii="Times New Roman" w:hAnsi="Times New Roman" w:cs="Times New Roman"/>
                <w:color w:val="auto"/>
                <w:kern w:val="1"/>
                <w:sz w:val="24"/>
                <w:szCs w:val="22"/>
              </w:rPr>
              <w:t>根据建设项目涉及的物质和工艺系统的危险性及所在地的环境敏感程度，结合事故情形下环境影响途径。对建设项目潜在环境危害程度进行概化分</w:t>
            </w:r>
            <w:r>
              <w:rPr>
                <w:rFonts w:hint="eastAsia" w:cs="Times New Roman"/>
                <w:color w:val="auto"/>
                <w:kern w:val="1"/>
                <w:sz w:val="24"/>
                <w:szCs w:val="22"/>
                <w:lang w:eastAsia="zh-CN"/>
              </w:rPr>
              <w:t>析</w:t>
            </w:r>
            <w:r>
              <w:rPr>
                <w:rFonts w:hint="default" w:ascii="Times New Roman" w:hAnsi="Times New Roman" w:cs="Times New Roman"/>
                <w:color w:val="auto"/>
                <w:kern w:val="1"/>
                <w:sz w:val="24"/>
                <w:szCs w:val="22"/>
              </w:rPr>
              <w:t>，建设项目环境风险潜势划分见表</w:t>
            </w:r>
            <w:r>
              <w:rPr>
                <w:rFonts w:hint="default" w:ascii="Times New Roman" w:hAnsi="Times New Roman" w:cs="Times New Roman"/>
                <w:color w:val="auto"/>
                <w:kern w:val="1"/>
                <w:sz w:val="24"/>
                <w:szCs w:val="22"/>
                <w:lang w:val="en-US" w:eastAsia="zh-CN"/>
              </w:rPr>
              <w:t>4-2</w:t>
            </w:r>
            <w:r>
              <w:rPr>
                <w:rFonts w:hint="eastAsia" w:cs="Times New Roman"/>
                <w:color w:val="auto"/>
                <w:kern w:val="1"/>
                <w:sz w:val="24"/>
                <w:szCs w:val="22"/>
                <w:lang w:val="en-US" w:eastAsia="zh-CN"/>
              </w:rPr>
              <w:t>1</w:t>
            </w:r>
            <w:r>
              <w:rPr>
                <w:rFonts w:hint="default" w:ascii="Times New Roman" w:hAnsi="Times New Roman" w:cs="Times New Roman"/>
                <w:color w:val="auto"/>
                <w:kern w:val="1"/>
                <w:sz w:val="24"/>
                <w:szCs w:val="22"/>
              </w:rPr>
              <w:t>。</w:t>
            </w:r>
            <w:bookmarkEnd w:id="47"/>
            <w:bookmarkEnd w:id="48"/>
            <w:bookmarkEnd w:id="49"/>
          </w:p>
          <w:p w14:paraId="74304157">
            <w:pPr>
              <w:spacing w:line="240" w:lineRule="auto"/>
              <w:jc w:val="center"/>
              <w:outlineLvl w:val="0"/>
              <w:rPr>
                <w:rFonts w:hint="default" w:ascii="Times New Roman" w:hAnsi="Times New Roman" w:cs="Times New Roman"/>
                <w:b/>
                <w:color w:val="auto"/>
                <w:kern w:val="1"/>
                <w:sz w:val="21"/>
                <w:szCs w:val="22"/>
              </w:rPr>
            </w:pPr>
            <w:bookmarkStart w:id="50" w:name="_Toc10519"/>
            <w:bookmarkStart w:id="51" w:name="_Toc6978"/>
            <w:bookmarkStart w:id="52" w:name="_Toc19089"/>
            <w:r>
              <w:rPr>
                <w:rFonts w:hint="default" w:ascii="Times New Roman" w:hAnsi="Times New Roman" w:cs="Times New Roman"/>
                <w:b/>
                <w:color w:val="auto"/>
                <w:kern w:val="1"/>
                <w:sz w:val="21"/>
                <w:szCs w:val="22"/>
              </w:rPr>
              <w:t>表</w:t>
            </w:r>
            <w:r>
              <w:rPr>
                <w:rFonts w:hint="default" w:ascii="Times New Roman" w:hAnsi="Times New Roman" w:cs="Times New Roman"/>
                <w:b/>
                <w:color w:val="auto"/>
                <w:kern w:val="1"/>
                <w:sz w:val="21"/>
                <w:szCs w:val="22"/>
                <w:lang w:val="en-US" w:eastAsia="zh-CN"/>
              </w:rPr>
              <w:t>4-2</w:t>
            </w:r>
            <w:r>
              <w:rPr>
                <w:rFonts w:hint="eastAsia" w:cs="Times New Roman"/>
                <w:b/>
                <w:color w:val="auto"/>
                <w:kern w:val="1"/>
                <w:sz w:val="21"/>
                <w:szCs w:val="22"/>
                <w:lang w:val="en-US" w:eastAsia="zh-CN"/>
              </w:rPr>
              <w:t>1</w:t>
            </w:r>
            <w:r>
              <w:rPr>
                <w:rFonts w:hint="default" w:ascii="Times New Roman" w:hAnsi="Times New Roman" w:cs="Times New Roman"/>
                <w:b/>
                <w:color w:val="auto"/>
                <w:kern w:val="1"/>
                <w:sz w:val="21"/>
                <w:szCs w:val="22"/>
              </w:rPr>
              <w:t xml:space="preserve">  建设项目环境风险潜势划分表</w:t>
            </w:r>
            <w:bookmarkEnd w:id="50"/>
            <w:bookmarkEnd w:id="51"/>
            <w:bookmarkEnd w:id="52"/>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7"/>
              <w:gridCol w:w="1510"/>
              <w:gridCol w:w="1511"/>
              <w:gridCol w:w="1510"/>
              <w:gridCol w:w="1564"/>
            </w:tblGrid>
            <w:tr w14:paraId="7AF5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867" w:type="dxa"/>
                  <w:vMerge w:val="restart"/>
                  <w:noWrap w:val="0"/>
                  <w:vAlign w:val="center"/>
                </w:tcPr>
                <w:p w14:paraId="1F1B1B99">
                  <w:pPr>
                    <w:jc w:val="center"/>
                    <w:outlineLvl w:val="0"/>
                    <w:rPr>
                      <w:rFonts w:hint="default" w:ascii="Times New Roman" w:hAnsi="Times New Roman" w:cs="Times New Roman"/>
                      <w:b/>
                      <w:bCs/>
                      <w:color w:val="auto"/>
                      <w:kern w:val="1"/>
                      <w:sz w:val="21"/>
                      <w:szCs w:val="22"/>
                    </w:rPr>
                  </w:pPr>
                  <w:bookmarkStart w:id="53" w:name="_Toc23000"/>
                  <w:bookmarkStart w:id="54" w:name="_Toc22984"/>
                  <w:bookmarkStart w:id="55" w:name="_Toc21908"/>
                  <w:r>
                    <w:rPr>
                      <w:rFonts w:hint="default" w:ascii="Times New Roman" w:hAnsi="Times New Roman" w:cs="Times New Roman"/>
                      <w:b/>
                      <w:bCs/>
                      <w:color w:val="auto"/>
                      <w:kern w:val="1"/>
                      <w:sz w:val="21"/>
                      <w:szCs w:val="22"/>
                    </w:rPr>
                    <w:t>环境敏感目程度（E）</w:t>
                  </w:r>
                  <w:bookmarkEnd w:id="53"/>
                  <w:bookmarkEnd w:id="54"/>
                  <w:bookmarkEnd w:id="55"/>
                </w:p>
              </w:tc>
              <w:tc>
                <w:tcPr>
                  <w:tcW w:w="6095" w:type="dxa"/>
                  <w:gridSpan w:val="4"/>
                  <w:noWrap w:val="0"/>
                  <w:vAlign w:val="center"/>
                </w:tcPr>
                <w:p w14:paraId="6C7FB443">
                  <w:pPr>
                    <w:jc w:val="center"/>
                    <w:outlineLvl w:val="0"/>
                    <w:rPr>
                      <w:rFonts w:hint="default" w:ascii="Times New Roman" w:hAnsi="Times New Roman" w:cs="Times New Roman"/>
                      <w:b/>
                      <w:bCs/>
                      <w:color w:val="auto"/>
                      <w:kern w:val="1"/>
                      <w:sz w:val="21"/>
                      <w:szCs w:val="22"/>
                    </w:rPr>
                  </w:pPr>
                  <w:bookmarkStart w:id="56" w:name="_Toc29460"/>
                  <w:bookmarkStart w:id="57" w:name="_Toc21923"/>
                  <w:bookmarkStart w:id="58" w:name="_Toc942"/>
                  <w:r>
                    <w:rPr>
                      <w:rFonts w:hint="default" w:ascii="Times New Roman" w:hAnsi="Times New Roman" w:cs="Times New Roman"/>
                      <w:b/>
                      <w:bCs/>
                      <w:color w:val="auto"/>
                      <w:kern w:val="1"/>
                      <w:sz w:val="21"/>
                      <w:szCs w:val="22"/>
                    </w:rPr>
                    <w:t>危险物质及工艺系统危险性（P）</w:t>
                  </w:r>
                  <w:bookmarkEnd w:id="56"/>
                  <w:bookmarkEnd w:id="57"/>
                  <w:bookmarkEnd w:id="58"/>
                </w:p>
              </w:tc>
            </w:tr>
            <w:tr w14:paraId="26CD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67" w:type="dxa"/>
                  <w:vMerge w:val="continue"/>
                  <w:noWrap w:val="0"/>
                  <w:vAlign w:val="center"/>
                </w:tcPr>
                <w:p w14:paraId="4EA6FBF2">
                  <w:pPr>
                    <w:jc w:val="center"/>
                    <w:rPr>
                      <w:rFonts w:hint="default" w:ascii="Times New Roman" w:hAnsi="Times New Roman" w:cs="Times New Roman"/>
                      <w:b/>
                      <w:bCs/>
                      <w:color w:val="auto"/>
                      <w:kern w:val="1"/>
                      <w:sz w:val="21"/>
                      <w:szCs w:val="22"/>
                    </w:rPr>
                  </w:pPr>
                </w:p>
              </w:tc>
              <w:tc>
                <w:tcPr>
                  <w:tcW w:w="1510" w:type="dxa"/>
                  <w:noWrap w:val="0"/>
                  <w:vAlign w:val="center"/>
                </w:tcPr>
                <w:p w14:paraId="603E6C03">
                  <w:pPr>
                    <w:jc w:val="center"/>
                    <w:outlineLvl w:val="0"/>
                    <w:rPr>
                      <w:rFonts w:hint="default" w:ascii="Times New Roman" w:hAnsi="Times New Roman" w:cs="Times New Roman"/>
                      <w:b/>
                      <w:bCs/>
                      <w:color w:val="auto"/>
                      <w:kern w:val="1"/>
                      <w:sz w:val="21"/>
                      <w:szCs w:val="22"/>
                    </w:rPr>
                  </w:pPr>
                  <w:bookmarkStart w:id="59" w:name="_Toc17030"/>
                  <w:bookmarkStart w:id="60" w:name="_Toc3217"/>
                  <w:bookmarkStart w:id="61" w:name="_Toc10528"/>
                  <w:r>
                    <w:rPr>
                      <w:rFonts w:hint="default" w:ascii="Times New Roman" w:hAnsi="Times New Roman" w:cs="Times New Roman"/>
                      <w:b/>
                      <w:bCs/>
                      <w:color w:val="auto"/>
                      <w:kern w:val="1"/>
                      <w:sz w:val="21"/>
                      <w:szCs w:val="22"/>
                    </w:rPr>
                    <w:t>极高危害（P1）</w:t>
                  </w:r>
                  <w:bookmarkEnd w:id="59"/>
                  <w:bookmarkEnd w:id="60"/>
                  <w:bookmarkEnd w:id="61"/>
                </w:p>
              </w:tc>
              <w:tc>
                <w:tcPr>
                  <w:tcW w:w="1511" w:type="dxa"/>
                  <w:noWrap w:val="0"/>
                  <w:vAlign w:val="center"/>
                </w:tcPr>
                <w:p w14:paraId="5C932EDA">
                  <w:pPr>
                    <w:jc w:val="center"/>
                    <w:outlineLvl w:val="0"/>
                    <w:rPr>
                      <w:rFonts w:hint="default" w:ascii="Times New Roman" w:hAnsi="Times New Roman" w:cs="Times New Roman"/>
                      <w:b/>
                      <w:bCs/>
                      <w:color w:val="auto"/>
                      <w:kern w:val="1"/>
                      <w:sz w:val="21"/>
                      <w:szCs w:val="22"/>
                    </w:rPr>
                  </w:pPr>
                  <w:bookmarkStart w:id="62" w:name="_Toc2617"/>
                  <w:bookmarkStart w:id="63" w:name="_Toc29789"/>
                  <w:bookmarkStart w:id="64" w:name="_Toc13127"/>
                  <w:r>
                    <w:rPr>
                      <w:rFonts w:hint="default" w:ascii="Times New Roman" w:hAnsi="Times New Roman" w:cs="Times New Roman"/>
                      <w:b/>
                      <w:bCs/>
                      <w:color w:val="auto"/>
                      <w:kern w:val="1"/>
                      <w:sz w:val="21"/>
                      <w:szCs w:val="22"/>
                    </w:rPr>
                    <w:t>极高危害（P2）</w:t>
                  </w:r>
                  <w:bookmarkEnd w:id="62"/>
                  <w:bookmarkEnd w:id="63"/>
                  <w:bookmarkEnd w:id="64"/>
                </w:p>
              </w:tc>
              <w:tc>
                <w:tcPr>
                  <w:tcW w:w="1510" w:type="dxa"/>
                  <w:noWrap w:val="0"/>
                  <w:vAlign w:val="center"/>
                </w:tcPr>
                <w:p w14:paraId="1C4AD5AC">
                  <w:pPr>
                    <w:jc w:val="center"/>
                    <w:outlineLvl w:val="0"/>
                    <w:rPr>
                      <w:rFonts w:hint="default" w:ascii="Times New Roman" w:hAnsi="Times New Roman" w:cs="Times New Roman"/>
                      <w:b/>
                      <w:bCs/>
                      <w:color w:val="auto"/>
                      <w:kern w:val="1"/>
                      <w:sz w:val="21"/>
                      <w:szCs w:val="22"/>
                    </w:rPr>
                  </w:pPr>
                  <w:bookmarkStart w:id="65" w:name="_Toc15700"/>
                  <w:bookmarkStart w:id="66" w:name="_Toc26565"/>
                  <w:bookmarkStart w:id="67" w:name="_Toc4240"/>
                  <w:r>
                    <w:rPr>
                      <w:rFonts w:hint="default" w:ascii="Times New Roman" w:hAnsi="Times New Roman" w:cs="Times New Roman"/>
                      <w:b/>
                      <w:bCs/>
                      <w:color w:val="auto"/>
                      <w:kern w:val="1"/>
                      <w:sz w:val="21"/>
                      <w:szCs w:val="22"/>
                    </w:rPr>
                    <w:t>极高危害（P3）</w:t>
                  </w:r>
                  <w:bookmarkEnd w:id="65"/>
                  <w:bookmarkEnd w:id="66"/>
                  <w:bookmarkEnd w:id="67"/>
                </w:p>
              </w:tc>
              <w:tc>
                <w:tcPr>
                  <w:tcW w:w="1564" w:type="dxa"/>
                  <w:noWrap w:val="0"/>
                  <w:vAlign w:val="center"/>
                </w:tcPr>
                <w:p w14:paraId="5ACBBB9A">
                  <w:pPr>
                    <w:jc w:val="center"/>
                    <w:outlineLvl w:val="0"/>
                    <w:rPr>
                      <w:rFonts w:hint="default" w:ascii="Times New Roman" w:hAnsi="Times New Roman" w:cs="Times New Roman"/>
                      <w:b/>
                      <w:bCs/>
                      <w:color w:val="auto"/>
                      <w:kern w:val="1"/>
                      <w:sz w:val="21"/>
                      <w:szCs w:val="22"/>
                    </w:rPr>
                  </w:pPr>
                  <w:bookmarkStart w:id="68" w:name="_Toc26320"/>
                  <w:bookmarkStart w:id="69" w:name="_Toc30326"/>
                  <w:bookmarkStart w:id="70" w:name="_Toc17041"/>
                  <w:r>
                    <w:rPr>
                      <w:rFonts w:hint="default" w:ascii="Times New Roman" w:hAnsi="Times New Roman" w:cs="Times New Roman"/>
                      <w:b/>
                      <w:bCs/>
                      <w:color w:val="auto"/>
                      <w:kern w:val="1"/>
                      <w:sz w:val="21"/>
                      <w:szCs w:val="22"/>
                    </w:rPr>
                    <w:t>极高危害（P4）</w:t>
                  </w:r>
                  <w:bookmarkEnd w:id="68"/>
                  <w:bookmarkEnd w:id="69"/>
                  <w:bookmarkEnd w:id="70"/>
                </w:p>
              </w:tc>
            </w:tr>
            <w:tr w14:paraId="1BF7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867" w:type="dxa"/>
                  <w:noWrap w:val="0"/>
                  <w:vAlign w:val="center"/>
                </w:tcPr>
                <w:p w14:paraId="1D080D9D">
                  <w:pPr>
                    <w:jc w:val="center"/>
                    <w:outlineLvl w:val="0"/>
                    <w:rPr>
                      <w:rFonts w:hint="default" w:ascii="Times New Roman" w:hAnsi="Times New Roman" w:cs="Times New Roman"/>
                      <w:color w:val="auto"/>
                      <w:kern w:val="1"/>
                      <w:sz w:val="21"/>
                      <w:szCs w:val="22"/>
                    </w:rPr>
                  </w:pPr>
                  <w:bookmarkStart w:id="71" w:name="_Toc13747"/>
                  <w:bookmarkStart w:id="72" w:name="_Toc17561"/>
                  <w:bookmarkStart w:id="73" w:name="_Toc11999"/>
                  <w:r>
                    <w:rPr>
                      <w:rFonts w:hint="default" w:ascii="Times New Roman" w:hAnsi="Times New Roman" w:cs="Times New Roman"/>
                      <w:color w:val="auto"/>
                      <w:kern w:val="1"/>
                      <w:sz w:val="21"/>
                      <w:szCs w:val="22"/>
                    </w:rPr>
                    <w:t>环境敏感目程度（E1）</w:t>
                  </w:r>
                  <w:bookmarkEnd w:id="71"/>
                  <w:bookmarkEnd w:id="72"/>
                  <w:bookmarkEnd w:id="73"/>
                </w:p>
              </w:tc>
              <w:tc>
                <w:tcPr>
                  <w:tcW w:w="1510" w:type="dxa"/>
                  <w:noWrap w:val="0"/>
                  <w:vAlign w:val="center"/>
                </w:tcPr>
                <w:p w14:paraId="71BF33AA">
                  <w:pPr>
                    <w:jc w:val="center"/>
                    <w:outlineLvl w:val="0"/>
                    <w:rPr>
                      <w:rFonts w:hint="default" w:ascii="Times New Roman" w:hAnsi="Times New Roman" w:cs="Times New Roman"/>
                      <w:color w:val="auto"/>
                      <w:kern w:val="1"/>
                      <w:sz w:val="21"/>
                      <w:szCs w:val="22"/>
                    </w:rPr>
                  </w:pPr>
                  <w:bookmarkStart w:id="74" w:name="_Toc853"/>
                  <w:bookmarkStart w:id="75" w:name="_Toc3260"/>
                  <w:bookmarkStart w:id="76" w:name="_Toc27604"/>
                  <w:r>
                    <w:rPr>
                      <w:rFonts w:hint="default" w:ascii="Times New Roman" w:hAnsi="Times New Roman" w:cs="Times New Roman"/>
                      <w:color w:val="auto"/>
                      <w:kern w:val="1"/>
                      <w:sz w:val="21"/>
                      <w:szCs w:val="22"/>
                    </w:rPr>
                    <w:t>Ⅳ</w:t>
                  </w:r>
                  <w:r>
                    <w:rPr>
                      <w:rFonts w:hint="default" w:ascii="Times New Roman" w:hAnsi="Times New Roman" w:cs="Times New Roman"/>
                      <w:color w:val="auto"/>
                      <w:kern w:val="1"/>
                      <w:sz w:val="21"/>
                      <w:szCs w:val="22"/>
                      <w:vertAlign w:val="superscript"/>
                    </w:rPr>
                    <w:t>+</w:t>
                  </w:r>
                  <w:bookmarkEnd w:id="74"/>
                  <w:bookmarkEnd w:id="75"/>
                  <w:bookmarkEnd w:id="76"/>
                </w:p>
              </w:tc>
              <w:tc>
                <w:tcPr>
                  <w:tcW w:w="1511" w:type="dxa"/>
                  <w:noWrap w:val="0"/>
                  <w:vAlign w:val="center"/>
                </w:tcPr>
                <w:p w14:paraId="685F7691">
                  <w:pPr>
                    <w:jc w:val="center"/>
                    <w:outlineLvl w:val="0"/>
                    <w:rPr>
                      <w:rFonts w:hint="default" w:ascii="Times New Roman" w:hAnsi="Times New Roman" w:cs="Times New Roman"/>
                      <w:color w:val="auto"/>
                      <w:kern w:val="1"/>
                      <w:sz w:val="21"/>
                      <w:szCs w:val="22"/>
                    </w:rPr>
                  </w:pPr>
                  <w:bookmarkStart w:id="77" w:name="_Toc20861"/>
                  <w:bookmarkStart w:id="78" w:name="_Toc31006"/>
                  <w:bookmarkStart w:id="79" w:name="_Toc23044"/>
                  <w:r>
                    <w:rPr>
                      <w:rFonts w:hint="default" w:ascii="Times New Roman" w:hAnsi="Times New Roman" w:cs="Times New Roman"/>
                      <w:color w:val="auto"/>
                      <w:kern w:val="1"/>
                      <w:sz w:val="21"/>
                      <w:szCs w:val="22"/>
                    </w:rPr>
                    <w:t>Ⅳ</w:t>
                  </w:r>
                  <w:bookmarkEnd w:id="77"/>
                  <w:bookmarkEnd w:id="78"/>
                  <w:bookmarkEnd w:id="79"/>
                </w:p>
              </w:tc>
              <w:tc>
                <w:tcPr>
                  <w:tcW w:w="1510" w:type="dxa"/>
                  <w:noWrap w:val="0"/>
                  <w:vAlign w:val="center"/>
                </w:tcPr>
                <w:p w14:paraId="46A7FD18">
                  <w:pPr>
                    <w:jc w:val="center"/>
                    <w:outlineLvl w:val="0"/>
                    <w:rPr>
                      <w:rFonts w:hint="default" w:ascii="Times New Roman" w:hAnsi="Times New Roman" w:cs="Times New Roman"/>
                      <w:color w:val="auto"/>
                      <w:kern w:val="1"/>
                      <w:sz w:val="21"/>
                      <w:szCs w:val="22"/>
                    </w:rPr>
                  </w:pPr>
                  <w:bookmarkStart w:id="80" w:name="_Toc32090"/>
                  <w:bookmarkStart w:id="81" w:name="_Toc4167"/>
                  <w:bookmarkStart w:id="82" w:name="_Toc13033"/>
                  <w:r>
                    <w:rPr>
                      <w:rFonts w:hint="default" w:ascii="Times New Roman" w:hAnsi="Times New Roman" w:cs="Times New Roman"/>
                      <w:color w:val="auto"/>
                      <w:kern w:val="1"/>
                      <w:sz w:val="21"/>
                      <w:szCs w:val="22"/>
                    </w:rPr>
                    <w:t>Ⅲ</w:t>
                  </w:r>
                  <w:bookmarkEnd w:id="80"/>
                  <w:bookmarkEnd w:id="81"/>
                  <w:bookmarkEnd w:id="82"/>
                </w:p>
              </w:tc>
              <w:tc>
                <w:tcPr>
                  <w:tcW w:w="1564" w:type="dxa"/>
                  <w:noWrap w:val="0"/>
                  <w:vAlign w:val="center"/>
                </w:tcPr>
                <w:p w14:paraId="06A3867F">
                  <w:pPr>
                    <w:jc w:val="center"/>
                    <w:outlineLvl w:val="0"/>
                    <w:rPr>
                      <w:rFonts w:hint="default" w:ascii="Times New Roman" w:hAnsi="Times New Roman" w:cs="Times New Roman"/>
                      <w:color w:val="auto"/>
                      <w:kern w:val="1"/>
                      <w:sz w:val="21"/>
                      <w:szCs w:val="22"/>
                    </w:rPr>
                  </w:pPr>
                  <w:bookmarkStart w:id="83" w:name="_Toc30157"/>
                  <w:bookmarkStart w:id="84" w:name="_Toc3064"/>
                  <w:bookmarkStart w:id="85" w:name="_Toc32331"/>
                  <w:r>
                    <w:rPr>
                      <w:rFonts w:hint="default" w:ascii="Times New Roman" w:hAnsi="Times New Roman" w:cs="Times New Roman"/>
                      <w:color w:val="auto"/>
                      <w:kern w:val="1"/>
                      <w:sz w:val="21"/>
                      <w:szCs w:val="22"/>
                    </w:rPr>
                    <w:t>Ⅲ</w:t>
                  </w:r>
                  <w:bookmarkEnd w:id="83"/>
                  <w:bookmarkEnd w:id="84"/>
                  <w:bookmarkEnd w:id="85"/>
                </w:p>
              </w:tc>
            </w:tr>
            <w:tr w14:paraId="0657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867" w:type="dxa"/>
                  <w:noWrap w:val="0"/>
                  <w:vAlign w:val="center"/>
                </w:tcPr>
                <w:p w14:paraId="79F45BAD">
                  <w:pPr>
                    <w:jc w:val="center"/>
                    <w:outlineLvl w:val="0"/>
                    <w:rPr>
                      <w:rFonts w:hint="default" w:ascii="Times New Roman" w:hAnsi="Times New Roman" w:cs="Times New Roman"/>
                      <w:color w:val="auto"/>
                      <w:kern w:val="1"/>
                      <w:sz w:val="21"/>
                      <w:szCs w:val="22"/>
                    </w:rPr>
                  </w:pPr>
                  <w:bookmarkStart w:id="86" w:name="_Toc6309"/>
                  <w:bookmarkStart w:id="87" w:name="_Toc17508"/>
                  <w:bookmarkStart w:id="88" w:name="_Toc27117"/>
                  <w:r>
                    <w:rPr>
                      <w:rFonts w:hint="default" w:ascii="Times New Roman" w:hAnsi="Times New Roman" w:cs="Times New Roman"/>
                      <w:color w:val="auto"/>
                      <w:kern w:val="1"/>
                      <w:sz w:val="21"/>
                      <w:szCs w:val="22"/>
                    </w:rPr>
                    <w:t>环境敏感目程度（E2）</w:t>
                  </w:r>
                  <w:bookmarkEnd w:id="86"/>
                  <w:bookmarkEnd w:id="87"/>
                  <w:bookmarkEnd w:id="88"/>
                </w:p>
              </w:tc>
              <w:tc>
                <w:tcPr>
                  <w:tcW w:w="1510" w:type="dxa"/>
                  <w:noWrap w:val="0"/>
                  <w:vAlign w:val="center"/>
                </w:tcPr>
                <w:p w14:paraId="5673D496">
                  <w:pPr>
                    <w:jc w:val="center"/>
                    <w:outlineLvl w:val="0"/>
                    <w:rPr>
                      <w:rFonts w:hint="default" w:ascii="Times New Roman" w:hAnsi="Times New Roman" w:cs="Times New Roman"/>
                      <w:color w:val="auto"/>
                      <w:kern w:val="1"/>
                      <w:sz w:val="21"/>
                      <w:szCs w:val="22"/>
                    </w:rPr>
                  </w:pPr>
                  <w:bookmarkStart w:id="89" w:name="_Toc6152"/>
                  <w:bookmarkStart w:id="90" w:name="_Toc12624"/>
                  <w:bookmarkStart w:id="91" w:name="_Toc6805"/>
                  <w:r>
                    <w:rPr>
                      <w:rFonts w:hint="default" w:ascii="Times New Roman" w:hAnsi="Times New Roman" w:cs="Times New Roman"/>
                      <w:color w:val="auto"/>
                      <w:kern w:val="1"/>
                      <w:sz w:val="21"/>
                      <w:szCs w:val="22"/>
                    </w:rPr>
                    <w:t>Ⅳ</w:t>
                  </w:r>
                  <w:bookmarkEnd w:id="89"/>
                  <w:bookmarkEnd w:id="90"/>
                  <w:bookmarkEnd w:id="91"/>
                </w:p>
              </w:tc>
              <w:tc>
                <w:tcPr>
                  <w:tcW w:w="1511" w:type="dxa"/>
                  <w:noWrap w:val="0"/>
                  <w:vAlign w:val="center"/>
                </w:tcPr>
                <w:p w14:paraId="0F9717D4">
                  <w:pPr>
                    <w:jc w:val="center"/>
                    <w:outlineLvl w:val="0"/>
                    <w:rPr>
                      <w:rFonts w:hint="default" w:ascii="Times New Roman" w:hAnsi="Times New Roman" w:cs="Times New Roman"/>
                      <w:color w:val="auto"/>
                      <w:kern w:val="1"/>
                      <w:sz w:val="21"/>
                      <w:szCs w:val="22"/>
                    </w:rPr>
                  </w:pPr>
                  <w:bookmarkStart w:id="92" w:name="_Toc8896"/>
                  <w:bookmarkStart w:id="93" w:name="_Toc21461"/>
                  <w:bookmarkStart w:id="94" w:name="_Toc31575"/>
                  <w:r>
                    <w:rPr>
                      <w:rFonts w:hint="default" w:ascii="Times New Roman" w:hAnsi="Times New Roman" w:cs="Times New Roman"/>
                      <w:color w:val="auto"/>
                      <w:kern w:val="1"/>
                      <w:sz w:val="21"/>
                      <w:szCs w:val="22"/>
                    </w:rPr>
                    <w:t>Ⅲ</w:t>
                  </w:r>
                  <w:bookmarkEnd w:id="92"/>
                  <w:bookmarkEnd w:id="93"/>
                  <w:bookmarkEnd w:id="94"/>
                </w:p>
              </w:tc>
              <w:tc>
                <w:tcPr>
                  <w:tcW w:w="1510" w:type="dxa"/>
                  <w:noWrap w:val="0"/>
                  <w:vAlign w:val="center"/>
                </w:tcPr>
                <w:p w14:paraId="19408EED">
                  <w:pPr>
                    <w:jc w:val="center"/>
                    <w:outlineLvl w:val="0"/>
                    <w:rPr>
                      <w:rFonts w:hint="default" w:ascii="Times New Roman" w:hAnsi="Times New Roman" w:cs="Times New Roman"/>
                      <w:color w:val="auto"/>
                      <w:kern w:val="1"/>
                      <w:sz w:val="21"/>
                      <w:szCs w:val="22"/>
                    </w:rPr>
                  </w:pPr>
                  <w:bookmarkStart w:id="95" w:name="_Toc12173"/>
                  <w:bookmarkStart w:id="96" w:name="_Toc19297"/>
                  <w:bookmarkStart w:id="97" w:name="_Toc12516"/>
                  <w:r>
                    <w:rPr>
                      <w:rFonts w:hint="default" w:ascii="Times New Roman" w:hAnsi="Times New Roman" w:cs="Times New Roman"/>
                      <w:color w:val="auto"/>
                      <w:kern w:val="1"/>
                      <w:sz w:val="21"/>
                      <w:szCs w:val="22"/>
                    </w:rPr>
                    <w:t>Ⅲ</w:t>
                  </w:r>
                  <w:bookmarkEnd w:id="95"/>
                  <w:bookmarkEnd w:id="96"/>
                  <w:bookmarkEnd w:id="97"/>
                </w:p>
              </w:tc>
              <w:tc>
                <w:tcPr>
                  <w:tcW w:w="1564" w:type="dxa"/>
                  <w:noWrap w:val="0"/>
                  <w:vAlign w:val="center"/>
                </w:tcPr>
                <w:p w14:paraId="7FE2A63C">
                  <w:pPr>
                    <w:jc w:val="center"/>
                    <w:outlineLvl w:val="0"/>
                    <w:rPr>
                      <w:rFonts w:hint="default" w:ascii="Times New Roman" w:hAnsi="Times New Roman" w:cs="Times New Roman"/>
                      <w:color w:val="auto"/>
                      <w:kern w:val="1"/>
                      <w:sz w:val="21"/>
                      <w:szCs w:val="22"/>
                    </w:rPr>
                  </w:pPr>
                  <w:bookmarkStart w:id="98" w:name="_Toc5415"/>
                  <w:bookmarkStart w:id="99" w:name="_Toc3282"/>
                  <w:bookmarkStart w:id="100" w:name="_Toc14533"/>
                  <w:r>
                    <w:rPr>
                      <w:rFonts w:hint="default" w:ascii="Times New Roman" w:hAnsi="Times New Roman" w:cs="Times New Roman"/>
                      <w:color w:val="auto"/>
                      <w:kern w:val="1"/>
                      <w:sz w:val="21"/>
                      <w:szCs w:val="22"/>
                    </w:rPr>
                    <w:t>Ⅱ</w:t>
                  </w:r>
                  <w:bookmarkEnd w:id="98"/>
                  <w:bookmarkEnd w:id="99"/>
                  <w:bookmarkEnd w:id="100"/>
                </w:p>
              </w:tc>
            </w:tr>
            <w:tr w14:paraId="0B72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867" w:type="dxa"/>
                  <w:noWrap w:val="0"/>
                  <w:vAlign w:val="center"/>
                </w:tcPr>
                <w:p w14:paraId="1AA30880">
                  <w:pPr>
                    <w:jc w:val="center"/>
                    <w:outlineLvl w:val="0"/>
                    <w:rPr>
                      <w:rFonts w:hint="default" w:ascii="Times New Roman" w:hAnsi="Times New Roman" w:cs="Times New Roman"/>
                      <w:color w:val="auto"/>
                      <w:kern w:val="1"/>
                      <w:sz w:val="21"/>
                      <w:szCs w:val="22"/>
                    </w:rPr>
                  </w:pPr>
                  <w:bookmarkStart w:id="101" w:name="_Toc5492"/>
                  <w:bookmarkStart w:id="102" w:name="_Toc15668"/>
                  <w:bookmarkStart w:id="103" w:name="_Toc3205"/>
                  <w:r>
                    <w:rPr>
                      <w:rFonts w:hint="default" w:ascii="Times New Roman" w:hAnsi="Times New Roman" w:cs="Times New Roman"/>
                      <w:color w:val="auto"/>
                      <w:kern w:val="1"/>
                      <w:sz w:val="21"/>
                      <w:szCs w:val="22"/>
                    </w:rPr>
                    <w:t>环境敏感目程度（E3）</w:t>
                  </w:r>
                  <w:bookmarkEnd w:id="101"/>
                  <w:bookmarkEnd w:id="102"/>
                  <w:bookmarkEnd w:id="103"/>
                </w:p>
              </w:tc>
              <w:tc>
                <w:tcPr>
                  <w:tcW w:w="1510" w:type="dxa"/>
                  <w:noWrap w:val="0"/>
                  <w:vAlign w:val="center"/>
                </w:tcPr>
                <w:p w14:paraId="747A53A2">
                  <w:pPr>
                    <w:jc w:val="center"/>
                    <w:outlineLvl w:val="0"/>
                    <w:rPr>
                      <w:rFonts w:hint="default" w:ascii="Times New Roman" w:hAnsi="Times New Roman" w:cs="Times New Roman"/>
                      <w:color w:val="auto"/>
                      <w:kern w:val="1"/>
                      <w:sz w:val="21"/>
                      <w:szCs w:val="22"/>
                    </w:rPr>
                  </w:pPr>
                  <w:bookmarkStart w:id="104" w:name="_Toc22490"/>
                  <w:bookmarkStart w:id="105" w:name="_Toc23200"/>
                  <w:bookmarkStart w:id="106" w:name="_Toc13979"/>
                  <w:r>
                    <w:rPr>
                      <w:rFonts w:hint="default" w:ascii="Times New Roman" w:hAnsi="Times New Roman" w:cs="Times New Roman"/>
                      <w:color w:val="auto"/>
                      <w:kern w:val="1"/>
                      <w:sz w:val="21"/>
                      <w:szCs w:val="22"/>
                    </w:rPr>
                    <w:t>Ⅲ</w:t>
                  </w:r>
                  <w:bookmarkEnd w:id="104"/>
                  <w:bookmarkEnd w:id="105"/>
                  <w:bookmarkEnd w:id="106"/>
                </w:p>
              </w:tc>
              <w:tc>
                <w:tcPr>
                  <w:tcW w:w="1511" w:type="dxa"/>
                  <w:noWrap w:val="0"/>
                  <w:vAlign w:val="center"/>
                </w:tcPr>
                <w:p w14:paraId="1B3B4A94">
                  <w:pPr>
                    <w:jc w:val="center"/>
                    <w:outlineLvl w:val="0"/>
                    <w:rPr>
                      <w:rFonts w:hint="default" w:ascii="Times New Roman" w:hAnsi="Times New Roman" w:cs="Times New Roman"/>
                      <w:color w:val="auto"/>
                      <w:kern w:val="1"/>
                      <w:sz w:val="21"/>
                      <w:szCs w:val="22"/>
                    </w:rPr>
                  </w:pPr>
                  <w:bookmarkStart w:id="107" w:name="_Toc29239"/>
                  <w:bookmarkStart w:id="108" w:name="_Toc17766"/>
                  <w:bookmarkStart w:id="109" w:name="_Toc11705"/>
                  <w:r>
                    <w:rPr>
                      <w:rFonts w:hint="default" w:ascii="Times New Roman" w:hAnsi="Times New Roman" w:cs="Times New Roman"/>
                      <w:color w:val="auto"/>
                      <w:kern w:val="1"/>
                      <w:sz w:val="21"/>
                      <w:szCs w:val="22"/>
                    </w:rPr>
                    <w:t>Ⅲ</w:t>
                  </w:r>
                  <w:bookmarkEnd w:id="107"/>
                  <w:bookmarkEnd w:id="108"/>
                  <w:bookmarkEnd w:id="109"/>
                </w:p>
              </w:tc>
              <w:tc>
                <w:tcPr>
                  <w:tcW w:w="1510" w:type="dxa"/>
                  <w:noWrap w:val="0"/>
                  <w:vAlign w:val="center"/>
                </w:tcPr>
                <w:p w14:paraId="56668559">
                  <w:pPr>
                    <w:jc w:val="center"/>
                    <w:outlineLvl w:val="0"/>
                    <w:rPr>
                      <w:rFonts w:hint="default" w:ascii="Times New Roman" w:hAnsi="Times New Roman" w:cs="Times New Roman"/>
                      <w:color w:val="auto"/>
                      <w:kern w:val="1"/>
                      <w:sz w:val="21"/>
                      <w:szCs w:val="22"/>
                    </w:rPr>
                  </w:pPr>
                  <w:bookmarkStart w:id="110" w:name="_Toc13941"/>
                  <w:bookmarkStart w:id="111" w:name="_Toc23332"/>
                  <w:bookmarkStart w:id="112" w:name="_Toc12899"/>
                  <w:r>
                    <w:rPr>
                      <w:rFonts w:hint="default" w:ascii="Times New Roman" w:hAnsi="Times New Roman" w:cs="Times New Roman"/>
                      <w:color w:val="auto"/>
                      <w:kern w:val="1"/>
                      <w:sz w:val="21"/>
                      <w:szCs w:val="22"/>
                    </w:rPr>
                    <w:t>Ⅱ</w:t>
                  </w:r>
                  <w:bookmarkEnd w:id="110"/>
                  <w:bookmarkEnd w:id="111"/>
                  <w:bookmarkEnd w:id="112"/>
                </w:p>
              </w:tc>
              <w:tc>
                <w:tcPr>
                  <w:tcW w:w="1564" w:type="dxa"/>
                  <w:noWrap w:val="0"/>
                  <w:vAlign w:val="center"/>
                </w:tcPr>
                <w:p w14:paraId="5B35FEE7">
                  <w:pPr>
                    <w:jc w:val="center"/>
                    <w:outlineLvl w:val="0"/>
                    <w:rPr>
                      <w:rFonts w:hint="default" w:ascii="Times New Roman" w:hAnsi="Times New Roman" w:cs="Times New Roman"/>
                      <w:color w:val="auto"/>
                      <w:kern w:val="1"/>
                      <w:sz w:val="21"/>
                      <w:szCs w:val="22"/>
                    </w:rPr>
                  </w:pPr>
                  <w:bookmarkStart w:id="113" w:name="_Toc10091"/>
                  <w:bookmarkStart w:id="114" w:name="_Toc8775"/>
                  <w:bookmarkStart w:id="115" w:name="_Toc16431"/>
                  <w:r>
                    <w:rPr>
                      <w:rFonts w:hint="default" w:ascii="Times New Roman" w:hAnsi="Times New Roman" w:cs="Times New Roman"/>
                      <w:color w:val="auto"/>
                      <w:kern w:val="1"/>
                      <w:sz w:val="21"/>
                      <w:szCs w:val="22"/>
                    </w:rPr>
                    <w:t>Ⅰ</w:t>
                  </w:r>
                  <w:bookmarkEnd w:id="113"/>
                  <w:bookmarkEnd w:id="114"/>
                  <w:bookmarkEnd w:id="115"/>
                </w:p>
              </w:tc>
            </w:tr>
            <w:tr w14:paraId="5784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962" w:type="dxa"/>
                  <w:gridSpan w:val="5"/>
                  <w:noWrap w:val="0"/>
                  <w:vAlign w:val="center"/>
                </w:tcPr>
                <w:p w14:paraId="1D2FDFC1">
                  <w:pPr>
                    <w:jc w:val="center"/>
                    <w:outlineLvl w:val="0"/>
                    <w:rPr>
                      <w:rFonts w:hint="default" w:ascii="Times New Roman" w:hAnsi="Times New Roman" w:cs="Times New Roman"/>
                      <w:color w:val="auto"/>
                      <w:kern w:val="1"/>
                      <w:sz w:val="21"/>
                      <w:szCs w:val="22"/>
                    </w:rPr>
                  </w:pPr>
                  <w:bookmarkStart w:id="116" w:name="_Toc17013"/>
                  <w:bookmarkStart w:id="117" w:name="_Toc29364"/>
                  <w:bookmarkStart w:id="118" w:name="_Toc2380"/>
                  <w:r>
                    <w:rPr>
                      <w:rFonts w:hint="default" w:ascii="Times New Roman" w:hAnsi="Times New Roman" w:cs="Times New Roman"/>
                      <w:color w:val="auto"/>
                      <w:kern w:val="1"/>
                      <w:sz w:val="21"/>
                      <w:szCs w:val="22"/>
                    </w:rPr>
                    <w:t>注：Ⅳ</w:t>
                  </w:r>
                  <w:r>
                    <w:rPr>
                      <w:rFonts w:hint="default" w:ascii="Times New Roman" w:hAnsi="Times New Roman" w:cs="Times New Roman"/>
                      <w:color w:val="auto"/>
                      <w:kern w:val="1"/>
                      <w:sz w:val="21"/>
                      <w:szCs w:val="22"/>
                      <w:vertAlign w:val="superscript"/>
                    </w:rPr>
                    <w:t>+</w:t>
                  </w:r>
                  <w:r>
                    <w:rPr>
                      <w:rFonts w:hint="default" w:ascii="Times New Roman" w:hAnsi="Times New Roman" w:cs="Times New Roman"/>
                      <w:color w:val="auto"/>
                      <w:kern w:val="1"/>
                      <w:sz w:val="21"/>
                      <w:szCs w:val="22"/>
                    </w:rPr>
                    <w:t>为极高环境风险</w:t>
                  </w:r>
                  <w:bookmarkEnd w:id="116"/>
                  <w:bookmarkEnd w:id="117"/>
                  <w:bookmarkEnd w:id="118"/>
                </w:p>
              </w:tc>
            </w:tr>
          </w:tbl>
          <w:p w14:paraId="62A46770">
            <w:pPr>
              <w:spacing w:line="360" w:lineRule="auto"/>
              <w:ind w:firstLine="480" w:firstLineChars="200"/>
              <w:outlineLvl w:val="0"/>
              <w:rPr>
                <w:rFonts w:hint="default" w:ascii="Times New Roman" w:hAnsi="Times New Roman" w:cs="Times New Roman"/>
                <w:color w:val="auto"/>
                <w:kern w:val="1"/>
                <w:sz w:val="24"/>
                <w:szCs w:val="24"/>
              </w:rPr>
            </w:pPr>
            <w:bookmarkStart w:id="119" w:name="_Toc14151"/>
            <w:bookmarkStart w:id="120" w:name="_Toc31444"/>
            <w:bookmarkStart w:id="121" w:name="_Toc6240"/>
            <w:r>
              <w:rPr>
                <w:rFonts w:hint="default" w:ascii="Times New Roman" w:hAnsi="Times New Roman" w:cs="Times New Roman"/>
                <w:color w:val="auto"/>
                <w:kern w:val="1"/>
                <w:sz w:val="24"/>
                <w:szCs w:val="24"/>
              </w:rPr>
              <w:t>②P的分级确定</w:t>
            </w:r>
            <w:bookmarkEnd w:id="119"/>
            <w:bookmarkEnd w:id="120"/>
            <w:bookmarkEnd w:id="121"/>
          </w:p>
          <w:p w14:paraId="757863A0">
            <w:pPr>
              <w:spacing w:line="360" w:lineRule="auto"/>
              <w:ind w:firstLine="480" w:firstLineChars="200"/>
              <w:outlineLvl w:val="0"/>
              <w:rPr>
                <w:rFonts w:hint="default" w:ascii="Times New Roman" w:hAnsi="Times New Roman" w:cs="Times New Roman"/>
                <w:color w:val="auto"/>
                <w:kern w:val="1"/>
                <w:sz w:val="24"/>
                <w:szCs w:val="24"/>
              </w:rPr>
            </w:pPr>
            <w:bookmarkStart w:id="122" w:name="_Toc13173"/>
            <w:bookmarkStart w:id="123" w:name="_Toc29296"/>
            <w:bookmarkStart w:id="124" w:name="_Toc3479"/>
            <w:r>
              <w:rPr>
                <w:rFonts w:hint="default" w:ascii="Times New Roman" w:hAnsi="Times New Roman" w:cs="Times New Roman"/>
                <w:color w:val="auto"/>
                <w:kern w:val="1"/>
                <w:sz w:val="24"/>
                <w:szCs w:val="24"/>
              </w:rPr>
              <w:t>计算所涉及的每种危险物质在厂界内的最大存在总量与其在《建设项目环境风险评价技术导则》（HJ169-2018）附录B中对应临界量的比值Q。</w:t>
            </w:r>
            <w:bookmarkEnd w:id="122"/>
            <w:bookmarkEnd w:id="123"/>
            <w:bookmarkEnd w:id="124"/>
          </w:p>
          <w:p w14:paraId="6395D496">
            <w:pPr>
              <w:spacing w:line="360" w:lineRule="auto"/>
              <w:ind w:firstLine="480" w:firstLineChars="200"/>
              <w:outlineLvl w:val="0"/>
              <w:rPr>
                <w:rFonts w:hint="default" w:ascii="Times New Roman" w:hAnsi="Times New Roman" w:cs="Times New Roman"/>
                <w:color w:val="auto"/>
                <w:kern w:val="1"/>
                <w:sz w:val="24"/>
                <w:szCs w:val="24"/>
              </w:rPr>
            </w:pPr>
            <w:bookmarkStart w:id="125" w:name="_Toc27046"/>
            <w:bookmarkStart w:id="126" w:name="_Toc4938"/>
            <w:bookmarkStart w:id="127" w:name="_Toc30042"/>
            <w:r>
              <w:rPr>
                <w:rFonts w:hint="default" w:ascii="Times New Roman" w:hAnsi="Times New Roman" w:cs="Times New Roman"/>
                <w:color w:val="auto"/>
                <w:kern w:val="1"/>
                <w:sz w:val="24"/>
                <w:szCs w:val="24"/>
              </w:rPr>
              <w:t>当只涉及一种危险物质时，计算该物质的总量与其临界量比值，即为Q</w:t>
            </w:r>
            <w:bookmarkEnd w:id="125"/>
            <w:bookmarkEnd w:id="126"/>
            <w:bookmarkEnd w:id="127"/>
          </w:p>
          <w:p w14:paraId="2D48D713">
            <w:pPr>
              <w:spacing w:line="360" w:lineRule="auto"/>
              <w:ind w:firstLine="480" w:firstLineChars="200"/>
              <w:outlineLvl w:val="0"/>
              <w:rPr>
                <w:rFonts w:hint="default" w:ascii="Times New Roman" w:hAnsi="Times New Roman" w:cs="Times New Roman"/>
                <w:color w:val="auto"/>
                <w:kern w:val="1"/>
                <w:sz w:val="24"/>
                <w:szCs w:val="24"/>
              </w:rPr>
            </w:pPr>
            <w:bookmarkStart w:id="128" w:name="_Toc28054"/>
            <w:bookmarkStart w:id="129" w:name="_Toc8924"/>
            <w:bookmarkStart w:id="130" w:name="_Toc5325"/>
            <w:r>
              <w:rPr>
                <w:rFonts w:hint="default" w:ascii="Times New Roman" w:hAnsi="Times New Roman" w:cs="Times New Roman"/>
                <w:color w:val="auto"/>
                <w:kern w:val="1"/>
                <w:sz w:val="24"/>
                <w:szCs w:val="24"/>
              </w:rPr>
              <w:t>当存在多种危险物质时，则按下式计算物质总量与其临界量比值（Q）</w:t>
            </w:r>
            <w:bookmarkEnd w:id="128"/>
            <w:bookmarkEnd w:id="129"/>
            <w:bookmarkEnd w:id="130"/>
          </w:p>
          <w:p w14:paraId="51763B86">
            <w:pPr>
              <w:spacing w:line="360" w:lineRule="auto"/>
              <w:ind w:firstLine="480" w:firstLineChars="200"/>
              <w:contextualSpacing/>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 xml:space="preserve"> +q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q</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n</w:t>
            </w:r>
          </w:p>
          <w:p w14:paraId="6FD6DCE4">
            <w:pPr>
              <w:spacing w:line="360" w:lineRule="auto"/>
              <w:ind w:firstLine="480" w:firstLineChars="200"/>
              <w:contextualSpacing/>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——每种危险物质的最大存在总量，t；</w:t>
            </w:r>
          </w:p>
          <w:p w14:paraId="059F4567">
            <w:pPr>
              <w:pStyle w:val="12"/>
              <w:spacing w:after="0" w:line="360" w:lineRule="auto"/>
              <w:ind w:left="480" w:firstLine="854" w:firstLineChars="356"/>
              <w:contextualSpacing/>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——每种危险物质的临界量，t。</w:t>
            </w:r>
          </w:p>
          <w:p w14:paraId="19DCFC2F">
            <w:pPr>
              <w:spacing w:line="360" w:lineRule="auto"/>
              <w:ind w:firstLine="480" w:firstLineChars="200"/>
              <w:outlineLvl w:val="0"/>
              <w:rPr>
                <w:rFonts w:hint="default" w:ascii="Times New Roman" w:hAnsi="Times New Roman" w:cs="Times New Roman"/>
                <w:color w:val="auto"/>
                <w:kern w:val="1"/>
                <w:sz w:val="24"/>
                <w:szCs w:val="24"/>
              </w:rPr>
            </w:pPr>
            <w:bookmarkStart w:id="131" w:name="_Toc14896"/>
            <w:bookmarkStart w:id="132" w:name="_Toc23845"/>
            <w:bookmarkStart w:id="133" w:name="_Toc20610"/>
            <w:r>
              <w:rPr>
                <w:rFonts w:hint="default" w:ascii="Times New Roman" w:hAnsi="Times New Roman" w:cs="Times New Roman"/>
                <w:color w:val="auto"/>
                <w:kern w:val="1"/>
                <w:sz w:val="24"/>
                <w:szCs w:val="24"/>
              </w:rPr>
              <w:t>当Q＜1，该项目环境风险潜势为Ⅰ</w:t>
            </w:r>
            <w:bookmarkEnd w:id="131"/>
            <w:bookmarkEnd w:id="132"/>
            <w:bookmarkEnd w:id="133"/>
          </w:p>
          <w:p w14:paraId="316AC23D">
            <w:pPr>
              <w:spacing w:line="360" w:lineRule="auto"/>
              <w:ind w:firstLine="480" w:firstLineChars="200"/>
              <w:outlineLvl w:val="0"/>
              <w:rPr>
                <w:rFonts w:hint="default" w:ascii="Times New Roman" w:hAnsi="Times New Roman" w:cs="Times New Roman"/>
                <w:color w:val="auto"/>
                <w:kern w:val="1"/>
                <w:sz w:val="24"/>
                <w:szCs w:val="24"/>
              </w:rPr>
            </w:pPr>
            <w:bookmarkStart w:id="134" w:name="_Toc10068"/>
            <w:bookmarkStart w:id="135" w:name="_Toc21065"/>
            <w:bookmarkStart w:id="136" w:name="_Toc22358"/>
            <w:r>
              <w:rPr>
                <w:rFonts w:hint="default" w:ascii="Times New Roman" w:hAnsi="Times New Roman" w:cs="Times New Roman"/>
                <w:color w:val="auto"/>
                <w:kern w:val="1"/>
                <w:sz w:val="24"/>
                <w:szCs w:val="24"/>
              </w:rPr>
              <w:t>当Q≥1时，将Q值划分为：（1）1≤ Q＜10；（2）10≤ Q＜100；（3）Q≥100。</w:t>
            </w:r>
            <w:bookmarkEnd w:id="134"/>
            <w:bookmarkEnd w:id="135"/>
            <w:bookmarkEnd w:id="136"/>
          </w:p>
          <w:p w14:paraId="752C5A3E">
            <w:pPr>
              <w:pStyle w:val="12"/>
              <w:spacing w:after="0" w:line="360" w:lineRule="auto"/>
              <w:ind w:left="0" w:leftChars="0" w:firstLine="480" w:firstLineChars="200"/>
              <w:rPr>
                <w:rFonts w:hint="default" w:ascii="Times New Roman" w:hAnsi="Times New Roman" w:cs="Times New Roman"/>
                <w:color w:val="auto"/>
                <w:kern w:val="1"/>
                <w:sz w:val="24"/>
                <w:szCs w:val="24"/>
              </w:rPr>
            </w:pPr>
            <w:r>
              <w:rPr>
                <w:rFonts w:hint="default" w:ascii="Times New Roman" w:hAnsi="Times New Roman" w:cs="Times New Roman"/>
                <w:bCs/>
                <w:color w:val="auto"/>
                <w:kern w:val="1"/>
                <w:sz w:val="24"/>
                <w:szCs w:val="24"/>
              </w:rPr>
              <w:t>本项目油罐区建设有</w:t>
            </w:r>
            <w:r>
              <w:rPr>
                <w:rFonts w:hint="default" w:ascii="Times New Roman" w:hAnsi="Times New Roman" w:cs="Times New Roman"/>
                <w:color w:val="auto"/>
                <w:kern w:val="1"/>
                <w:sz w:val="24"/>
                <w:szCs w:val="24"/>
              </w:rPr>
              <w:t>30m³9</w:t>
            </w:r>
            <w:r>
              <w:rPr>
                <w:rFonts w:hint="default" w:ascii="Times New Roman" w:hAnsi="Times New Roman" w:cs="Times New Roman"/>
                <w:color w:val="auto"/>
                <w:kern w:val="1"/>
                <w:sz w:val="24"/>
                <w:szCs w:val="24"/>
                <w:lang w:val="en-US" w:eastAsia="zh-CN"/>
              </w:rPr>
              <w:t>2</w:t>
            </w:r>
            <w:r>
              <w:rPr>
                <w:rFonts w:hint="default" w:ascii="Times New Roman" w:hAnsi="Times New Roman" w:cs="Times New Roman"/>
                <w:color w:val="auto"/>
                <w:kern w:val="1"/>
                <w:sz w:val="24"/>
                <w:szCs w:val="24"/>
              </w:rPr>
              <w:t>#汽油储罐1个，</w:t>
            </w:r>
            <w:r>
              <w:rPr>
                <w:rFonts w:hint="default" w:ascii="Times New Roman" w:hAnsi="Times New Roman" w:cs="Times New Roman"/>
                <w:color w:val="auto"/>
                <w:kern w:val="1"/>
                <w:sz w:val="24"/>
                <w:szCs w:val="24"/>
                <w:lang w:val="en-US" w:eastAsia="zh-CN"/>
              </w:rPr>
              <w:t>30</w:t>
            </w:r>
            <w:r>
              <w:rPr>
                <w:rFonts w:hint="default" w:ascii="Times New Roman" w:hAnsi="Times New Roman" w:cs="Times New Roman"/>
                <w:color w:val="auto"/>
                <w:kern w:val="1"/>
                <w:sz w:val="24"/>
                <w:szCs w:val="24"/>
              </w:rPr>
              <w:t>m³9</w:t>
            </w:r>
            <w:r>
              <w:rPr>
                <w:rFonts w:hint="default" w:ascii="Times New Roman" w:hAnsi="Times New Roman" w:cs="Times New Roman"/>
                <w:color w:val="auto"/>
                <w:kern w:val="1"/>
                <w:sz w:val="24"/>
                <w:szCs w:val="24"/>
                <w:lang w:val="en-US" w:eastAsia="zh-CN"/>
              </w:rPr>
              <w:t>5</w:t>
            </w:r>
            <w:r>
              <w:rPr>
                <w:rFonts w:hint="default" w:ascii="Times New Roman" w:hAnsi="Times New Roman" w:cs="Times New Roman"/>
                <w:color w:val="auto"/>
                <w:kern w:val="1"/>
                <w:sz w:val="24"/>
                <w:szCs w:val="24"/>
              </w:rPr>
              <w:t>#汽油储油罐1个，</w:t>
            </w:r>
            <w:r>
              <w:rPr>
                <w:rFonts w:hint="default" w:ascii="Times New Roman" w:hAnsi="Times New Roman" w:cs="Times New Roman"/>
                <w:color w:val="auto"/>
                <w:spacing w:val="1"/>
                <w:sz w:val="24"/>
                <w:szCs w:val="24"/>
              </w:rPr>
              <w:t>以0.9的充装系数计取，</w:t>
            </w:r>
            <w:r>
              <w:rPr>
                <w:rFonts w:hint="default" w:ascii="Times New Roman" w:hAnsi="Times New Roman" w:cs="Times New Roman"/>
                <w:color w:val="auto"/>
                <w:kern w:val="1"/>
                <w:sz w:val="24"/>
                <w:szCs w:val="24"/>
              </w:rPr>
              <w:t>汽油密度为0.7</w:t>
            </w:r>
            <w:r>
              <w:rPr>
                <w:rFonts w:hint="default" w:ascii="Times New Roman" w:hAnsi="Times New Roman" w:cs="Times New Roman"/>
                <w:color w:val="auto"/>
                <w:kern w:val="1"/>
                <w:sz w:val="24"/>
                <w:szCs w:val="24"/>
                <w:lang w:val="en-US" w:eastAsia="zh-CN"/>
              </w:rPr>
              <w:t>5</w:t>
            </w:r>
            <w:r>
              <w:rPr>
                <w:rFonts w:hint="default" w:ascii="Times New Roman" w:hAnsi="Times New Roman" w:cs="Times New Roman"/>
                <w:color w:val="auto"/>
                <w:kern w:val="1"/>
                <w:sz w:val="24"/>
                <w:szCs w:val="24"/>
              </w:rPr>
              <w:t>，则汽油最大贮存量为</w:t>
            </w:r>
            <w:r>
              <w:rPr>
                <w:rFonts w:hint="default" w:ascii="Times New Roman" w:hAnsi="Times New Roman" w:cs="Times New Roman"/>
                <w:color w:val="auto"/>
                <w:kern w:val="1"/>
                <w:sz w:val="24"/>
                <w:szCs w:val="24"/>
                <w:lang w:val="en-US" w:eastAsia="zh-CN"/>
              </w:rPr>
              <w:t>40.5</w:t>
            </w:r>
            <w:r>
              <w:rPr>
                <w:rFonts w:hint="default" w:ascii="Times New Roman" w:hAnsi="Times New Roman" w:cs="Times New Roman"/>
                <w:color w:val="auto"/>
                <w:kern w:val="1"/>
                <w:sz w:val="24"/>
                <w:szCs w:val="24"/>
              </w:rPr>
              <w:t>t，小于汽油贮存区临界量；</w:t>
            </w:r>
            <w:r>
              <w:rPr>
                <w:rFonts w:hint="default" w:ascii="Times New Roman" w:hAnsi="Times New Roman" w:cs="Times New Roman"/>
                <w:bCs/>
                <w:color w:val="auto"/>
                <w:kern w:val="1"/>
                <w:sz w:val="24"/>
                <w:szCs w:val="24"/>
              </w:rPr>
              <w:t>建设有</w:t>
            </w:r>
            <w:r>
              <w:rPr>
                <w:rFonts w:hint="default" w:ascii="Times New Roman" w:hAnsi="Times New Roman" w:cs="Times New Roman"/>
                <w:bCs/>
                <w:color w:val="auto"/>
                <w:kern w:val="1"/>
                <w:sz w:val="24"/>
                <w:szCs w:val="24"/>
                <w:lang w:val="en-US" w:eastAsia="zh-CN"/>
              </w:rPr>
              <w:t>1</w:t>
            </w:r>
            <w:r>
              <w:rPr>
                <w:rFonts w:hint="default" w:ascii="Times New Roman" w:hAnsi="Times New Roman" w:cs="Times New Roman"/>
                <w:color w:val="auto"/>
                <w:kern w:val="1"/>
                <w:sz w:val="24"/>
                <w:szCs w:val="24"/>
              </w:rPr>
              <w:t>个</w:t>
            </w:r>
            <w:r>
              <w:rPr>
                <w:rFonts w:hint="default" w:ascii="Times New Roman" w:hAnsi="Times New Roman" w:cs="Times New Roman"/>
                <w:color w:val="auto"/>
                <w:kern w:val="1"/>
                <w:sz w:val="24"/>
                <w:szCs w:val="24"/>
                <w:lang w:val="en-US" w:eastAsia="zh-CN"/>
              </w:rPr>
              <w:t>3</w:t>
            </w:r>
            <w:r>
              <w:rPr>
                <w:rFonts w:hint="default" w:ascii="Times New Roman" w:hAnsi="Times New Roman" w:cs="Times New Roman"/>
                <w:color w:val="auto"/>
                <w:kern w:val="1"/>
                <w:sz w:val="24"/>
                <w:szCs w:val="24"/>
              </w:rPr>
              <w:t>0m³的0</w:t>
            </w:r>
            <w:r>
              <w:rPr>
                <w:rFonts w:hint="default" w:ascii="Times New Roman" w:hAnsi="Times New Roman" w:cs="Times New Roman"/>
                <w:color w:val="auto"/>
                <w:kern w:val="1"/>
                <w:sz w:val="24"/>
                <w:szCs w:val="24"/>
                <w:vertAlign w:val="superscript"/>
              </w:rPr>
              <w:t>#</w:t>
            </w:r>
            <w:r>
              <w:rPr>
                <w:rFonts w:hint="default" w:ascii="Times New Roman" w:hAnsi="Times New Roman" w:cs="Times New Roman"/>
                <w:color w:val="auto"/>
                <w:kern w:val="1"/>
                <w:sz w:val="24"/>
                <w:szCs w:val="24"/>
              </w:rPr>
              <w:t>柴油罐</w:t>
            </w:r>
            <w:r>
              <w:rPr>
                <w:rFonts w:hint="default" w:ascii="Times New Roman" w:hAnsi="Times New Roman" w:cs="Times New Roman"/>
                <w:color w:val="auto"/>
                <w:kern w:val="1"/>
                <w:sz w:val="24"/>
                <w:szCs w:val="24"/>
                <w:lang w:eastAsia="zh-CN"/>
              </w:rPr>
              <w:t>，</w:t>
            </w:r>
            <w:r>
              <w:rPr>
                <w:rFonts w:hint="default" w:ascii="Times New Roman" w:hAnsi="Times New Roman" w:cs="Times New Roman"/>
                <w:color w:val="auto"/>
                <w:spacing w:val="1"/>
                <w:sz w:val="24"/>
                <w:szCs w:val="24"/>
              </w:rPr>
              <w:t>以0.9的充装系数计取，</w:t>
            </w:r>
            <w:r>
              <w:rPr>
                <w:rFonts w:hint="default" w:ascii="Times New Roman" w:hAnsi="Times New Roman" w:cs="Times New Roman"/>
                <w:color w:val="auto"/>
                <w:kern w:val="1"/>
                <w:sz w:val="24"/>
                <w:szCs w:val="24"/>
              </w:rPr>
              <w:t>柴油密度0.85，则柴油最大贮存量为</w:t>
            </w:r>
            <w:r>
              <w:rPr>
                <w:rFonts w:hint="default" w:ascii="Times New Roman" w:hAnsi="Times New Roman" w:cs="Times New Roman"/>
                <w:color w:val="auto"/>
                <w:kern w:val="1"/>
                <w:sz w:val="24"/>
                <w:szCs w:val="24"/>
                <w:lang w:val="en-US" w:eastAsia="zh-CN"/>
              </w:rPr>
              <w:t>22.95</w:t>
            </w:r>
            <w:r>
              <w:rPr>
                <w:rFonts w:hint="default" w:ascii="Times New Roman" w:hAnsi="Times New Roman" w:cs="Times New Roman"/>
                <w:color w:val="auto"/>
                <w:kern w:val="1"/>
                <w:sz w:val="24"/>
                <w:szCs w:val="24"/>
              </w:rPr>
              <w:t>t，小于柴油贮存区临界量。项目物料存储情况见表</w:t>
            </w:r>
            <w:r>
              <w:rPr>
                <w:rFonts w:hint="default" w:ascii="Times New Roman" w:hAnsi="Times New Roman" w:cs="Times New Roman"/>
                <w:color w:val="auto"/>
                <w:kern w:val="1"/>
                <w:sz w:val="24"/>
                <w:szCs w:val="24"/>
                <w:lang w:val="en-US" w:eastAsia="zh-CN"/>
              </w:rPr>
              <w:t>4-2</w:t>
            </w:r>
            <w:r>
              <w:rPr>
                <w:rFonts w:hint="eastAsia" w:cs="Times New Roman"/>
                <w:color w:val="auto"/>
                <w:kern w:val="1"/>
                <w:sz w:val="24"/>
                <w:szCs w:val="24"/>
                <w:lang w:val="en-US" w:eastAsia="zh-CN"/>
              </w:rPr>
              <w:t>2</w:t>
            </w:r>
            <w:r>
              <w:rPr>
                <w:rFonts w:hint="default" w:ascii="Times New Roman" w:hAnsi="Times New Roman" w:cs="Times New Roman"/>
                <w:color w:val="auto"/>
                <w:kern w:val="1"/>
                <w:sz w:val="24"/>
                <w:szCs w:val="24"/>
              </w:rPr>
              <w:t>。</w:t>
            </w:r>
          </w:p>
          <w:p w14:paraId="039B63D0">
            <w:pPr>
              <w:pStyle w:val="12"/>
              <w:spacing w:after="0" w:line="240" w:lineRule="auto"/>
              <w:ind w:left="0" w:leftChars="0"/>
              <w:jc w:val="center"/>
              <w:rPr>
                <w:rFonts w:hint="default" w:ascii="Times New Roman" w:hAnsi="Times New Roman" w:cs="Times New Roman"/>
                <w:b/>
                <w:color w:val="auto"/>
                <w:kern w:val="1"/>
                <w:sz w:val="21"/>
                <w:szCs w:val="22"/>
              </w:rPr>
            </w:pPr>
            <w:r>
              <w:rPr>
                <w:rFonts w:hint="default" w:ascii="Times New Roman" w:hAnsi="Times New Roman" w:cs="Times New Roman"/>
                <w:b/>
                <w:color w:val="auto"/>
                <w:kern w:val="1"/>
                <w:sz w:val="21"/>
                <w:szCs w:val="22"/>
              </w:rPr>
              <w:t>表</w:t>
            </w:r>
            <w:r>
              <w:rPr>
                <w:rFonts w:hint="default" w:ascii="Times New Roman" w:hAnsi="Times New Roman" w:cs="Times New Roman"/>
                <w:b/>
                <w:color w:val="auto"/>
                <w:kern w:val="1"/>
                <w:sz w:val="21"/>
                <w:szCs w:val="22"/>
                <w:lang w:val="en-US" w:eastAsia="zh-CN"/>
              </w:rPr>
              <w:t>4-2</w:t>
            </w:r>
            <w:r>
              <w:rPr>
                <w:rFonts w:hint="eastAsia" w:cs="Times New Roman"/>
                <w:b/>
                <w:color w:val="auto"/>
                <w:kern w:val="1"/>
                <w:sz w:val="21"/>
                <w:szCs w:val="22"/>
                <w:lang w:val="en-US" w:eastAsia="zh-CN"/>
              </w:rPr>
              <w:t>2</w:t>
            </w:r>
            <w:r>
              <w:rPr>
                <w:rFonts w:hint="default" w:ascii="Times New Roman" w:hAnsi="Times New Roman" w:cs="Times New Roman"/>
                <w:b/>
                <w:color w:val="auto"/>
                <w:kern w:val="1"/>
                <w:sz w:val="21"/>
                <w:szCs w:val="22"/>
              </w:rPr>
              <w:t xml:space="preserve">  项目物料存储情况</w:t>
            </w:r>
          </w:p>
          <w:tbl>
            <w:tblPr>
              <w:tblStyle w:val="27"/>
              <w:tblW w:w="0" w:type="auto"/>
              <w:jc w:val="center"/>
              <w:tblLayout w:type="fixed"/>
              <w:tblCellMar>
                <w:top w:w="0" w:type="dxa"/>
                <w:left w:w="108" w:type="dxa"/>
                <w:bottom w:w="0" w:type="dxa"/>
                <w:right w:w="108" w:type="dxa"/>
              </w:tblCellMar>
            </w:tblPr>
            <w:tblGrid>
              <w:gridCol w:w="1013"/>
              <w:gridCol w:w="1159"/>
              <w:gridCol w:w="2061"/>
              <w:gridCol w:w="2524"/>
              <w:gridCol w:w="1845"/>
            </w:tblGrid>
            <w:tr w14:paraId="0DEC0C8C">
              <w:tblPrEx>
                <w:tblCellMar>
                  <w:top w:w="0" w:type="dxa"/>
                  <w:left w:w="108" w:type="dxa"/>
                  <w:bottom w:w="0" w:type="dxa"/>
                  <w:right w:w="108" w:type="dxa"/>
                </w:tblCellMar>
              </w:tblPrEx>
              <w:trPr>
                <w:trHeight w:val="315" w:hRule="atLeast"/>
                <w:jc w:val="center"/>
              </w:trPr>
              <w:tc>
                <w:tcPr>
                  <w:tcW w:w="1013" w:type="dxa"/>
                  <w:tcBorders>
                    <w:top w:val="single" w:color="000000" w:sz="4" w:space="0"/>
                    <w:left w:val="single" w:color="000000" w:sz="4" w:space="0"/>
                    <w:bottom w:val="single" w:color="000000" w:sz="4" w:space="0"/>
                    <w:right w:val="single" w:color="000000" w:sz="4" w:space="0"/>
                  </w:tcBorders>
                  <w:noWrap w:val="0"/>
                  <w:vAlign w:val="center"/>
                </w:tcPr>
                <w:p w14:paraId="6EA24ACD">
                  <w:pPr>
                    <w:jc w:val="center"/>
                    <w:rPr>
                      <w:rFonts w:hint="default" w:ascii="Times New Roman" w:hAnsi="Times New Roman" w:cs="Times New Roman"/>
                      <w:b/>
                      <w:bCs/>
                      <w:color w:val="auto"/>
                      <w:kern w:val="1"/>
                      <w:sz w:val="22"/>
                      <w:szCs w:val="24"/>
                    </w:rPr>
                  </w:pPr>
                  <w:r>
                    <w:rPr>
                      <w:rFonts w:hint="default" w:ascii="Times New Roman" w:hAnsi="Times New Roman" w:cs="Times New Roman"/>
                      <w:b/>
                      <w:bCs/>
                      <w:color w:val="auto"/>
                      <w:kern w:val="1"/>
                      <w:sz w:val="22"/>
                      <w:szCs w:val="24"/>
                    </w:rPr>
                    <w:t>序号</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14:paraId="3126CB45">
                  <w:pPr>
                    <w:jc w:val="center"/>
                    <w:rPr>
                      <w:rFonts w:hint="default" w:ascii="Times New Roman" w:hAnsi="Times New Roman" w:cs="Times New Roman"/>
                      <w:b/>
                      <w:bCs/>
                      <w:color w:val="auto"/>
                      <w:kern w:val="1"/>
                      <w:sz w:val="22"/>
                      <w:szCs w:val="24"/>
                    </w:rPr>
                  </w:pPr>
                  <w:r>
                    <w:rPr>
                      <w:rFonts w:hint="default" w:ascii="Times New Roman" w:hAnsi="Times New Roman" w:cs="Times New Roman"/>
                      <w:b/>
                      <w:bCs/>
                      <w:color w:val="auto"/>
                      <w:kern w:val="1"/>
                      <w:sz w:val="22"/>
                      <w:szCs w:val="24"/>
                    </w:rPr>
                    <w:t>危险物质</w:t>
                  </w:r>
                </w:p>
              </w:tc>
              <w:tc>
                <w:tcPr>
                  <w:tcW w:w="2061" w:type="dxa"/>
                  <w:tcBorders>
                    <w:top w:val="single" w:color="000000" w:sz="4" w:space="0"/>
                    <w:left w:val="single" w:color="000000" w:sz="4" w:space="0"/>
                    <w:bottom w:val="single" w:color="000000" w:sz="4" w:space="0"/>
                    <w:right w:val="single" w:color="000000" w:sz="4" w:space="0"/>
                  </w:tcBorders>
                  <w:noWrap w:val="0"/>
                  <w:vAlign w:val="center"/>
                </w:tcPr>
                <w:p w14:paraId="28584885">
                  <w:pPr>
                    <w:jc w:val="center"/>
                    <w:rPr>
                      <w:rFonts w:hint="default" w:ascii="Times New Roman" w:hAnsi="Times New Roman" w:cs="Times New Roman"/>
                      <w:b/>
                      <w:bCs/>
                      <w:color w:val="auto"/>
                      <w:kern w:val="1"/>
                      <w:sz w:val="22"/>
                      <w:szCs w:val="24"/>
                    </w:rPr>
                  </w:pPr>
                  <w:r>
                    <w:rPr>
                      <w:rFonts w:hint="default" w:ascii="Times New Roman" w:hAnsi="Times New Roman" w:cs="Times New Roman"/>
                      <w:b/>
                      <w:bCs/>
                      <w:color w:val="auto"/>
                      <w:kern w:val="1"/>
                      <w:sz w:val="22"/>
                      <w:szCs w:val="24"/>
                    </w:rPr>
                    <w:t>临界量</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19F1A48C">
                  <w:pPr>
                    <w:jc w:val="center"/>
                    <w:rPr>
                      <w:rFonts w:hint="default" w:ascii="Times New Roman" w:hAnsi="Times New Roman" w:cs="Times New Roman"/>
                      <w:b/>
                      <w:bCs/>
                      <w:color w:val="auto"/>
                      <w:kern w:val="1"/>
                      <w:sz w:val="22"/>
                      <w:szCs w:val="24"/>
                    </w:rPr>
                  </w:pPr>
                  <w:r>
                    <w:rPr>
                      <w:rFonts w:hint="default" w:ascii="Times New Roman" w:hAnsi="Times New Roman" w:cs="Times New Roman"/>
                      <w:b/>
                      <w:bCs/>
                      <w:color w:val="auto"/>
                      <w:kern w:val="1"/>
                      <w:sz w:val="22"/>
                      <w:szCs w:val="24"/>
                    </w:rPr>
                    <w:t>单元实际存储量（t）</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14:paraId="56565FBF">
                  <w:pPr>
                    <w:jc w:val="center"/>
                    <w:rPr>
                      <w:rFonts w:hint="default" w:ascii="Times New Roman" w:hAnsi="Times New Roman" w:cs="Times New Roman"/>
                      <w:b/>
                      <w:bCs/>
                      <w:color w:val="auto"/>
                      <w:kern w:val="1"/>
                      <w:sz w:val="22"/>
                      <w:szCs w:val="24"/>
                    </w:rPr>
                  </w:pPr>
                  <w:r>
                    <w:rPr>
                      <w:rFonts w:hint="default" w:ascii="Times New Roman" w:hAnsi="Times New Roman" w:cs="Times New Roman"/>
                      <w:b/>
                      <w:bCs/>
                      <w:color w:val="auto"/>
                      <w:kern w:val="1"/>
                      <w:sz w:val="22"/>
                      <w:szCs w:val="24"/>
                    </w:rPr>
                    <w:t>q/Q</w:t>
                  </w:r>
                </w:p>
              </w:tc>
            </w:tr>
            <w:tr w14:paraId="5FE14194">
              <w:tblPrEx>
                <w:tblCellMar>
                  <w:top w:w="0" w:type="dxa"/>
                  <w:left w:w="108" w:type="dxa"/>
                  <w:bottom w:w="0" w:type="dxa"/>
                  <w:right w:w="108" w:type="dxa"/>
                </w:tblCellMar>
              </w:tblPrEx>
              <w:trPr>
                <w:trHeight w:val="305" w:hRule="atLeast"/>
                <w:jc w:val="center"/>
              </w:trPr>
              <w:tc>
                <w:tcPr>
                  <w:tcW w:w="1013" w:type="dxa"/>
                  <w:tcBorders>
                    <w:top w:val="single" w:color="000000" w:sz="4" w:space="0"/>
                    <w:left w:val="single" w:color="000000" w:sz="4" w:space="0"/>
                    <w:bottom w:val="single" w:color="000000" w:sz="4" w:space="0"/>
                    <w:right w:val="single" w:color="000000" w:sz="4" w:space="0"/>
                  </w:tcBorders>
                  <w:noWrap w:val="0"/>
                  <w:vAlign w:val="center"/>
                </w:tcPr>
                <w:p w14:paraId="32065C25">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4"/>
                    </w:rPr>
                    <w:t>1</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14:paraId="69DF9B1B">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4"/>
                    </w:rPr>
                    <w:t>汽油</w:t>
                  </w:r>
                </w:p>
              </w:tc>
              <w:tc>
                <w:tcPr>
                  <w:tcW w:w="2061" w:type="dxa"/>
                  <w:tcBorders>
                    <w:top w:val="single" w:color="000000" w:sz="4" w:space="0"/>
                    <w:left w:val="single" w:color="000000" w:sz="4" w:space="0"/>
                    <w:bottom w:val="single" w:color="000000" w:sz="4" w:space="0"/>
                    <w:right w:val="single" w:color="000000" w:sz="4" w:space="0"/>
                  </w:tcBorders>
                  <w:noWrap w:val="0"/>
                  <w:vAlign w:val="center"/>
                </w:tcPr>
                <w:p w14:paraId="41C0F4EE">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4"/>
                    </w:rPr>
                    <w:t>2500t</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0C9FBD19">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4"/>
                      <w:lang w:val="en-US" w:eastAsia="zh-CN"/>
                    </w:rPr>
                    <w:t>40.5</w:t>
                  </w:r>
                  <w:r>
                    <w:rPr>
                      <w:rFonts w:hint="default" w:ascii="Times New Roman" w:hAnsi="Times New Roman" w:cs="Times New Roman"/>
                      <w:color w:val="auto"/>
                      <w:kern w:val="1"/>
                      <w:sz w:val="22"/>
                      <w:szCs w:val="24"/>
                    </w:rPr>
                    <w:t>t</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14:paraId="5BF5956A">
                  <w:pPr>
                    <w:jc w:val="center"/>
                    <w:rPr>
                      <w:rFonts w:hint="default" w:ascii="Times New Roman" w:hAnsi="Times New Roman" w:eastAsia="宋体" w:cs="Times New Roman"/>
                      <w:color w:val="auto"/>
                      <w:kern w:val="1"/>
                      <w:sz w:val="22"/>
                      <w:szCs w:val="24"/>
                      <w:lang w:val="en-US" w:eastAsia="zh-CN"/>
                    </w:rPr>
                  </w:pPr>
                  <w:r>
                    <w:rPr>
                      <w:rFonts w:hint="default" w:ascii="Times New Roman" w:hAnsi="Times New Roman" w:cs="Times New Roman"/>
                      <w:color w:val="auto"/>
                      <w:kern w:val="1"/>
                      <w:sz w:val="22"/>
                      <w:szCs w:val="24"/>
                      <w:lang w:val="en-US" w:eastAsia="zh-CN"/>
                    </w:rPr>
                    <w:t>0.0162</w:t>
                  </w:r>
                </w:p>
              </w:tc>
            </w:tr>
            <w:tr w14:paraId="40082A29">
              <w:tblPrEx>
                <w:tblCellMar>
                  <w:top w:w="0" w:type="dxa"/>
                  <w:left w:w="108" w:type="dxa"/>
                  <w:bottom w:w="0" w:type="dxa"/>
                  <w:right w:w="108" w:type="dxa"/>
                </w:tblCellMar>
              </w:tblPrEx>
              <w:trPr>
                <w:trHeight w:val="314" w:hRule="atLeast"/>
                <w:jc w:val="center"/>
              </w:trPr>
              <w:tc>
                <w:tcPr>
                  <w:tcW w:w="1013" w:type="dxa"/>
                  <w:tcBorders>
                    <w:top w:val="single" w:color="000000" w:sz="4" w:space="0"/>
                    <w:left w:val="single" w:color="000000" w:sz="4" w:space="0"/>
                    <w:bottom w:val="single" w:color="000000" w:sz="4" w:space="0"/>
                    <w:right w:val="single" w:color="000000" w:sz="4" w:space="0"/>
                  </w:tcBorders>
                  <w:noWrap w:val="0"/>
                  <w:vAlign w:val="center"/>
                </w:tcPr>
                <w:p w14:paraId="4E5CB8BF">
                  <w:pPr>
                    <w:jc w:val="center"/>
                    <w:rPr>
                      <w:rFonts w:hint="default" w:ascii="Times New Roman" w:hAnsi="Times New Roman" w:cs="Times New Roman"/>
                      <w:color w:val="auto"/>
                      <w:kern w:val="1"/>
                      <w:sz w:val="22"/>
                      <w:szCs w:val="22"/>
                    </w:rPr>
                  </w:pPr>
                  <w:r>
                    <w:rPr>
                      <w:rFonts w:hint="default" w:ascii="Times New Roman" w:hAnsi="Times New Roman" w:cs="Times New Roman"/>
                      <w:color w:val="auto"/>
                      <w:kern w:val="1"/>
                      <w:sz w:val="22"/>
                      <w:szCs w:val="22"/>
                    </w:rPr>
                    <w:t>2</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14:paraId="4CA1EC58">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2"/>
                    </w:rPr>
                    <w:t>柴油</w:t>
                  </w:r>
                </w:p>
              </w:tc>
              <w:tc>
                <w:tcPr>
                  <w:tcW w:w="2061" w:type="dxa"/>
                  <w:tcBorders>
                    <w:top w:val="single" w:color="000000" w:sz="4" w:space="0"/>
                    <w:left w:val="single" w:color="000000" w:sz="4" w:space="0"/>
                    <w:bottom w:val="single" w:color="000000" w:sz="4" w:space="0"/>
                    <w:right w:val="single" w:color="000000" w:sz="4" w:space="0"/>
                  </w:tcBorders>
                  <w:noWrap w:val="0"/>
                  <w:vAlign w:val="center"/>
                </w:tcPr>
                <w:p w14:paraId="1C1F193A">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4"/>
                    </w:rPr>
                    <w:t>2500t</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66690434">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4"/>
                      <w:lang w:val="en-US" w:eastAsia="zh-CN"/>
                    </w:rPr>
                    <w:t>22.95</w:t>
                  </w:r>
                  <w:r>
                    <w:rPr>
                      <w:rFonts w:hint="default" w:ascii="Times New Roman" w:hAnsi="Times New Roman" w:cs="Times New Roman"/>
                      <w:color w:val="auto"/>
                      <w:kern w:val="1"/>
                      <w:sz w:val="22"/>
                      <w:szCs w:val="24"/>
                    </w:rPr>
                    <w:t>t</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14:paraId="0607BD6F">
                  <w:pPr>
                    <w:jc w:val="center"/>
                    <w:rPr>
                      <w:rFonts w:hint="default" w:ascii="Times New Roman" w:hAnsi="Times New Roman" w:eastAsia="宋体" w:cs="Times New Roman"/>
                      <w:color w:val="auto"/>
                      <w:kern w:val="1"/>
                      <w:sz w:val="22"/>
                      <w:szCs w:val="24"/>
                      <w:lang w:val="en-US" w:eastAsia="zh-CN"/>
                    </w:rPr>
                  </w:pPr>
                  <w:r>
                    <w:rPr>
                      <w:rFonts w:hint="default" w:ascii="Times New Roman" w:hAnsi="Times New Roman" w:cs="Times New Roman"/>
                      <w:color w:val="auto"/>
                      <w:kern w:val="1"/>
                      <w:sz w:val="22"/>
                      <w:szCs w:val="24"/>
                      <w:lang w:val="en-US" w:eastAsia="zh-CN"/>
                    </w:rPr>
                    <w:t>0.00918</w:t>
                  </w:r>
                </w:p>
              </w:tc>
            </w:tr>
            <w:tr w14:paraId="4479CDD3">
              <w:tblPrEx>
                <w:tblCellMar>
                  <w:top w:w="0" w:type="dxa"/>
                  <w:left w:w="108" w:type="dxa"/>
                  <w:bottom w:w="0" w:type="dxa"/>
                  <w:right w:w="108" w:type="dxa"/>
                </w:tblCellMar>
              </w:tblPrEx>
              <w:trPr>
                <w:trHeight w:val="314" w:hRule="atLeast"/>
                <w:jc w:val="center"/>
              </w:trPr>
              <w:tc>
                <w:tcPr>
                  <w:tcW w:w="1013" w:type="dxa"/>
                  <w:tcBorders>
                    <w:top w:val="single" w:color="000000" w:sz="4" w:space="0"/>
                    <w:left w:val="single" w:color="000000" w:sz="4" w:space="0"/>
                    <w:bottom w:val="single" w:color="000000" w:sz="4" w:space="0"/>
                    <w:right w:val="single" w:color="000000" w:sz="4" w:space="0"/>
                  </w:tcBorders>
                  <w:noWrap w:val="0"/>
                  <w:vAlign w:val="center"/>
                </w:tcPr>
                <w:p w14:paraId="607AD6A1">
                  <w:pPr>
                    <w:jc w:val="center"/>
                    <w:rPr>
                      <w:rFonts w:hint="default" w:ascii="Times New Roman" w:hAnsi="Times New Roman" w:eastAsia="宋体" w:cs="Times New Roman"/>
                      <w:color w:val="auto"/>
                      <w:kern w:val="1"/>
                      <w:sz w:val="22"/>
                      <w:szCs w:val="22"/>
                      <w:lang w:val="en-US" w:eastAsia="zh-CN"/>
                    </w:rPr>
                  </w:pPr>
                  <w:r>
                    <w:rPr>
                      <w:rFonts w:hint="default" w:ascii="Times New Roman" w:hAnsi="Times New Roman" w:cs="Times New Roman"/>
                      <w:color w:val="auto"/>
                      <w:kern w:val="1"/>
                      <w:sz w:val="22"/>
                      <w:szCs w:val="22"/>
                      <w:lang w:val="en-US" w:eastAsia="zh-CN"/>
                    </w:rPr>
                    <w:t>3</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14:paraId="67B2D3C6">
                  <w:pPr>
                    <w:jc w:val="center"/>
                    <w:rPr>
                      <w:rFonts w:hint="default" w:ascii="Times New Roman" w:hAnsi="Times New Roman" w:cs="Times New Roman"/>
                      <w:color w:val="auto"/>
                      <w:kern w:val="1"/>
                      <w:sz w:val="22"/>
                      <w:szCs w:val="22"/>
                    </w:rPr>
                  </w:pPr>
                  <w:r>
                    <w:rPr>
                      <w:rFonts w:hint="default" w:ascii="Times New Roman" w:hAnsi="Times New Roman" w:cs="Times New Roman"/>
                      <w:color w:val="auto"/>
                      <w:kern w:val="1"/>
                      <w:sz w:val="22"/>
                      <w:szCs w:val="24"/>
                      <w:lang w:val="en-US" w:eastAsia="zh-CN"/>
                    </w:rPr>
                    <w:t>废矿物油（油泥等危废）</w:t>
                  </w:r>
                </w:p>
              </w:tc>
              <w:tc>
                <w:tcPr>
                  <w:tcW w:w="2061" w:type="dxa"/>
                  <w:tcBorders>
                    <w:top w:val="single" w:color="000000" w:sz="4" w:space="0"/>
                    <w:left w:val="single" w:color="000000" w:sz="4" w:space="0"/>
                    <w:bottom w:val="single" w:color="000000" w:sz="4" w:space="0"/>
                    <w:right w:val="single" w:color="000000" w:sz="4" w:space="0"/>
                  </w:tcBorders>
                  <w:noWrap w:val="0"/>
                  <w:vAlign w:val="center"/>
                </w:tcPr>
                <w:p w14:paraId="128D02DF">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4"/>
                      <w:lang w:val="en-US" w:eastAsia="zh-CN"/>
                    </w:rPr>
                    <w:t>2500t</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14:paraId="5B178ECF">
                  <w:pPr>
                    <w:jc w:val="center"/>
                    <w:rPr>
                      <w:rFonts w:hint="default" w:ascii="Times New Roman" w:hAnsi="Times New Roman" w:cs="Times New Roman"/>
                      <w:color w:val="auto"/>
                      <w:kern w:val="1"/>
                      <w:sz w:val="22"/>
                      <w:szCs w:val="24"/>
                      <w:lang w:val="en-US" w:eastAsia="zh-CN"/>
                    </w:rPr>
                  </w:pPr>
                  <w:r>
                    <w:rPr>
                      <w:rFonts w:hint="default" w:ascii="Times New Roman" w:hAnsi="Times New Roman" w:cs="Times New Roman"/>
                      <w:color w:val="auto"/>
                      <w:kern w:val="1"/>
                      <w:sz w:val="22"/>
                      <w:szCs w:val="24"/>
                      <w:lang w:val="en-US" w:eastAsia="zh-CN"/>
                    </w:rPr>
                    <w:t>三级油水分离池废油和泥沙，废消防沙，油罐清洗产生的油渣、油泥和清洗废液，含油抹布和废手套，加油机中更换的滤网，合计0.575</w:t>
                  </w:r>
                  <w:r>
                    <w:rPr>
                      <w:rFonts w:hint="default" w:ascii="Times New Roman" w:hAnsi="Times New Roman" w:cs="Times New Roman"/>
                      <w:color w:val="auto"/>
                      <w:kern w:val="1"/>
                      <w:sz w:val="22"/>
                      <w:szCs w:val="24"/>
                    </w:rPr>
                    <w:t>t</w:t>
                  </w:r>
                  <w:r>
                    <w:rPr>
                      <w:rFonts w:hint="default" w:ascii="Times New Roman" w:hAnsi="Times New Roman" w:cs="Times New Roman"/>
                      <w:color w:val="auto"/>
                      <w:kern w:val="1"/>
                      <w:sz w:val="22"/>
                      <w:szCs w:val="24"/>
                      <w:lang w:val="en-US" w:eastAsia="zh-CN"/>
                    </w:rPr>
                    <w:t>。</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14:paraId="37C82EA1">
                  <w:pPr>
                    <w:jc w:val="center"/>
                    <w:rPr>
                      <w:rFonts w:hint="default" w:ascii="Times New Roman" w:hAnsi="Times New Roman" w:cs="Times New Roman"/>
                      <w:color w:val="auto"/>
                      <w:kern w:val="1"/>
                      <w:sz w:val="22"/>
                      <w:szCs w:val="24"/>
                      <w:lang w:val="en-US" w:eastAsia="zh-CN"/>
                    </w:rPr>
                  </w:pPr>
                  <w:r>
                    <w:rPr>
                      <w:rFonts w:hint="default" w:ascii="Times New Roman" w:hAnsi="Times New Roman" w:cs="Times New Roman"/>
                      <w:color w:val="auto"/>
                      <w:kern w:val="1"/>
                      <w:sz w:val="22"/>
                      <w:szCs w:val="24"/>
                      <w:lang w:val="en-US" w:eastAsia="zh-CN"/>
                    </w:rPr>
                    <w:t>0.00023</w:t>
                  </w:r>
                </w:p>
              </w:tc>
            </w:tr>
            <w:tr w14:paraId="3CDB62B3">
              <w:tblPrEx>
                <w:tblCellMar>
                  <w:top w:w="0" w:type="dxa"/>
                  <w:left w:w="108" w:type="dxa"/>
                  <w:bottom w:w="0" w:type="dxa"/>
                  <w:right w:w="108" w:type="dxa"/>
                </w:tblCellMar>
              </w:tblPrEx>
              <w:trPr>
                <w:trHeight w:val="314" w:hRule="atLeast"/>
                <w:jc w:val="center"/>
              </w:trPr>
              <w:tc>
                <w:tcPr>
                  <w:tcW w:w="6757" w:type="dxa"/>
                  <w:gridSpan w:val="4"/>
                  <w:tcBorders>
                    <w:top w:val="single" w:color="000000" w:sz="4" w:space="0"/>
                    <w:left w:val="single" w:color="000000" w:sz="4" w:space="0"/>
                    <w:bottom w:val="single" w:color="000000" w:sz="4" w:space="0"/>
                    <w:right w:val="single" w:color="000000" w:sz="4" w:space="0"/>
                  </w:tcBorders>
                  <w:noWrap w:val="0"/>
                  <w:vAlign w:val="center"/>
                </w:tcPr>
                <w:p w14:paraId="4A6B6514">
                  <w:pPr>
                    <w:jc w:val="center"/>
                    <w:rPr>
                      <w:rFonts w:hint="default" w:ascii="Times New Roman" w:hAnsi="Times New Roman" w:cs="Times New Roman"/>
                      <w:color w:val="auto"/>
                      <w:kern w:val="1"/>
                      <w:sz w:val="22"/>
                      <w:szCs w:val="24"/>
                    </w:rPr>
                  </w:pPr>
                  <w:r>
                    <w:rPr>
                      <w:rFonts w:hint="default" w:ascii="Times New Roman" w:hAnsi="Times New Roman" w:cs="Times New Roman"/>
                      <w:color w:val="auto"/>
                      <w:kern w:val="1"/>
                      <w:sz w:val="22"/>
                      <w:szCs w:val="24"/>
                    </w:rPr>
                    <w:t>Q值</w:t>
                  </w:r>
                </w:p>
              </w:tc>
              <w:tc>
                <w:tcPr>
                  <w:tcW w:w="1845" w:type="dxa"/>
                  <w:tcBorders>
                    <w:top w:val="single" w:color="000000" w:sz="4" w:space="0"/>
                    <w:left w:val="single" w:color="000000" w:sz="4" w:space="0"/>
                    <w:bottom w:val="single" w:color="000000" w:sz="4" w:space="0"/>
                    <w:right w:val="single" w:color="000000" w:sz="4" w:space="0"/>
                  </w:tcBorders>
                  <w:noWrap w:val="0"/>
                  <w:vAlign w:val="center"/>
                </w:tcPr>
                <w:p w14:paraId="6535F645">
                  <w:pPr>
                    <w:jc w:val="center"/>
                    <w:rPr>
                      <w:rFonts w:hint="default" w:ascii="Times New Roman" w:hAnsi="Times New Roman" w:eastAsia="宋体" w:cs="Times New Roman"/>
                      <w:color w:val="auto"/>
                      <w:kern w:val="1"/>
                      <w:sz w:val="22"/>
                      <w:szCs w:val="24"/>
                      <w:lang w:val="en-US" w:eastAsia="zh-CN"/>
                    </w:rPr>
                  </w:pPr>
                  <w:r>
                    <w:rPr>
                      <w:rFonts w:hint="default" w:ascii="Times New Roman" w:hAnsi="Times New Roman" w:cs="Times New Roman"/>
                      <w:color w:val="auto"/>
                      <w:kern w:val="1"/>
                      <w:sz w:val="22"/>
                      <w:szCs w:val="24"/>
                      <w:lang w:val="en-US" w:eastAsia="zh-CN"/>
                    </w:rPr>
                    <w:t>0.02561</w:t>
                  </w:r>
                </w:p>
              </w:tc>
            </w:tr>
          </w:tbl>
          <w:p w14:paraId="5A96E9C5">
            <w:pPr>
              <w:spacing w:line="360" w:lineRule="auto"/>
              <w:ind w:firstLine="480"/>
              <w:rPr>
                <w:rFonts w:hint="default" w:ascii="Times New Roman" w:hAnsi="Times New Roman" w:eastAsia="宋体" w:cs="Times New Roman"/>
                <w:bCs/>
                <w:color w:val="auto"/>
                <w:kern w:val="1"/>
                <w:sz w:val="24"/>
                <w:szCs w:val="24"/>
                <w:lang w:eastAsia="zh-CN"/>
              </w:rPr>
            </w:pPr>
            <w:r>
              <w:rPr>
                <w:rFonts w:hint="default" w:ascii="Times New Roman" w:hAnsi="Times New Roman" w:cs="Times New Roman"/>
                <w:bCs/>
                <w:color w:val="auto"/>
                <w:kern w:val="1"/>
                <w:sz w:val="24"/>
                <w:szCs w:val="24"/>
              </w:rPr>
              <w:t>根据以上分析，项目Q值小于1，故环境风险潜势为</w:t>
            </w:r>
            <w:r>
              <w:rPr>
                <w:rFonts w:hint="default" w:ascii="Times New Roman" w:hAnsi="Times New Roman" w:cs="Times New Roman"/>
                <w:color w:val="auto"/>
                <w:kern w:val="1"/>
                <w:sz w:val="24"/>
                <w:szCs w:val="24"/>
              </w:rPr>
              <w:t>Ⅰ</w:t>
            </w:r>
            <w:r>
              <w:rPr>
                <w:rFonts w:hint="default" w:ascii="Times New Roman" w:hAnsi="Times New Roman" w:cs="Times New Roman"/>
                <w:color w:val="auto"/>
                <w:kern w:val="1"/>
                <w:sz w:val="24"/>
                <w:szCs w:val="24"/>
                <w:lang w:eastAsia="zh-CN"/>
              </w:rPr>
              <w:t>。</w:t>
            </w:r>
          </w:p>
          <w:p w14:paraId="468A2D66">
            <w:pPr>
              <w:spacing w:line="360" w:lineRule="auto"/>
              <w:ind w:firstLine="480"/>
              <w:rPr>
                <w:rFonts w:hint="default" w:ascii="Times New Roman" w:hAnsi="Times New Roman" w:cs="Times New Roman"/>
                <w:b/>
                <w:color w:val="auto"/>
                <w:kern w:val="1"/>
                <w:sz w:val="24"/>
                <w:szCs w:val="24"/>
              </w:rPr>
            </w:pPr>
            <w:r>
              <w:rPr>
                <w:rFonts w:hint="default" w:ascii="Times New Roman" w:hAnsi="Times New Roman" w:cs="Times New Roman"/>
                <w:color w:val="auto"/>
                <w:kern w:val="1"/>
                <w:sz w:val="24"/>
                <w:szCs w:val="24"/>
              </w:rPr>
              <w:t>按《建设项目环境风险评价技术导则》（HJ169-2018）的要求，评价工作等</w:t>
            </w:r>
            <w:r>
              <w:rPr>
                <w:rFonts w:hint="eastAsia" w:cs="Times New Roman"/>
                <w:color w:val="auto"/>
                <w:kern w:val="1"/>
                <w:sz w:val="24"/>
                <w:szCs w:val="24"/>
                <w:lang w:eastAsia="zh-CN"/>
              </w:rPr>
              <w:t>级</w:t>
            </w:r>
            <w:r>
              <w:rPr>
                <w:rFonts w:hint="default" w:ascii="Times New Roman" w:hAnsi="Times New Roman" w:cs="Times New Roman"/>
                <w:color w:val="auto"/>
                <w:kern w:val="1"/>
                <w:sz w:val="24"/>
                <w:szCs w:val="24"/>
              </w:rPr>
              <w:t>划分见表</w:t>
            </w:r>
            <w:r>
              <w:rPr>
                <w:rFonts w:hint="default" w:ascii="Times New Roman" w:hAnsi="Times New Roman" w:cs="Times New Roman"/>
                <w:color w:val="auto"/>
                <w:kern w:val="1"/>
                <w:sz w:val="24"/>
                <w:szCs w:val="24"/>
                <w:lang w:val="en-US" w:eastAsia="zh-CN"/>
              </w:rPr>
              <w:t>4-2</w:t>
            </w:r>
            <w:r>
              <w:rPr>
                <w:rFonts w:hint="eastAsia" w:cs="Times New Roman"/>
                <w:color w:val="auto"/>
                <w:kern w:val="1"/>
                <w:sz w:val="24"/>
                <w:szCs w:val="24"/>
                <w:lang w:val="en-US" w:eastAsia="zh-CN"/>
              </w:rPr>
              <w:t>3</w:t>
            </w:r>
            <w:r>
              <w:rPr>
                <w:rFonts w:hint="default" w:ascii="Times New Roman" w:hAnsi="Times New Roman" w:cs="Times New Roman"/>
                <w:color w:val="auto"/>
                <w:kern w:val="1"/>
                <w:sz w:val="24"/>
                <w:szCs w:val="24"/>
              </w:rPr>
              <w:t>。</w:t>
            </w:r>
          </w:p>
          <w:p w14:paraId="6CBC1BA2">
            <w:pPr>
              <w:pStyle w:val="12"/>
              <w:spacing w:after="0" w:line="240" w:lineRule="auto"/>
              <w:ind w:left="0" w:leftChars="0"/>
              <w:jc w:val="center"/>
              <w:rPr>
                <w:rFonts w:hint="default" w:ascii="Times New Roman" w:hAnsi="Times New Roman" w:eastAsia="宋体" w:cs="Times New Roman"/>
                <w:b/>
                <w:color w:val="auto"/>
                <w:kern w:val="1"/>
                <w:sz w:val="21"/>
                <w:szCs w:val="22"/>
              </w:rPr>
            </w:pPr>
            <w:r>
              <w:rPr>
                <w:rFonts w:hint="default" w:ascii="Times New Roman" w:hAnsi="Times New Roman" w:eastAsia="宋体" w:cs="Times New Roman"/>
                <w:b/>
                <w:color w:val="auto"/>
                <w:kern w:val="1"/>
                <w:sz w:val="21"/>
                <w:szCs w:val="22"/>
              </w:rPr>
              <w:t>表</w:t>
            </w:r>
            <w:r>
              <w:rPr>
                <w:rFonts w:hint="default" w:ascii="Times New Roman" w:hAnsi="Times New Roman" w:eastAsia="宋体" w:cs="Times New Roman"/>
                <w:b/>
                <w:color w:val="auto"/>
                <w:kern w:val="1"/>
                <w:sz w:val="21"/>
                <w:szCs w:val="22"/>
                <w:lang w:val="en-US" w:eastAsia="zh-CN"/>
              </w:rPr>
              <w:t>4-2</w:t>
            </w:r>
            <w:r>
              <w:rPr>
                <w:rFonts w:hint="eastAsia" w:cs="Times New Roman"/>
                <w:b/>
                <w:color w:val="auto"/>
                <w:kern w:val="1"/>
                <w:sz w:val="21"/>
                <w:szCs w:val="22"/>
                <w:lang w:val="en-US" w:eastAsia="zh-CN"/>
              </w:rPr>
              <w:t>3</w:t>
            </w:r>
            <w:r>
              <w:rPr>
                <w:rFonts w:hint="default" w:ascii="Times New Roman" w:hAnsi="Times New Roman" w:eastAsia="宋体" w:cs="Times New Roman"/>
                <w:b/>
                <w:color w:val="auto"/>
                <w:kern w:val="1"/>
                <w:sz w:val="21"/>
                <w:szCs w:val="22"/>
              </w:rPr>
              <w:t xml:space="preserve">   评价工作等</w:t>
            </w:r>
            <w:r>
              <w:rPr>
                <w:rFonts w:hint="eastAsia" w:cs="Times New Roman"/>
                <w:b/>
                <w:color w:val="auto"/>
                <w:kern w:val="1"/>
                <w:sz w:val="21"/>
                <w:szCs w:val="22"/>
                <w:lang w:eastAsia="zh-CN"/>
              </w:rPr>
              <w:t>级</w:t>
            </w:r>
            <w:r>
              <w:rPr>
                <w:rFonts w:hint="default" w:ascii="Times New Roman" w:hAnsi="Times New Roman" w:eastAsia="宋体" w:cs="Times New Roman"/>
                <w:b/>
                <w:color w:val="auto"/>
                <w:kern w:val="1"/>
                <w:sz w:val="21"/>
                <w:szCs w:val="22"/>
              </w:rPr>
              <w:t>划分</w:t>
            </w:r>
          </w:p>
          <w:tbl>
            <w:tblPr>
              <w:tblStyle w:val="27"/>
              <w:tblW w:w="0" w:type="auto"/>
              <w:jc w:val="center"/>
              <w:tblLayout w:type="fixed"/>
              <w:tblCellMar>
                <w:top w:w="0" w:type="dxa"/>
                <w:left w:w="108" w:type="dxa"/>
                <w:bottom w:w="0" w:type="dxa"/>
                <w:right w:w="108" w:type="dxa"/>
              </w:tblCellMar>
            </w:tblPr>
            <w:tblGrid>
              <w:gridCol w:w="1922"/>
              <w:gridCol w:w="1382"/>
              <w:gridCol w:w="1128"/>
              <w:gridCol w:w="1416"/>
              <w:gridCol w:w="2810"/>
            </w:tblGrid>
            <w:tr w14:paraId="05B3B2C7">
              <w:tblPrEx>
                <w:tblCellMar>
                  <w:top w:w="0" w:type="dxa"/>
                  <w:left w:w="108" w:type="dxa"/>
                  <w:bottom w:w="0" w:type="dxa"/>
                  <w:right w:w="108" w:type="dxa"/>
                </w:tblCellMar>
              </w:tblPrEx>
              <w:trPr>
                <w:trHeight w:val="434" w:hRule="atLeast"/>
                <w:jc w:val="center"/>
              </w:trPr>
              <w:tc>
                <w:tcPr>
                  <w:tcW w:w="1922" w:type="dxa"/>
                  <w:tcBorders>
                    <w:top w:val="single" w:color="000000" w:sz="4" w:space="0"/>
                    <w:left w:val="single" w:color="000000" w:sz="4" w:space="0"/>
                    <w:bottom w:val="single" w:color="000000" w:sz="4" w:space="0"/>
                    <w:right w:val="single" w:color="000000" w:sz="4" w:space="0"/>
                  </w:tcBorders>
                  <w:noWrap w:val="0"/>
                  <w:vAlign w:val="center"/>
                </w:tcPr>
                <w:p w14:paraId="552C1CA8">
                  <w:pPr>
                    <w:pStyle w:val="12"/>
                    <w:spacing w:after="0"/>
                    <w:ind w:left="-18" w:leftChars="-15" w:hanging="13" w:hangingChars="6"/>
                    <w:jc w:val="center"/>
                    <w:rPr>
                      <w:rFonts w:hint="default" w:ascii="Times New Roman" w:hAnsi="Times New Roman" w:cs="Times New Roman"/>
                      <w:b/>
                      <w:bCs/>
                      <w:color w:val="auto"/>
                      <w:kern w:val="1"/>
                      <w:sz w:val="21"/>
                      <w:szCs w:val="22"/>
                    </w:rPr>
                  </w:pPr>
                  <w:r>
                    <w:rPr>
                      <w:rFonts w:hint="default" w:ascii="Times New Roman" w:hAnsi="Times New Roman" w:cs="Times New Roman"/>
                      <w:b/>
                      <w:bCs/>
                      <w:color w:val="auto"/>
                      <w:kern w:val="1"/>
                      <w:sz w:val="21"/>
                      <w:szCs w:val="22"/>
                    </w:rPr>
                    <w:t>环境风险态势</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14:paraId="643E5B2B">
                  <w:pPr>
                    <w:pStyle w:val="12"/>
                    <w:spacing w:after="0"/>
                    <w:ind w:left="0" w:leftChars="0" w:firstLine="211" w:firstLineChars="100"/>
                    <w:rPr>
                      <w:rFonts w:hint="default" w:ascii="Times New Roman" w:hAnsi="Times New Roman" w:cs="Times New Roman"/>
                      <w:b/>
                      <w:bCs/>
                      <w:color w:val="auto"/>
                      <w:kern w:val="1"/>
                      <w:sz w:val="21"/>
                      <w:szCs w:val="22"/>
                    </w:rPr>
                  </w:pPr>
                  <w:r>
                    <w:rPr>
                      <w:rFonts w:hint="default" w:ascii="Times New Roman" w:hAnsi="Times New Roman" w:cs="Times New Roman"/>
                      <w:b/>
                      <w:bCs/>
                      <w:color w:val="auto"/>
                      <w:kern w:val="1"/>
                      <w:sz w:val="21"/>
                      <w:szCs w:val="22"/>
                    </w:rPr>
                    <w:t>Ⅳ、Ⅳ</w:t>
                  </w:r>
                  <w:r>
                    <w:rPr>
                      <w:rFonts w:hint="default" w:ascii="Times New Roman" w:hAnsi="Times New Roman" w:cs="Times New Roman"/>
                      <w:b/>
                      <w:bCs/>
                      <w:color w:val="auto"/>
                      <w:kern w:val="1"/>
                      <w:sz w:val="21"/>
                      <w:szCs w:val="22"/>
                      <w:vertAlign w:val="superscript"/>
                    </w:rPr>
                    <w:t>+</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2CDA9B1A">
                  <w:pPr>
                    <w:pStyle w:val="12"/>
                    <w:spacing w:after="0"/>
                    <w:ind w:left="0" w:leftChars="0"/>
                    <w:jc w:val="center"/>
                    <w:rPr>
                      <w:rFonts w:hint="default" w:ascii="Times New Roman" w:hAnsi="Times New Roman" w:cs="Times New Roman"/>
                      <w:b/>
                      <w:bCs/>
                      <w:color w:val="auto"/>
                      <w:kern w:val="1"/>
                      <w:sz w:val="21"/>
                      <w:szCs w:val="22"/>
                    </w:rPr>
                  </w:pPr>
                  <w:r>
                    <w:rPr>
                      <w:rFonts w:hint="default" w:ascii="Times New Roman" w:hAnsi="Times New Roman" w:cs="Times New Roman"/>
                      <w:b/>
                      <w:bCs/>
                      <w:color w:val="auto"/>
                      <w:kern w:val="1"/>
                      <w:sz w:val="21"/>
                      <w:szCs w:val="22"/>
                    </w:rPr>
                    <w:t>Ⅲ</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7ACE809A">
                  <w:pPr>
                    <w:pStyle w:val="12"/>
                    <w:spacing w:after="0"/>
                    <w:ind w:left="0" w:leftChars="0"/>
                    <w:jc w:val="center"/>
                    <w:rPr>
                      <w:rFonts w:hint="default" w:ascii="Times New Roman" w:hAnsi="Times New Roman" w:cs="Times New Roman"/>
                      <w:b/>
                      <w:bCs/>
                      <w:color w:val="auto"/>
                      <w:kern w:val="1"/>
                      <w:sz w:val="21"/>
                      <w:szCs w:val="22"/>
                    </w:rPr>
                  </w:pPr>
                  <w:r>
                    <w:rPr>
                      <w:rFonts w:hint="default" w:ascii="Times New Roman" w:hAnsi="Times New Roman" w:cs="Times New Roman"/>
                      <w:b/>
                      <w:bCs/>
                      <w:color w:val="auto"/>
                      <w:kern w:val="1"/>
                      <w:sz w:val="21"/>
                      <w:szCs w:val="22"/>
                    </w:rPr>
                    <w:t>Ⅱ</w:t>
                  </w:r>
                </w:p>
              </w:tc>
              <w:tc>
                <w:tcPr>
                  <w:tcW w:w="2810" w:type="dxa"/>
                  <w:tcBorders>
                    <w:top w:val="single" w:color="000000" w:sz="4" w:space="0"/>
                    <w:left w:val="single" w:color="000000" w:sz="4" w:space="0"/>
                    <w:bottom w:val="single" w:color="000000" w:sz="4" w:space="0"/>
                    <w:right w:val="single" w:color="000000" w:sz="4" w:space="0"/>
                  </w:tcBorders>
                  <w:noWrap w:val="0"/>
                  <w:vAlign w:val="center"/>
                </w:tcPr>
                <w:p w14:paraId="27E88ED3">
                  <w:pPr>
                    <w:pStyle w:val="12"/>
                    <w:spacing w:after="0"/>
                    <w:ind w:left="0" w:leftChars="0"/>
                    <w:jc w:val="center"/>
                    <w:rPr>
                      <w:rFonts w:hint="default" w:ascii="Times New Roman" w:hAnsi="Times New Roman" w:cs="Times New Roman"/>
                      <w:b/>
                      <w:bCs/>
                      <w:color w:val="auto"/>
                      <w:kern w:val="1"/>
                      <w:sz w:val="21"/>
                      <w:szCs w:val="22"/>
                    </w:rPr>
                  </w:pPr>
                  <w:r>
                    <w:rPr>
                      <w:rFonts w:hint="default" w:ascii="Times New Roman" w:hAnsi="Times New Roman" w:cs="Times New Roman"/>
                      <w:b/>
                      <w:bCs/>
                      <w:color w:val="auto"/>
                      <w:kern w:val="1"/>
                      <w:sz w:val="21"/>
                      <w:szCs w:val="22"/>
                    </w:rPr>
                    <w:t>Ⅰ</w:t>
                  </w:r>
                </w:p>
              </w:tc>
            </w:tr>
            <w:tr w14:paraId="3A1C9EA3">
              <w:tblPrEx>
                <w:tblCellMar>
                  <w:top w:w="0" w:type="dxa"/>
                  <w:left w:w="108" w:type="dxa"/>
                  <w:bottom w:w="0" w:type="dxa"/>
                  <w:right w:w="108" w:type="dxa"/>
                </w:tblCellMar>
              </w:tblPrEx>
              <w:trPr>
                <w:trHeight w:val="406" w:hRule="atLeast"/>
                <w:jc w:val="center"/>
              </w:trPr>
              <w:tc>
                <w:tcPr>
                  <w:tcW w:w="1922" w:type="dxa"/>
                  <w:tcBorders>
                    <w:top w:val="single" w:color="000000" w:sz="4" w:space="0"/>
                    <w:left w:val="single" w:color="000000" w:sz="4" w:space="0"/>
                    <w:bottom w:val="single" w:color="000000" w:sz="4" w:space="0"/>
                    <w:right w:val="single" w:color="000000" w:sz="4" w:space="0"/>
                  </w:tcBorders>
                  <w:noWrap w:val="0"/>
                  <w:vAlign w:val="center"/>
                </w:tcPr>
                <w:p w14:paraId="41E401B7">
                  <w:pPr>
                    <w:pStyle w:val="12"/>
                    <w:spacing w:after="0"/>
                    <w:ind w:left="0" w:leftChars="0"/>
                    <w:jc w:val="center"/>
                    <w:rPr>
                      <w:rFonts w:hint="default" w:ascii="Times New Roman" w:hAnsi="Times New Roman" w:eastAsia="宋体" w:cs="Times New Roman"/>
                      <w:color w:val="auto"/>
                      <w:kern w:val="1"/>
                      <w:sz w:val="21"/>
                      <w:szCs w:val="22"/>
                      <w:lang w:val="en-US" w:eastAsia="zh-CN"/>
                    </w:rPr>
                  </w:pPr>
                  <w:r>
                    <w:rPr>
                      <w:rFonts w:hint="eastAsia" w:cs="Times New Roman"/>
                      <w:color w:val="auto"/>
                      <w:kern w:val="1"/>
                      <w:sz w:val="21"/>
                      <w:szCs w:val="22"/>
                      <w:lang w:val="en-US" w:eastAsia="zh-CN"/>
                    </w:rPr>
                    <w:t>评价工作等级</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14:paraId="510C72D3">
                  <w:pPr>
                    <w:pStyle w:val="12"/>
                    <w:spacing w:after="0"/>
                    <w:ind w:left="480"/>
                    <w:rPr>
                      <w:rFonts w:hint="default" w:ascii="Times New Roman" w:hAnsi="Times New Roman" w:cs="Times New Roman"/>
                      <w:color w:val="auto"/>
                      <w:kern w:val="1"/>
                      <w:sz w:val="21"/>
                      <w:szCs w:val="22"/>
                    </w:rPr>
                  </w:pPr>
                  <w:r>
                    <w:rPr>
                      <w:rFonts w:hint="default" w:ascii="Times New Roman" w:hAnsi="Times New Roman" w:cs="Times New Roman"/>
                      <w:color w:val="auto"/>
                      <w:kern w:val="1"/>
                      <w:sz w:val="21"/>
                      <w:szCs w:val="22"/>
                    </w:rPr>
                    <w:t>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410338A5">
                  <w:pPr>
                    <w:pStyle w:val="12"/>
                    <w:spacing w:after="0"/>
                    <w:ind w:left="0" w:leftChars="0"/>
                    <w:jc w:val="center"/>
                    <w:rPr>
                      <w:rFonts w:hint="default" w:ascii="Times New Roman" w:hAnsi="Times New Roman" w:cs="Times New Roman"/>
                      <w:color w:val="auto"/>
                      <w:kern w:val="1"/>
                      <w:sz w:val="21"/>
                      <w:szCs w:val="22"/>
                    </w:rPr>
                  </w:pPr>
                  <w:r>
                    <w:rPr>
                      <w:rFonts w:hint="default" w:ascii="Times New Roman" w:hAnsi="Times New Roman" w:cs="Times New Roman"/>
                      <w:color w:val="auto"/>
                      <w:kern w:val="1"/>
                      <w:sz w:val="21"/>
                      <w:szCs w:val="22"/>
                    </w:rPr>
                    <w:t>二</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3F194F7F">
                  <w:pPr>
                    <w:pStyle w:val="12"/>
                    <w:spacing w:after="0"/>
                    <w:ind w:left="0" w:leftChars="0"/>
                    <w:jc w:val="center"/>
                    <w:rPr>
                      <w:rFonts w:hint="default" w:ascii="Times New Roman" w:hAnsi="Times New Roman" w:cs="Times New Roman"/>
                      <w:color w:val="auto"/>
                      <w:kern w:val="1"/>
                      <w:sz w:val="21"/>
                      <w:szCs w:val="22"/>
                    </w:rPr>
                  </w:pPr>
                  <w:r>
                    <w:rPr>
                      <w:rFonts w:hint="default" w:ascii="Times New Roman" w:hAnsi="Times New Roman" w:cs="Times New Roman"/>
                      <w:color w:val="auto"/>
                      <w:kern w:val="1"/>
                      <w:sz w:val="21"/>
                      <w:szCs w:val="22"/>
                    </w:rPr>
                    <w:t>一</w:t>
                  </w:r>
                </w:p>
              </w:tc>
              <w:tc>
                <w:tcPr>
                  <w:tcW w:w="2810" w:type="dxa"/>
                  <w:tcBorders>
                    <w:top w:val="single" w:color="000000" w:sz="4" w:space="0"/>
                    <w:left w:val="single" w:color="000000" w:sz="4" w:space="0"/>
                    <w:bottom w:val="single" w:color="000000" w:sz="4" w:space="0"/>
                    <w:right w:val="single" w:color="000000" w:sz="4" w:space="0"/>
                  </w:tcBorders>
                  <w:noWrap w:val="0"/>
                  <w:vAlign w:val="center"/>
                </w:tcPr>
                <w:p w14:paraId="226E435A">
                  <w:pPr>
                    <w:pStyle w:val="12"/>
                    <w:spacing w:after="0"/>
                    <w:ind w:left="0" w:leftChars="0"/>
                    <w:jc w:val="center"/>
                    <w:rPr>
                      <w:rFonts w:hint="default" w:ascii="Times New Roman" w:hAnsi="Times New Roman" w:cs="Times New Roman"/>
                      <w:color w:val="auto"/>
                      <w:kern w:val="1"/>
                      <w:sz w:val="21"/>
                      <w:szCs w:val="22"/>
                    </w:rPr>
                  </w:pPr>
                  <w:r>
                    <w:rPr>
                      <w:rFonts w:hint="default" w:ascii="Times New Roman" w:hAnsi="Times New Roman" w:cs="Times New Roman"/>
                      <w:color w:val="auto"/>
                      <w:kern w:val="1"/>
                      <w:sz w:val="21"/>
                      <w:szCs w:val="22"/>
                    </w:rPr>
                    <w:t>简单分析</w:t>
                  </w:r>
                </w:p>
              </w:tc>
            </w:tr>
          </w:tbl>
          <w:p w14:paraId="41E2CD16">
            <w:pPr>
              <w:spacing w:line="360" w:lineRule="auto"/>
              <w:ind w:firstLine="480" w:firstLineChars="200"/>
              <w:rPr>
                <w:rFonts w:hint="default" w:ascii="Times New Roman" w:hAnsi="Times New Roman" w:cs="Times New Roman"/>
                <w:color w:val="auto"/>
                <w:kern w:val="1"/>
                <w:sz w:val="24"/>
                <w:szCs w:val="22"/>
              </w:rPr>
            </w:pPr>
            <w:r>
              <w:rPr>
                <w:rFonts w:hint="default" w:ascii="Times New Roman" w:hAnsi="Times New Roman" w:cs="Times New Roman"/>
                <w:color w:val="auto"/>
                <w:kern w:val="1"/>
                <w:sz w:val="24"/>
                <w:szCs w:val="22"/>
              </w:rPr>
              <w:t>根据以上分析，项目环境风险评价工作等级简单分析即可。</w:t>
            </w:r>
          </w:p>
          <w:p w14:paraId="45B1B638">
            <w:pPr>
              <w:spacing w:line="360" w:lineRule="auto"/>
              <w:ind w:firstLine="482" w:firstLineChars="200"/>
              <w:rPr>
                <w:rFonts w:hint="default" w:ascii="Times New Roman" w:hAnsi="Times New Roman" w:cs="Times New Roman"/>
                <w:b/>
                <w:color w:val="auto"/>
                <w:kern w:val="1"/>
                <w:sz w:val="24"/>
                <w:szCs w:val="24"/>
              </w:rPr>
            </w:pPr>
            <w:r>
              <w:rPr>
                <w:rFonts w:hint="default" w:ascii="Times New Roman" w:hAnsi="Times New Roman" w:cs="Times New Roman"/>
                <w:b/>
                <w:color w:val="auto"/>
                <w:kern w:val="1"/>
                <w:sz w:val="24"/>
                <w:szCs w:val="24"/>
                <w:lang w:val="en-US" w:eastAsia="zh-CN"/>
              </w:rPr>
              <w:t>2、</w:t>
            </w:r>
            <w:r>
              <w:rPr>
                <w:rFonts w:hint="default" w:ascii="Times New Roman" w:hAnsi="Times New Roman" w:cs="Times New Roman"/>
                <w:b/>
                <w:color w:val="auto"/>
                <w:kern w:val="1"/>
                <w:sz w:val="24"/>
                <w:szCs w:val="24"/>
              </w:rPr>
              <w:t>环境风险识别</w:t>
            </w:r>
          </w:p>
          <w:p w14:paraId="55F6FD70">
            <w:pPr>
              <w:spacing w:line="360" w:lineRule="auto"/>
              <w:ind w:firstLine="480" w:firstLineChars="200"/>
              <w:rPr>
                <w:rFonts w:hint="default" w:ascii="Times New Roman" w:hAnsi="Times New Roman" w:cs="Times New Roman"/>
                <w:color w:val="auto"/>
                <w:kern w:val="1"/>
                <w:sz w:val="24"/>
                <w:szCs w:val="24"/>
              </w:rPr>
            </w:pPr>
            <w:r>
              <w:rPr>
                <w:rFonts w:hint="default" w:ascii="Times New Roman" w:hAnsi="Times New Roman" w:cs="Times New Roman"/>
                <w:color w:val="auto"/>
                <w:kern w:val="1"/>
                <w:sz w:val="24"/>
                <w:szCs w:val="24"/>
              </w:rPr>
              <w:t>根据《建设项目环境风险评价技术导则》（HJ169-2018）和《环境风险评价实用技术和方法》规定，风险评价首先要确定建设项目所用原辅材料的毒性、易燃易爆性等危险性级别。项目使用的汽油、柴油属于易燃物质，具有燃烧爆炸性。且油品泄漏将会对周围环境造成较大影响。主要影响途径为通过大气、地表水和地下水影响环境。</w:t>
            </w:r>
          </w:p>
          <w:p w14:paraId="0D7BE494">
            <w:pPr>
              <w:pStyle w:val="6"/>
              <w:bidi w:val="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4-2</w:t>
            </w:r>
            <w:r>
              <w:rPr>
                <w:rFonts w:hint="eastAsia" w:cs="Times New Roman"/>
                <w:b/>
                <w:bCs/>
                <w:color w:val="auto"/>
                <w:lang w:val="en-US" w:eastAsia="zh-CN"/>
              </w:rPr>
              <w:t>4</w:t>
            </w:r>
            <w:r>
              <w:rPr>
                <w:rFonts w:hint="default" w:ascii="Times New Roman" w:hAnsi="Times New Roman" w:cs="Times New Roman"/>
                <w:b/>
                <w:bCs/>
                <w:color w:val="auto"/>
                <w:lang w:val="en-US" w:eastAsia="zh-CN"/>
              </w:rPr>
              <w:t xml:space="preserve"> 环境</w:t>
            </w:r>
            <w:r>
              <w:rPr>
                <w:rFonts w:hint="default" w:ascii="Times New Roman" w:hAnsi="Times New Roman" w:cs="Times New Roman"/>
                <w:b/>
                <w:bCs/>
                <w:color w:val="auto"/>
              </w:rPr>
              <w:t>风险识别</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312"/>
              <w:gridCol w:w="1963"/>
              <w:gridCol w:w="2758"/>
              <w:gridCol w:w="1889"/>
            </w:tblGrid>
            <w:tr w14:paraId="4D89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76" w:type="dxa"/>
                  <w:noWrap w:val="0"/>
                  <w:vAlign w:val="center"/>
                </w:tcPr>
                <w:p w14:paraId="1095C4B5">
                  <w:pPr>
                    <w:pStyle w:val="12"/>
                    <w:spacing w:after="0"/>
                    <w:ind w:left="0" w:leftChars="0"/>
                    <w:jc w:val="center"/>
                    <w:rPr>
                      <w:rFonts w:hint="default" w:ascii="Times New Roman" w:hAnsi="Times New Roman" w:eastAsia="宋体" w:cs="Times New Roman"/>
                      <w:b/>
                      <w:bCs/>
                      <w:color w:val="auto"/>
                      <w:kern w:val="1"/>
                      <w:sz w:val="21"/>
                      <w:szCs w:val="22"/>
                    </w:rPr>
                  </w:pPr>
                  <w:r>
                    <w:rPr>
                      <w:rFonts w:hint="default" w:ascii="Times New Roman" w:hAnsi="Times New Roman" w:eastAsia="宋体" w:cs="Times New Roman"/>
                      <w:b/>
                      <w:bCs/>
                      <w:color w:val="auto"/>
                      <w:kern w:val="1"/>
                      <w:sz w:val="21"/>
                      <w:szCs w:val="22"/>
                    </w:rPr>
                    <w:t>编号</w:t>
                  </w:r>
                </w:p>
              </w:tc>
              <w:tc>
                <w:tcPr>
                  <w:tcW w:w="1312" w:type="dxa"/>
                  <w:noWrap w:val="0"/>
                  <w:vAlign w:val="center"/>
                </w:tcPr>
                <w:p w14:paraId="19607CC8">
                  <w:pPr>
                    <w:pStyle w:val="12"/>
                    <w:spacing w:after="0"/>
                    <w:ind w:left="0" w:leftChars="0"/>
                    <w:jc w:val="center"/>
                    <w:rPr>
                      <w:rFonts w:hint="default" w:ascii="Times New Roman" w:hAnsi="Times New Roman" w:eastAsia="宋体" w:cs="Times New Roman"/>
                      <w:b/>
                      <w:bCs/>
                      <w:color w:val="auto"/>
                      <w:kern w:val="1"/>
                      <w:sz w:val="21"/>
                      <w:szCs w:val="22"/>
                    </w:rPr>
                  </w:pPr>
                  <w:r>
                    <w:rPr>
                      <w:rFonts w:hint="default" w:ascii="Times New Roman" w:hAnsi="Times New Roman" w:eastAsia="宋体" w:cs="Times New Roman"/>
                      <w:b/>
                      <w:bCs/>
                      <w:color w:val="auto"/>
                      <w:kern w:val="1"/>
                      <w:sz w:val="21"/>
                      <w:szCs w:val="22"/>
                    </w:rPr>
                    <w:t>主要设施</w:t>
                  </w:r>
                </w:p>
              </w:tc>
              <w:tc>
                <w:tcPr>
                  <w:tcW w:w="1963" w:type="dxa"/>
                  <w:noWrap w:val="0"/>
                  <w:vAlign w:val="center"/>
                </w:tcPr>
                <w:p w14:paraId="79183B93">
                  <w:pPr>
                    <w:pStyle w:val="12"/>
                    <w:spacing w:after="0"/>
                    <w:ind w:left="0" w:leftChars="0"/>
                    <w:jc w:val="center"/>
                    <w:rPr>
                      <w:rFonts w:hint="default" w:ascii="Times New Roman" w:hAnsi="Times New Roman" w:eastAsia="宋体" w:cs="Times New Roman"/>
                      <w:b/>
                      <w:bCs/>
                      <w:color w:val="auto"/>
                      <w:kern w:val="1"/>
                      <w:sz w:val="21"/>
                      <w:szCs w:val="22"/>
                    </w:rPr>
                  </w:pPr>
                  <w:r>
                    <w:rPr>
                      <w:rFonts w:hint="default" w:ascii="Times New Roman" w:hAnsi="Times New Roman" w:eastAsia="宋体" w:cs="Times New Roman"/>
                      <w:b/>
                      <w:bCs/>
                      <w:color w:val="auto"/>
                      <w:kern w:val="1"/>
                      <w:sz w:val="21"/>
                      <w:szCs w:val="22"/>
                      <w:lang w:val="en-US" w:eastAsia="zh-CN"/>
                    </w:rPr>
                    <w:t>环境风险</w:t>
                  </w:r>
                  <w:r>
                    <w:rPr>
                      <w:rFonts w:hint="default" w:ascii="Times New Roman" w:hAnsi="Times New Roman" w:eastAsia="宋体" w:cs="Times New Roman"/>
                      <w:b/>
                      <w:bCs/>
                      <w:color w:val="auto"/>
                      <w:kern w:val="1"/>
                      <w:sz w:val="21"/>
                      <w:szCs w:val="22"/>
                    </w:rPr>
                    <w:t>物质</w:t>
                  </w:r>
                </w:p>
              </w:tc>
              <w:tc>
                <w:tcPr>
                  <w:tcW w:w="2758" w:type="dxa"/>
                  <w:noWrap w:val="0"/>
                  <w:vAlign w:val="center"/>
                </w:tcPr>
                <w:p w14:paraId="56C74B96">
                  <w:pPr>
                    <w:pStyle w:val="12"/>
                    <w:spacing w:after="0"/>
                    <w:ind w:left="0" w:leftChars="0"/>
                    <w:jc w:val="center"/>
                    <w:rPr>
                      <w:rFonts w:hint="default" w:ascii="Times New Roman" w:hAnsi="Times New Roman" w:eastAsia="宋体" w:cs="Times New Roman"/>
                      <w:b/>
                      <w:bCs/>
                      <w:color w:val="auto"/>
                      <w:kern w:val="1"/>
                      <w:sz w:val="21"/>
                      <w:szCs w:val="22"/>
                    </w:rPr>
                  </w:pPr>
                  <w:r>
                    <w:rPr>
                      <w:rFonts w:hint="default" w:ascii="Times New Roman" w:hAnsi="Times New Roman" w:eastAsia="宋体" w:cs="Times New Roman"/>
                      <w:b/>
                      <w:bCs/>
                      <w:color w:val="auto"/>
                      <w:kern w:val="1"/>
                      <w:sz w:val="21"/>
                      <w:szCs w:val="22"/>
                    </w:rPr>
                    <w:t>风险类型</w:t>
                  </w:r>
                </w:p>
              </w:tc>
              <w:tc>
                <w:tcPr>
                  <w:tcW w:w="1889" w:type="dxa"/>
                  <w:noWrap w:val="0"/>
                  <w:vAlign w:val="center"/>
                </w:tcPr>
                <w:p w14:paraId="0C7ADE55">
                  <w:pPr>
                    <w:pStyle w:val="12"/>
                    <w:spacing w:after="0"/>
                    <w:ind w:left="0" w:leftChars="0"/>
                    <w:jc w:val="center"/>
                    <w:rPr>
                      <w:rFonts w:hint="default" w:ascii="Times New Roman" w:hAnsi="Times New Roman" w:eastAsia="宋体" w:cs="Times New Roman"/>
                      <w:b/>
                      <w:bCs/>
                      <w:color w:val="auto"/>
                      <w:kern w:val="1"/>
                      <w:sz w:val="21"/>
                      <w:szCs w:val="22"/>
                    </w:rPr>
                  </w:pPr>
                  <w:r>
                    <w:rPr>
                      <w:rFonts w:hint="default" w:ascii="Times New Roman" w:hAnsi="Times New Roman" w:eastAsia="宋体" w:cs="Times New Roman"/>
                      <w:b/>
                      <w:bCs/>
                      <w:color w:val="auto"/>
                      <w:kern w:val="1"/>
                      <w:sz w:val="21"/>
                      <w:szCs w:val="22"/>
                    </w:rPr>
                    <w:t>风险设施情况</w:t>
                  </w:r>
                </w:p>
              </w:tc>
            </w:tr>
            <w:tr w14:paraId="629A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76" w:type="dxa"/>
                  <w:noWrap w:val="0"/>
                  <w:vAlign w:val="center"/>
                </w:tcPr>
                <w:p w14:paraId="05539CA7">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1</w:t>
                  </w:r>
                </w:p>
              </w:tc>
              <w:tc>
                <w:tcPr>
                  <w:tcW w:w="1312" w:type="dxa"/>
                  <w:noWrap w:val="0"/>
                  <w:vAlign w:val="center"/>
                </w:tcPr>
                <w:p w14:paraId="105AB9A3">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柴油储罐</w:t>
                  </w:r>
                </w:p>
                <w:p w14:paraId="6996C35C">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汽油储罐</w:t>
                  </w:r>
                </w:p>
              </w:tc>
              <w:tc>
                <w:tcPr>
                  <w:tcW w:w="1963" w:type="dxa"/>
                  <w:noWrap w:val="0"/>
                  <w:vAlign w:val="center"/>
                </w:tcPr>
                <w:p w14:paraId="2F4CA696">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汽油、柴油</w:t>
                  </w:r>
                </w:p>
              </w:tc>
              <w:tc>
                <w:tcPr>
                  <w:tcW w:w="2758" w:type="dxa"/>
                  <w:noWrap w:val="0"/>
                  <w:vAlign w:val="center"/>
                </w:tcPr>
                <w:p w14:paraId="4C80C66A">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火灾、爆炸、溢油、泄漏</w:t>
                  </w:r>
                </w:p>
              </w:tc>
              <w:tc>
                <w:tcPr>
                  <w:tcW w:w="1889" w:type="dxa"/>
                  <w:noWrap w:val="0"/>
                  <w:vAlign w:val="center"/>
                </w:tcPr>
                <w:p w14:paraId="0FECB3A4">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油罐区</w:t>
                  </w:r>
                </w:p>
              </w:tc>
            </w:tr>
            <w:tr w14:paraId="4A71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76" w:type="dxa"/>
                  <w:noWrap w:val="0"/>
                  <w:vAlign w:val="center"/>
                </w:tcPr>
                <w:p w14:paraId="27A8DF94">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2</w:t>
                  </w:r>
                </w:p>
              </w:tc>
              <w:tc>
                <w:tcPr>
                  <w:tcW w:w="1312" w:type="dxa"/>
                  <w:noWrap w:val="0"/>
                  <w:vAlign w:val="center"/>
                </w:tcPr>
                <w:p w14:paraId="4DEF4989">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卸油罐车</w:t>
                  </w:r>
                </w:p>
              </w:tc>
              <w:tc>
                <w:tcPr>
                  <w:tcW w:w="1963" w:type="dxa"/>
                  <w:noWrap w:val="0"/>
                  <w:vAlign w:val="center"/>
                </w:tcPr>
                <w:p w14:paraId="49A0251B">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汽油、柴油</w:t>
                  </w:r>
                </w:p>
              </w:tc>
              <w:tc>
                <w:tcPr>
                  <w:tcW w:w="2758" w:type="dxa"/>
                  <w:noWrap w:val="0"/>
                  <w:vAlign w:val="center"/>
                </w:tcPr>
                <w:p w14:paraId="34E68D2D">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火灾、爆炸、溢油、泄漏</w:t>
                  </w:r>
                </w:p>
              </w:tc>
              <w:tc>
                <w:tcPr>
                  <w:tcW w:w="1889" w:type="dxa"/>
                  <w:noWrap w:val="0"/>
                  <w:vAlign w:val="center"/>
                </w:tcPr>
                <w:p w14:paraId="5A768AB4">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卸油区</w:t>
                  </w:r>
                </w:p>
              </w:tc>
            </w:tr>
            <w:tr w14:paraId="0699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76" w:type="dxa"/>
                  <w:noWrap w:val="0"/>
                  <w:vAlign w:val="center"/>
                </w:tcPr>
                <w:p w14:paraId="08A62358">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3</w:t>
                  </w:r>
                </w:p>
              </w:tc>
              <w:tc>
                <w:tcPr>
                  <w:tcW w:w="1312" w:type="dxa"/>
                  <w:noWrap w:val="0"/>
                  <w:vAlign w:val="center"/>
                </w:tcPr>
                <w:p w14:paraId="493C1819">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加油机</w:t>
                  </w:r>
                </w:p>
              </w:tc>
              <w:tc>
                <w:tcPr>
                  <w:tcW w:w="1963" w:type="dxa"/>
                  <w:noWrap w:val="0"/>
                  <w:vAlign w:val="center"/>
                </w:tcPr>
                <w:p w14:paraId="5A119634">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汽油、柴油</w:t>
                  </w:r>
                </w:p>
              </w:tc>
              <w:tc>
                <w:tcPr>
                  <w:tcW w:w="2758" w:type="dxa"/>
                  <w:noWrap w:val="0"/>
                  <w:vAlign w:val="center"/>
                </w:tcPr>
                <w:p w14:paraId="26421CD1">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火灾、爆炸、溢油、泄漏</w:t>
                  </w:r>
                </w:p>
              </w:tc>
              <w:tc>
                <w:tcPr>
                  <w:tcW w:w="1889" w:type="dxa"/>
                  <w:noWrap w:val="0"/>
                  <w:vAlign w:val="center"/>
                </w:tcPr>
                <w:p w14:paraId="017B81A6">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加油区</w:t>
                  </w:r>
                </w:p>
              </w:tc>
            </w:tr>
            <w:tr w14:paraId="5062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76" w:type="dxa"/>
                  <w:noWrap w:val="0"/>
                  <w:vAlign w:val="center"/>
                </w:tcPr>
                <w:p w14:paraId="6876143A">
                  <w:pPr>
                    <w:pStyle w:val="12"/>
                    <w:spacing w:after="0"/>
                    <w:ind w:left="0" w:leftChars="0"/>
                    <w:jc w:val="center"/>
                    <w:rPr>
                      <w:rFonts w:hint="eastAsia" w:ascii="Times New Roman" w:hAnsi="Times New Roman" w:eastAsia="宋体" w:cs="Times New Roman"/>
                      <w:color w:val="auto"/>
                      <w:kern w:val="1"/>
                      <w:sz w:val="21"/>
                      <w:szCs w:val="22"/>
                      <w:lang w:val="en-US" w:eastAsia="zh-CN"/>
                    </w:rPr>
                  </w:pPr>
                  <w:r>
                    <w:rPr>
                      <w:rFonts w:hint="eastAsia" w:cs="Times New Roman"/>
                      <w:color w:val="auto"/>
                      <w:kern w:val="1"/>
                      <w:sz w:val="21"/>
                      <w:szCs w:val="22"/>
                      <w:lang w:val="en-US" w:eastAsia="zh-CN"/>
                    </w:rPr>
                    <w:t>4</w:t>
                  </w:r>
                </w:p>
              </w:tc>
              <w:tc>
                <w:tcPr>
                  <w:tcW w:w="1312" w:type="dxa"/>
                  <w:noWrap w:val="0"/>
                  <w:vAlign w:val="center"/>
                </w:tcPr>
                <w:p w14:paraId="6B414A1F">
                  <w:pPr>
                    <w:pStyle w:val="12"/>
                    <w:spacing w:after="0"/>
                    <w:ind w:left="0" w:leftChars="0"/>
                    <w:jc w:val="center"/>
                    <w:rPr>
                      <w:rFonts w:hint="default" w:ascii="Times New Roman" w:hAnsi="Times New Roman" w:eastAsia="宋体" w:cs="Times New Roman"/>
                      <w:color w:val="auto"/>
                      <w:kern w:val="1"/>
                      <w:sz w:val="21"/>
                      <w:szCs w:val="22"/>
                      <w:lang w:val="en-US" w:eastAsia="zh-CN"/>
                    </w:rPr>
                  </w:pPr>
                  <w:r>
                    <w:rPr>
                      <w:rFonts w:hint="eastAsia" w:cs="Times New Roman"/>
                      <w:color w:val="auto"/>
                      <w:kern w:val="1"/>
                      <w:sz w:val="21"/>
                      <w:szCs w:val="22"/>
                      <w:lang w:val="en-US" w:eastAsia="zh-CN"/>
                    </w:rPr>
                    <w:t>危废收集桶</w:t>
                  </w:r>
                </w:p>
              </w:tc>
              <w:tc>
                <w:tcPr>
                  <w:tcW w:w="1963" w:type="dxa"/>
                  <w:noWrap w:val="0"/>
                  <w:vAlign w:val="center"/>
                </w:tcPr>
                <w:p w14:paraId="08DF8F22">
                  <w:pPr>
                    <w:pStyle w:val="12"/>
                    <w:spacing w:after="0"/>
                    <w:ind w:left="0" w:leftChars="0"/>
                    <w:jc w:val="center"/>
                    <w:rPr>
                      <w:rFonts w:hint="eastAsia" w:ascii="Times New Roman" w:hAnsi="Times New Roman" w:eastAsia="宋体" w:cs="Times New Roman"/>
                      <w:color w:val="auto"/>
                      <w:kern w:val="1"/>
                      <w:sz w:val="21"/>
                      <w:szCs w:val="22"/>
                      <w:lang w:val="en-US" w:eastAsia="zh-CN"/>
                    </w:rPr>
                  </w:pPr>
                  <w:r>
                    <w:rPr>
                      <w:rFonts w:hint="eastAsia" w:cs="Times New Roman"/>
                      <w:color w:val="auto"/>
                      <w:kern w:val="1"/>
                      <w:sz w:val="21"/>
                      <w:szCs w:val="22"/>
                      <w:lang w:val="en-US" w:eastAsia="zh-CN"/>
                    </w:rPr>
                    <w:t>废矿物油（油泥等危废）</w:t>
                  </w:r>
                </w:p>
              </w:tc>
              <w:tc>
                <w:tcPr>
                  <w:tcW w:w="2758" w:type="dxa"/>
                  <w:noWrap w:val="0"/>
                  <w:vAlign w:val="center"/>
                </w:tcPr>
                <w:p w14:paraId="619BFE9F">
                  <w:pPr>
                    <w:pStyle w:val="12"/>
                    <w:spacing w:after="0"/>
                    <w:ind w:left="0" w:leftChars="0"/>
                    <w:jc w:val="center"/>
                    <w:rPr>
                      <w:rFonts w:hint="default" w:ascii="Times New Roman" w:hAnsi="Times New Roman" w:eastAsia="宋体" w:cs="Times New Roman"/>
                      <w:color w:val="auto"/>
                      <w:kern w:val="1"/>
                      <w:sz w:val="21"/>
                      <w:szCs w:val="22"/>
                    </w:rPr>
                  </w:pPr>
                  <w:r>
                    <w:rPr>
                      <w:rFonts w:hint="default" w:ascii="Times New Roman" w:hAnsi="Times New Roman" w:eastAsia="宋体" w:cs="Times New Roman"/>
                      <w:color w:val="auto"/>
                      <w:kern w:val="1"/>
                      <w:sz w:val="21"/>
                      <w:szCs w:val="22"/>
                    </w:rPr>
                    <w:t>火灾、爆炸、溢油、泄漏</w:t>
                  </w:r>
                </w:p>
              </w:tc>
              <w:tc>
                <w:tcPr>
                  <w:tcW w:w="1889" w:type="dxa"/>
                  <w:noWrap w:val="0"/>
                  <w:vAlign w:val="center"/>
                </w:tcPr>
                <w:p w14:paraId="3860CA0D">
                  <w:pPr>
                    <w:pStyle w:val="12"/>
                    <w:spacing w:after="0"/>
                    <w:ind w:left="0" w:leftChars="0"/>
                    <w:jc w:val="center"/>
                    <w:rPr>
                      <w:rFonts w:hint="default" w:ascii="Times New Roman" w:hAnsi="Times New Roman" w:eastAsia="宋体" w:cs="Times New Roman"/>
                      <w:color w:val="auto"/>
                      <w:kern w:val="1"/>
                      <w:sz w:val="21"/>
                      <w:szCs w:val="22"/>
                    </w:rPr>
                  </w:pPr>
                  <w:r>
                    <w:rPr>
                      <w:rFonts w:hint="eastAsia" w:cs="Times New Roman"/>
                      <w:color w:val="auto"/>
                      <w:kern w:val="1"/>
                      <w:sz w:val="21"/>
                      <w:szCs w:val="22"/>
                      <w:lang w:val="en-US" w:eastAsia="zh-CN"/>
                    </w:rPr>
                    <w:t>危废暂存点</w:t>
                  </w:r>
                </w:p>
              </w:tc>
            </w:tr>
          </w:tbl>
          <w:p w14:paraId="13154A85">
            <w:pPr>
              <w:spacing w:line="360" w:lineRule="auto"/>
              <w:ind w:firstLine="480" w:firstLineChars="200"/>
              <w:rPr>
                <w:rFonts w:hint="default" w:ascii="Times New Roman" w:hAnsi="Times New Roman" w:eastAsia="宋体" w:cs="Times New Roman"/>
                <w:color w:val="auto"/>
                <w:kern w:val="1"/>
                <w:sz w:val="24"/>
                <w:szCs w:val="24"/>
              </w:rPr>
            </w:pPr>
            <w:r>
              <w:rPr>
                <w:rFonts w:hint="default" w:ascii="Times New Roman" w:hAnsi="Times New Roman" w:eastAsia="宋体" w:cs="Times New Roman"/>
                <w:color w:val="auto"/>
                <w:kern w:val="1"/>
                <w:sz w:val="24"/>
                <w:szCs w:val="24"/>
                <w:lang w:val="en-US" w:eastAsia="zh-CN"/>
              </w:rPr>
              <w:t>（1）</w:t>
            </w:r>
            <w:r>
              <w:rPr>
                <w:rFonts w:hint="default" w:ascii="Times New Roman" w:hAnsi="Times New Roman" w:eastAsia="宋体" w:cs="Times New Roman"/>
                <w:color w:val="auto"/>
                <w:kern w:val="1"/>
                <w:sz w:val="24"/>
                <w:szCs w:val="24"/>
              </w:rPr>
              <w:t>火灾</w:t>
            </w:r>
            <w:r>
              <w:rPr>
                <w:rFonts w:hint="default" w:ascii="Times New Roman" w:hAnsi="Times New Roman" w:eastAsia="宋体" w:cs="Times New Roman"/>
                <w:color w:val="auto"/>
                <w:kern w:val="1"/>
                <w:sz w:val="24"/>
                <w:szCs w:val="24"/>
                <w:lang w:eastAsia="zh-CN"/>
              </w:rPr>
              <w:t>、</w:t>
            </w:r>
            <w:r>
              <w:rPr>
                <w:rFonts w:hint="default" w:ascii="Times New Roman" w:hAnsi="Times New Roman" w:eastAsia="宋体" w:cs="Times New Roman"/>
                <w:color w:val="auto"/>
                <w:kern w:val="1"/>
                <w:sz w:val="24"/>
                <w:szCs w:val="24"/>
                <w:lang w:val="en-US" w:eastAsia="zh-CN"/>
              </w:rPr>
              <w:t>爆炸</w:t>
            </w:r>
            <w:r>
              <w:rPr>
                <w:rFonts w:hint="default" w:ascii="Times New Roman" w:hAnsi="Times New Roman" w:eastAsia="宋体" w:cs="Times New Roman"/>
                <w:color w:val="auto"/>
                <w:kern w:val="1"/>
                <w:sz w:val="24"/>
                <w:szCs w:val="24"/>
              </w:rPr>
              <w:t>事故对环境的影响</w:t>
            </w:r>
          </w:p>
          <w:p w14:paraId="7DC7C513">
            <w:pPr>
              <w:spacing w:line="360" w:lineRule="auto"/>
              <w:ind w:firstLine="480" w:firstLineChars="200"/>
              <w:rPr>
                <w:rFonts w:hint="default" w:ascii="Times New Roman" w:hAnsi="Times New Roman" w:eastAsia="宋体" w:cs="Times New Roman"/>
                <w:color w:val="auto"/>
                <w:kern w:val="1"/>
                <w:sz w:val="24"/>
                <w:szCs w:val="24"/>
              </w:rPr>
            </w:pPr>
            <w:r>
              <w:rPr>
                <w:rFonts w:hint="default" w:ascii="Times New Roman" w:hAnsi="Times New Roman" w:eastAsia="宋体" w:cs="Times New Roman"/>
                <w:color w:val="auto"/>
                <w:kern w:val="1"/>
                <w:sz w:val="24"/>
                <w:szCs w:val="24"/>
              </w:rPr>
              <w:t>①对大气环境的影响</w:t>
            </w:r>
          </w:p>
          <w:p w14:paraId="2F5BC213">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kern w:val="1"/>
                <w:sz w:val="24"/>
                <w:szCs w:val="24"/>
                <w:lang w:eastAsia="zh-CN"/>
              </w:rPr>
              <w:t>泄漏油料</w:t>
            </w:r>
            <w:r>
              <w:rPr>
                <w:rFonts w:hint="default" w:ascii="Times New Roman" w:hAnsi="Times New Roman" w:eastAsia="宋体" w:cs="Times New Roman"/>
                <w:color w:val="auto"/>
                <w:kern w:val="1"/>
                <w:sz w:val="24"/>
                <w:szCs w:val="24"/>
              </w:rPr>
              <w:t>遇明火燃烧，在完全燃烧状态下</w:t>
            </w:r>
            <w:r>
              <w:rPr>
                <w:rFonts w:hint="default" w:ascii="Times New Roman" w:hAnsi="Times New Roman" w:cs="Times New Roman"/>
                <w:color w:val="auto"/>
                <w:sz w:val="24"/>
                <w:szCs w:val="24"/>
              </w:rPr>
              <w:t>主要产生二氧化碳和水，以上气体对大气环境影响很小；不完全燃烧状态下将可能会产生一氧化碳甚至是碳颗粒，还会产生少量氮氧化合物等，一氧化碳是有毒气体，不仅污染环境，甚至危害人体健康。未燃烧完的油料将挥发出非甲烷总烃，同样也会对大气环境产生不良影响。站内设计满足《汽车加油加气加氢站技术标准》（GB50156-2021）中相关要求，在发生火灾时能够及时采取措施在最短时间内将火扑灭，废气产生量很小，在扑灭后经空气扩散稀释后对大气环境影响很小。</w:t>
            </w:r>
          </w:p>
          <w:p w14:paraId="75E0ECEE">
            <w:pPr>
              <w:pStyle w:val="23"/>
              <w:tabs>
                <w:tab w:val="left" w:pos="8305"/>
                <w:tab w:val="clear" w:pos="9160"/>
              </w:tabs>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②对地表水环境的影响</w:t>
            </w:r>
          </w:p>
          <w:p w14:paraId="192168E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1"/>
                <w:sz w:val="24"/>
                <w:szCs w:val="24"/>
              </w:rPr>
            </w:pPr>
            <w:r>
              <w:rPr>
                <w:rFonts w:hint="default" w:ascii="Times New Roman" w:hAnsi="Times New Roman" w:cs="Times New Roman"/>
                <w:color w:val="auto"/>
                <w:kern w:val="1"/>
                <w:sz w:val="24"/>
                <w:szCs w:val="24"/>
              </w:rPr>
              <w:t>根据</w:t>
            </w:r>
            <w:r>
              <w:rPr>
                <w:rFonts w:hint="default" w:ascii="Times New Roman" w:hAnsi="Times New Roman" w:cs="Times New Roman"/>
                <w:color w:val="auto"/>
              </w:rPr>
              <w:t>《汽车加油加气加氢站技术标准》（GB50156-2021）</w:t>
            </w:r>
            <w:r>
              <w:rPr>
                <w:rFonts w:hint="default" w:ascii="Times New Roman" w:hAnsi="Times New Roman" w:cs="Times New Roman"/>
                <w:color w:val="auto"/>
                <w:kern w:val="1"/>
                <w:sz w:val="24"/>
                <w:szCs w:val="24"/>
              </w:rPr>
              <w:t>，加油站可不设消防给水系统，根据本项目实际设计与建设情况，本项目不设置消防给水系统，火灾状态下对地表水环境影响很小。</w:t>
            </w:r>
          </w:p>
          <w:p w14:paraId="4237738E">
            <w:pPr>
              <w:spacing w:line="360" w:lineRule="auto"/>
              <w:ind w:firstLine="480"/>
              <w:rPr>
                <w:rFonts w:hint="default" w:ascii="Times New Roman" w:hAnsi="Times New Roman" w:cs="Times New Roman"/>
                <w:color w:val="auto"/>
                <w:kern w:val="1"/>
                <w:sz w:val="24"/>
                <w:szCs w:val="24"/>
              </w:rPr>
            </w:pPr>
            <w:r>
              <w:rPr>
                <w:rFonts w:hint="default" w:ascii="Times New Roman" w:hAnsi="Times New Roman" w:cs="Times New Roman"/>
                <w:color w:val="auto"/>
                <w:kern w:val="1"/>
                <w:sz w:val="24"/>
                <w:szCs w:val="24"/>
              </w:rPr>
              <w:t>根据</w:t>
            </w:r>
            <w:r>
              <w:rPr>
                <w:rFonts w:hint="default" w:ascii="Times New Roman" w:hAnsi="Times New Roman" w:cs="Times New Roman"/>
                <w:color w:val="auto"/>
                <w:sz w:val="24"/>
                <w:szCs w:val="24"/>
              </w:rPr>
              <w:t>《汽车加油加气加氢站技术标准》（GB50156-2021）</w:t>
            </w:r>
            <w:r>
              <w:rPr>
                <w:rFonts w:hint="default" w:ascii="Times New Roman" w:hAnsi="Times New Roman" w:cs="Times New Roman"/>
                <w:color w:val="auto"/>
                <w:kern w:val="1"/>
                <w:sz w:val="24"/>
                <w:szCs w:val="24"/>
              </w:rPr>
              <w:t>，本项目加油区设置8只手提式干粉灭火器MF/ABC4，站房内配备</w:t>
            </w:r>
            <w:r>
              <w:rPr>
                <w:rFonts w:hint="default" w:ascii="Times New Roman" w:hAnsi="Times New Roman" w:cs="Times New Roman"/>
                <w:color w:val="auto"/>
                <w:kern w:val="1"/>
                <w:sz w:val="24"/>
                <w:szCs w:val="24"/>
                <w:lang w:val="en-US" w:eastAsia="zh-CN"/>
              </w:rPr>
              <w:t>6</w:t>
            </w:r>
            <w:r>
              <w:rPr>
                <w:rFonts w:hint="default" w:ascii="Times New Roman" w:hAnsi="Times New Roman" w:cs="Times New Roman"/>
                <w:color w:val="auto"/>
                <w:kern w:val="1"/>
                <w:sz w:val="24"/>
                <w:szCs w:val="24"/>
              </w:rPr>
              <w:t>只5kg手提式干粉灭火器；油罐区旁配备1具推车式干粉灭火器MFT/ABC35，3把消防铲，3只消防桶，5块灭火毯。另外在</w:t>
            </w:r>
            <w:r>
              <w:rPr>
                <w:rFonts w:hint="default" w:ascii="Times New Roman" w:hAnsi="Times New Roman" w:cs="Times New Roman"/>
                <w:color w:val="auto"/>
                <w:kern w:val="1"/>
                <w:sz w:val="24"/>
                <w:szCs w:val="24"/>
                <w:lang w:val="en-US" w:eastAsia="zh-CN"/>
              </w:rPr>
              <w:t>卸油</w:t>
            </w:r>
            <w:r>
              <w:rPr>
                <w:rFonts w:hint="default" w:ascii="Times New Roman" w:hAnsi="Times New Roman" w:cs="Times New Roman"/>
                <w:color w:val="auto"/>
                <w:kern w:val="1"/>
                <w:sz w:val="24"/>
                <w:szCs w:val="24"/>
              </w:rPr>
              <w:t>区设置2m³消防沙。在消防过程中</w:t>
            </w:r>
            <w:r>
              <w:rPr>
                <w:rFonts w:hint="eastAsia" w:cs="Times New Roman"/>
                <w:color w:val="auto"/>
                <w:kern w:val="1"/>
                <w:sz w:val="24"/>
                <w:szCs w:val="24"/>
                <w:lang w:val="en-US" w:eastAsia="zh-CN"/>
              </w:rPr>
              <w:t>一般不</w:t>
            </w:r>
            <w:r>
              <w:rPr>
                <w:rFonts w:hint="default" w:ascii="Times New Roman" w:hAnsi="Times New Roman" w:cs="Times New Roman"/>
                <w:color w:val="auto"/>
                <w:kern w:val="1"/>
                <w:sz w:val="24"/>
                <w:szCs w:val="24"/>
              </w:rPr>
              <w:t>产生消防废水，火灾状态下对地表水环境影响很小。</w:t>
            </w:r>
          </w:p>
          <w:p w14:paraId="7E4F930B">
            <w:pPr>
              <w:spacing w:line="360" w:lineRule="auto"/>
              <w:ind w:firstLine="480"/>
              <w:rPr>
                <w:rFonts w:hint="default" w:ascii="Times New Roman" w:hAnsi="Times New Roman" w:cs="Times New Roman"/>
                <w:color w:val="auto"/>
                <w:kern w:val="1"/>
                <w:sz w:val="24"/>
                <w:szCs w:val="24"/>
              </w:rPr>
            </w:pPr>
            <w:r>
              <w:rPr>
                <w:rFonts w:hint="default" w:ascii="Times New Roman" w:hAnsi="Times New Roman" w:cs="Times New Roman"/>
                <w:color w:val="auto"/>
                <w:kern w:val="1"/>
                <w:sz w:val="24"/>
                <w:szCs w:val="24"/>
              </w:rPr>
              <w:t>③对固废</w:t>
            </w:r>
          </w:p>
          <w:p w14:paraId="39C1D70C">
            <w:pPr>
              <w:spacing w:line="360" w:lineRule="auto"/>
              <w:ind w:firstLine="480"/>
              <w:rPr>
                <w:rFonts w:hint="default" w:ascii="Times New Roman" w:hAnsi="Times New Roman" w:cs="Times New Roman"/>
                <w:color w:val="auto"/>
                <w:kern w:val="1"/>
                <w:sz w:val="24"/>
                <w:szCs w:val="24"/>
              </w:rPr>
            </w:pPr>
            <w:r>
              <w:rPr>
                <w:rFonts w:hint="default" w:ascii="Times New Roman" w:hAnsi="Times New Roman" w:cs="Times New Roman"/>
                <w:color w:val="auto"/>
                <w:kern w:val="1"/>
                <w:sz w:val="24"/>
                <w:szCs w:val="24"/>
              </w:rPr>
              <w:t>本项目的汽油、柴油均为化学品，遇明火容易发生火灾，汽油的建筑火险分级为甲级，柴油为乙级。根据</w:t>
            </w:r>
            <w:r>
              <w:rPr>
                <w:rFonts w:hint="default" w:ascii="Times New Roman" w:hAnsi="Times New Roman" w:cs="Times New Roman"/>
                <w:color w:val="auto"/>
                <w:sz w:val="24"/>
                <w:szCs w:val="32"/>
              </w:rPr>
              <w:t>《汽车加油加气加氢站技术标准》（GB50156-2021）</w:t>
            </w:r>
            <w:r>
              <w:rPr>
                <w:rFonts w:hint="default" w:ascii="Times New Roman" w:hAnsi="Times New Roman" w:cs="Times New Roman"/>
                <w:color w:val="auto"/>
                <w:kern w:val="1"/>
                <w:sz w:val="24"/>
                <w:szCs w:val="24"/>
              </w:rPr>
              <w:t>中相关要求，加油站内可不设消防给水系统，但必须配备足够数量的CO</w:t>
            </w:r>
            <w:r>
              <w:rPr>
                <w:rFonts w:hint="default" w:ascii="Times New Roman" w:hAnsi="Times New Roman" w:cs="Times New Roman"/>
                <w:color w:val="auto"/>
                <w:kern w:val="1"/>
                <w:sz w:val="24"/>
                <w:szCs w:val="24"/>
                <w:vertAlign w:val="subscript"/>
              </w:rPr>
              <w:t>2</w:t>
            </w:r>
            <w:r>
              <w:rPr>
                <w:rFonts w:hint="default" w:ascii="Times New Roman" w:hAnsi="Times New Roman" w:cs="Times New Roman"/>
                <w:color w:val="auto"/>
                <w:kern w:val="1"/>
                <w:sz w:val="24"/>
                <w:szCs w:val="24"/>
              </w:rPr>
              <w:t>干粉灭火器、灭火毯和消防砂等。根据着火点不同采用不同的灭火设备进行灭火，灭火结束后产生的沾有油品的沙石等属于危险固废，委托有资质单位清运处置，对环境影响很小。</w:t>
            </w:r>
          </w:p>
          <w:p w14:paraId="41731C12">
            <w:pPr>
              <w:spacing w:line="360" w:lineRule="auto"/>
              <w:ind w:firstLine="480" w:firstLineChars="200"/>
              <w:rPr>
                <w:rFonts w:hint="default" w:ascii="Times New Roman" w:hAnsi="Times New Roman" w:cs="Times New Roman"/>
                <w:color w:val="auto"/>
                <w:kern w:val="1"/>
                <w:sz w:val="24"/>
                <w:szCs w:val="24"/>
              </w:rPr>
            </w:pPr>
            <w:r>
              <w:rPr>
                <w:rFonts w:hint="default" w:ascii="Times New Roman" w:hAnsi="Times New Roman" w:cs="Times New Roman"/>
                <w:color w:val="auto"/>
                <w:kern w:val="1"/>
                <w:sz w:val="24"/>
                <w:szCs w:val="24"/>
              </w:rPr>
              <w:t>④对敏感目标的影响</w:t>
            </w:r>
          </w:p>
          <w:p w14:paraId="6B48677F">
            <w:pPr>
              <w:spacing w:line="360" w:lineRule="auto"/>
              <w:ind w:firstLine="480" w:firstLineChars="200"/>
              <w:rPr>
                <w:rFonts w:hint="eastAsia" w:cs="Times New Roman"/>
                <w:color w:val="auto"/>
                <w:kern w:val="1"/>
                <w:sz w:val="24"/>
                <w:szCs w:val="24"/>
                <w:lang w:val="en-US" w:eastAsia="zh-CN"/>
              </w:rPr>
            </w:pPr>
            <w:r>
              <w:rPr>
                <w:rFonts w:hint="default" w:ascii="Times New Roman" w:hAnsi="Times New Roman" w:cs="Times New Roman"/>
                <w:color w:val="auto"/>
                <w:kern w:val="1"/>
                <w:sz w:val="24"/>
                <w:szCs w:val="24"/>
              </w:rPr>
              <w:t>本项目周边</w:t>
            </w:r>
            <w:r>
              <w:rPr>
                <w:rFonts w:hint="eastAsia" w:cs="Times New Roman"/>
                <w:color w:val="auto"/>
                <w:kern w:val="1"/>
                <w:sz w:val="24"/>
                <w:szCs w:val="24"/>
                <w:lang w:val="en-US" w:eastAsia="zh-CN"/>
              </w:rPr>
              <w:t>有西侧10m、北侧5m梧桐村、</w:t>
            </w:r>
            <w:r>
              <w:rPr>
                <w:rFonts w:hint="default" w:cs="Times New Roman"/>
                <w:color w:val="auto"/>
                <w:kern w:val="1"/>
                <w:sz w:val="24"/>
                <w:szCs w:val="24"/>
                <w:lang w:val="en-US" w:eastAsia="zh-CN"/>
              </w:rPr>
              <w:t>南</w:t>
            </w:r>
            <w:r>
              <w:rPr>
                <w:rFonts w:hint="eastAsia" w:cs="Times New Roman"/>
                <w:color w:val="auto"/>
                <w:kern w:val="1"/>
                <w:sz w:val="24"/>
                <w:szCs w:val="24"/>
                <w:lang w:val="en-US" w:eastAsia="zh-CN"/>
              </w:rPr>
              <w:t>侧7</w:t>
            </w:r>
            <w:r>
              <w:rPr>
                <w:rFonts w:hint="default" w:cs="Times New Roman"/>
                <w:color w:val="auto"/>
                <w:kern w:val="1"/>
                <w:sz w:val="24"/>
                <w:szCs w:val="24"/>
                <w:lang w:val="en-US" w:eastAsia="zh-CN"/>
              </w:rPr>
              <w:t>m</w:t>
            </w:r>
            <w:r>
              <w:rPr>
                <w:rFonts w:hint="eastAsia" w:cs="Times New Roman"/>
                <w:color w:val="auto"/>
                <w:kern w:val="1"/>
                <w:sz w:val="24"/>
                <w:szCs w:val="24"/>
                <w:lang w:val="en-US" w:eastAsia="zh-CN"/>
              </w:rPr>
              <w:t>菜地村、南侧250m大菜地及西侧310m郭家村</w:t>
            </w:r>
            <w:r>
              <w:rPr>
                <w:rFonts w:hint="default" w:cs="Times New Roman"/>
                <w:color w:val="auto"/>
                <w:kern w:val="1"/>
                <w:sz w:val="24"/>
                <w:szCs w:val="24"/>
                <w:lang w:val="en-US" w:eastAsia="zh-CN"/>
              </w:rPr>
              <w:t>，</w:t>
            </w:r>
            <w:r>
              <w:rPr>
                <w:rFonts w:hint="default" w:ascii="Times New Roman" w:hAnsi="Times New Roman" w:cs="Times New Roman"/>
                <w:color w:val="auto"/>
                <w:sz w:val="24"/>
                <w:szCs w:val="24"/>
              </w:rPr>
              <w:t>离项目区较</w:t>
            </w:r>
            <w:r>
              <w:rPr>
                <w:rFonts w:hint="eastAsia" w:cs="Times New Roman"/>
                <w:color w:val="auto"/>
                <w:sz w:val="24"/>
                <w:szCs w:val="24"/>
                <w:lang w:val="en-US" w:eastAsia="zh-CN"/>
              </w:rPr>
              <w:t>近</w:t>
            </w:r>
            <w:r>
              <w:rPr>
                <w:rFonts w:hint="default" w:ascii="Times New Roman" w:hAnsi="Times New Roman" w:cs="Times New Roman"/>
                <w:color w:val="auto"/>
                <w:kern w:val="1"/>
                <w:sz w:val="24"/>
                <w:szCs w:val="24"/>
              </w:rPr>
              <w:t>。因此，</w:t>
            </w:r>
            <w:r>
              <w:rPr>
                <w:rFonts w:hint="eastAsia" w:cs="Times New Roman"/>
                <w:color w:val="auto"/>
                <w:kern w:val="1"/>
                <w:sz w:val="24"/>
                <w:szCs w:val="24"/>
                <w:lang w:val="en-US" w:eastAsia="zh-CN"/>
              </w:rPr>
              <w:t>加油站</w:t>
            </w:r>
            <w:r>
              <w:rPr>
                <w:rFonts w:hint="default" w:ascii="Times New Roman" w:hAnsi="Times New Roman" w:cs="Times New Roman"/>
                <w:color w:val="auto"/>
                <w:kern w:val="1"/>
                <w:sz w:val="24"/>
                <w:szCs w:val="24"/>
              </w:rPr>
              <w:t>火灾、爆炸</w:t>
            </w:r>
            <w:r>
              <w:rPr>
                <w:rFonts w:hint="eastAsia" w:cs="Times New Roman"/>
                <w:color w:val="auto"/>
                <w:kern w:val="1"/>
                <w:sz w:val="24"/>
                <w:szCs w:val="24"/>
                <w:lang w:val="en-US" w:eastAsia="zh-CN"/>
              </w:rPr>
              <w:t>会产生影响。</w:t>
            </w:r>
          </w:p>
          <w:p w14:paraId="00FD52B4">
            <w:pPr>
              <w:spacing w:line="360" w:lineRule="auto"/>
              <w:ind w:firstLine="480" w:firstLineChars="200"/>
              <w:rPr>
                <w:rFonts w:hint="default" w:cs="Times New Roman"/>
                <w:color w:val="auto"/>
                <w:kern w:val="1"/>
                <w:sz w:val="24"/>
                <w:szCs w:val="24"/>
                <w:lang w:val="en-US" w:eastAsia="zh-CN"/>
              </w:rPr>
            </w:pPr>
            <w:r>
              <w:rPr>
                <w:rFonts w:hint="eastAsia" w:cs="Times New Roman"/>
                <w:color w:val="auto"/>
                <w:kern w:val="1"/>
                <w:sz w:val="24"/>
                <w:szCs w:val="24"/>
                <w:lang w:val="en-US" w:eastAsia="zh-CN"/>
              </w:rPr>
              <w:t>加油站引起火灾爆炸的主要原因有：油罐区泄露、加油岛跑冒滴漏、加油机电气故障、油罐车卸油操作不当。</w:t>
            </w:r>
          </w:p>
          <w:p w14:paraId="01BBB952">
            <w:pPr>
              <w:spacing w:line="360" w:lineRule="auto"/>
              <w:ind w:firstLine="480" w:firstLineChars="200"/>
              <w:rPr>
                <w:rFonts w:hint="eastAsia" w:cs="Times New Roman"/>
                <w:color w:val="auto"/>
                <w:sz w:val="24"/>
                <w:szCs w:val="32"/>
                <w:lang w:val="en-US" w:eastAsia="zh-CN"/>
              </w:rPr>
            </w:pPr>
            <w:r>
              <w:rPr>
                <w:rFonts w:hint="eastAsia" w:cs="Times New Roman"/>
                <w:color w:val="auto"/>
                <w:kern w:val="1"/>
                <w:sz w:val="24"/>
                <w:szCs w:val="24"/>
                <w:lang w:val="en-US" w:eastAsia="zh-CN"/>
              </w:rPr>
              <w:t>本项目采用埋地双层罐，</w:t>
            </w:r>
            <w:r>
              <w:rPr>
                <w:rFonts w:hint="eastAsia" w:cs="Times New Roman"/>
                <w:color w:val="auto"/>
                <w:sz w:val="24"/>
                <w:szCs w:val="32"/>
                <w:lang w:val="en-US" w:eastAsia="zh-CN"/>
              </w:rPr>
              <w:t>油罐区设有1套液位仪在线监控系统，油罐发生泄露进而引起火灾爆照概率较小。</w:t>
            </w:r>
            <w:r>
              <w:rPr>
                <w:rFonts w:hint="eastAsia" w:cs="Times New Roman"/>
                <w:color w:val="auto"/>
                <w:kern w:val="1"/>
                <w:sz w:val="24"/>
                <w:szCs w:val="24"/>
                <w:lang w:val="en-US" w:eastAsia="zh-CN"/>
              </w:rPr>
              <w:t>加油站均按照</w:t>
            </w:r>
            <w:r>
              <w:rPr>
                <w:rFonts w:hint="default" w:ascii="Times New Roman" w:hAnsi="Times New Roman" w:cs="Times New Roman"/>
                <w:color w:val="auto"/>
                <w:sz w:val="24"/>
                <w:szCs w:val="32"/>
              </w:rPr>
              <w:t>《汽车加油加气加氢站技术标准》（GB50156-2021）</w:t>
            </w:r>
            <w:r>
              <w:rPr>
                <w:rFonts w:hint="eastAsia" w:cs="Times New Roman"/>
                <w:color w:val="auto"/>
                <w:sz w:val="24"/>
                <w:szCs w:val="32"/>
                <w:lang w:val="en-US" w:eastAsia="zh-CN"/>
              </w:rPr>
              <w:t>要求建设，属于一级防火单位，拟配置消防器材，目前正办理安全消防手续，后期加强人员培训上岗，减小人为操作不当引发事故，同时编制环境及安全生产应急预案，日常加强设备检修。</w:t>
            </w:r>
          </w:p>
          <w:p w14:paraId="1119582E">
            <w:pPr>
              <w:spacing w:line="360" w:lineRule="auto"/>
              <w:ind w:firstLine="480" w:firstLineChars="200"/>
              <w:rPr>
                <w:rFonts w:hint="eastAsia" w:ascii="Times New Roman" w:hAnsi="Times New Roman" w:eastAsia="宋体" w:cs="Times New Roman"/>
                <w:color w:val="auto"/>
                <w:kern w:val="1"/>
                <w:szCs w:val="20"/>
                <w:lang w:val="en-US" w:eastAsia="zh-CN"/>
              </w:rPr>
            </w:pPr>
            <w:r>
              <w:rPr>
                <w:rFonts w:hint="eastAsia" w:cs="Times New Roman"/>
                <w:color w:val="auto"/>
                <w:sz w:val="24"/>
                <w:szCs w:val="32"/>
                <w:lang w:val="en-US" w:eastAsia="zh-CN"/>
              </w:rPr>
              <w:t>综上加油站引发</w:t>
            </w:r>
            <w:r>
              <w:rPr>
                <w:rFonts w:hint="default" w:ascii="Times New Roman" w:hAnsi="Times New Roman" w:cs="Times New Roman"/>
                <w:color w:val="auto"/>
                <w:kern w:val="1"/>
                <w:sz w:val="24"/>
                <w:szCs w:val="24"/>
              </w:rPr>
              <w:t>火灾、爆炸</w:t>
            </w:r>
            <w:r>
              <w:rPr>
                <w:rFonts w:hint="eastAsia" w:cs="Times New Roman"/>
                <w:color w:val="auto"/>
                <w:kern w:val="1"/>
                <w:sz w:val="24"/>
                <w:szCs w:val="24"/>
                <w:lang w:val="en-US" w:eastAsia="zh-CN"/>
              </w:rPr>
              <w:t>可能性较小。</w:t>
            </w:r>
          </w:p>
          <w:p w14:paraId="07A50FEB">
            <w:pPr>
              <w:spacing w:line="360" w:lineRule="auto"/>
              <w:ind w:firstLine="480" w:firstLineChars="200"/>
              <w:rPr>
                <w:rFonts w:hint="default" w:ascii="Times New Roman" w:hAnsi="Times New Roman" w:eastAsia="宋体" w:cs="Times New Roman"/>
                <w:color w:val="auto"/>
                <w:kern w:val="1"/>
                <w:sz w:val="24"/>
                <w:szCs w:val="24"/>
                <w:lang w:val="en-US" w:eastAsia="zh-CN"/>
              </w:rPr>
            </w:pPr>
            <w:r>
              <w:rPr>
                <w:rFonts w:hint="default" w:ascii="Times New Roman" w:hAnsi="Times New Roman" w:eastAsia="宋体" w:cs="Times New Roman"/>
                <w:color w:val="auto"/>
                <w:kern w:val="1"/>
                <w:sz w:val="24"/>
                <w:szCs w:val="24"/>
                <w:lang w:val="en-US" w:eastAsia="zh-CN"/>
              </w:rPr>
              <w:t>（2）溢油、泄漏事故状态对环境的影响</w:t>
            </w:r>
          </w:p>
          <w:p w14:paraId="59A2D5B5">
            <w:pPr>
              <w:spacing w:line="360" w:lineRule="auto"/>
              <w:ind w:firstLine="480" w:firstLineChars="200"/>
              <w:rPr>
                <w:rFonts w:hint="default" w:ascii="Times New Roman" w:hAnsi="Times New Roman" w:eastAsia="宋体" w:cs="Times New Roman"/>
                <w:color w:val="auto"/>
                <w:kern w:val="1"/>
                <w:sz w:val="24"/>
                <w:szCs w:val="24"/>
                <w:lang w:val="en-US" w:eastAsia="zh-CN"/>
              </w:rPr>
            </w:pPr>
            <w:r>
              <w:rPr>
                <w:rFonts w:hint="default" w:ascii="Times New Roman" w:hAnsi="Times New Roman" w:eastAsia="宋体" w:cs="Times New Roman"/>
                <w:color w:val="auto"/>
                <w:kern w:val="1"/>
                <w:sz w:val="24"/>
                <w:szCs w:val="24"/>
                <w:lang w:val="en-US" w:eastAsia="zh-CN"/>
              </w:rPr>
              <w:t>①对地表水的影响</w:t>
            </w:r>
          </w:p>
          <w:p w14:paraId="03861979">
            <w:pPr>
              <w:spacing w:line="360" w:lineRule="auto"/>
              <w:ind w:firstLine="480" w:firstLineChars="200"/>
              <w:rPr>
                <w:rFonts w:hint="default" w:ascii="Times New Roman" w:hAnsi="Times New Roman" w:cs="Times New Roman"/>
                <w:color w:val="auto"/>
                <w:kern w:val="1"/>
                <w:sz w:val="24"/>
                <w:szCs w:val="22"/>
              </w:rPr>
            </w:pPr>
            <w:r>
              <w:rPr>
                <w:rFonts w:hint="default" w:ascii="Times New Roman" w:hAnsi="Times New Roman" w:cs="Times New Roman"/>
                <w:color w:val="auto"/>
                <w:kern w:val="1"/>
                <w:sz w:val="24"/>
                <w:szCs w:val="22"/>
              </w:rPr>
              <w:t>泄漏或渗漏的成品油一旦进入地表河流，将造成地表河流的污染，影响范围小到几公里大到几十公里。污染首先将造成地表河流的破坏，产生严重的刺鼻气味；其次，由于有机烃类物质难溶于水，大部分上浮在水层表面，形成一层油膜使空气与水隔离，造成水中溶解氧浓度降低，逐渐形成死水，致使水中生物死亡；再次，成品油的主要成分是C</w:t>
            </w:r>
            <w:r>
              <w:rPr>
                <w:rFonts w:hint="default" w:ascii="Times New Roman" w:hAnsi="Times New Roman" w:cs="Times New Roman"/>
                <w:color w:val="auto"/>
                <w:kern w:val="1"/>
                <w:sz w:val="24"/>
                <w:szCs w:val="22"/>
                <w:vertAlign w:val="subscript"/>
              </w:rPr>
              <w:t>4</w:t>
            </w:r>
            <w:r>
              <w:rPr>
                <w:rFonts w:hint="default" w:ascii="Times New Roman" w:hAnsi="Times New Roman" w:cs="Times New Roman"/>
                <w:color w:val="auto"/>
                <w:kern w:val="1"/>
                <w:sz w:val="24"/>
                <w:szCs w:val="22"/>
              </w:rPr>
              <w:t>～C</w:t>
            </w:r>
            <w:r>
              <w:rPr>
                <w:rFonts w:hint="default" w:ascii="Times New Roman" w:hAnsi="Times New Roman" w:cs="Times New Roman"/>
                <w:color w:val="auto"/>
                <w:kern w:val="1"/>
                <w:sz w:val="24"/>
                <w:szCs w:val="22"/>
                <w:vertAlign w:val="subscript"/>
              </w:rPr>
              <w:t>9</w:t>
            </w:r>
            <w:r>
              <w:rPr>
                <w:rFonts w:hint="default" w:ascii="Times New Roman" w:hAnsi="Times New Roman" w:cs="Times New Roman"/>
                <w:color w:val="auto"/>
                <w:kern w:val="1"/>
                <w:sz w:val="24"/>
                <w:szCs w:val="22"/>
              </w:rPr>
              <w:t>烃类、芳烃类、醇酮类</w:t>
            </w:r>
            <w:r>
              <w:rPr>
                <w:rFonts w:hint="eastAsia" w:cs="Times New Roman"/>
                <w:color w:val="auto"/>
                <w:kern w:val="1"/>
                <w:sz w:val="24"/>
                <w:szCs w:val="22"/>
                <w:lang w:eastAsia="zh-CN"/>
              </w:rPr>
              <w:t>以及</w:t>
            </w:r>
            <w:r>
              <w:rPr>
                <w:rFonts w:hint="default" w:ascii="Times New Roman" w:hAnsi="Times New Roman" w:cs="Times New Roman"/>
                <w:color w:val="auto"/>
                <w:kern w:val="1"/>
                <w:sz w:val="24"/>
                <w:szCs w:val="22"/>
              </w:rPr>
              <w:t>卤代烃类有机物，一旦破坏水环境，由于可生化性较差，造成被污染水体长时间得不到净化，完全恢复则需要十几年，甚至几十年的时间。</w:t>
            </w:r>
          </w:p>
          <w:p w14:paraId="4FD0561F">
            <w:pPr>
              <w:spacing w:line="360" w:lineRule="auto"/>
              <w:ind w:firstLine="480" w:firstLineChars="200"/>
              <w:rPr>
                <w:rFonts w:hint="default" w:ascii="Times New Roman" w:hAnsi="Times New Roman" w:cs="Times New Roman"/>
                <w:color w:val="auto"/>
                <w:spacing w:val="6"/>
                <w:kern w:val="1"/>
                <w:szCs w:val="20"/>
              </w:rPr>
            </w:pPr>
            <w:r>
              <w:rPr>
                <w:rFonts w:hint="default" w:ascii="Times New Roman" w:hAnsi="Times New Roman" w:cs="Times New Roman"/>
                <w:color w:val="auto"/>
                <w:sz w:val="24"/>
                <w:szCs w:val="22"/>
              </w:rPr>
              <w:t>离本项目最近的地表水体为</w:t>
            </w:r>
            <w:r>
              <w:rPr>
                <w:rFonts w:hint="default" w:ascii="Times New Roman" w:hAnsi="Times New Roman" w:eastAsia="宋体" w:cs="Times New Roman"/>
                <w:color w:val="auto"/>
                <w:sz w:val="24"/>
                <w:szCs w:val="24"/>
                <w:lang w:val="en-US" w:eastAsia="zh-CN"/>
              </w:rPr>
              <w:t>西侧90m处的功山河</w:t>
            </w:r>
            <w:r>
              <w:rPr>
                <w:rFonts w:hint="default" w:ascii="Times New Roman" w:hAnsi="Times New Roman" w:cs="Times New Roman"/>
                <w:color w:val="auto"/>
                <w:sz w:val="24"/>
                <w:szCs w:val="22"/>
              </w:rPr>
              <w:t>，本加油站</w:t>
            </w:r>
            <w:r>
              <w:rPr>
                <w:rFonts w:hint="default" w:ascii="Times New Roman" w:hAnsi="Times New Roman" w:cs="Times New Roman"/>
                <w:color w:val="auto"/>
                <w:sz w:val="24"/>
                <w:szCs w:val="22"/>
                <w:lang w:val="en-US" w:eastAsia="zh-CN"/>
              </w:rPr>
              <w:t>油罐设置为双层罐，</w:t>
            </w:r>
            <w:r>
              <w:rPr>
                <w:rFonts w:hint="default" w:ascii="Times New Roman" w:hAnsi="Times New Roman" w:cs="Times New Roman"/>
                <w:color w:val="auto"/>
                <w:sz w:val="24"/>
                <w:szCs w:val="22"/>
              </w:rPr>
              <w:t>安装有液位观测孔，一旦发生泄漏，并及时采取措施，不会进入地表水体，不会对地表水环境产生不良影响。</w:t>
            </w:r>
            <w:r>
              <w:rPr>
                <w:rFonts w:hint="default" w:ascii="Times New Roman" w:hAnsi="Times New Roman" w:cs="Times New Roman"/>
                <w:color w:val="auto"/>
                <w:kern w:val="1"/>
                <w:szCs w:val="20"/>
              </w:rPr>
              <w:t xml:space="preserve"> </w:t>
            </w:r>
          </w:p>
          <w:p w14:paraId="01A9A6A1">
            <w:pPr>
              <w:spacing w:line="360" w:lineRule="auto"/>
              <w:ind w:firstLine="360"/>
              <w:rPr>
                <w:rFonts w:hint="default" w:ascii="Times New Roman" w:hAnsi="Times New Roman" w:cs="Times New Roman"/>
                <w:color w:val="auto"/>
                <w:kern w:val="1"/>
                <w:sz w:val="24"/>
                <w:szCs w:val="22"/>
              </w:rPr>
            </w:pPr>
            <w:r>
              <w:rPr>
                <w:rFonts w:hint="default" w:ascii="Times New Roman" w:hAnsi="Times New Roman" w:cs="Times New Roman"/>
                <w:color w:val="auto"/>
                <w:sz w:val="24"/>
                <w:szCs w:val="24"/>
              </w:rPr>
              <w:t>②</w:t>
            </w:r>
            <w:r>
              <w:rPr>
                <w:rFonts w:hint="default" w:ascii="Times New Roman" w:hAnsi="Times New Roman" w:cs="Times New Roman"/>
                <w:color w:val="auto"/>
                <w:kern w:val="1"/>
                <w:sz w:val="24"/>
                <w:szCs w:val="22"/>
              </w:rPr>
              <w:t>对地下水的影响</w:t>
            </w:r>
          </w:p>
          <w:p w14:paraId="38D92BCE">
            <w:pPr>
              <w:widowControl w:val="0"/>
              <w:spacing w:line="360" w:lineRule="auto"/>
              <w:ind w:firstLine="480" w:firstLineChars="200"/>
              <w:rPr>
                <w:rFonts w:hint="default" w:ascii="Times New Roman" w:hAnsi="Times New Roman" w:cs="Times New Roman"/>
                <w:color w:val="auto"/>
                <w:kern w:val="1"/>
                <w:sz w:val="24"/>
                <w:szCs w:val="22"/>
              </w:rPr>
            </w:pPr>
            <w:r>
              <w:rPr>
                <w:rFonts w:hint="default" w:ascii="Times New Roman" w:hAnsi="Times New Roman" w:cs="Times New Roman"/>
                <w:color w:val="auto"/>
                <w:kern w:val="1"/>
                <w:sz w:val="24"/>
                <w:szCs w:val="22"/>
              </w:rPr>
              <w:t>对地下水的污染储油罐管线的泄漏或渗漏对地下水的污染较为严重，地下水一旦被成品油污染，将会使地下水产生严重异味，并具有较强的致畸致癌性，根本无法饮用。又由于这种渗漏必然穿过较厚的土壤层，使土壤层中吸附大量的燃料油，土壤层吸附的燃料油不仅会造成植物的死亡，而且土壤吸附的燃料油还会随着地表水的下渗对土壤层的冲刷作用补充到地下水，这样即便是得到及时控制，地下水要完全恢复也需要几十年甚至上百年的时间。</w:t>
            </w:r>
          </w:p>
          <w:p w14:paraId="78931377">
            <w:pPr>
              <w:spacing w:line="360" w:lineRule="auto"/>
              <w:ind w:firstLine="480" w:firstLineChars="200"/>
              <w:rPr>
                <w:rFonts w:hint="default" w:ascii="Times New Roman" w:hAnsi="Times New Roman" w:cs="Times New Roman"/>
                <w:color w:val="auto"/>
                <w:kern w:val="1"/>
                <w:sz w:val="24"/>
                <w:szCs w:val="22"/>
              </w:rPr>
            </w:pPr>
            <w:r>
              <w:rPr>
                <w:rFonts w:hint="default" w:ascii="Times New Roman" w:hAnsi="Times New Roman" w:cs="Times New Roman"/>
                <w:color w:val="auto"/>
                <w:sz w:val="24"/>
                <w:szCs w:val="22"/>
              </w:rPr>
              <w:t>建设单位拟采用双层油罐，且配套安装</w:t>
            </w:r>
            <w:r>
              <w:rPr>
                <w:rFonts w:hint="default" w:ascii="Times New Roman" w:hAnsi="Times New Roman" w:cs="Times New Roman"/>
                <w:color w:val="auto"/>
                <w:sz w:val="24"/>
                <w:szCs w:val="22"/>
                <w:lang w:eastAsia="zh-CN"/>
              </w:rPr>
              <w:t>双层承重油罐在线渗漏检测系统</w:t>
            </w:r>
            <w:r>
              <w:rPr>
                <w:rFonts w:hint="default" w:ascii="Times New Roman" w:hAnsi="Times New Roman" w:cs="Times New Roman"/>
                <w:color w:val="auto"/>
                <w:sz w:val="24"/>
                <w:szCs w:val="22"/>
              </w:rPr>
              <w:t>，对各个油罐进行24小时连续监控；采用新型的“双层复合输油管道”；并对罐区进行水泥硬化、防渗处理。采取以上措施后，运营过程油品渗入地下水的可能性很小。</w:t>
            </w:r>
          </w:p>
          <w:p w14:paraId="5E3CE9BA">
            <w:pPr>
              <w:spacing w:line="360" w:lineRule="auto"/>
              <w:ind w:firstLine="360"/>
              <w:rPr>
                <w:rFonts w:hint="default" w:ascii="Times New Roman" w:hAnsi="Times New Roman" w:cs="Times New Roman"/>
                <w:color w:val="auto"/>
                <w:kern w:val="1"/>
                <w:sz w:val="24"/>
                <w:szCs w:val="22"/>
              </w:rPr>
            </w:pPr>
            <w:r>
              <w:rPr>
                <w:rFonts w:hint="default" w:ascii="Times New Roman" w:hAnsi="Times New Roman" w:cs="Times New Roman"/>
                <w:color w:val="auto"/>
                <w:kern w:val="1"/>
                <w:sz w:val="24"/>
                <w:szCs w:val="24"/>
              </w:rPr>
              <w:t>③</w:t>
            </w:r>
            <w:r>
              <w:rPr>
                <w:rFonts w:hint="default" w:ascii="Times New Roman" w:hAnsi="Times New Roman" w:cs="Times New Roman"/>
                <w:color w:val="auto"/>
                <w:kern w:val="1"/>
                <w:sz w:val="24"/>
                <w:szCs w:val="22"/>
              </w:rPr>
              <w:t>对大气环境的污染</w:t>
            </w:r>
          </w:p>
          <w:p w14:paraId="486B147C">
            <w:pPr>
              <w:spacing w:line="360" w:lineRule="auto"/>
              <w:ind w:firstLine="480"/>
              <w:rPr>
                <w:rFonts w:hint="default" w:ascii="Times New Roman" w:hAnsi="Times New Roman" w:cs="Times New Roman"/>
                <w:color w:val="auto"/>
                <w:kern w:val="1"/>
                <w:sz w:val="24"/>
                <w:szCs w:val="22"/>
              </w:rPr>
            </w:pPr>
            <w:r>
              <w:rPr>
                <w:rFonts w:hint="default" w:ascii="Times New Roman" w:hAnsi="Times New Roman" w:cs="Times New Roman"/>
                <w:color w:val="auto"/>
                <w:kern w:val="1"/>
                <w:sz w:val="24"/>
                <w:szCs w:val="22"/>
              </w:rPr>
              <w:t>根据国内外的研究，对于突发性的事故溢出后在地面呈不规定的面源分布，油品发挥速度重要影响因素为油品蒸汽压、现场风速、油品溢出面积、油品蒸汽分子平均重度。</w:t>
            </w:r>
          </w:p>
          <w:p w14:paraId="2861BDE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kern w:val="1"/>
                <w:sz w:val="24"/>
                <w:szCs w:val="22"/>
              </w:rPr>
            </w:pPr>
            <w:r>
              <w:rPr>
                <w:rFonts w:hint="default" w:ascii="Times New Roman" w:hAnsi="Times New Roman" w:cs="Times New Roman"/>
                <w:b/>
                <w:color w:val="auto"/>
                <w:kern w:val="1"/>
                <w:sz w:val="24"/>
                <w:szCs w:val="22"/>
                <w:lang w:val="en-US" w:eastAsia="zh-CN"/>
              </w:rPr>
              <w:t>3、</w:t>
            </w:r>
            <w:r>
              <w:rPr>
                <w:rFonts w:hint="default" w:ascii="Times New Roman" w:hAnsi="Times New Roman" w:cs="Times New Roman"/>
                <w:b/>
                <w:color w:val="auto"/>
                <w:kern w:val="1"/>
                <w:sz w:val="24"/>
                <w:szCs w:val="22"/>
              </w:rPr>
              <w:t>风险防范措施及应急要求</w:t>
            </w:r>
          </w:p>
          <w:p w14:paraId="452AA9CB">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针对火灾爆炸事故</w:t>
            </w:r>
          </w:p>
          <w:p w14:paraId="6657CEB2">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1）按照相关的规范和消防部门的要求，配备消防器材，在发生火灾时使用CO</w:t>
            </w:r>
            <w:r>
              <w:rPr>
                <w:rFonts w:hint="default" w:ascii="Times New Roman" w:hAnsi="Times New Roman" w:cs="Times New Roman"/>
                <w:color w:val="auto"/>
                <w:sz w:val="24"/>
                <w:szCs w:val="22"/>
                <w:vertAlign w:val="subscript"/>
              </w:rPr>
              <w:t>2</w:t>
            </w:r>
            <w:r>
              <w:rPr>
                <w:rFonts w:hint="default" w:ascii="Times New Roman" w:hAnsi="Times New Roman" w:cs="Times New Roman"/>
                <w:color w:val="auto"/>
                <w:sz w:val="24"/>
                <w:szCs w:val="22"/>
              </w:rPr>
              <w:t>干粉灭火器和砂石进行灭火，灭火结束后产生的沾有油品的</w:t>
            </w:r>
            <w:r>
              <w:rPr>
                <w:rFonts w:hint="eastAsia" w:cs="Times New Roman"/>
                <w:color w:val="auto"/>
                <w:sz w:val="24"/>
                <w:szCs w:val="22"/>
                <w:lang w:val="en-US" w:eastAsia="zh-CN"/>
              </w:rPr>
              <w:t>砂</w:t>
            </w:r>
            <w:r>
              <w:rPr>
                <w:rFonts w:hint="default" w:ascii="Times New Roman" w:hAnsi="Times New Roman" w:cs="Times New Roman"/>
                <w:color w:val="auto"/>
                <w:sz w:val="24"/>
                <w:szCs w:val="22"/>
              </w:rPr>
              <w:t>石属于危险固废，需采取符合规范、防治日晒、雨淋的暂存措施，并及时收集，委托有资质单位清运处置；</w:t>
            </w:r>
          </w:p>
          <w:p w14:paraId="393D49DB">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2）在危险品使用过程中，应该严格参照《危险化学品安全管理条例》（国务院第344号令）要求，需要做好这些化学品的贮存、使用，防止火灾风险事故的发生。</w:t>
            </w:r>
          </w:p>
          <w:p w14:paraId="3F7F1EDD">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3）规范管理，加强职工培训</w:t>
            </w:r>
          </w:p>
          <w:p w14:paraId="256F9A1A">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各类事故及非正常生产情况的发生大多数与操作管理不当有直接关系，因此必须建立健全一整套严格的管理制度。管理制度应在以下几个方面予以关注：</w:t>
            </w:r>
          </w:p>
          <w:p w14:paraId="35673EAE">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①加强油罐与管道系统的管理与维修，使整个油品储存系统处于密闭化，严格防止跑、冒、滴、漏现象发生。</w:t>
            </w:r>
          </w:p>
          <w:p w14:paraId="7BD6E30B">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②把每个工作人员在业务上、工作上与消防安全管理上的职责、责任明确起来，层层把关，杜绝事故的发生。</w:t>
            </w:r>
          </w:p>
          <w:p w14:paraId="327DD566">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③对各类贮存容器、机电装置、安全设施、消防器材等，进行各种日常的、定期的、专业的防火安全检查，并将发现的问题落实到人、限期落实整改。</w:t>
            </w:r>
          </w:p>
          <w:p w14:paraId="7DBB4A78">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④建立夜间值班巡查制度、火险报告制度、安全奖惩制度等。</w:t>
            </w:r>
          </w:p>
          <w:p w14:paraId="43ED55B8">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⑤开展各种形式的安全教育和宣传，增强全员安全意识。加强职工培训，增强职工的安全意识和相关知识。</w:t>
            </w:r>
          </w:p>
          <w:p w14:paraId="00AACE07">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⑥坚持每月安全检查，对查出的事故隐患及时整改。</w:t>
            </w:r>
          </w:p>
          <w:p w14:paraId="6AE14669">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⑦在进出加油站车流较大时，安排专人指挥交通。</w:t>
            </w:r>
          </w:p>
          <w:p w14:paraId="0DC3C844">
            <w:pPr>
              <w:adjustRightInd w:val="0"/>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针对溢出、泄漏事故</w:t>
            </w:r>
          </w:p>
          <w:p w14:paraId="41924C8E">
            <w:pPr>
              <w:adjustRightInd w:val="0"/>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①采用双层油罐，渗漏的油品会被积存在夹层中，不会扩大至土壤和水体。</w:t>
            </w:r>
          </w:p>
          <w:p w14:paraId="4B207938">
            <w:pPr>
              <w:adjustRightInd w:val="0"/>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②地下油罐安装</w:t>
            </w:r>
            <w:r>
              <w:rPr>
                <w:rFonts w:hint="default" w:ascii="Times New Roman" w:hAnsi="Times New Roman" w:cs="Times New Roman"/>
                <w:color w:val="auto"/>
                <w:sz w:val="24"/>
                <w:szCs w:val="22"/>
                <w:lang w:eastAsia="zh-CN"/>
              </w:rPr>
              <w:t>双层承重油罐在线渗漏检测系统</w:t>
            </w:r>
            <w:r>
              <w:rPr>
                <w:rFonts w:hint="default" w:ascii="Times New Roman" w:hAnsi="Times New Roman" w:cs="Times New Roman"/>
                <w:color w:val="auto"/>
                <w:sz w:val="24"/>
                <w:szCs w:val="22"/>
              </w:rPr>
              <w:t>，对各个油罐进行24小时连续监控，防止成品油泄漏造成地下水污染。</w:t>
            </w:r>
            <w:r>
              <w:rPr>
                <w:rFonts w:hint="default" w:ascii="Times New Roman" w:hAnsi="Times New Roman" w:cs="Times New Roman"/>
                <w:color w:val="auto"/>
                <w:sz w:val="24"/>
                <w:szCs w:val="22"/>
                <w:lang w:eastAsia="zh-CN"/>
              </w:rPr>
              <w:t>双层承重油罐在线渗漏检测系统</w:t>
            </w:r>
            <w:r>
              <w:rPr>
                <w:rFonts w:hint="default" w:ascii="Times New Roman" w:hAnsi="Times New Roman" w:cs="Times New Roman"/>
                <w:color w:val="auto"/>
                <w:sz w:val="24"/>
                <w:szCs w:val="22"/>
              </w:rPr>
              <w:t>是一款用于检测双层罐泄漏的仪器仪表，该检测仪采用的是传感器法检测双层罐，使用光学探杆作为传感元件，用于双层壁油罐夹层、地井等空间内油、水泄漏的检测。传感器可识别油、水的泄漏，检测仪可同时检测多个双层壁油罐，并自动声光报警，多方位保证储油系统的安全。</w:t>
            </w:r>
          </w:p>
          <w:p w14:paraId="2843EFD6">
            <w:pPr>
              <w:adjustRightInd w:val="0"/>
              <w:snapToGrid w:val="0"/>
              <w:spacing w:line="360" w:lineRule="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 xml:space="preserve">    ③在罐区摆放灭火毯和消防沙池。</w:t>
            </w:r>
          </w:p>
          <w:p w14:paraId="3BB3B8C9">
            <w:pPr>
              <w:adjustRightInd w:val="0"/>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④输油管线采用新型的“双层复合输油管道”，它的材料为聚乙烯材质，具有耐腐蚀、更清洁、更安全、更坚固的特点，大大减小了管道渗漏的风险。</w:t>
            </w:r>
          </w:p>
          <w:p w14:paraId="41AF0AE3">
            <w:pPr>
              <w:adjustRightInd w:val="0"/>
              <w:snapToGrid w:val="0"/>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经采取以上措施后，发生油品大量泄漏的可能性很小，主要为卸油、加油过程少量泼洒、滴漏，可采取如下对策措施：</w:t>
            </w:r>
          </w:p>
          <w:p w14:paraId="5B2F6D06">
            <w:pPr>
              <w:adjustRightInd w:val="0"/>
              <w:snapToGrid w:val="0"/>
              <w:spacing w:line="360" w:lineRule="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 xml:space="preserve">    ①使用灭火毯或消防砂吸附，沾油灭火毯和消防砂暂存于</w:t>
            </w:r>
            <w:r>
              <w:rPr>
                <w:rFonts w:hint="eastAsia" w:cs="Times New Roman"/>
                <w:color w:val="auto"/>
                <w:sz w:val="24"/>
                <w:szCs w:val="22"/>
                <w:lang w:eastAsia="zh-CN"/>
              </w:rPr>
              <w:t>危废暂存点</w:t>
            </w:r>
            <w:r>
              <w:rPr>
                <w:rFonts w:hint="default" w:ascii="Times New Roman" w:hAnsi="Times New Roman" w:cs="Times New Roman"/>
                <w:color w:val="auto"/>
                <w:sz w:val="24"/>
                <w:szCs w:val="22"/>
              </w:rPr>
              <w:t>，委托有资质单位清运、处置。</w:t>
            </w:r>
          </w:p>
          <w:p w14:paraId="6CA43C31">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②泄漏量相对较大时，用编织袋装土设置围堰对油品进行围挡、回收，无法回收部分使用灭火毯或消防砂吸附。</w:t>
            </w:r>
          </w:p>
          <w:p w14:paraId="0079E94B">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应急要求</w:t>
            </w:r>
          </w:p>
          <w:p w14:paraId="43E016C3">
            <w:pPr>
              <w:spacing w:line="360" w:lineRule="auto"/>
              <w:ind w:firstLine="480" w:firstLineChars="200"/>
              <w:rPr>
                <w:rFonts w:hint="default" w:ascii="Times New Roman" w:hAnsi="Times New Roman" w:cs="Times New Roman"/>
                <w:color w:val="auto"/>
                <w:szCs w:val="20"/>
              </w:rPr>
            </w:pPr>
            <w:r>
              <w:rPr>
                <w:rFonts w:hint="default" w:ascii="Times New Roman" w:hAnsi="Times New Roman" w:cs="Times New Roman"/>
                <w:color w:val="auto"/>
                <w:sz w:val="24"/>
                <w:szCs w:val="22"/>
              </w:rPr>
              <w:t>项目的建设必然伴随着潜在的危害，如果安全措施水平高，则事故的概率必然会降低，但不会为零。一旦发生事故，需要采取工程应急措施，控制和减小事故危害。一旦有毒有害物质泄漏至环境，就需要实施社会救援，因此必须制定与该项目特点合适的应急预案。制定应急预案的内容及标准见下表</w:t>
            </w: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2</w:t>
            </w:r>
            <w:r>
              <w:rPr>
                <w:rFonts w:hint="eastAsia" w:cs="Times New Roman"/>
                <w:color w:val="auto"/>
                <w:sz w:val="24"/>
                <w:szCs w:val="22"/>
                <w:lang w:val="en-US" w:eastAsia="zh-CN"/>
              </w:rPr>
              <w:t>5</w:t>
            </w:r>
            <w:r>
              <w:rPr>
                <w:rFonts w:hint="default" w:ascii="Times New Roman" w:hAnsi="Times New Roman" w:cs="Times New Roman"/>
                <w:color w:val="auto"/>
                <w:sz w:val="24"/>
                <w:szCs w:val="22"/>
              </w:rPr>
              <w:t>。</w:t>
            </w:r>
          </w:p>
          <w:p w14:paraId="027CA474">
            <w:pPr>
              <w:spacing w:line="240" w:lineRule="auto"/>
              <w:ind w:firstLine="422" w:firstLineChars="200"/>
              <w:jc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rPr>
              <w:t>表</w:t>
            </w:r>
            <w:r>
              <w:rPr>
                <w:rFonts w:hint="default" w:ascii="Times New Roman" w:hAnsi="Times New Roman" w:cs="Times New Roman"/>
                <w:b/>
                <w:color w:val="auto"/>
                <w:sz w:val="21"/>
                <w:szCs w:val="22"/>
                <w:lang w:val="en-US" w:eastAsia="zh-CN"/>
              </w:rPr>
              <w:t>4</w:t>
            </w:r>
            <w:r>
              <w:rPr>
                <w:rFonts w:hint="default" w:ascii="Times New Roman" w:hAnsi="Times New Roman" w:cs="Times New Roman"/>
                <w:b/>
                <w:color w:val="auto"/>
                <w:sz w:val="21"/>
                <w:szCs w:val="22"/>
              </w:rPr>
              <w:t>-</w:t>
            </w:r>
            <w:r>
              <w:rPr>
                <w:rFonts w:hint="default" w:ascii="Times New Roman" w:hAnsi="Times New Roman" w:cs="Times New Roman"/>
                <w:b/>
                <w:color w:val="auto"/>
                <w:sz w:val="21"/>
                <w:szCs w:val="22"/>
                <w:lang w:val="en-US" w:eastAsia="zh-CN"/>
              </w:rPr>
              <w:t>2</w:t>
            </w:r>
            <w:r>
              <w:rPr>
                <w:rFonts w:hint="eastAsia" w:cs="Times New Roman"/>
                <w:b/>
                <w:color w:val="auto"/>
                <w:sz w:val="21"/>
                <w:szCs w:val="22"/>
                <w:lang w:val="en-US" w:eastAsia="zh-CN"/>
              </w:rPr>
              <w:t>5</w:t>
            </w:r>
            <w:r>
              <w:rPr>
                <w:rFonts w:hint="default" w:ascii="Times New Roman" w:hAnsi="Times New Roman" w:cs="Times New Roman"/>
                <w:b/>
                <w:color w:val="auto"/>
                <w:sz w:val="21"/>
                <w:szCs w:val="22"/>
              </w:rPr>
              <w:t xml:space="preserve"> 突发事故应急预案内容及要求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495"/>
              <w:gridCol w:w="5814"/>
            </w:tblGrid>
            <w:tr w14:paraId="0208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12BC1543">
                  <w:pPr>
                    <w:spacing w:line="288" w:lineRule="auto"/>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序号</w:t>
                  </w:r>
                </w:p>
              </w:tc>
              <w:tc>
                <w:tcPr>
                  <w:tcW w:w="2495" w:type="dxa"/>
                  <w:noWrap w:val="0"/>
                  <w:vAlign w:val="center"/>
                </w:tcPr>
                <w:p w14:paraId="0840ECBE">
                  <w:pPr>
                    <w:spacing w:line="288" w:lineRule="auto"/>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项目</w:t>
                  </w:r>
                </w:p>
              </w:tc>
              <w:tc>
                <w:tcPr>
                  <w:tcW w:w="5814" w:type="dxa"/>
                  <w:noWrap w:val="0"/>
                  <w:vAlign w:val="center"/>
                </w:tcPr>
                <w:p w14:paraId="4E4AC0D5">
                  <w:pPr>
                    <w:spacing w:line="288" w:lineRule="auto"/>
                    <w:jc w:val="center"/>
                    <w:rPr>
                      <w:rFonts w:hint="default" w:ascii="Times New Roman" w:hAnsi="Times New Roman" w:cs="Times New Roman"/>
                      <w:b/>
                      <w:bCs/>
                      <w:color w:val="auto"/>
                      <w:sz w:val="21"/>
                      <w:szCs w:val="22"/>
                    </w:rPr>
                  </w:pPr>
                  <w:r>
                    <w:rPr>
                      <w:rFonts w:hint="default" w:ascii="Times New Roman" w:hAnsi="Times New Roman" w:cs="Times New Roman"/>
                      <w:b/>
                      <w:bCs/>
                      <w:color w:val="auto"/>
                      <w:sz w:val="21"/>
                      <w:szCs w:val="22"/>
                    </w:rPr>
                    <w:t>内容及要求</w:t>
                  </w:r>
                </w:p>
              </w:tc>
            </w:tr>
            <w:tr w14:paraId="3C5D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6BA309B6">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1</w:t>
                  </w:r>
                </w:p>
              </w:tc>
              <w:tc>
                <w:tcPr>
                  <w:tcW w:w="2495" w:type="dxa"/>
                  <w:noWrap w:val="0"/>
                  <w:vAlign w:val="center"/>
                </w:tcPr>
                <w:p w14:paraId="05B00B07">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应急计划区</w:t>
                  </w:r>
                </w:p>
              </w:tc>
              <w:tc>
                <w:tcPr>
                  <w:tcW w:w="5814" w:type="dxa"/>
                  <w:noWrap w:val="0"/>
                  <w:vAlign w:val="center"/>
                </w:tcPr>
                <w:p w14:paraId="5372F987">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危险目标：加油机、贮罐区、环境保护目标</w:t>
                  </w:r>
                </w:p>
              </w:tc>
            </w:tr>
            <w:tr w14:paraId="2430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14D2D22E">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2</w:t>
                  </w:r>
                </w:p>
              </w:tc>
              <w:tc>
                <w:tcPr>
                  <w:tcW w:w="2495" w:type="dxa"/>
                  <w:noWrap w:val="0"/>
                  <w:vAlign w:val="center"/>
                </w:tcPr>
                <w:p w14:paraId="285D4A80">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应急组织机构、人员</w:t>
                  </w:r>
                </w:p>
              </w:tc>
              <w:tc>
                <w:tcPr>
                  <w:tcW w:w="5814" w:type="dxa"/>
                  <w:noWrap w:val="0"/>
                  <w:vAlign w:val="center"/>
                </w:tcPr>
                <w:p w14:paraId="2B914D80">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加油站站长，员工</w:t>
                  </w:r>
                </w:p>
              </w:tc>
            </w:tr>
            <w:tr w14:paraId="6844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4CE5A695">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3</w:t>
                  </w:r>
                </w:p>
              </w:tc>
              <w:tc>
                <w:tcPr>
                  <w:tcW w:w="2495" w:type="dxa"/>
                  <w:noWrap w:val="0"/>
                  <w:vAlign w:val="center"/>
                </w:tcPr>
                <w:p w14:paraId="0F883C58">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预案分级响应条件</w:t>
                  </w:r>
                </w:p>
              </w:tc>
              <w:tc>
                <w:tcPr>
                  <w:tcW w:w="5814" w:type="dxa"/>
                  <w:noWrap w:val="0"/>
                  <w:vAlign w:val="center"/>
                </w:tcPr>
                <w:p w14:paraId="3C311737">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规定预案的级别及分级响应程序。</w:t>
                  </w:r>
                </w:p>
              </w:tc>
            </w:tr>
            <w:tr w14:paraId="4934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156F20DA">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4</w:t>
                  </w:r>
                </w:p>
              </w:tc>
              <w:tc>
                <w:tcPr>
                  <w:tcW w:w="2495" w:type="dxa"/>
                  <w:noWrap w:val="0"/>
                  <w:vAlign w:val="center"/>
                </w:tcPr>
                <w:p w14:paraId="0F4C705A">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应急救援保障</w:t>
                  </w:r>
                </w:p>
              </w:tc>
              <w:tc>
                <w:tcPr>
                  <w:tcW w:w="5814" w:type="dxa"/>
                  <w:noWrap w:val="0"/>
                  <w:vAlign w:val="center"/>
                </w:tcPr>
                <w:p w14:paraId="3E1923A5">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应急设施，设备与器材等。</w:t>
                  </w:r>
                </w:p>
              </w:tc>
            </w:tr>
            <w:tr w14:paraId="5B71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7A13344E">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5</w:t>
                  </w:r>
                </w:p>
              </w:tc>
              <w:tc>
                <w:tcPr>
                  <w:tcW w:w="2495" w:type="dxa"/>
                  <w:noWrap w:val="0"/>
                  <w:vAlign w:val="center"/>
                </w:tcPr>
                <w:p w14:paraId="0F4FA468">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报警、通讯联络方式</w:t>
                  </w:r>
                </w:p>
              </w:tc>
              <w:tc>
                <w:tcPr>
                  <w:tcW w:w="5814" w:type="dxa"/>
                  <w:noWrap w:val="0"/>
                  <w:vAlign w:val="center"/>
                </w:tcPr>
                <w:p w14:paraId="29189027">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规定应急状态下的报警通讯方式、通知方式和交通保障、管制</w:t>
                  </w:r>
                </w:p>
              </w:tc>
            </w:tr>
            <w:tr w14:paraId="1C9B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623C57FF">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6</w:t>
                  </w:r>
                </w:p>
              </w:tc>
              <w:tc>
                <w:tcPr>
                  <w:tcW w:w="2495" w:type="dxa"/>
                  <w:noWrap w:val="0"/>
                  <w:vAlign w:val="center"/>
                </w:tcPr>
                <w:p w14:paraId="2AD3D034">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应急环境监测、抢险、救援及控制措施</w:t>
                  </w:r>
                </w:p>
              </w:tc>
              <w:tc>
                <w:tcPr>
                  <w:tcW w:w="5814" w:type="dxa"/>
                  <w:noWrap w:val="0"/>
                  <w:vAlign w:val="center"/>
                </w:tcPr>
                <w:p w14:paraId="335A431A">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由专业队伍负责对事故现场进行监测，对事故性质、参数与后果进行评估，为指挥部门提供决策依据。</w:t>
                  </w:r>
                </w:p>
              </w:tc>
            </w:tr>
            <w:tr w14:paraId="4993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70A4E958">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7</w:t>
                  </w:r>
                </w:p>
              </w:tc>
              <w:tc>
                <w:tcPr>
                  <w:tcW w:w="2495" w:type="dxa"/>
                  <w:noWrap w:val="0"/>
                  <w:vAlign w:val="center"/>
                </w:tcPr>
                <w:p w14:paraId="534887C1">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应急检测、防护措施、清除泄漏措施和器材</w:t>
                  </w:r>
                </w:p>
              </w:tc>
              <w:tc>
                <w:tcPr>
                  <w:tcW w:w="5814" w:type="dxa"/>
                  <w:noWrap w:val="0"/>
                  <w:vAlign w:val="center"/>
                </w:tcPr>
                <w:p w14:paraId="5372792C">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事故现场、邻近区域、控制防火区域，控制和清除污染措施及相应设备。</w:t>
                  </w:r>
                </w:p>
              </w:tc>
            </w:tr>
            <w:tr w14:paraId="3FF7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1460A4DD">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8</w:t>
                  </w:r>
                </w:p>
              </w:tc>
              <w:tc>
                <w:tcPr>
                  <w:tcW w:w="2495" w:type="dxa"/>
                  <w:noWrap w:val="0"/>
                  <w:vAlign w:val="center"/>
                </w:tcPr>
                <w:p w14:paraId="5AA9B27B">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人员紧急撤离、疏散，应急剂量控制、撤离组织计划</w:t>
                  </w:r>
                </w:p>
              </w:tc>
              <w:tc>
                <w:tcPr>
                  <w:tcW w:w="5814" w:type="dxa"/>
                  <w:noWrap w:val="0"/>
                  <w:vAlign w:val="center"/>
                </w:tcPr>
                <w:p w14:paraId="61EDE5A5">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事故现场、工厂邻近区、受事故影响的区域人员及公众对毒物应急剂量控制规定，撤离组织计划及救护，医疗救护与公众健康。</w:t>
                  </w:r>
                </w:p>
              </w:tc>
            </w:tr>
            <w:tr w14:paraId="0E07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45961F5A">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9</w:t>
                  </w:r>
                </w:p>
              </w:tc>
              <w:tc>
                <w:tcPr>
                  <w:tcW w:w="2495" w:type="dxa"/>
                  <w:noWrap w:val="0"/>
                  <w:vAlign w:val="center"/>
                </w:tcPr>
                <w:p w14:paraId="5A810FA7">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事故应急救援关闭程序与恢复措施</w:t>
                  </w:r>
                </w:p>
              </w:tc>
              <w:tc>
                <w:tcPr>
                  <w:tcW w:w="5814" w:type="dxa"/>
                  <w:noWrap w:val="0"/>
                  <w:vAlign w:val="center"/>
                </w:tcPr>
                <w:p w14:paraId="317A1EA0">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规定应急状态终止程序，事故现场善后处理，恢复措施，邻近区域解除事故警戒及善后恢复措施。</w:t>
                  </w:r>
                </w:p>
              </w:tc>
            </w:tr>
            <w:tr w14:paraId="7755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1A77A7CA">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10</w:t>
                  </w:r>
                </w:p>
              </w:tc>
              <w:tc>
                <w:tcPr>
                  <w:tcW w:w="2495" w:type="dxa"/>
                  <w:noWrap w:val="0"/>
                  <w:vAlign w:val="center"/>
                </w:tcPr>
                <w:p w14:paraId="460A2764">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应急培训计划</w:t>
                  </w:r>
                </w:p>
              </w:tc>
              <w:tc>
                <w:tcPr>
                  <w:tcW w:w="5814" w:type="dxa"/>
                  <w:noWrap w:val="0"/>
                  <w:vAlign w:val="center"/>
                </w:tcPr>
                <w:p w14:paraId="7DDD1F7B">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应急计划制定后，平时安排人员培训与演练。</w:t>
                  </w:r>
                </w:p>
              </w:tc>
            </w:tr>
            <w:tr w14:paraId="382F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noWrap w:val="0"/>
                  <w:vAlign w:val="center"/>
                </w:tcPr>
                <w:p w14:paraId="35DF2A6A">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11</w:t>
                  </w:r>
                </w:p>
              </w:tc>
              <w:tc>
                <w:tcPr>
                  <w:tcW w:w="2495" w:type="dxa"/>
                  <w:noWrap w:val="0"/>
                  <w:vAlign w:val="center"/>
                </w:tcPr>
                <w:p w14:paraId="29941EC2">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公众教育和信息</w:t>
                  </w:r>
                </w:p>
              </w:tc>
              <w:tc>
                <w:tcPr>
                  <w:tcW w:w="5814" w:type="dxa"/>
                  <w:noWrap w:val="0"/>
                  <w:vAlign w:val="center"/>
                </w:tcPr>
                <w:p w14:paraId="1A408021">
                  <w:pPr>
                    <w:spacing w:line="288" w:lineRule="auto"/>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对加油站邻近地区开展公众教育、培训和发布有关信息。</w:t>
                  </w:r>
                </w:p>
              </w:tc>
            </w:tr>
          </w:tbl>
          <w:p w14:paraId="676251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lang w:val="en-US" w:eastAsia="zh-CN"/>
              </w:rPr>
              <w:t>4、</w:t>
            </w:r>
            <w:r>
              <w:rPr>
                <w:rFonts w:hint="default" w:ascii="Times New Roman" w:hAnsi="Times New Roman" w:cs="Times New Roman"/>
                <w:b/>
                <w:bCs/>
                <w:color w:val="auto"/>
                <w:sz w:val="24"/>
                <w:szCs w:val="22"/>
              </w:rPr>
              <w:t>分析结论</w:t>
            </w:r>
          </w:p>
          <w:p w14:paraId="391CB50E">
            <w:pPr>
              <w:spacing w:line="346"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项目运行过程中存在着泄漏、火灾爆炸风险，在平时必须严格按照有关规范标准的要求对储罐进行监控和管理；</w:t>
            </w:r>
            <w:r>
              <w:rPr>
                <w:rFonts w:hint="eastAsia" w:cs="Times New Roman"/>
                <w:color w:val="auto"/>
                <w:sz w:val="24"/>
                <w:szCs w:val="22"/>
                <w:lang w:val="en-US" w:eastAsia="zh-CN"/>
              </w:rPr>
              <w:t>目前现有加油站已编制环境预案，并备案，本项目扩建后由于工程变更、人员变动等，</w:t>
            </w:r>
            <w:r>
              <w:rPr>
                <w:rFonts w:hint="default" w:ascii="Times New Roman" w:hAnsi="Times New Roman" w:cs="Times New Roman"/>
                <w:color w:val="auto"/>
                <w:sz w:val="24"/>
                <w:szCs w:val="22"/>
              </w:rPr>
              <w:t>需编制</w:t>
            </w:r>
            <w:r>
              <w:rPr>
                <w:rFonts w:hint="eastAsia" w:cs="Times New Roman"/>
                <w:color w:val="auto"/>
                <w:sz w:val="24"/>
                <w:szCs w:val="22"/>
                <w:lang w:val="en-US" w:eastAsia="zh-CN"/>
              </w:rPr>
              <w:t>新的</w:t>
            </w:r>
            <w:r>
              <w:rPr>
                <w:rFonts w:hint="default" w:ascii="Times New Roman" w:hAnsi="Times New Roman" w:cs="Times New Roman"/>
                <w:color w:val="auto"/>
                <w:sz w:val="24"/>
                <w:szCs w:val="22"/>
              </w:rPr>
              <w:t>环境风险应急预案</w:t>
            </w:r>
            <w:r>
              <w:rPr>
                <w:rFonts w:hint="eastAsia" w:cs="Times New Roman"/>
                <w:color w:val="auto"/>
                <w:sz w:val="24"/>
                <w:szCs w:val="22"/>
                <w:lang w:eastAsia="zh-CN"/>
              </w:rPr>
              <w:t>；</w:t>
            </w:r>
            <w:r>
              <w:rPr>
                <w:rFonts w:hint="default" w:ascii="Times New Roman" w:hAnsi="Times New Roman" w:cs="Times New Roman"/>
                <w:color w:val="auto"/>
                <w:sz w:val="24"/>
                <w:szCs w:val="22"/>
              </w:rPr>
              <w:t>加强对储油罐做好防渗漏措施，同时做好油品的仓储、运输管理。在认真落实工程拟采取的安全措施及评价所提出的安全设施和安全对策后，项目的环境风险影响是可以接受的。</w:t>
            </w:r>
          </w:p>
          <w:p w14:paraId="676390AA">
            <w:pPr>
              <w:spacing w:line="346" w:lineRule="auto"/>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rPr>
              <w:t>建设项目环境风险简单分析内容见表</w:t>
            </w: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val="en-US" w:eastAsia="zh-CN"/>
              </w:rPr>
              <w:t>2</w:t>
            </w:r>
            <w:r>
              <w:rPr>
                <w:rFonts w:hint="eastAsia" w:cs="Times New Roman"/>
                <w:color w:val="auto"/>
                <w:sz w:val="24"/>
                <w:szCs w:val="22"/>
                <w:lang w:val="en-US" w:eastAsia="zh-CN"/>
              </w:rPr>
              <w:t>6</w:t>
            </w:r>
            <w:r>
              <w:rPr>
                <w:rFonts w:hint="default" w:ascii="Times New Roman" w:hAnsi="Times New Roman" w:cs="Times New Roman"/>
                <w:color w:val="auto"/>
                <w:sz w:val="24"/>
                <w:szCs w:val="22"/>
                <w:lang w:val="en-US" w:eastAsia="zh-CN"/>
              </w:rPr>
              <w:t>。</w:t>
            </w:r>
          </w:p>
          <w:p w14:paraId="094BB107">
            <w:pPr>
              <w:spacing w:line="240" w:lineRule="auto"/>
              <w:jc w:val="center"/>
              <w:rPr>
                <w:rFonts w:hint="default" w:ascii="Times New Roman" w:hAnsi="Times New Roman" w:cs="Times New Roman"/>
                <w:b/>
                <w:color w:val="auto"/>
                <w:sz w:val="21"/>
                <w:szCs w:val="22"/>
              </w:rPr>
            </w:pPr>
            <w:r>
              <w:rPr>
                <w:rFonts w:hint="default" w:ascii="Times New Roman" w:hAnsi="Times New Roman" w:cs="Times New Roman"/>
                <w:b/>
                <w:color w:val="auto"/>
                <w:sz w:val="21"/>
                <w:szCs w:val="22"/>
              </w:rPr>
              <w:t>表</w:t>
            </w:r>
            <w:r>
              <w:rPr>
                <w:rFonts w:hint="default" w:ascii="Times New Roman" w:hAnsi="Times New Roman" w:cs="Times New Roman"/>
                <w:b/>
                <w:color w:val="auto"/>
                <w:sz w:val="21"/>
                <w:szCs w:val="22"/>
                <w:lang w:val="en-US" w:eastAsia="zh-CN"/>
              </w:rPr>
              <w:t>4</w:t>
            </w:r>
            <w:r>
              <w:rPr>
                <w:rFonts w:hint="default" w:ascii="Times New Roman" w:hAnsi="Times New Roman" w:cs="Times New Roman"/>
                <w:b/>
                <w:color w:val="auto"/>
                <w:sz w:val="21"/>
                <w:szCs w:val="22"/>
              </w:rPr>
              <w:t>-</w:t>
            </w:r>
            <w:r>
              <w:rPr>
                <w:rFonts w:hint="default" w:ascii="Times New Roman" w:hAnsi="Times New Roman" w:cs="Times New Roman"/>
                <w:b/>
                <w:color w:val="auto"/>
                <w:sz w:val="21"/>
                <w:szCs w:val="22"/>
                <w:lang w:val="en-US" w:eastAsia="zh-CN"/>
              </w:rPr>
              <w:t>2</w:t>
            </w:r>
            <w:r>
              <w:rPr>
                <w:rFonts w:hint="eastAsia" w:cs="Times New Roman"/>
                <w:b/>
                <w:color w:val="auto"/>
                <w:sz w:val="21"/>
                <w:szCs w:val="22"/>
                <w:lang w:val="en-US" w:eastAsia="zh-CN"/>
              </w:rPr>
              <w:t>6</w:t>
            </w:r>
            <w:r>
              <w:rPr>
                <w:rFonts w:hint="default" w:ascii="Times New Roman" w:hAnsi="Times New Roman" w:cs="Times New Roman"/>
                <w:b/>
                <w:color w:val="auto"/>
                <w:sz w:val="21"/>
                <w:szCs w:val="22"/>
              </w:rPr>
              <w:t xml:space="preserve">  建设项目环境风险简单分析表</w:t>
            </w:r>
          </w:p>
          <w:tbl>
            <w:tblPr>
              <w:tblStyle w:val="2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1260"/>
              <w:gridCol w:w="1839"/>
              <w:gridCol w:w="1150"/>
              <w:gridCol w:w="1375"/>
              <w:gridCol w:w="1175"/>
            </w:tblGrid>
            <w:tr w14:paraId="5D92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260" w:type="dxa"/>
                  <w:noWrap w:val="0"/>
                  <w:vAlign w:val="center"/>
                </w:tcPr>
                <w:p w14:paraId="1E3AEAF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建设项目名称</w:t>
                  </w:r>
                </w:p>
              </w:tc>
              <w:tc>
                <w:tcPr>
                  <w:tcW w:w="6799" w:type="dxa"/>
                  <w:gridSpan w:val="5"/>
                  <w:noWrap w:val="0"/>
                  <w:vAlign w:val="center"/>
                </w:tcPr>
                <w:p w14:paraId="322F13E5">
                  <w:pPr>
                    <w:jc w:val="center"/>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中国石化销售股份有限公司云南昆明寻甸梧桐加油站隐患原址改造项目</w:t>
                  </w:r>
                </w:p>
              </w:tc>
            </w:tr>
            <w:tr w14:paraId="2E70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260" w:type="dxa"/>
                  <w:noWrap w:val="0"/>
                  <w:vAlign w:val="center"/>
                </w:tcPr>
                <w:p w14:paraId="32F4C5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建设地点</w:t>
                  </w:r>
                </w:p>
              </w:tc>
              <w:tc>
                <w:tcPr>
                  <w:tcW w:w="1260" w:type="dxa"/>
                  <w:noWrap w:val="0"/>
                  <w:vAlign w:val="center"/>
                </w:tcPr>
                <w:p w14:paraId="246D94D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（云南）省</w:t>
                  </w:r>
                </w:p>
              </w:tc>
              <w:tc>
                <w:tcPr>
                  <w:tcW w:w="1839" w:type="dxa"/>
                  <w:noWrap w:val="0"/>
                  <w:vAlign w:val="center"/>
                </w:tcPr>
                <w:p w14:paraId="1088F79C">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昆明</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市</w:t>
                  </w:r>
                </w:p>
              </w:tc>
              <w:tc>
                <w:tcPr>
                  <w:tcW w:w="1150" w:type="dxa"/>
                  <w:noWrap w:val="0"/>
                  <w:vAlign w:val="center"/>
                </w:tcPr>
                <w:p w14:paraId="4D34833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w:t>
                  </w:r>
                  <w:r>
                    <w:rPr>
                      <w:rFonts w:hint="default" w:ascii="Times New Roman" w:hAnsi="Times New Roman" w:cs="Times New Roman"/>
                      <w:color w:val="auto"/>
                      <w:sz w:val="21"/>
                      <w:szCs w:val="21"/>
                    </w:rPr>
                    <w:t>）区</w:t>
                  </w:r>
                </w:p>
              </w:tc>
              <w:tc>
                <w:tcPr>
                  <w:tcW w:w="1375" w:type="dxa"/>
                  <w:noWrap w:val="0"/>
                  <w:vAlign w:val="center"/>
                </w:tcPr>
                <w:p w14:paraId="2B0563C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寻甸</w:t>
                  </w:r>
                  <w:r>
                    <w:rPr>
                      <w:rFonts w:hint="default" w:ascii="Times New Roman" w:hAnsi="Times New Roman" w:cs="Times New Roman"/>
                      <w:color w:val="auto"/>
                      <w:sz w:val="21"/>
                      <w:szCs w:val="21"/>
                    </w:rPr>
                    <w:t>）县</w:t>
                  </w:r>
                </w:p>
              </w:tc>
              <w:tc>
                <w:tcPr>
                  <w:tcW w:w="1175" w:type="dxa"/>
                  <w:noWrap w:val="0"/>
                  <w:vAlign w:val="center"/>
                </w:tcPr>
                <w:p w14:paraId="064532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w:t>
                  </w:r>
                  <w:r>
                    <w:rPr>
                      <w:rFonts w:hint="default" w:ascii="Times New Roman" w:hAnsi="Times New Roman" w:cs="Times New Roman"/>
                      <w:color w:val="auto"/>
                      <w:sz w:val="21"/>
                      <w:szCs w:val="21"/>
                    </w:rPr>
                    <w:t>）园区</w:t>
                  </w:r>
                </w:p>
              </w:tc>
            </w:tr>
            <w:tr w14:paraId="37D1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260" w:type="dxa"/>
                  <w:noWrap w:val="0"/>
                  <w:vAlign w:val="center"/>
                </w:tcPr>
                <w:p w14:paraId="670C05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1260" w:type="dxa"/>
                  <w:noWrap w:val="0"/>
                  <w:vAlign w:val="center"/>
                </w:tcPr>
                <w:p w14:paraId="1FD0EB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1839" w:type="dxa"/>
                  <w:noWrap w:val="0"/>
                  <w:vAlign w:val="center"/>
                </w:tcPr>
                <w:p w14:paraId="5281F7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103°15′34.803″</w:t>
                  </w:r>
                </w:p>
              </w:tc>
              <w:tc>
                <w:tcPr>
                  <w:tcW w:w="1150" w:type="dxa"/>
                  <w:noWrap w:val="0"/>
                  <w:vAlign w:val="center"/>
                </w:tcPr>
                <w:p w14:paraId="6C61A28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2550" w:type="dxa"/>
                  <w:gridSpan w:val="2"/>
                  <w:noWrap w:val="0"/>
                  <w:vAlign w:val="center"/>
                </w:tcPr>
                <w:p w14:paraId="614CB1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25°43′25.914″</w:t>
                  </w:r>
                </w:p>
              </w:tc>
            </w:tr>
            <w:tr w14:paraId="5DBB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260" w:type="dxa"/>
                  <w:noWrap w:val="0"/>
                  <w:vAlign w:val="center"/>
                </w:tcPr>
                <w:p w14:paraId="726F989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主要危险物质及分布</w:t>
                  </w:r>
                </w:p>
              </w:tc>
              <w:tc>
                <w:tcPr>
                  <w:tcW w:w="6799" w:type="dxa"/>
                  <w:gridSpan w:val="5"/>
                  <w:noWrap w:val="0"/>
                  <w:vAlign w:val="center"/>
                </w:tcPr>
                <w:p w14:paraId="3716E10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汽油、柴油（储罐）</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危废暂存点</w:t>
                  </w:r>
                </w:p>
              </w:tc>
            </w:tr>
            <w:tr w14:paraId="6C94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260" w:type="dxa"/>
                  <w:noWrap w:val="0"/>
                  <w:vAlign w:val="center"/>
                </w:tcPr>
                <w:p w14:paraId="63135F3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环境影响途径及危害后果（大气、地表水、地下水等）</w:t>
                  </w:r>
                </w:p>
              </w:tc>
              <w:tc>
                <w:tcPr>
                  <w:tcW w:w="6799" w:type="dxa"/>
                  <w:gridSpan w:val="5"/>
                  <w:noWrap w:val="0"/>
                  <w:vAlign w:val="center"/>
                </w:tcPr>
                <w:p w14:paraId="18EA7C6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具体见“风险识别内容”</w:t>
                  </w:r>
                </w:p>
              </w:tc>
            </w:tr>
            <w:tr w14:paraId="05A2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260" w:type="dxa"/>
                  <w:noWrap w:val="0"/>
                  <w:vAlign w:val="center"/>
                </w:tcPr>
                <w:p w14:paraId="4FC2FE9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风险防范措施要求</w:t>
                  </w:r>
                </w:p>
              </w:tc>
              <w:tc>
                <w:tcPr>
                  <w:tcW w:w="6799" w:type="dxa"/>
                  <w:gridSpan w:val="5"/>
                  <w:noWrap w:val="0"/>
                  <w:vAlign w:val="center"/>
                </w:tcPr>
                <w:p w14:paraId="0206830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具体详见“</w:t>
                  </w:r>
                  <w:r>
                    <w:rPr>
                      <w:rFonts w:hint="default" w:ascii="Times New Roman" w:hAnsi="Times New Roman" w:cs="Times New Roman"/>
                      <w:color w:val="auto"/>
                      <w:sz w:val="21"/>
                      <w:szCs w:val="21"/>
                      <w:lang w:val="en-US" w:eastAsia="zh-CN"/>
                    </w:rPr>
                    <w:t>第四节-</w:t>
                  </w: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3风险防范措施及应急要求”</w:t>
                  </w:r>
                </w:p>
              </w:tc>
            </w:tr>
            <w:tr w14:paraId="6C50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9" w:type="dxa"/>
                  <w:gridSpan w:val="6"/>
                  <w:noWrap w:val="0"/>
                  <w:vAlign w:val="top"/>
                </w:tcPr>
                <w:p w14:paraId="4BB747AC">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填表说明（列出项目相关信息及评价说明）：</w:t>
                  </w:r>
                </w:p>
                <w:p w14:paraId="545133EF">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项目Q值小于1，故环境风险潜势为Ⅰ只进行简单分析</w:t>
                  </w:r>
                </w:p>
              </w:tc>
            </w:tr>
          </w:tbl>
          <w:p w14:paraId="729CFB6F">
            <w:pPr>
              <w:widowControl w:val="0"/>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表4-2</w:t>
            </w:r>
            <w:r>
              <w:rPr>
                <w:rFonts w:hint="eastAsia" w:cs="Times New Roman"/>
                <w:b/>
                <w:bCs/>
                <w:color w:val="auto"/>
                <w:kern w:val="2"/>
                <w:sz w:val="21"/>
                <w:szCs w:val="21"/>
                <w:lang w:val="en-US" w:eastAsia="zh-CN" w:bidi="ar-SA"/>
              </w:rPr>
              <w:t>7</w:t>
            </w:r>
            <w:r>
              <w:rPr>
                <w:rFonts w:hint="default" w:ascii="Times New Roman" w:hAnsi="Times New Roman" w:eastAsia="宋体" w:cs="Times New Roman"/>
                <w:b/>
                <w:bCs/>
                <w:color w:val="auto"/>
                <w:kern w:val="2"/>
                <w:sz w:val="21"/>
                <w:szCs w:val="21"/>
                <w:lang w:val="en-US" w:eastAsia="zh-CN" w:bidi="ar-SA"/>
              </w:rPr>
              <w:t xml:space="preserve"> 运营期主要污染工序一览表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3325"/>
              <w:gridCol w:w="1615"/>
              <w:gridCol w:w="1430"/>
              <w:gridCol w:w="1370"/>
            </w:tblGrid>
            <w:tr w14:paraId="0C81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noWrap w:val="0"/>
                  <w:vAlign w:val="center"/>
                </w:tcPr>
                <w:p w14:paraId="06FD8611">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污染类型</w:t>
                  </w:r>
                </w:p>
              </w:tc>
              <w:tc>
                <w:tcPr>
                  <w:tcW w:w="3325" w:type="dxa"/>
                  <w:noWrap w:val="0"/>
                  <w:vAlign w:val="center"/>
                </w:tcPr>
                <w:p w14:paraId="54D21840">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产污环节</w:t>
                  </w:r>
                </w:p>
              </w:tc>
              <w:tc>
                <w:tcPr>
                  <w:tcW w:w="1615" w:type="dxa"/>
                  <w:noWrap w:val="0"/>
                  <w:vAlign w:val="center"/>
                </w:tcPr>
                <w:p w14:paraId="31510AF4">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污染物种类</w:t>
                  </w:r>
                </w:p>
              </w:tc>
              <w:tc>
                <w:tcPr>
                  <w:tcW w:w="1430" w:type="dxa"/>
                  <w:noWrap w:val="0"/>
                  <w:vAlign w:val="center"/>
                </w:tcPr>
                <w:p w14:paraId="721589A5">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产污量t/a</w:t>
                  </w:r>
                </w:p>
              </w:tc>
              <w:tc>
                <w:tcPr>
                  <w:tcW w:w="1370" w:type="dxa"/>
                  <w:noWrap w:val="0"/>
                  <w:vAlign w:val="center"/>
                </w:tcPr>
                <w:p w14:paraId="0C847D11">
                  <w:pPr>
                    <w:widowControl w:val="0"/>
                    <w:bidi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排放量t/a</w:t>
                  </w:r>
                </w:p>
              </w:tc>
            </w:tr>
            <w:tr w14:paraId="3DC9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restart"/>
                  <w:noWrap w:val="0"/>
                  <w:vAlign w:val="center"/>
                </w:tcPr>
                <w:p w14:paraId="067A09C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w:t>
                  </w:r>
                </w:p>
              </w:tc>
              <w:tc>
                <w:tcPr>
                  <w:tcW w:w="3325" w:type="dxa"/>
                  <w:noWrap w:val="0"/>
                  <w:vAlign w:val="center"/>
                </w:tcPr>
                <w:p w14:paraId="72DFC4C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储油罐、</w:t>
                  </w:r>
                  <w:r>
                    <w:rPr>
                      <w:rFonts w:hint="default" w:ascii="Times New Roman" w:hAnsi="Times New Roman" w:cs="Times New Roman"/>
                      <w:bCs/>
                      <w:color w:val="auto"/>
                      <w:sz w:val="21"/>
                      <w:szCs w:val="22"/>
                      <w:lang w:val="en-US" w:eastAsia="zh-CN"/>
                    </w:rPr>
                    <w:t>油罐区</w:t>
                  </w:r>
                  <w:r>
                    <w:rPr>
                      <w:rFonts w:hint="default" w:ascii="Times New Roman" w:hAnsi="Times New Roman" w:eastAsia="宋体" w:cs="Times New Roman"/>
                      <w:color w:val="auto"/>
                      <w:kern w:val="2"/>
                      <w:sz w:val="21"/>
                      <w:szCs w:val="21"/>
                      <w:lang w:val="en-US" w:eastAsia="zh-CN" w:bidi="ar-SA"/>
                    </w:rPr>
                    <w:t>和</w:t>
                  </w:r>
                  <w:r>
                    <w:rPr>
                      <w:rFonts w:hint="default" w:ascii="Times New Roman" w:hAnsi="Times New Roman" w:cs="Times New Roman"/>
                      <w:bCs/>
                      <w:color w:val="auto"/>
                      <w:sz w:val="21"/>
                      <w:szCs w:val="22"/>
                      <w:lang w:bidi="ar"/>
                    </w:rPr>
                    <w:t>加油机</w:t>
                  </w:r>
                </w:p>
              </w:tc>
              <w:tc>
                <w:tcPr>
                  <w:tcW w:w="1615" w:type="dxa"/>
                  <w:noWrap w:val="0"/>
                  <w:vAlign w:val="center"/>
                </w:tcPr>
                <w:p w14:paraId="6533DCC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1430" w:type="dxa"/>
                  <w:noWrap w:val="0"/>
                  <w:vAlign w:val="center"/>
                </w:tcPr>
                <w:p w14:paraId="27DB785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2"/>
                      <w:lang w:val="en-US" w:eastAsia="zh-CN"/>
                    </w:rPr>
                    <w:t>3.0701679</w:t>
                  </w:r>
                </w:p>
              </w:tc>
              <w:tc>
                <w:tcPr>
                  <w:tcW w:w="1370" w:type="dxa"/>
                  <w:noWrap w:val="0"/>
                  <w:vAlign w:val="center"/>
                </w:tcPr>
                <w:p w14:paraId="1F8FB31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2"/>
                      <w:lang w:val="en-US" w:eastAsia="zh-CN"/>
                    </w:rPr>
                    <w:t>0.544612</w:t>
                  </w:r>
                </w:p>
              </w:tc>
            </w:tr>
            <w:tr w14:paraId="5E60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237718A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27E97C0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食堂</w:t>
                  </w:r>
                </w:p>
              </w:tc>
              <w:tc>
                <w:tcPr>
                  <w:tcW w:w="1615" w:type="dxa"/>
                  <w:noWrap w:val="0"/>
                  <w:vAlign w:val="center"/>
                </w:tcPr>
                <w:p w14:paraId="4609412B">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油烟</w:t>
                  </w:r>
                </w:p>
              </w:tc>
              <w:tc>
                <w:tcPr>
                  <w:tcW w:w="1430" w:type="dxa"/>
                  <w:noWrap w:val="0"/>
                  <w:vAlign w:val="center"/>
                </w:tcPr>
                <w:p w14:paraId="2026BE6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0.93</w:t>
                  </w:r>
                  <w:r>
                    <w:rPr>
                      <w:rFonts w:hint="default" w:ascii="Times New Roman" w:hAnsi="Times New Roman" w:eastAsia="宋体" w:cs="Times New Roman"/>
                      <w:color w:val="auto"/>
                      <w:kern w:val="2"/>
                      <w:sz w:val="21"/>
                      <w:szCs w:val="21"/>
                      <w:lang w:val="en-US" w:eastAsia="zh-CN" w:bidi="ar-SA"/>
                    </w:rPr>
                    <w:t>kg/a</w:t>
                  </w:r>
                </w:p>
              </w:tc>
              <w:tc>
                <w:tcPr>
                  <w:tcW w:w="1370" w:type="dxa"/>
                  <w:noWrap w:val="0"/>
                  <w:vAlign w:val="center"/>
                </w:tcPr>
                <w:p w14:paraId="76C9B92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r>
                    <w:rPr>
                      <w:rFonts w:hint="default" w:ascii="Times New Roman" w:hAnsi="Times New Roman" w:cs="Times New Roman"/>
                      <w:color w:val="auto"/>
                      <w:kern w:val="2"/>
                      <w:sz w:val="21"/>
                      <w:szCs w:val="21"/>
                      <w:lang w:val="en-US" w:eastAsia="zh-CN" w:bidi="ar-SA"/>
                    </w:rPr>
                    <w:t>372</w:t>
                  </w:r>
                  <w:r>
                    <w:rPr>
                      <w:rFonts w:hint="default" w:ascii="Times New Roman" w:hAnsi="Times New Roman" w:cs="Times New Roman"/>
                      <w:color w:val="auto"/>
                      <w:sz w:val="24"/>
                      <w:szCs w:val="24"/>
                    </w:rPr>
                    <w:t>kg/a</w:t>
                  </w:r>
                </w:p>
              </w:tc>
            </w:tr>
            <w:tr w14:paraId="4AD1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60" w:type="dxa"/>
                  <w:vMerge w:val="restart"/>
                  <w:noWrap w:val="0"/>
                  <w:vAlign w:val="center"/>
                </w:tcPr>
                <w:p w14:paraId="74270439">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w:t>
                  </w:r>
                </w:p>
              </w:tc>
              <w:tc>
                <w:tcPr>
                  <w:tcW w:w="3325" w:type="dxa"/>
                  <w:noWrap w:val="0"/>
                  <w:vAlign w:val="center"/>
                </w:tcPr>
                <w:p w14:paraId="0A7457E9">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员工住宿</w:t>
                  </w:r>
                </w:p>
              </w:tc>
              <w:tc>
                <w:tcPr>
                  <w:tcW w:w="1615" w:type="dxa"/>
                  <w:vMerge w:val="restart"/>
                  <w:noWrap w:val="0"/>
                  <w:vAlign w:val="center"/>
                </w:tcPr>
                <w:p w14:paraId="1F06FB9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COD、BOD5、SS、氨氮、总磷、动植物油</w:t>
                  </w:r>
                </w:p>
              </w:tc>
              <w:tc>
                <w:tcPr>
                  <w:tcW w:w="1430" w:type="dxa"/>
                  <w:noWrap w:val="0"/>
                  <w:vAlign w:val="center"/>
                </w:tcPr>
                <w:p w14:paraId="605B3878">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87.6</w:t>
                  </w:r>
                  <w:r>
                    <w:rPr>
                      <w:rFonts w:hint="default" w:ascii="Times New Roman" w:hAnsi="Times New Roman" w:cs="Times New Roman"/>
                      <w:b w:val="0"/>
                      <w:bCs w:val="0"/>
                      <w:color w:val="auto"/>
                      <w:szCs w:val="21"/>
                    </w:rPr>
                    <w:t>m³/a</w:t>
                  </w:r>
                </w:p>
              </w:tc>
              <w:tc>
                <w:tcPr>
                  <w:tcW w:w="1370" w:type="dxa"/>
                  <w:noWrap w:val="0"/>
                  <w:vAlign w:val="center"/>
                </w:tcPr>
                <w:p w14:paraId="1F3E335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33CE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049318A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1F10FEA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员工食堂</w:t>
                  </w:r>
                </w:p>
              </w:tc>
              <w:tc>
                <w:tcPr>
                  <w:tcW w:w="1615" w:type="dxa"/>
                  <w:vMerge w:val="continue"/>
                  <w:noWrap w:val="0"/>
                  <w:vAlign w:val="center"/>
                </w:tcPr>
                <w:p w14:paraId="27E7694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430" w:type="dxa"/>
                  <w:noWrap w:val="0"/>
                  <w:vAlign w:val="center"/>
                </w:tcPr>
                <w:p w14:paraId="6ADFED91">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17.52</w:t>
                  </w:r>
                  <w:r>
                    <w:rPr>
                      <w:rFonts w:hint="default" w:ascii="Times New Roman" w:hAnsi="Times New Roman" w:cs="Times New Roman"/>
                      <w:b w:val="0"/>
                      <w:bCs w:val="0"/>
                      <w:color w:val="auto"/>
                      <w:szCs w:val="21"/>
                    </w:rPr>
                    <w:t>m³/a</w:t>
                  </w:r>
                </w:p>
              </w:tc>
              <w:tc>
                <w:tcPr>
                  <w:tcW w:w="1370" w:type="dxa"/>
                  <w:noWrap w:val="0"/>
                  <w:vAlign w:val="center"/>
                </w:tcPr>
                <w:p w14:paraId="7210D14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41F5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725E8B3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0A8593A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外来人员冲厕</w:t>
                  </w:r>
                </w:p>
              </w:tc>
              <w:tc>
                <w:tcPr>
                  <w:tcW w:w="1615" w:type="dxa"/>
                  <w:vMerge w:val="continue"/>
                  <w:noWrap w:val="0"/>
                  <w:vAlign w:val="center"/>
                </w:tcPr>
                <w:p w14:paraId="7D75253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430" w:type="dxa"/>
                  <w:noWrap w:val="0"/>
                  <w:vAlign w:val="center"/>
                </w:tcPr>
                <w:p w14:paraId="0CB0FCC0">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367.92</w:t>
                  </w:r>
                  <w:r>
                    <w:rPr>
                      <w:rFonts w:hint="default" w:ascii="Times New Roman" w:hAnsi="Times New Roman" w:cs="Times New Roman"/>
                      <w:b w:val="0"/>
                      <w:bCs w:val="0"/>
                      <w:color w:val="auto"/>
                      <w:szCs w:val="21"/>
                    </w:rPr>
                    <w:t>m³/a</w:t>
                  </w:r>
                </w:p>
              </w:tc>
              <w:tc>
                <w:tcPr>
                  <w:tcW w:w="1370" w:type="dxa"/>
                  <w:noWrap w:val="0"/>
                  <w:vAlign w:val="center"/>
                </w:tcPr>
                <w:p w14:paraId="19570E3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49B3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60" w:type="dxa"/>
                  <w:vMerge w:val="continue"/>
                  <w:noWrap w:val="0"/>
                  <w:vAlign w:val="center"/>
                </w:tcPr>
                <w:p w14:paraId="326B358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2CC03A41">
                  <w:pPr>
                    <w:widowControl w:val="0"/>
                    <w:bidi w:val="0"/>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地坪冲洗水</w:t>
                  </w:r>
                </w:p>
              </w:tc>
              <w:tc>
                <w:tcPr>
                  <w:tcW w:w="1615" w:type="dxa"/>
                  <w:noWrap w:val="0"/>
                  <w:vAlign w:val="center"/>
                </w:tcPr>
                <w:p w14:paraId="6D7FECF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SS、石油</w:t>
                  </w:r>
                </w:p>
              </w:tc>
              <w:tc>
                <w:tcPr>
                  <w:tcW w:w="1430" w:type="dxa"/>
                  <w:noWrap w:val="0"/>
                  <w:vAlign w:val="center"/>
                </w:tcPr>
                <w:p w14:paraId="40AABF1E">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15.84</w:t>
                  </w:r>
                  <w:r>
                    <w:rPr>
                      <w:rFonts w:hint="default" w:ascii="Times New Roman" w:hAnsi="Times New Roman" w:cs="Times New Roman"/>
                      <w:b w:val="0"/>
                      <w:bCs w:val="0"/>
                      <w:color w:val="auto"/>
                      <w:szCs w:val="21"/>
                    </w:rPr>
                    <w:t>m³/a</w:t>
                  </w:r>
                </w:p>
              </w:tc>
              <w:tc>
                <w:tcPr>
                  <w:tcW w:w="1370" w:type="dxa"/>
                  <w:noWrap w:val="0"/>
                  <w:vAlign w:val="center"/>
                </w:tcPr>
                <w:p w14:paraId="22E022A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20A2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noWrap w:val="0"/>
                  <w:vAlign w:val="center"/>
                </w:tcPr>
                <w:p w14:paraId="70D0B5B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w:t>
                  </w:r>
                </w:p>
              </w:tc>
              <w:tc>
                <w:tcPr>
                  <w:tcW w:w="3325" w:type="dxa"/>
                  <w:noWrap w:val="0"/>
                  <w:vAlign w:val="center"/>
                </w:tcPr>
                <w:p w14:paraId="71EE27F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运营设备</w:t>
                  </w:r>
                </w:p>
              </w:tc>
              <w:tc>
                <w:tcPr>
                  <w:tcW w:w="1615" w:type="dxa"/>
                  <w:noWrap w:val="0"/>
                  <w:vAlign w:val="center"/>
                </w:tcPr>
                <w:p w14:paraId="14FBCBE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w:t>
                  </w:r>
                </w:p>
              </w:tc>
              <w:tc>
                <w:tcPr>
                  <w:tcW w:w="2800" w:type="dxa"/>
                  <w:gridSpan w:val="2"/>
                  <w:noWrap w:val="0"/>
                  <w:vAlign w:val="center"/>
                </w:tcPr>
                <w:p w14:paraId="1D45549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设置在厂房内，设减振措施</w:t>
                  </w:r>
                </w:p>
              </w:tc>
            </w:tr>
            <w:tr w14:paraId="5F49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restart"/>
                  <w:noWrap w:val="0"/>
                  <w:vAlign w:val="center"/>
                </w:tcPr>
                <w:p w14:paraId="0C4FD99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一般固废</w:t>
                  </w:r>
                </w:p>
              </w:tc>
              <w:tc>
                <w:tcPr>
                  <w:tcW w:w="3325" w:type="dxa"/>
                  <w:noWrap w:val="0"/>
                  <w:vAlign w:val="center"/>
                </w:tcPr>
                <w:p w14:paraId="230DC5E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员工住宿</w:t>
                  </w:r>
                  <w:r>
                    <w:rPr>
                      <w:rFonts w:hint="default" w:ascii="Times New Roman" w:hAnsi="Times New Roman" w:cs="Times New Roman"/>
                      <w:color w:val="auto"/>
                      <w:kern w:val="2"/>
                      <w:sz w:val="21"/>
                      <w:szCs w:val="21"/>
                      <w:lang w:val="en-US" w:eastAsia="zh-CN" w:bidi="ar-SA"/>
                    </w:rPr>
                    <w:t>、车载人员</w:t>
                  </w:r>
                </w:p>
              </w:tc>
              <w:tc>
                <w:tcPr>
                  <w:tcW w:w="1615" w:type="dxa"/>
                  <w:noWrap w:val="0"/>
                  <w:vAlign w:val="center"/>
                </w:tcPr>
                <w:p w14:paraId="7383462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生活垃圾</w:t>
                  </w:r>
                </w:p>
              </w:tc>
              <w:tc>
                <w:tcPr>
                  <w:tcW w:w="1430" w:type="dxa"/>
                  <w:noWrap w:val="0"/>
                  <w:vAlign w:val="center"/>
                </w:tcPr>
                <w:p w14:paraId="296C7C0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6.3875</w:t>
                  </w:r>
                </w:p>
              </w:tc>
              <w:tc>
                <w:tcPr>
                  <w:tcW w:w="1370" w:type="dxa"/>
                  <w:noWrap w:val="0"/>
                  <w:vAlign w:val="center"/>
                </w:tcPr>
                <w:p w14:paraId="682B61D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2E40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160" w:type="dxa"/>
                  <w:vMerge w:val="continue"/>
                  <w:noWrap w:val="0"/>
                  <w:vAlign w:val="center"/>
                </w:tcPr>
                <w:p w14:paraId="36B1D43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03D903E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隔油池</w:t>
                  </w:r>
                </w:p>
              </w:tc>
              <w:tc>
                <w:tcPr>
                  <w:tcW w:w="1615" w:type="dxa"/>
                  <w:noWrap w:val="0"/>
                  <w:vAlign w:val="center"/>
                </w:tcPr>
                <w:p w14:paraId="5FBAD3D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废油</w:t>
                  </w:r>
                </w:p>
              </w:tc>
              <w:tc>
                <w:tcPr>
                  <w:tcW w:w="1430" w:type="dxa"/>
                  <w:noWrap w:val="0"/>
                  <w:vAlign w:val="center"/>
                </w:tcPr>
                <w:p w14:paraId="4A39630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c>
                <w:tcPr>
                  <w:tcW w:w="1370" w:type="dxa"/>
                  <w:noWrap w:val="0"/>
                  <w:vAlign w:val="center"/>
                </w:tcPr>
                <w:p w14:paraId="134D4CD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2FFC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6DA870E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0AD9F13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2"/>
                      <w:lang w:val="en-US" w:eastAsia="zh-CN"/>
                    </w:rPr>
                    <w:t>化粪池</w:t>
                  </w:r>
                </w:p>
              </w:tc>
              <w:tc>
                <w:tcPr>
                  <w:tcW w:w="1615" w:type="dxa"/>
                  <w:noWrap w:val="0"/>
                  <w:vAlign w:val="center"/>
                </w:tcPr>
                <w:p w14:paraId="67C8C11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污泥</w:t>
                  </w:r>
                </w:p>
              </w:tc>
              <w:tc>
                <w:tcPr>
                  <w:tcW w:w="1430" w:type="dxa"/>
                  <w:noWrap w:val="0"/>
                  <w:vAlign w:val="center"/>
                </w:tcPr>
                <w:p w14:paraId="18A0359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0.0268</w:t>
                  </w:r>
                </w:p>
              </w:tc>
              <w:tc>
                <w:tcPr>
                  <w:tcW w:w="1370" w:type="dxa"/>
                  <w:noWrap w:val="0"/>
                  <w:vAlign w:val="center"/>
                </w:tcPr>
                <w:p w14:paraId="1876259B">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6357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60" w:type="dxa"/>
                  <w:vMerge w:val="restart"/>
                  <w:noWrap w:val="0"/>
                  <w:vAlign w:val="center"/>
                </w:tcPr>
                <w:p w14:paraId="125BFA4A">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w:t>
                  </w:r>
                </w:p>
              </w:tc>
              <w:tc>
                <w:tcPr>
                  <w:tcW w:w="3325" w:type="dxa"/>
                  <w:noWrap w:val="0"/>
                  <w:vAlign w:val="center"/>
                </w:tcPr>
                <w:p w14:paraId="2F260C5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油罐清洗</w:t>
                  </w:r>
                </w:p>
              </w:tc>
              <w:tc>
                <w:tcPr>
                  <w:tcW w:w="1615" w:type="dxa"/>
                  <w:noWrap w:val="0"/>
                  <w:vAlign w:val="center"/>
                </w:tcPr>
                <w:p w14:paraId="4619C92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废抹布、废手套</w:t>
                  </w:r>
                </w:p>
              </w:tc>
              <w:tc>
                <w:tcPr>
                  <w:tcW w:w="1430" w:type="dxa"/>
                  <w:noWrap w:val="0"/>
                  <w:vAlign w:val="center"/>
                </w:tcPr>
                <w:p w14:paraId="3CD4506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1370" w:type="dxa"/>
                  <w:noWrap w:val="0"/>
                  <w:vAlign w:val="center"/>
                </w:tcPr>
                <w:p w14:paraId="4A32DAA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3BC3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0" w:type="dxa"/>
                  <w:vMerge w:val="continue"/>
                  <w:noWrap w:val="0"/>
                  <w:vAlign w:val="center"/>
                </w:tcPr>
                <w:p w14:paraId="3BCCAF7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1DBC4F4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油罐清洗</w:t>
                  </w:r>
                </w:p>
              </w:tc>
              <w:tc>
                <w:tcPr>
                  <w:tcW w:w="1615" w:type="dxa"/>
                  <w:noWrap w:val="0"/>
                  <w:vAlign w:val="center"/>
                </w:tcPr>
                <w:p w14:paraId="558ED4D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油罐残渣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废液</w:t>
                  </w:r>
                </w:p>
              </w:tc>
              <w:tc>
                <w:tcPr>
                  <w:tcW w:w="1430" w:type="dxa"/>
                  <w:noWrap w:val="0"/>
                  <w:vAlign w:val="center"/>
                </w:tcPr>
                <w:p w14:paraId="56D38071">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0.21</w:t>
                  </w:r>
                </w:p>
              </w:tc>
              <w:tc>
                <w:tcPr>
                  <w:tcW w:w="1370" w:type="dxa"/>
                  <w:noWrap w:val="0"/>
                  <w:vAlign w:val="center"/>
                </w:tcPr>
                <w:p w14:paraId="484900DB">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0EA5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70CFF65A">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3A49AB8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三级</w:t>
                  </w:r>
                  <w:r>
                    <w:rPr>
                      <w:rFonts w:hint="default" w:ascii="Times New Roman" w:hAnsi="Times New Roman" w:cs="Times New Roman"/>
                      <w:color w:val="auto"/>
                      <w:sz w:val="21"/>
                      <w:szCs w:val="21"/>
                    </w:rPr>
                    <w:t>油水分离池</w:t>
                  </w:r>
                </w:p>
              </w:tc>
              <w:tc>
                <w:tcPr>
                  <w:tcW w:w="1615" w:type="dxa"/>
                  <w:noWrap w:val="0"/>
                  <w:vAlign w:val="center"/>
                </w:tcPr>
                <w:p w14:paraId="0751D09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highlight w:val="none"/>
                      <w:lang w:val="en-US" w:eastAsia="zh-CN"/>
                    </w:rPr>
                    <w:t>废油脂</w:t>
                  </w:r>
                </w:p>
              </w:tc>
              <w:tc>
                <w:tcPr>
                  <w:tcW w:w="1430" w:type="dxa"/>
                  <w:noWrap w:val="0"/>
                  <w:vAlign w:val="center"/>
                </w:tcPr>
                <w:p w14:paraId="1670DF4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c>
                <w:tcPr>
                  <w:tcW w:w="1370" w:type="dxa"/>
                  <w:noWrap w:val="0"/>
                  <w:vAlign w:val="center"/>
                </w:tcPr>
                <w:p w14:paraId="031D72F5">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708E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39C1536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63CAF610">
                  <w:pPr>
                    <w:widowControl w:val="0"/>
                    <w:bidi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加油区</w:t>
                  </w:r>
                </w:p>
              </w:tc>
              <w:tc>
                <w:tcPr>
                  <w:tcW w:w="1615" w:type="dxa"/>
                  <w:noWrap w:val="0"/>
                  <w:vAlign w:val="center"/>
                </w:tcPr>
                <w:p w14:paraId="3F667C3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废消防沙</w:t>
                  </w:r>
                </w:p>
              </w:tc>
              <w:tc>
                <w:tcPr>
                  <w:tcW w:w="1430" w:type="dxa"/>
                  <w:noWrap w:val="0"/>
                  <w:vAlign w:val="center"/>
                </w:tcPr>
                <w:p w14:paraId="4F56FA0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1370" w:type="dxa"/>
                  <w:noWrap w:val="0"/>
                  <w:vAlign w:val="center"/>
                </w:tcPr>
                <w:p w14:paraId="5BE4DAE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r w14:paraId="3121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14:paraId="0B68448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325" w:type="dxa"/>
                  <w:noWrap w:val="0"/>
                  <w:vAlign w:val="center"/>
                </w:tcPr>
                <w:p w14:paraId="2C378A6B">
                  <w:pPr>
                    <w:widowControl w:val="0"/>
                    <w:bidi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油罐、加油机</w:t>
                  </w:r>
                </w:p>
              </w:tc>
              <w:tc>
                <w:tcPr>
                  <w:tcW w:w="1615" w:type="dxa"/>
                  <w:noWrap w:val="0"/>
                  <w:vAlign w:val="center"/>
                </w:tcPr>
                <w:p w14:paraId="1F0B723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废滤网</w:t>
                  </w:r>
                </w:p>
              </w:tc>
              <w:tc>
                <w:tcPr>
                  <w:tcW w:w="1430" w:type="dxa"/>
                  <w:noWrap w:val="0"/>
                  <w:vAlign w:val="center"/>
                </w:tcPr>
                <w:p w14:paraId="2B3E8B4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w:t>
                  </w:r>
                </w:p>
              </w:tc>
              <w:tc>
                <w:tcPr>
                  <w:tcW w:w="1370" w:type="dxa"/>
                  <w:noWrap w:val="0"/>
                  <w:vAlign w:val="center"/>
                </w:tcPr>
                <w:p w14:paraId="495C793E">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w:t>
                  </w:r>
                </w:p>
              </w:tc>
            </w:tr>
          </w:tbl>
          <w:p w14:paraId="1AC4C80F">
            <w:pPr>
              <w:adjustRightInd w:val="0"/>
              <w:snapToGrid w:val="0"/>
              <w:rPr>
                <w:rFonts w:hint="default" w:ascii="Times New Roman" w:hAnsi="Times New Roman" w:eastAsia="宋体" w:cs="Times New Roman"/>
                <w:bCs/>
                <w:color w:val="auto"/>
                <w:spacing w:val="-10"/>
                <w:szCs w:val="21"/>
                <w:lang w:val="en-US" w:eastAsia="zh-CN"/>
              </w:rPr>
            </w:pPr>
          </w:p>
        </w:tc>
      </w:tr>
    </w:tbl>
    <w:p w14:paraId="6E332F8E">
      <w:pPr>
        <w:rPr>
          <w:rFonts w:hint="default" w:ascii="Times New Roman" w:hAnsi="Times New Roman" w:eastAsia="黑体" w:cs="Times New Roman"/>
          <w:snapToGrid w:val="0"/>
          <w:color w:val="auto"/>
          <w:sz w:val="30"/>
          <w:szCs w:val="30"/>
        </w:rPr>
      </w:pPr>
      <w:bookmarkStart w:id="137" w:name="_Toc402"/>
      <w:r>
        <w:rPr>
          <w:rFonts w:hint="default" w:ascii="Times New Roman" w:hAnsi="Times New Roman" w:eastAsia="黑体" w:cs="Times New Roman"/>
          <w:snapToGrid w:val="0"/>
          <w:color w:val="auto"/>
          <w:sz w:val="30"/>
          <w:szCs w:val="30"/>
        </w:rPr>
        <w:br w:type="page"/>
      </w:r>
    </w:p>
    <w:p w14:paraId="49198CDD">
      <w:pPr>
        <w:pStyle w:val="24"/>
        <w:jc w:val="center"/>
        <w:outlineLvl w:val="0"/>
        <w:rPr>
          <w:rFonts w:hint="default" w:ascii="Times New Roman" w:hAnsi="Times New Roman" w:eastAsia="黑体" w:cs="Times New Roman"/>
          <w:snapToGrid w:val="0"/>
          <w:color w:val="auto"/>
          <w:sz w:val="30"/>
          <w:szCs w:val="30"/>
        </w:rPr>
      </w:pPr>
      <w:bookmarkStart w:id="138" w:name="_Toc4731"/>
      <w:r>
        <w:rPr>
          <w:rFonts w:hint="default" w:ascii="Times New Roman" w:hAnsi="Times New Roman" w:eastAsia="黑体" w:cs="Times New Roman"/>
          <w:snapToGrid w:val="0"/>
          <w:color w:val="auto"/>
          <w:sz w:val="30"/>
          <w:szCs w:val="30"/>
        </w:rPr>
        <w:t>五、</w:t>
      </w:r>
      <w:bookmarkStart w:id="139" w:name="_Hlk54167917"/>
      <w:r>
        <w:rPr>
          <w:rFonts w:hint="default" w:ascii="Times New Roman" w:hAnsi="Times New Roman" w:eastAsia="黑体" w:cs="Times New Roman"/>
          <w:snapToGrid w:val="0"/>
          <w:color w:val="auto"/>
          <w:sz w:val="30"/>
          <w:szCs w:val="30"/>
        </w:rPr>
        <w:t>环境保护措施监督检查清单</w:t>
      </w:r>
      <w:bookmarkEnd w:id="137"/>
      <w:bookmarkEnd w:id="138"/>
      <w:bookmarkEnd w:id="139"/>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588"/>
        <w:gridCol w:w="1550"/>
        <w:gridCol w:w="2437"/>
        <w:gridCol w:w="2713"/>
      </w:tblGrid>
      <w:tr w14:paraId="706DC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3" w:type="dxa"/>
            <w:tcBorders>
              <w:tl2br w:val="single" w:color="auto" w:sz="4" w:space="0"/>
            </w:tcBorders>
            <w:noWrap w:val="0"/>
            <w:vAlign w:val="center"/>
          </w:tcPr>
          <w:p w14:paraId="746E0265">
            <w:pPr>
              <w:adjustRightInd w:val="0"/>
              <w:snapToGrid w:val="0"/>
              <w:spacing w:line="240" w:lineRule="auto"/>
              <w:ind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内容</w:t>
            </w:r>
          </w:p>
          <w:p w14:paraId="72F36C49">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要素</w:t>
            </w:r>
          </w:p>
        </w:tc>
        <w:tc>
          <w:tcPr>
            <w:tcW w:w="1588" w:type="dxa"/>
            <w:noWrap w:val="0"/>
            <w:vAlign w:val="center"/>
          </w:tcPr>
          <w:p w14:paraId="6C8C50E3">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w:t>
            </w:r>
          </w:p>
          <w:p w14:paraId="560AF25A">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名称)/污染源</w:t>
            </w:r>
          </w:p>
        </w:tc>
        <w:tc>
          <w:tcPr>
            <w:tcW w:w="1550" w:type="dxa"/>
            <w:noWrap w:val="0"/>
            <w:vAlign w:val="center"/>
          </w:tcPr>
          <w:p w14:paraId="23491889">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污染物项目</w:t>
            </w:r>
          </w:p>
        </w:tc>
        <w:tc>
          <w:tcPr>
            <w:tcW w:w="2437" w:type="dxa"/>
            <w:noWrap w:val="0"/>
            <w:vAlign w:val="center"/>
          </w:tcPr>
          <w:p w14:paraId="5B2E201F">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2713" w:type="dxa"/>
            <w:noWrap w:val="0"/>
            <w:vAlign w:val="center"/>
          </w:tcPr>
          <w:p w14:paraId="44AE747E">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14:paraId="417CE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1193" w:type="dxa"/>
            <w:vMerge w:val="restart"/>
            <w:noWrap w:val="0"/>
            <w:vAlign w:val="center"/>
          </w:tcPr>
          <w:p w14:paraId="15BD0B59">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588" w:type="dxa"/>
            <w:noWrap w:val="0"/>
            <w:vAlign w:val="center"/>
          </w:tcPr>
          <w:p w14:paraId="6FDA60C8">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卸油、储油、加油系统</w:t>
            </w:r>
          </w:p>
        </w:tc>
        <w:tc>
          <w:tcPr>
            <w:tcW w:w="1550" w:type="dxa"/>
            <w:noWrap w:val="0"/>
            <w:vAlign w:val="center"/>
          </w:tcPr>
          <w:p w14:paraId="6CE13056">
            <w:pPr>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2"/>
              </w:rPr>
              <w:t>非甲烷总烃</w:t>
            </w:r>
          </w:p>
        </w:tc>
        <w:tc>
          <w:tcPr>
            <w:tcW w:w="2437" w:type="dxa"/>
            <w:noWrap w:val="0"/>
            <w:vAlign w:val="center"/>
          </w:tcPr>
          <w:p w14:paraId="6A2CB471">
            <w:pPr>
              <w:adjustRightInd w:val="0"/>
              <w:snapToGrid w:val="0"/>
              <w:spacing w:line="240" w:lineRule="auto"/>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采用自封式加油枪及密闭卸油、油罐地埋、安装</w:t>
            </w:r>
            <w:r>
              <w:rPr>
                <w:rFonts w:hint="eastAsia" w:cs="Times New Roman"/>
                <w:color w:val="auto"/>
                <w:szCs w:val="21"/>
                <w:lang w:eastAsia="zh-CN"/>
              </w:rPr>
              <w:t>油气回收系统</w:t>
            </w:r>
          </w:p>
        </w:tc>
        <w:tc>
          <w:tcPr>
            <w:tcW w:w="2713" w:type="dxa"/>
            <w:noWrap w:val="0"/>
            <w:vAlign w:val="center"/>
          </w:tcPr>
          <w:p w14:paraId="75C92D73">
            <w:pPr>
              <w:keepNext w:val="0"/>
              <w:keepLines w:val="0"/>
              <w:widowControl/>
              <w:suppressLineNumbers w:val="0"/>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 w:val="21"/>
                <w:szCs w:val="21"/>
                <w:lang w:val="en-US" w:eastAsia="zh-CN"/>
              </w:rPr>
              <w:t>企业边界油气浓度</w:t>
            </w:r>
            <w:r>
              <w:rPr>
                <w:rFonts w:hint="default" w:ascii="Times New Roman" w:hAnsi="Times New Roman" w:eastAsia="宋体" w:cs="Times New Roman"/>
                <w:color w:val="auto"/>
                <w:sz w:val="21"/>
                <w:szCs w:val="21"/>
              </w:rPr>
              <w:t>执行《加油站大气污染物排放标准》（GB20952-2020）中</w:t>
            </w:r>
            <w:r>
              <w:rPr>
                <w:rFonts w:hint="default" w:ascii="Times New Roman" w:hAnsi="Times New Roman" w:eastAsia="宋体" w:cs="Times New Roman"/>
                <w:color w:val="auto"/>
                <w:sz w:val="21"/>
                <w:szCs w:val="21"/>
                <w:lang w:val="en-US" w:eastAsia="zh-CN"/>
              </w:rPr>
              <w:t>4.0</w:t>
            </w: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r>
              <w:rPr>
                <w:rFonts w:hint="default" w:ascii="Times New Roman" w:hAnsi="Times New Roman" w:eastAsia="宋体" w:cs="Times New Roman"/>
                <w:color w:val="auto"/>
                <w:sz w:val="21"/>
                <w:szCs w:val="21"/>
                <w:lang w:val="en-US" w:eastAsia="zh-CN"/>
              </w:rPr>
              <w:t>限值</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cs="Times New Roman"/>
                <w:color w:val="auto"/>
                <w:szCs w:val="21"/>
              </w:rPr>
              <w:t>加油站厂界内浓度执行《挥发性有机物无组织排放控制标准》（GB37822-2019）表A.1标准限值</w:t>
            </w:r>
          </w:p>
        </w:tc>
      </w:tr>
      <w:tr w14:paraId="298DB2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3" w:type="dxa"/>
            <w:vMerge w:val="continue"/>
            <w:noWrap w:val="0"/>
            <w:vAlign w:val="center"/>
          </w:tcPr>
          <w:p w14:paraId="4AA63CBF">
            <w:pPr>
              <w:adjustRightInd w:val="0"/>
              <w:snapToGrid w:val="0"/>
              <w:spacing w:line="240" w:lineRule="auto"/>
              <w:jc w:val="center"/>
              <w:rPr>
                <w:rFonts w:hint="default" w:ascii="Times New Roman" w:hAnsi="Times New Roman" w:cs="Times New Roman"/>
                <w:color w:val="auto"/>
                <w:szCs w:val="21"/>
              </w:rPr>
            </w:pPr>
          </w:p>
        </w:tc>
        <w:tc>
          <w:tcPr>
            <w:tcW w:w="1588" w:type="dxa"/>
            <w:noWrap w:val="0"/>
            <w:vAlign w:val="center"/>
          </w:tcPr>
          <w:p w14:paraId="71CDF0B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2"/>
              </w:rPr>
              <w:t>厨房</w:t>
            </w:r>
          </w:p>
        </w:tc>
        <w:tc>
          <w:tcPr>
            <w:tcW w:w="1550" w:type="dxa"/>
            <w:noWrap w:val="0"/>
            <w:vAlign w:val="center"/>
          </w:tcPr>
          <w:p w14:paraId="78CE5220">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2"/>
              </w:rPr>
              <w:t>油烟</w:t>
            </w:r>
          </w:p>
        </w:tc>
        <w:tc>
          <w:tcPr>
            <w:tcW w:w="2437" w:type="dxa"/>
            <w:noWrap w:val="0"/>
            <w:vAlign w:val="center"/>
          </w:tcPr>
          <w:p w14:paraId="208293FD">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员工厨房内按规范设置1</w:t>
            </w:r>
            <w:r>
              <w:rPr>
                <w:rFonts w:hint="default" w:ascii="Times New Roman" w:hAnsi="Times New Roman" w:cs="Times New Roman"/>
                <w:color w:val="auto"/>
                <w:sz w:val="21"/>
                <w:szCs w:val="21"/>
                <w:lang w:val="en-US" w:eastAsia="zh-CN"/>
              </w:rPr>
              <w:t>套油烟净化装置，排气筒高于站房1.5m</w:t>
            </w:r>
          </w:p>
        </w:tc>
        <w:tc>
          <w:tcPr>
            <w:tcW w:w="2713" w:type="dxa"/>
            <w:noWrap w:val="0"/>
            <w:vAlign w:val="center"/>
          </w:tcPr>
          <w:p w14:paraId="05117F31">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油烟经净化达到《饮食业油烟排放标准（试行）》（GB18483-2001）中的有关规定即排放浓度≤2mg/m³</w:t>
            </w:r>
          </w:p>
        </w:tc>
      </w:tr>
      <w:tr w14:paraId="1A7F6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3" w:type="dxa"/>
            <w:vMerge w:val="continue"/>
            <w:noWrap w:val="0"/>
            <w:vAlign w:val="center"/>
          </w:tcPr>
          <w:p w14:paraId="694E99F4">
            <w:pPr>
              <w:adjustRightInd w:val="0"/>
              <w:snapToGrid w:val="0"/>
              <w:spacing w:line="240" w:lineRule="auto"/>
              <w:jc w:val="center"/>
              <w:rPr>
                <w:rFonts w:hint="default" w:ascii="Times New Roman" w:hAnsi="Times New Roman" w:cs="Times New Roman"/>
                <w:color w:val="auto"/>
                <w:szCs w:val="21"/>
              </w:rPr>
            </w:pPr>
          </w:p>
        </w:tc>
        <w:tc>
          <w:tcPr>
            <w:tcW w:w="1588" w:type="dxa"/>
            <w:noWrap w:val="0"/>
            <w:vAlign w:val="center"/>
          </w:tcPr>
          <w:p w14:paraId="6E1CEDE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进出车辆</w:t>
            </w:r>
          </w:p>
        </w:tc>
        <w:tc>
          <w:tcPr>
            <w:tcW w:w="1550" w:type="dxa"/>
            <w:noWrap w:val="0"/>
            <w:vAlign w:val="center"/>
          </w:tcPr>
          <w:p w14:paraId="4650B951">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r>
              <w:rPr>
                <w:rFonts w:hint="default" w:ascii="Times New Roman" w:hAnsi="Times New Roman" w:cs="Times New Roman"/>
                <w:color w:val="auto"/>
                <w:szCs w:val="21"/>
              </w:rPr>
              <w:t>、CO、CH</w:t>
            </w:r>
          </w:p>
        </w:tc>
        <w:tc>
          <w:tcPr>
            <w:tcW w:w="2437" w:type="dxa"/>
            <w:noWrap w:val="0"/>
            <w:vAlign w:val="center"/>
          </w:tcPr>
          <w:p w14:paraId="149D9CA6">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大气稀释扩散</w:t>
            </w:r>
          </w:p>
        </w:tc>
        <w:tc>
          <w:tcPr>
            <w:tcW w:w="2713" w:type="dxa"/>
            <w:noWrap w:val="0"/>
            <w:vAlign w:val="center"/>
          </w:tcPr>
          <w:p w14:paraId="6A98AC9A">
            <w:pPr>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对环境影响较小</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不设执行标准</w:t>
            </w:r>
          </w:p>
        </w:tc>
      </w:tr>
      <w:tr w14:paraId="6F719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3" w:type="dxa"/>
            <w:vMerge w:val="restart"/>
            <w:noWrap w:val="0"/>
            <w:vAlign w:val="center"/>
          </w:tcPr>
          <w:p w14:paraId="73D90686">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588" w:type="dxa"/>
            <w:noWrap w:val="0"/>
            <w:vAlign w:val="center"/>
          </w:tcPr>
          <w:p w14:paraId="59180EBA">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生活污水</w:t>
            </w:r>
          </w:p>
        </w:tc>
        <w:tc>
          <w:tcPr>
            <w:tcW w:w="1550" w:type="dxa"/>
            <w:noWrap w:val="0"/>
            <w:vAlign w:val="center"/>
          </w:tcPr>
          <w:p w14:paraId="10964119">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COD、NH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 xml:space="preserve"> -N、BOD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 xml:space="preserve"> 、粪大肠</w:t>
            </w:r>
            <w:r>
              <w:rPr>
                <w:rFonts w:hint="default" w:ascii="Times New Roman" w:hAnsi="Times New Roman" w:eastAsia="宋体" w:cs="Times New Roman"/>
                <w:color w:val="auto"/>
                <w:szCs w:val="21"/>
              </w:rPr>
              <w:t>菌群、TP、SS等</w:t>
            </w:r>
          </w:p>
        </w:tc>
        <w:tc>
          <w:tcPr>
            <w:tcW w:w="2437" w:type="dxa"/>
            <w:noWrap w:val="0"/>
            <w:vAlign w:val="center"/>
          </w:tcPr>
          <w:p w14:paraId="3406C9F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1个</w:t>
            </w:r>
            <w:r>
              <w:rPr>
                <w:rFonts w:hint="eastAsia" w:cs="Times New Roman"/>
                <w:color w:val="auto"/>
                <w:szCs w:val="21"/>
                <w:lang w:val="en-US" w:eastAsia="zh-CN"/>
              </w:rPr>
              <w:t>11</w:t>
            </w:r>
            <w:r>
              <w:rPr>
                <w:rFonts w:hint="default" w:ascii="Times New Roman" w:hAnsi="Times New Roman" w:cs="Times New Roman"/>
                <w:color w:val="auto"/>
                <w:szCs w:val="21"/>
                <w:lang w:val="en-US" w:eastAsia="zh-CN"/>
              </w:rPr>
              <w:t>m³化粪池；1个0.2</w:t>
            </w:r>
            <w:r>
              <w:rPr>
                <w:rFonts w:hint="default" w:ascii="Times New Roman" w:hAnsi="Times New Roman" w:cs="Times New Roman"/>
                <w:color w:val="auto"/>
                <w:szCs w:val="21"/>
              </w:rPr>
              <w:t>m³隔油池</w:t>
            </w:r>
            <w:r>
              <w:rPr>
                <w:rFonts w:hint="default" w:ascii="Times New Roman" w:hAnsi="Times New Roman" w:cs="Times New Roman"/>
                <w:color w:val="auto"/>
                <w:szCs w:val="21"/>
                <w:lang w:eastAsia="zh-CN"/>
              </w:rPr>
              <w:t>；</w:t>
            </w:r>
            <w:r>
              <w:rPr>
                <w:rFonts w:hint="default" w:ascii="Times New Roman" w:hAnsi="Times New Roman" w:cs="Times New Roman"/>
                <w:color w:val="auto"/>
                <w:kern w:val="2"/>
                <w:sz w:val="21"/>
                <w:szCs w:val="21"/>
                <w:lang w:val="en-US" w:eastAsia="zh-CN" w:bidi="ar-SA"/>
              </w:rPr>
              <w:t>处理后</w:t>
            </w:r>
            <w:r>
              <w:rPr>
                <w:rFonts w:hint="eastAsia" w:cs="Times New Roman"/>
                <w:color w:val="auto"/>
                <w:kern w:val="2"/>
                <w:sz w:val="21"/>
                <w:szCs w:val="21"/>
                <w:lang w:val="en-US" w:eastAsia="zh-CN" w:bidi="ar-SA"/>
              </w:rPr>
              <w:t>委托</w:t>
            </w:r>
            <w:r>
              <w:rPr>
                <w:rFonts w:hint="eastAsia"/>
                <w:color w:val="auto"/>
              </w:rPr>
              <w:t>寻甸绿运垃圾清运有限公司</w:t>
            </w:r>
            <w:r>
              <w:rPr>
                <w:rFonts w:hint="eastAsia"/>
                <w:color w:val="auto"/>
                <w:lang w:val="en-US" w:eastAsia="zh-CN"/>
              </w:rPr>
              <w:t>清运处置</w:t>
            </w:r>
          </w:p>
        </w:tc>
        <w:tc>
          <w:tcPr>
            <w:tcW w:w="2713" w:type="dxa"/>
            <w:vMerge w:val="restart"/>
            <w:noWrap w:val="0"/>
            <w:vAlign w:val="center"/>
          </w:tcPr>
          <w:p w14:paraId="5A868BDE">
            <w:pPr>
              <w:spacing w:line="240" w:lineRule="auto"/>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不外排</w:t>
            </w:r>
          </w:p>
        </w:tc>
      </w:tr>
      <w:tr w14:paraId="356AC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93" w:type="dxa"/>
            <w:vMerge w:val="continue"/>
            <w:noWrap w:val="0"/>
            <w:vAlign w:val="center"/>
          </w:tcPr>
          <w:p w14:paraId="2C97D34C">
            <w:pPr>
              <w:adjustRightInd w:val="0"/>
              <w:snapToGrid w:val="0"/>
              <w:spacing w:line="240" w:lineRule="auto"/>
              <w:jc w:val="center"/>
              <w:rPr>
                <w:rFonts w:hint="default" w:ascii="Times New Roman" w:hAnsi="Times New Roman" w:cs="Times New Roman"/>
                <w:color w:val="auto"/>
                <w:szCs w:val="21"/>
              </w:rPr>
            </w:pPr>
          </w:p>
        </w:tc>
        <w:tc>
          <w:tcPr>
            <w:tcW w:w="1588" w:type="dxa"/>
            <w:noWrap w:val="0"/>
            <w:vAlign w:val="center"/>
          </w:tcPr>
          <w:p w14:paraId="51B679F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地坪冲洗水</w:t>
            </w:r>
          </w:p>
        </w:tc>
        <w:tc>
          <w:tcPr>
            <w:tcW w:w="1550" w:type="dxa"/>
            <w:noWrap w:val="0"/>
            <w:vAlign w:val="center"/>
          </w:tcPr>
          <w:p w14:paraId="0E718F69">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石油类</w:t>
            </w:r>
          </w:p>
        </w:tc>
        <w:tc>
          <w:tcPr>
            <w:tcW w:w="2437" w:type="dxa"/>
            <w:noWrap w:val="0"/>
            <w:vAlign w:val="center"/>
          </w:tcPr>
          <w:p w14:paraId="682B57D8">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1个</w:t>
            </w:r>
            <w:r>
              <w:rPr>
                <w:rFonts w:hint="eastAsia" w:cs="Times New Roman"/>
                <w:color w:val="auto"/>
                <w:kern w:val="2"/>
                <w:sz w:val="21"/>
                <w:szCs w:val="21"/>
                <w:lang w:val="en-US" w:eastAsia="zh-CN" w:bidi="ar-SA"/>
              </w:rPr>
              <w:t>0.6</w:t>
            </w:r>
            <w:r>
              <w:rPr>
                <w:rFonts w:hint="default" w:ascii="Times New Roman" w:hAnsi="Times New Roman" w:cs="Times New Roman"/>
                <w:color w:val="auto"/>
                <w:kern w:val="2"/>
                <w:sz w:val="21"/>
                <w:szCs w:val="21"/>
                <w:lang w:val="en-US" w:eastAsia="zh-CN" w:bidi="ar-SA"/>
              </w:rPr>
              <w:t>m³的三级油水分离池</w:t>
            </w:r>
            <w:r>
              <w:rPr>
                <w:rFonts w:hint="eastAsia"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处理后</w:t>
            </w:r>
            <w:r>
              <w:rPr>
                <w:rFonts w:hint="eastAsia" w:cs="Times New Roman"/>
                <w:color w:val="auto"/>
                <w:kern w:val="2"/>
                <w:sz w:val="21"/>
                <w:szCs w:val="21"/>
                <w:lang w:val="en-US" w:eastAsia="zh-CN" w:bidi="ar-SA"/>
              </w:rPr>
              <w:t>委托</w:t>
            </w:r>
            <w:r>
              <w:rPr>
                <w:rFonts w:hint="eastAsia"/>
                <w:color w:val="auto"/>
              </w:rPr>
              <w:t>寻甸绿运垃圾清运有限公司</w:t>
            </w:r>
            <w:r>
              <w:rPr>
                <w:rFonts w:hint="eastAsia"/>
                <w:color w:val="auto"/>
                <w:lang w:val="en-US" w:eastAsia="zh-CN"/>
              </w:rPr>
              <w:t>清运处置</w:t>
            </w:r>
          </w:p>
        </w:tc>
        <w:tc>
          <w:tcPr>
            <w:tcW w:w="2713" w:type="dxa"/>
            <w:vMerge w:val="continue"/>
            <w:noWrap w:val="0"/>
            <w:vAlign w:val="center"/>
          </w:tcPr>
          <w:p w14:paraId="393F376F">
            <w:pPr>
              <w:spacing w:line="240" w:lineRule="auto"/>
              <w:jc w:val="center"/>
              <w:rPr>
                <w:rFonts w:hint="default" w:ascii="Times New Roman" w:hAnsi="Times New Roman" w:cs="Times New Roman"/>
                <w:color w:val="auto"/>
                <w:szCs w:val="21"/>
              </w:rPr>
            </w:pPr>
          </w:p>
        </w:tc>
      </w:tr>
      <w:tr w14:paraId="46C2B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3" w:type="dxa"/>
            <w:vMerge w:val="continue"/>
            <w:noWrap w:val="0"/>
            <w:vAlign w:val="center"/>
          </w:tcPr>
          <w:p w14:paraId="1FB14F76">
            <w:pPr>
              <w:adjustRightInd w:val="0"/>
              <w:snapToGrid w:val="0"/>
              <w:spacing w:line="240" w:lineRule="auto"/>
              <w:jc w:val="center"/>
              <w:rPr>
                <w:rFonts w:hint="default" w:ascii="Times New Roman" w:hAnsi="Times New Roman" w:cs="Times New Roman"/>
                <w:color w:val="auto"/>
                <w:szCs w:val="21"/>
              </w:rPr>
            </w:pPr>
          </w:p>
        </w:tc>
        <w:tc>
          <w:tcPr>
            <w:tcW w:w="1588" w:type="dxa"/>
            <w:noWrap w:val="0"/>
            <w:vAlign w:val="center"/>
          </w:tcPr>
          <w:p w14:paraId="4021714E">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雨水</w:t>
            </w:r>
          </w:p>
        </w:tc>
        <w:tc>
          <w:tcPr>
            <w:tcW w:w="1550" w:type="dxa"/>
            <w:noWrap w:val="0"/>
            <w:vAlign w:val="center"/>
          </w:tcPr>
          <w:p w14:paraId="58EB80F3">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2437" w:type="dxa"/>
            <w:noWrap w:val="0"/>
            <w:vAlign w:val="center"/>
          </w:tcPr>
          <w:p w14:paraId="6138FD6E">
            <w:pPr>
              <w:spacing w:line="240" w:lineRule="auto"/>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2713" w:type="dxa"/>
            <w:noWrap w:val="0"/>
            <w:vAlign w:val="center"/>
          </w:tcPr>
          <w:p w14:paraId="49622229">
            <w:pPr>
              <w:spacing w:line="240" w:lineRule="auto"/>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散流到周边地表</w:t>
            </w:r>
          </w:p>
        </w:tc>
      </w:tr>
      <w:tr w14:paraId="06BD2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3" w:type="dxa"/>
            <w:noWrap w:val="0"/>
            <w:vAlign w:val="center"/>
          </w:tcPr>
          <w:p w14:paraId="6F834627">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588" w:type="dxa"/>
            <w:noWrap w:val="0"/>
            <w:vAlign w:val="center"/>
          </w:tcPr>
          <w:p w14:paraId="44627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加油机、各类泵体、备用发电机、车辆</w:t>
            </w:r>
          </w:p>
        </w:tc>
        <w:tc>
          <w:tcPr>
            <w:tcW w:w="1550" w:type="dxa"/>
            <w:noWrap w:val="0"/>
            <w:vAlign w:val="center"/>
          </w:tcPr>
          <w:p w14:paraId="2F50A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Leq(A)</w:t>
            </w:r>
          </w:p>
        </w:tc>
        <w:tc>
          <w:tcPr>
            <w:tcW w:w="2437" w:type="dxa"/>
            <w:noWrap w:val="0"/>
            <w:vAlign w:val="center"/>
          </w:tcPr>
          <w:p w14:paraId="1E1683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2"/>
              </w:rPr>
              <w:t>禁止机动车鸣号、优化设备选型</w:t>
            </w:r>
            <w:r>
              <w:rPr>
                <w:rFonts w:hint="default" w:ascii="Times New Roman" w:hAnsi="Times New Roman" w:cs="Times New Roman"/>
                <w:color w:val="auto"/>
                <w:sz w:val="21"/>
                <w:szCs w:val="22"/>
                <w:lang w:val="en-US" w:eastAsia="zh-CN"/>
              </w:rPr>
              <w:t>、厂界设置2.3m高挡墙、发电机安装隔音垫</w:t>
            </w:r>
          </w:p>
        </w:tc>
        <w:tc>
          <w:tcPr>
            <w:tcW w:w="2713" w:type="dxa"/>
            <w:noWrap w:val="0"/>
            <w:vAlign w:val="center"/>
          </w:tcPr>
          <w:p w14:paraId="2369C29C">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厂界噪声能</w:t>
            </w:r>
            <w:r>
              <w:rPr>
                <w:rFonts w:hint="default" w:ascii="Times New Roman" w:hAnsi="Times New Roman" w:cs="Times New Roman"/>
                <w:color w:val="auto"/>
                <w:kern w:val="1"/>
                <w:szCs w:val="21"/>
              </w:rPr>
              <w:t>达到《工业企业厂界环境噪声排放标准》（GB12348-2008）中</w:t>
            </w:r>
            <w:r>
              <w:rPr>
                <w:rFonts w:hint="eastAsia" w:cs="Times New Roman"/>
                <w:color w:val="auto"/>
                <w:kern w:val="1"/>
                <w:szCs w:val="21"/>
                <w:lang w:val="en-US" w:eastAsia="zh-CN"/>
              </w:rPr>
              <w:t>2</w:t>
            </w:r>
            <w:r>
              <w:rPr>
                <w:rFonts w:hint="default" w:ascii="Times New Roman" w:hAnsi="Times New Roman" w:cs="Times New Roman"/>
                <w:color w:val="auto"/>
                <w:kern w:val="1"/>
                <w:szCs w:val="21"/>
              </w:rPr>
              <w:t>类（</w:t>
            </w:r>
            <w:r>
              <w:rPr>
                <w:rFonts w:hint="default" w:ascii="Times New Roman" w:hAnsi="Times New Roman" w:cs="Times New Roman"/>
                <w:color w:val="auto"/>
                <w:szCs w:val="21"/>
              </w:rPr>
              <w:t>昼间≤</w:t>
            </w:r>
            <w:r>
              <w:rPr>
                <w:rFonts w:hint="eastAsia" w:cs="Times New Roman"/>
                <w:color w:val="auto"/>
                <w:szCs w:val="21"/>
                <w:lang w:val="en-US" w:eastAsia="zh-CN"/>
              </w:rPr>
              <w:t>60</w:t>
            </w:r>
            <w:r>
              <w:rPr>
                <w:rFonts w:hint="default" w:ascii="Times New Roman" w:hAnsi="Times New Roman" w:cs="Times New Roman"/>
                <w:color w:val="auto"/>
                <w:szCs w:val="21"/>
              </w:rPr>
              <w:t>dB(A)、夜间≤</w:t>
            </w:r>
            <w:r>
              <w:rPr>
                <w:rFonts w:hint="eastAsia" w:cs="Times New Roman"/>
                <w:color w:val="auto"/>
                <w:szCs w:val="21"/>
                <w:lang w:val="en-US" w:eastAsia="zh-CN"/>
              </w:rPr>
              <w:t>50</w:t>
            </w:r>
            <w:r>
              <w:rPr>
                <w:rFonts w:hint="default" w:ascii="Times New Roman" w:hAnsi="Times New Roman" w:cs="Times New Roman"/>
                <w:color w:val="auto"/>
                <w:szCs w:val="21"/>
              </w:rPr>
              <w:t>dB(A)</w:t>
            </w:r>
            <w:r>
              <w:rPr>
                <w:rFonts w:hint="default" w:ascii="Times New Roman" w:hAnsi="Times New Roman" w:cs="Times New Roman"/>
                <w:color w:val="auto"/>
                <w:kern w:val="1"/>
                <w:szCs w:val="21"/>
              </w:rPr>
              <w:t>）标准要求</w:t>
            </w:r>
            <w:r>
              <w:rPr>
                <w:rFonts w:hint="default" w:ascii="Times New Roman" w:hAnsi="Times New Roman" w:cs="Times New Roman"/>
                <w:color w:val="auto"/>
                <w:kern w:val="1"/>
                <w:szCs w:val="21"/>
                <w:lang w:val="en-US" w:eastAsia="zh-CN"/>
              </w:rPr>
              <w:t>和</w:t>
            </w:r>
            <w:r>
              <w:rPr>
                <w:rFonts w:hint="default" w:ascii="Times New Roman" w:hAnsi="Times New Roman" w:cs="Times New Roman"/>
                <w:color w:val="auto"/>
                <w:szCs w:val="21"/>
              </w:rPr>
              <w:t>4类昼间≤70dB(A)、夜间≤55dB(A)</w:t>
            </w:r>
            <w:r>
              <w:rPr>
                <w:rFonts w:hint="default" w:ascii="Times New Roman" w:hAnsi="Times New Roman" w:cs="Times New Roman"/>
                <w:color w:val="auto"/>
                <w:kern w:val="1"/>
                <w:szCs w:val="21"/>
              </w:rPr>
              <w:t>标准要求</w:t>
            </w:r>
          </w:p>
        </w:tc>
      </w:tr>
      <w:tr w14:paraId="5E34F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Merge w:val="restart"/>
            <w:noWrap w:val="0"/>
            <w:vAlign w:val="center"/>
          </w:tcPr>
          <w:p w14:paraId="2954DC04">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1588" w:type="dxa"/>
            <w:noWrap w:val="0"/>
            <w:vAlign w:val="center"/>
          </w:tcPr>
          <w:p w14:paraId="5C7CFCFC">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 w:val="21"/>
                <w:szCs w:val="21"/>
                <w:highlight w:val="none"/>
                <w:lang w:eastAsia="zh-CN"/>
              </w:rPr>
              <w:t>办公生活</w:t>
            </w:r>
          </w:p>
        </w:tc>
        <w:tc>
          <w:tcPr>
            <w:tcW w:w="1550" w:type="dxa"/>
            <w:noWrap w:val="0"/>
            <w:vAlign w:val="center"/>
          </w:tcPr>
          <w:p w14:paraId="4FF2AD67">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生活垃圾</w:t>
            </w:r>
          </w:p>
        </w:tc>
        <w:tc>
          <w:tcPr>
            <w:tcW w:w="2437" w:type="dxa"/>
            <w:noWrap w:val="0"/>
            <w:vAlign w:val="center"/>
          </w:tcPr>
          <w:p w14:paraId="39541A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 w:val="21"/>
                <w:szCs w:val="21"/>
                <w:highlight w:val="none"/>
                <w:lang w:eastAsia="zh-CN"/>
              </w:rPr>
              <w:t>统一收集后</w:t>
            </w:r>
            <w:r>
              <w:rPr>
                <w:rStyle w:val="51"/>
                <w:rFonts w:hint="default" w:ascii="Times New Roman" w:hAnsi="Times New Roman" w:cs="Times New Roman"/>
                <w:bCs/>
                <w:color w:val="auto"/>
                <w:sz w:val="21"/>
                <w:szCs w:val="21"/>
                <w:highlight w:val="none"/>
              </w:rPr>
              <w:t>委托环卫部门清运处置</w:t>
            </w:r>
          </w:p>
        </w:tc>
        <w:tc>
          <w:tcPr>
            <w:tcW w:w="2713" w:type="dxa"/>
            <w:vMerge w:val="restart"/>
            <w:noWrap w:val="0"/>
            <w:vAlign w:val="center"/>
          </w:tcPr>
          <w:p w14:paraId="0FED4DD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100%处置</w:t>
            </w:r>
          </w:p>
        </w:tc>
      </w:tr>
      <w:tr w14:paraId="51E25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Merge w:val="continue"/>
            <w:noWrap w:val="0"/>
            <w:vAlign w:val="center"/>
          </w:tcPr>
          <w:p w14:paraId="2CDEEF68">
            <w:pPr>
              <w:spacing w:line="240" w:lineRule="auto"/>
              <w:jc w:val="center"/>
              <w:rPr>
                <w:rFonts w:hint="default" w:ascii="Times New Roman" w:hAnsi="Times New Roman" w:cs="Times New Roman"/>
                <w:color w:val="auto"/>
              </w:rPr>
            </w:pPr>
          </w:p>
        </w:tc>
        <w:tc>
          <w:tcPr>
            <w:tcW w:w="1588" w:type="dxa"/>
            <w:noWrap w:val="0"/>
            <w:vAlign w:val="center"/>
          </w:tcPr>
          <w:p w14:paraId="2263180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 w:val="21"/>
                <w:szCs w:val="21"/>
              </w:rPr>
              <w:t>隔油池</w:t>
            </w:r>
          </w:p>
        </w:tc>
        <w:tc>
          <w:tcPr>
            <w:tcW w:w="1550" w:type="dxa"/>
            <w:noWrap w:val="0"/>
            <w:vAlign w:val="center"/>
          </w:tcPr>
          <w:p w14:paraId="246AB3B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bCs/>
                <w:color w:val="auto"/>
                <w:sz w:val="21"/>
                <w:szCs w:val="21"/>
                <w:highlight w:val="none"/>
                <w:lang w:val="en-US" w:eastAsia="zh-CN"/>
              </w:rPr>
              <w:t>废油脂</w:t>
            </w:r>
          </w:p>
        </w:tc>
        <w:tc>
          <w:tcPr>
            <w:tcW w:w="2437" w:type="dxa"/>
            <w:noWrap w:val="0"/>
            <w:vAlign w:val="center"/>
          </w:tcPr>
          <w:p w14:paraId="604EE1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 w:val="21"/>
                <w:szCs w:val="21"/>
              </w:rPr>
              <w:t>清掏后交由具有相应处理资质的单位处置</w:t>
            </w:r>
          </w:p>
        </w:tc>
        <w:tc>
          <w:tcPr>
            <w:tcW w:w="2713" w:type="dxa"/>
            <w:vMerge w:val="continue"/>
            <w:noWrap w:val="0"/>
            <w:vAlign w:val="center"/>
          </w:tcPr>
          <w:p w14:paraId="59303E4D">
            <w:pPr>
              <w:spacing w:line="240" w:lineRule="auto"/>
              <w:jc w:val="center"/>
              <w:rPr>
                <w:rFonts w:hint="default" w:ascii="Times New Roman" w:hAnsi="Times New Roman" w:eastAsia="宋体" w:cs="Times New Roman"/>
                <w:color w:val="auto"/>
                <w:szCs w:val="21"/>
                <w:lang w:eastAsia="zh-CN"/>
              </w:rPr>
            </w:pPr>
          </w:p>
        </w:tc>
      </w:tr>
      <w:tr w14:paraId="6C692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Merge w:val="continue"/>
            <w:noWrap w:val="0"/>
            <w:vAlign w:val="center"/>
          </w:tcPr>
          <w:p w14:paraId="51395CF2">
            <w:pPr>
              <w:spacing w:line="240" w:lineRule="auto"/>
              <w:jc w:val="center"/>
              <w:rPr>
                <w:rFonts w:hint="default" w:ascii="Times New Roman" w:hAnsi="Times New Roman" w:cs="Times New Roman"/>
                <w:color w:val="auto"/>
              </w:rPr>
            </w:pPr>
          </w:p>
        </w:tc>
        <w:tc>
          <w:tcPr>
            <w:tcW w:w="1588" w:type="dxa"/>
            <w:noWrap w:val="0"/>
            <w:vAlign w:val="center"/>
          </w:tcPr>
          <w:p w14:paraId="544C905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化粪池</w:t>
            </w:r>
          </w:p>
        </w:tc>
        <w:tc>
          <w:tcPr>
            <w:tcW w:w="1550" w:type="dxa"/>
            <w:noWrap w:val="0"/>
            <w:vAlign w:val="center"/>
          </w:tcPr>
          <w:p w14:paraId="39DD495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污泥</w:t>
            </w:r>
          </w:p>
        </w:tc>
        <w:tc>
          <w:tcPr>
            <w:tcW w:w="2437" w:type="dxa"/>
            <w:noWrap w:val="0"/>
            <w:vAlign w:val="center"/>
          </w:tcPr>
          <w:p w14:paraId="220AFE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cs="Times New Roman"/>
                <w:color w:val="auto"/>
                <w:kern w:val="2"/>
                <w:sz w:val="21"/>
                <w:szCs w:val="21"/>
                <w:lang w:val="en-US" w:eastAsia="zh-CN" w:bidi="ar-SA"/>
              </w:rPr>
              <w:t>委托</w:t>
            </w:r>
            <w:r>
              <w:rPr>
                <w:rFonts w:hint="eastAsia"/>
                <w:color w:val="auto"/>
              </w:rPr>
              <w:t>寻甸绿运垃圾清运有限公司</w:t>
            </w:r>
            <w:r>
              <w:rPr>
                <w:rFonts w:hint="eastAsia"/>
                <w:color w:val="auto"/>
                <w:lang w:val="en-US" w:eastAsia="zh-CN"/>
              </w:rPr>
              <w:t>清运处置</w:t>
            </w:r>
          </w:p>
        </w:tc>
        <w:tc>
          <w:tcPr>
            <w:tcW w:w="2713" w:type="dxa"/>
            <w:vMerge w:val="continue"/>
            <w:noWrap w:val="0"/>
            <w:vAlign w:val="center"/>
          </w:tcPr>
          <w:p w14:paraId="512D4057">
            <w:pPr>
              <w:spacing w:line="240" w:lineRule="auto"/>
              <w:jc w:val="center"/>
              <w:rPr>
                <w:rFonts w:hint="default" w:ascii="Times New Roman" w:hAnsi="Times New Roman" w:eastAsia="宋体" w:cs="Times New Roman"/>
                <w:color w:val="auto"/>
                <w:szCs w:val="21"/>
                <w:lang w:eastAsia="zh-CN"/>
              </w:rPr>
            </w:pPr>
          </w:p>
        </w:tc>
      </w:tr>
      <w:tr w14:paraId="04778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Merge w:val="continue"/>
            <w:noWrap w:val="0"/>
            <w:vAlign w:val="center"/>
          </w:tcPr>
          <w:p w14:paraId="6C239BEE">
            <w:pPr>
              <w:spacing w:line="240" w:lineRule="auto"/>
              <w:jc w:val="center"/>
              <w:rPr>
                <w:rFonts w:hint="default" w:ascii="Times New Roman" w:hAnsi="Times New Roman" w:eastAsia="宋体" w:cs="Times New Roman"/>
                <w:color w:val="auto"/>
                <w:szCs w:val="21"/>
                <w:lang w:eastAsia="zh-CN"/>
              </w:rPr>
            </w:pPr>
          </w:p>
        </w:tc>
        <w:tc>
          <w:tcPr>
            <w:tcW w:w="1588" w:type="dxa"/>
            <w:noWrap w:val="0"/>
            <w:vAlign w:val="center"/>
          </w:tcPr>
          <w:p w14:paraId="60EB8E8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油罐清洗</w:t>
            </w:r>
          </w:p>
        </w:tc>
        <w:tc>
          <w:tcPr>
            <w:tcW w:w="1550" w:type="dxa"/>
            <w:noWrap w:val="0"/>
            <w:vAlign w:val="center"/>
          </w:tcPr>
          <w:p w14:paraId="42D4D6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废抹布、废手套</w:t>
            </w:r>
          </w:p>
        </w:tc>
        <w:tc>
          <w:tcPr>
            <w:tcW w:w="2437" w:type="dxa"/>
            <w:noWrap w:val="0"/>
            <w:vAlign w:val="center"/>
          </w:tcPr>
          <w:p w14:paraId="29BE8C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 w:val="21"/>
                <w:szCs w:val="21"/>
              </w:rPr>
              <w:t>暂存于</w:t>
            </w: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rPr>
              <w:t>，委托有资质的单位及时清运，合理处置</w:t>
            </w:r>
          </w:p>
        </w:tc>
        <w:tc>
          <w:tcPr>
            <w:tcW w:w="2713" w:type="dxa"/>
            <w:vMerge w:val="restart"/>
            <w:noWrap w:val="0"/>
            <w:vAlign w:val="center"/>
          </w:tcPr>
          <w:p w14:paraId="78D1816B">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w:t>
            </w:r>
            <w:r>
              <w:rPr>
                <w:rFonts w:hint="default" w:ascii="Times New Roman" w:hAnsi="Times New Roman" w:eastAsia="宋体" w:cs="Times New Roman"/>
                <w:color w:val="auto"/>
                <w:sz w:val="21"/>
                <w:szCs w:val="21"/>
              </w:rPr>
              <w:t>危险废物贮存污染控制标准》（GB 18597-20</w:t>
            </w:r>
            <w:r>
              <w:rPr>
                <w:rFonts w:hint="default"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rPr>
              <w:t>）</w:t>
            </w:r>
          </w:p>
        </w:tc>
      </w:tr>
      <w:tr w14:paraId="7473D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3" w:type="dxa"/>
            <w:vMerge w:val="continue"/>
            <w:noWrap w:val="0"/>
            <w:vAlign w:val="center"/>
          </w:tcPr>
          <w:p w14:paraId="64155D05">
            <w:pPr>
              <w:spacing w:line="240" w:lineRule="auto"/>
              <w:jc w:val="center"/>
              <w:rPr>
                <w:rFonts w:hint="default" w:ascii="Times New Roman" w:hAnsi="Times New Roman" w:eastAsia="宋体" w:cs="Times New Roman"/>
                <w:color w:val="auto"/>
                <w:szCs w:val="21"/>
                <w:lang w:eastAsia="zh-CN"/>
              </w:rPr>
            </w:pPr>
          </w:p>
        </w:tc>
        <w:tc>
          <w:tcPr>
            <w:tcW w:w="1588" w:type="dxa"/>
            <w:noWrap w:val="0"/>
            <w:vAlign w:val="center"/>
          </w:tcPr>
          <w:p w14:paraId="76A6095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Cs w:val="21"/>
              </w:rPr>
              <w:t>加油区</w:t>
            </w:r>
          </w:p>
        </w:tc>
        <w:tc>
          <w:tcPr>
            <w:tcW w:w="1550" w:type="dxa"/>
            <w:noWrap w:val="0"/>
            <w:vAlign w:val="center"/>
          </w:tcPr>
          <w:p w14:paraId="5FCC247A">
            <w:pPr>
              <w:pStyle w:val="5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废消防沙</w:t>
            </w:r>
          </w:p>
        </w:tc>
        <w:tc>
          <w:tcPr>
            <w:tcW w:w="2437" w:type="dxa"/>
            <w:noWrap w:val="0"/>
            <w:vAlign w:val="center"/>
          </w:tcPr>
          <w:p w14:paraId="506DD2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使用危废收集桶分类收集后暂存于</w:t>
            </w:r>
            <w:r>
              <w:rPr>
                <w:rFonts w:hint="eastAsia" w:cs="Times New Roman"/>
                <w:color w:val="auto"/>
                <w:sz w:val="21"/>
                <w:szCs w:val="21"/>
                <w:lang w:eastAsia="zh-CN"/>
              </w:rPr>
              <w:t>危废暂存点</w:t>
            </w:r>
            <w:r>
              <w:rPr>
                <w:rFonts w:hint="default" w:ascii="Times New Roman" w:hAnsi="Times New Roman" w:eastAsia="宋体" w:cs="Times New Roman"/>
                <w:color w:val="auto"/>
                <w:sz w:val="21"/>
                <w:szCs w:val="21"/>
              </w:rPr>
              <w:t>内， 最终委托有资质的单位对其进行清运处理</w:t>
            </w:r>
          </w:p>
        </w:tc>
        <w:tc>
          <w:tcPr>
            <w:tcW w:w="2713" w:type="dxa"/>
            <w:vMerge w:val="continue"/>
            <w:noWrap w:val="0"/>
            <w:vAlign w:val="center"/>
          </w:tcPr>
          <w:p w14:paraId="23B56E2C">
            <w:pPr>
              <w:spacing w:line="240" w:lineRule="auto"/>
              <w:jc w:val="center"/>
              <w:rPr>
                <w:rFonts w:hint="default" w:ascii="Times New Roman" w:hAnsi="Times New Roman" w:eastAsia="宋体" w:cs="Times New Roman"/>
                <w:color w:val="auto"/>
                <w:szCs w:val="21"/>
                <w:lang w:eastAsia="zh-CN"/>
              </w:rPr>
            </w:pPr>
          </w:p>
        </w:tc>
      </w:tr>
      <w:tr w14:paraId="45031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Merge w:val="continue"/>
            <w:noWrap w:val="0"/>
            <w:vAlign w:val="center"/>
          </w:tcPr>
          <w:p w14:paraId="491900EB">
            <w:pPr>
              <w:spacing w:line="240" w:lineRule="auto"/>
              <w:jc w:val="center"/>
              <w:rPr>
                <w:rFonts w:hint="default" w:ascii="Times New Roman" w:hAnsi="Times New Roman" w:eastAsia="宋体" w:cs="Times New Roman"/>
                <w:color w:val="auto"/>
                <w:szCs w:val="21"/>
                <w:lang w:eastAsia="zh-CN"/>
              </w:rPr>
            </w:pPr>
          </w:p>
        </w:tc>
        <w:tc>
          <w:tcPr>
            <w:tcW w:w="1588" w:type="dxa"/>
            <w:noWrap w:val="0"/>
            <w:vAlign w:val="center"/>
          </w:tcPr>
          <w:p w14:paraId="7E5E109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油罐清洗</w:t>
            </w:r>
          </w:p>
        </w:tc>
        <w:tc>
          <w:tcPr>
            <w:tcW w:w="1550" w:type="dxa"/>
            <w:noWrap w:val="0"/>
            <w:vAlign w:val="center"/>
          </w:tcPr>
          <w:p w14:paraId="2C10C6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油罐残渣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废液</w:t>
            </w:r>
          </w:p>
        </w:tc>
        <w:tc>
          <w:tcPr>
            <w:tcW w:w="2437" w:type="dxa"/>
            <w:noWrap w:val="0"/>
            <w:vAlign w:val="center"/>
          </w:tcPr>
          <w:p w14:paraId="66A4F2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储油罐清洗产生残渣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废液</w:t>
            </w:r>
            <w:r>
              <w:rPr>
                <w:rFonts w:hint="default" w:ascii="Times New Roman" w:hAnsi="Times New Roman" w:cs="Times New Roman"/>
                <w:color w:val="auto"/>
                <w:sz w:val="21"/>
                <w:szCs w:val="21"/>
              </w:rPr>
              <w:t>由有资质的清洗单位负责统一处理</w:t>
            </w:r>
          </w:p>
        </w:tc>
        <w:tc>
          <w:tcPr>
            <w:tcW w:w="2713" w:type="dxa"/>
            <w:vMerge w:val="continue"/>
            <w:noWrap w:val="0"/>
            <w:vAlign w:val="center"/>
          </w:tcPr>
          <w:p w14:paraId="754FB1A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Cs w:val="21"/>
                <w:lang w:eastAsia="zh-CN"/>
              </w:rPr>
            </w:pPr>
          </w:p>
        </w:tc>
      </w:tr>
      <w:tr w14:paraId="6EDCC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Merge w:val="continue"/>
            <w:noWrap w:val="0"/>
            <w:vAlign w:val="center"/>
          </w:tcPr>
          <w:p w14:paraId="50F7FF4A">
            <w:pPr>
              <w:spacing w:line="240" w:lineRule="auto"/>
              <w:jc w:val="center"/>
              <w:rPr>
                <w:rFonts w:hint="default" w:ascii="Times New Roman" w:hAnsi="Times New Roman" w:eastAsia="宋体" w:cs="Times New Roman"/>
                <w:color w:val="auto"/>
                <w:szCs w:val="21"/>
                <w:lang w:eastAsia="zh-CN"/>
              </w:rPr>
            </w:pPr>
          </w:p>
        </w:tc>
        <w:tc>
          <w:tcPr>
            <w:tcW w:w="1588" w:type="dxa"/>
            <w:noWrap w:val="0"/>
            <w:vAlign w:val="center"/>
          </w:tcPr>
          <w:p w14:paraId="3465D0A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lang w:val="en-US" w:eastAsia="zh-CN"/>
              </w:rPr>
              <w:t>三级</w:t>
            </w:r>
            <w:r>
              <w:rPr>
                <w:rFonts w:hint="default" w:ascii="Times New Roman" w:hAnsi="Times New Roman" w:cs="Times New Roman"/>
                <w:color w:val="auto"/>
                <w:sz w:val="21"/>
                <w:szCs w:val="21"/>
              </w:rPr>
              <w:t>油水分离池</w:t>
            </w:r>
          </w:p>
        </w:tc>
        <w:tc>
          <w:tcPr>
            <w:tcW w:w="1550" w:type="dxa"/>
            <w:noWrap w:val="0"/>
            <w:vAlign w:val="center"/>
          </w:tcPr>
          <w:p w14:paraId="4E32542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 w:val="21"/>
                <w:szCs w:val="21"/>
                <w:highlight w:val="none"/>
                <w:lang w:val="en-US" w:eastAsia="zh-CN"/>
              </w:rPr>
              <w:t>废油脂</w:t>
            </w:r>
          </w:p>
        </w:tc>
        <w:tc>
          <w:tcPr>
            <w:tcW w:w="2437" w:type="dxa"/>
            <w:noWrap w:val="0"/>
            <w:vAlign w:val="center"/>
          </w:tcPr>
          <w:p w14:paraId="4C70AE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及时收集存储在</w:t>
            </w:r>
            <w:r>
              <w:rPr>
                <w:rFonts w:hint="eastAsia" w:cs="Times New Roman"/>
                <w:color w:val="auto"/>
                <w:sz w:val="21"/>
                <w:szCs w:val="21"/>
                <w:lang w:eastAsia="zh-CN"/>
              </w:rPr>
              <w:t>危废暂存点</w:t>
            </w:r>
            <w:r>
              <w:rPr>
                <w:rFonts w:hint="default" w:ascii="Times New Roman" w:hAnsi="Times New Roman" w:cs="Times New Roman"/>
                <w:color w:val="auto"/>
                <w:sz w:val="21"/>
                <w:szCs w:val="21"/>
              </w:rPr>
              <w:t>，委托有资质的单位处理</w:t>
            </w:r>
          </w:p>
        </w:tc>
        <w:tc>
          <w:tcPr>
            <w:tcW w:w="2713" w:type="dxa"/>
            <w:vMerge w:val="continue"/>
            <w:noWrap w:val="0"/>
            <w:vAlign w:val="center"/>
          </w:tcPr>
          <w:p w14:paraId="4DFFF395">
            <w:pPr>
              <w:spacing w:line="240" w:lineRule="auto"/>
              <w:jc w:val="center"/>
              <w:rPr>
                <w:rFonts w:hint="default" w:ascii="Times New Roman" w:hAnsi="Times New Roman" w:eastAsia="宋体" w:cs="Times New Roman"/>
                <w:color w:val="auto"/>
                <w:szCs w:val="21"/>
                <w:lang w:eastAsia="zh-CN"/>
              </w:rPr>
            </w:pPr>
          </w:p>
        </w:tc>
      </w:tr>
      <w:tr w14:paraId="67E96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dxa"/>
            <w:vMerge w:val="continue"/>
            <w:noWrap w:val="0"/>
            <w:vAlign w:val="center"/>
          </w:tcPr>
          <w:p w14:paraId="09BAC08F">
            <w:pPr>
              <w:spacing w:line="240" w:lineRule="auto"/>
              <w:jc w:val="center"/>
              <w:rPr>
                <w:rFonts w:hint="default" w:ascii="Times New Roman" w:hAnsi="Times New Roman" w:eastAsia="宋体" w:cs="Times New Roman"/>
                <w:color w:val="auto"/>
                <w:szCs w:val="21"/>
                <w:lang w:eastAsia="zh-CN"/>
              </w:rPr>
            </w:pPr>
          </w:p>
        </w:tc>
        <w:tc>
          <w:tcPr>
            <w:tcW w:w="1588" w:type="dxa"/>
            <w:noWrap w:val="0"/>
            <w:vAlign w:val="center"/>
          </w:tcPr>
          <w:p w14:paraId="5FAA0D34">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lang w:val="en-US" w:eastAsia="zh-CN"/>
              </w:rPr>
              <w:t>油罐、加油机</w:t>
            </w:r>
          </w:p>
        </w:tc>
        <w:tc>
          <w:tcPr>
            <w:tcW w:w="1550" w:type="dxa"/>
            <w:noWrap w:val="0"/>
            <w:vAlign w:val="center"/>
          </w:tcPr>
          <w:p w14:paraId="57A1A4B0">
            <w:pPr>
              <w:spacing w:line="24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废滤网</w:t>
            </w:r>
          </w:p>
        </w:tc>
        <w:tc>
          <w:tcPr>
            <w:tcW w:w="2437" w:type="dxa"/>
            <w:noWrap w:val="0"/>
            <w:vAlign w:val="center"/>
          </w:tcPr>
          <w:p w14:paraId="30D867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rPr>
              <w:t>及时收集存储在</w:t>
            </w:r>
            <w:r>
              <w:rPr>
                <w:rFonts w:hint="eastAsia" w:cs="Times New Roman"/>
                <w:color w:val="auto"/>
                <w:sz w:val="21"/>
                <w:szCs w:val="21"/>
                <w:lang w:eastAsia="zh-CN"/>
              </w:rPr>
              <w:t>危废暂存点</w:t>
            </w:r>
            <w:r>
              <w:rPr>
                <w:rFonts w:hint="default" w:ascii="Times New Roman" w:hAnsi="Times New Roman" w:cs="Times New Roman"/>
                <w:color w:val="auto"/>
                <w:sz w:val="21"/>
                <w:szCs w:val="21"/>
              </w:rPr>
              <w:t>，委托有资质的单位处理</w:t>
            </w:r>
          </w:p>
        </w:tc>
        <w:tc>
          <w:tcPr>
            <w:tcW w:w="2713" w:type="dxa"/>
            <w:vMerge w:val="continue"/>
            <w:noWrap w:val="0"/>
            <w:vAlign w:val="center"/>
          </w:tcPr>
          <w:p w14:paraId="7D3349C0">
            <w:pPr>
              <w:spacing w:line="240" w:lineRule="auto"/>
              <w:jc w:val="center"/>
              <w:rPr>
                <w:rFonts w:hint="default" w:ascii="Times New Roman" w:hAnsi="Times New Roman" w:eastAsia="宋体" w:cs="Times New Roman"/>
                <w:color w:val="auto"/>
                <w:szCs w:val="21"/>
                <w:lang w:eastAsia="zh-CN"/>
              </w:rPr>
            </w:pPr>
          </w:p>
        </w:tc>
      </w:tr>
      <w:tr w14:paraId="66A84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193" w:type="dxa"/>
            <w:noWrap w:val="0"/>
            <w:vAlign w:val="center"/>
          </w:tcPr>
          <w:p w14:paraId="03B6809E">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8288" w:type="dxa"/>
            <w:gridSpan w:val="4"/>
            <w:noWrap w:val="0"/>
            <w:vAlign w:val="center"/>
          </w:tcPr>
          <w:p w14:paraId="224D356A">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土壤</w:t>
            </w:r>
            <w:r>
              <w:rPr>
                <w:rFonts w:hint="default" w:ascii="Times New Roman" w:hAnsi="Times New Roman" w:cs="Times New Roman"/>
                <w:b/>
                <w:bCs/>
                <w:color w:val="auto"/>
              </w:rPr>
              <w:t>污染防治措施</w:t>
            </w:r>
            <w:r>
              <w:rPr>
                <w:rFonts w:hint="default" w:ascii="Times New Roman" w:hAnsi="Times New Roman" w:cs="Times New Roman"/>
                <w:b/>
                <w:bCs/>
                <w:color w:val="auto"/>
                <w:lang w:eastAsia="zh-CN"/>
              </w:rPr>
              <w:t>：</w:t>
            </w:r>
          </w:p>
          <w:p w14:paraId="058EE935">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rPr>
              <w:t>大气沉降影响土壤保护措施及对策</w:t>
            </w:r>
          </w:p>
          <w:p w14:paraId="39F70F8B">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①为防止大气沉降影响，尽可能从源头控制油气废气的产生，加油站应设置卸油油气回收系统和加油油气回收系统，规范的加油作业和及时维护设施设备等措施来减少油气废气的产生量；</w:t>
            </w:r>
          </w:p>
          <w:p w14:paraId="5BA616B4">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②占地范围内应采取绿化措施；</w:t>
            </w:r>
          </w:p>
          <w:p w14:paraId="7189D7BA">
            <w:pPr>
              <w:spacing w:line="240" w:lineRule="auto"/>
              <w:ind w:firstLine="422" w:firstLineChars="200"/>
              <w:jc w:val="left"/>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eastAsia="zh-CN"/>
              </w:rPr>
              <w:t>）</w:t>
            </w:r>
            <w:r>
              <w:rPr>
                <w:rFonts w:hint="default" w:ascii="Times New Roman" w:hAnsi="Times New Roman" w:cs="Times New Roman"/>
                <w:b/>
                <w:bCs/>
                <w:color w:val="auto"/>
              </w:rPr>
              <w:t>入渗影响土壤保护措施及对策</w:t>
            </w:r>
          </w:p>
          <w:p w14:paraId="6DE711E6">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①项目分区防渗</w:t>
            </w:r>
            <w:r>
              <w:rPr>
                <w:rFonts w:hint="default" w:ascii="Times New Roman" w:hAnsi="Times New Roman" w:cs="Times New Roman"/>
                <w:color w:val="auto"/>
                <w:lang w:eastAsia="zh-CN"/>
              </w:rPr>
              <w:t>，</w:t>
            </w:r>
            <w:r>
              <w:rPr>
                <w:rFonts w:hint="default" w:ascii="Times New Roman" w:hAnsi="Times New Roman" w:cs="Times New Roman"/>
                <w:color w:val="auto"/>
              </w:rPr>
              <w:t>重点防渗区：包含储油罐区、输油管线及</w:t>
            </w:r>
            <w:r>
              <w:rPr>
                <w:rFonts w:hint="eastAsia" w:cs="Times New Roman"/>
                <w:color w:val="auto"/>
                <w:lang w:eastAsia="zh-CN"/>
              </w:rPr>
              <w:t>危废暂存点</w:t>
            </w:r>
            <w:r>
              <w:rPr>
                <w:rFonts w:hint="default" w:ascii="Times New Roman" w:hAnsi="Times New Roman" w:cs="Times New Roman"/>
                <w:color w:val="auto"/>
              </w:rPr>
              <w:t>、三级油水分离池。一般防渗区：包含加油区、环保沟、卸油区、隔油池、化粪池等区域。简单防渗区：主要为站房地面及场区除绿化用地外进行一般的地面硬化处理。</w:t>
            </w:r>
          </w:p>
          <w:p w14:paraId="0AC99731">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②设置低液位监测系统，卸油时当油料达到油罐容量90%时，高液位报警装置应被触动发出警示；当油料达到油罐容量95%时，禁止继续向油罐内卸油。</w:t>
            </w:r>
          </w:p>
          <w:p w14:paraId="4FB127B9">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③采用双层储油罐，油罐采取防渗、防漏、防腐等处理。各油罐池内均需设检测立管，定期检查油罐是否泄漏，并记录备案。</w:t>
            </w:r>
          </w:p>
          <w:p w14:paraId="22E7B255">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④油罐池内间隙用沙填充，一旦发生油品泄漏，吸收了油品的沙应作为危险废物，委托有资质的单位清运处置。</w:t>
            </w:r>
          </w:p>
          <w:p w14:paraId="70B43AA6">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本环评要求建设单位还需采取的污染防治措施：项目</w:t>
            </w:r>
            <w:r>
              <w:rPr>
                <w:rFonts w:hint="eastAsia" w:cs="Times New Roman"/>
                <w:color w:val="auto"/>
                <w:lang w:eastAsia="zh-CN"/>
              </w:rPr>
              <w:t>危废暂存点</w:t>
            </w:r>
            <w:r>
              <w:rPr>
                <w:rFonts w:hint="default" w:ascii="Times New Roman" w:hAnsi="Times New Roman" w:cs="Times New Roman"/>
                <w:color w:val="auto"/>
              </w:rPr>
              <w:t>应设置成封闭式，</w:t>
            </w:r>
            <w:r>
              <w:rPr>
                <w:rFonts w:hint="eastAsia" w:cs="Times New Roman"/>
                <w:color w:val="auto"/>
                <w:lang w:eastAsia="zh-CN"/>
              </w:rPr>
              <w:t>危废暂存点</w:t>
            </w:r>
            <w:r>
              <w:rPr>
                <w:rFonts w:hint="default" w:ascii="Times New Roman" w:hAnsi="Times New Roman" w:cs="Times New Roman"/>
                <w:color w:val="auto"/>
              </w:rPr>
              <w:t>须采取防渗措施。</w:t>
            </w:r>
          </w:p>
          <w:p w14:paraId="266F0BC1">
            <w:pPr>
              <w:spacing w:line="240" w:lineRule="auto"/>
              <w:ind w:firstLine="422" w:firstLineChars="200"/>
              <w:jc w:val="left"/>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lang w:eastAsia="zh-CN"/>
              </w:rPr>
              <w:t>）</w:t>
            </w:r>
            <w:r>
              <w:rPr>
                <w:rFonts w:hint="default" w:ascii="Times New Roman" w:hAnsi="Times New Roman" w:cs="Times New Roman"/>
                <w:b/>
                <w:bCs/>
                <w:color w:val="auto"/>
              </w:rPr>
              <w:t>地面漫流影响土壤保护措施及对策</w:t>
            </w:r>
          </w:p>
          <w:p w14:paraId="2AE1D0FD">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根据项目区的地形特点优化地面布局，在</w:t>
            </w:r>
            <w:r>
              <w:rPr>
                <w:rFonts w:hint="eastAsia" w:cs="Times New Roman"/>
                <w:color w:val="auto"/>
                <w:lang w:val="en-US" w:eastAsia="zh-CN"/>
              </w:rPr>
              <w:t>罩棚下</w:t>
            </w:r>
            <w:r>
              <w:rPr>
                <w:rFonts w:hint="default" w:ascii="Times New Roman" w:hAnsi="Times New Roman" w:cs="Times New Roman"/>
                <w:color w:val="auto"/>
              </w:rPr>
              <w:t>加油区四周设置导流沟，用于收集加油区</w:t>
            </w:r>
            <w:r>
              <w:rPr>
                <w:rFonts w:hint="eastAsia" w:cs="Times New Roman"/>
                <w:color w:val="auto"/>
                <w:lang w:val="en-US" w:eastAsia="zh-CN"/>
              </w:rPr>
              <w:t>地坪冲洗水和油污</w:t>
            </w:r>
            <w:r>
              <w:rPr>
                <w:rFonts w:hint="default" w:ascii="Times New Roman" w:hAnsi="Times New Roman" w:cs="Times New Roman"/>
                <w:color w:val="auto"/>
              </w:rPr>
              <w:t>，导流沟采取防渗处理。</w:t>
            </w:r>
          </w:p>
          <w:p w14:paraId="04C529AA">
            <w:pPr>
              <w:spacing w:line="240" w:lineRule="auto"/>
              <w:ind w:firstLine="422" w:firstLineChars="200"/>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（4）污水下渗</w:t>
            </w:r>
            <w:r>
              <w:rPr>
                <w:rFonts w:hint="default" w:ascii="Times New Roman" w:hAnsi="Times New Roman" w:eastAsia="宋体" w:cs="Times New Roman"/>
                <w:b/>
                <w:bCs/>
                <w:color w:val="auto"/>
                <w:lang w:eastAsia="zh-CN"/>
              </w:rPr>
              <w:t>影响土壤保护措施及对策</w:t>
            </w:r>
          </w:p>
          <w:p w14:paraId="7B98F434">
            <w:pPr>
              <w:adjustRightInd w:val="0"/>
              <w:spacing w:line="240" w:lineRule="auto"/>
              <w:ind w:firstLine="420" w:firstLineChars="200"/>
              <w:jc w:val="left"/>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本项目排水系统采用雨污分流制。食堂含油废水经隔油池预处理后与其余办公生活废水及外来人员冲厕废水一同进入化粪池处理，地面冲洗废水经三级油水分离池处理，上述所有废水</w:t>
            </w:r>
            <w:r>
              <w:rPr>
                <w:rFonts w:hint="eastAsia" w:cs="Times New Roman"/>
                <w:color w:val="auto"/>
                <w:lang w:val="en-US" w:eastAsia="zh-CN"/>
              </w:rPr>
              <w:t>委托寻甸绿运垃圾清运有限公司清运</w:t>
            </w:r>
            <w:r>
              <w:rPr>
                <w:rFonts w:hint="default" w:ascii="Times New Roman" w:hAnsi="Times New Roman" w:eastAsia="宋体" w:cs="Times New Roman"/>
                <w:color w:val="auto"/>
                <w:lang w:val="en-US" w:eastAsia="zh-CN"/>
              </w:rPr>
              <w:t>。隔油池、化粪池均设置防渗处理。</w:t>
            </w:r>
            <w:r>
              <w:rPr>
                <w:rFonts w:hint="default" w:ascii="Times New Roman" w:hAnsi="Times New Roman" w:eastAsia="宋体" w:cs="Times New Roman"/>
                <w:color w:val="auto"/>
              </w:rPr>
              <w:t>采取以上措施后，运营期项目对土壤环境的影响在可接受范围内。</w:t>
            </w:r>
          </w:p>
          <w:p w14:paraId="470C02D5">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地下水污染防治措施：</w:t>
            </w:r>
          </w:p>
          <w:p w14:paraId="4DAF795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①油罐采用双层卧式油罐，并采用防腐防渗技术，对储油罐内外表面、油罐池的内表面、油罐区地面、输油管线外表面采取防渗防腐处理，并采用不低于加强级的防腐绝缘保护层。</w:t>
            </w:r>
          </w:p>
          <w:p w14:paraId="25280898">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lang w:eastAsia="ja-JP"/>
              </w:rPr>
              <w:t>②</w:t>
            </w:r>
            <w:r>
              <w:rPr>
                <w:rFonts w:hint="default" w:ascii="Times New Roman" w:hAnsi="Times New Roman" w:cs="Times New Roman"/>
                <w:color w:val="auto"/>
              </w:rPr>
              <w:t>加油管线采用固定工艺管道，且采用无缝钢管，在对钢管有严重腐蚀作用的土壤地段直埋管道时，选用耐油、耐土壤腐蚀、导静电的复合管材。</w:t>
            </w:r>
          </w:p>
          <w:p w14:paraId="15E96AFF">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lang w:eastAsia="ja-JP"/>
              </w:rPr>
              <w:t>③</w:t>
            </w:r>
            <w:r>
              <w:rPr>
                <w:rFonts w:hint="eastAsia" w:cs="Times New Roman"/>
                <w:color w:val="auto"/>
                <w:lang w:val="en-US" w:eastAsia="zh-CN"/>
              </w:rPr>
              <w:t>隔油池</w:t>
            </w:r>
            <w:r>
              <w:rPr>
                <w:rFonts w:hint="default" w:ascii="Times New Roman" w:hAnsi="Times New Roman" w:cs="Times New Roman"/>
                <w:color w:val="auto"/>
              </w:rPr>
              <w:t>、化粪池按一般防渗要求进行防渗</w:t>
            </w:r>
            <w:r>
              <w:rPr>
                <w:rFonts w:hint="eastAsia" w:cs="Times New Roman"/>
                <w:color w:val="auto"/>
                <w:lang w:eastAsia="zh-CN"/>
              </w:rPr>
              <w:t>；</w:t>
            </w:r>
            <w:r>
              <w:rPr>
                <w:rFonts w:hint="eastAsia" w:cs="Times New Roman"/>
                <w:color w:val="auto"/>
                <w:lang w:val="en-US" w:eastAsia="zh-CN"/>
              </w:rPr>
              <w:t>三级油水分离池按重点</w:t>
            </w:r>
            <w:r>
              <w:rPr>
                <w:rFonts w:hint="default" w:ascii="Times New Roman" w:hAnsi="Times New Roman" w:cs="Times New Roman"/>
                <w:color w:val="auto"/>
              </w:rPr>
              <w:t>防渗要求进行防渗。</w:t>
            </w:r>
          </w:p>
          <w:p w14:paraId="4F3D591C">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④站房、项目区地面进行硬化。</w:t>
            </w:r>
          </w:p>
          <w:p w14:paraId="033CDB13">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⑤设置低液位监测系统，卸油时当油料达到油罐容量90%时，高液位报警装置应被触动发出警示；当油料达到油罐容量95%时，禁止继续向油罐内卸油。</w:t>
            </w:r>
          </w:p>
          <w:p w14:paraId="21B6DDD8">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⑥各油罐池内均需设检测立管，定期检查油罐是否泄漏，并记录备案。</w:t>
            </w:r>
          </w:p>
          <w:p w14:paraId="6E459B4B">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⑦油罐池内间隙用沙填充，一旦发生油品泄漏，吸收了油品的沙应作为危险废物，委托有资质的单位清运处置。</w:t>
            </w:r>
          </w:p>
          <w:p w14:paraId="5DD8DF5B">
            <w:pPr>
              <w:adjustRightInd w:val="0"/>
              <w:spacing w:line="240" w:lineRule="auto"/>
              <w:ind w:firstLine="420" w:firstLineChars="200"/>
              <w:jc w:val="left"/>
              <w:textAlignment w:val="baseline"/>
              <w:rPr>
                <w:rFonts w:hint="default" w:ascii="Times New Roman" w:hAnsi="Times New Roman" w:cs="Times New Roman"/>
                <w:color w:val="auto"/>
              </w:rPr>
            </w:pPr>
            <w:r>
              <w:rPr>
                <w:rFonts w:hint="default" w:ascii="Times New Roman" w:hAnsi="Times New Roman" w:cs="Times New Roman"/>
                <w:color w:val="auto"/>
              </w:rPr>
              <w:t>⑧项目对</w:t>
            </w:r>
            <w:r>
              <w:rPr>
                <w:rFonts w:hint="eastAsia" w:cs="Times New Roman"/>
                <w:color w:val="auto"/>
                <w:lang w:eastAsia="zh-CN"/>
              </w:rPr>
              <w:t>危废暂存点</w:t>
            </w:r>
            <w:r>
              <w:rPr>
                <w:rFonts w:hint="default" w:ascii="Times New Roman" w:hAnsi="Times New Roman" w:cs="Times New Roman"/>
                <w:color w:val="auto"/>
              </w:rPr>
              <w:t>按重点防渗要求进行防渗，防止危险废物中所含的油品下渗，造成地下水污染。</w:t>
            </w:r>
          </w:p>
          <w:p w14:paraId="0DF38FA9">
            <w:pPr>
              <w:rPr>
                <w:rFonts w:hint="default" w:ascii="Times New Roman" w:hAnsi="Times New Roman" w:cs="Times New Roman"/>
                <w:color w:val="auto"/>
                <w:lang w:val="zh-CN"/>
              </w:rPr>
            </w:pPr>
            <w:r>
              <w:rPr>
                <w:rFonts w:hint="default" w:ascii="Times New Roman" w:hAnsi="Times New Roman" w:cs="Times New Roman"/>
                <w:color w:val="auto"/>
              </w:rPr>
              <w:t>⑨项目产生的</w:t>
            </w:r>
            <w:r>
              <w:rPr>
                <w:rFonts w:hint="default" w:ascii="Times New Roman" w:hAnsi="Times New Roman" w:cs="Times New Roman"/>
                <w:color w:val="auto"/>
                <w:lang w:val="en-US" w:eastAsia="zh-CN"/>
              </w:rPr>
              <w:t>生活</w:t>
            </w:r>
            <w:r>
              <w:rPr>
                <w:rFonts w:hint="default" w:ascii="Times New Roman" w:hAnsi="Times New Roman" w:cs="Times New Roman"/>
                <w:color w:val="auto"/>
              </w:rPr>
              <w:t>废水应严格按照本环评的要求，隔油池、化粪池</w:t>
            </w:r>
            <w:r>
              <w:rPr>
                <w:rFonts w:hint="eastAsia" w:cs="Times New Roman"/>
                <w:color w:val="auto"/>
                <w:lang w:val="en-US" w:eastAsia="zh-CN"/>
              </w:rPr>
              <w:t>委托</w:t>
            </w:r>
            <w:r>
              <w:rPr>
                <w:rFonts w:hint="eastAsia"/>
                <w:color w:val="auto"/>
              </w:rPr>
              <w:t>寻甸绿运垃圾清运有限公司</w:t>
            </w:r>
            <w:r>
              <w:rPr>
                <w:rFonts w:hint="eastAsia" w:cs="Times New Roman"/>
                <w:color w:val="auto"/>
                <w:lang w:val="en-US" w:eastAsia="zh-CN"/>
              </w:rPr>
              <w:t>清运</w:t>
            </w:r>
            <w:r>
              <w:rPr>
                <w:rFonts w:hint="default" w:ascii="Times New Roman" w:hAnsi="Times New Roman" w:cs="Times New Roman"/>
                <w:color w:val="auto"/>
              </w:rPr>
              <w:t>。</w:t>
            </w:r>
            <w:r>
              <w:rPr>
                <w:rFonts w:hint="default" w:ascii="Times New Roman" w:hAnsi="Times New Roman" w:cs="Times New Roman"/>
                <w:color w:val="auto"/>
                <w:lang w:val="zh-CN"/>
              </w:rPr>
              <w:t>禁止项目废水未经处理随意乱排。</w:t>
            </w:r>
          </w:p>
          <w:p w14:paraId="63F2103E">
            <w:pPr>
              <w:adjustRightInd w:val="0"/>
              <w:spacing w:line="240" w:lineRule="auto"/>
              <w:ind w:firstLine="420" w:firstLineChars="20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rPr>
              <w:t>⑩</w:t>
            </w:r>
            <w:r>
              <w:rPr>
                <w:rFonts w:hint="default" w:ascii="Times New Roman" w:hAnsi="Times New Roman" w:cs="Times New Roman"/>
                <w:color w:val="auto"/>
                <w:lang w:val="zh-CN"/>
              </w:rPr>
              <w:t>设置</w:t>
            </w:r>
            <w:r>
              <w:rPr>
                <w:rFonts w:hint="default" w:ascii="Times New Roman" w:hAnsi="Times New Roman" w:cs="Times New Roman"/>
                <w:color w:val="auto"/>
                <w:lang w:val="en-US" w:eastAsia="zh-CN"/>
              </w:rPr>
              <w:t>油罐</w:t>
            </w:r>
            <w:r>
              <w:rPr>
                <w:rFonts w:hint="eastAsia" w:cs="Times New Roman"/>
                <w:color w:val="auto"/>
                <w:lang w:val="en-US" w:eastAsia="zh-CN"/>
              </w:rPr>
              <w:t>监测</w:t>
            </w:r>
            <w:r>
              <w:rPr>
                <w:rFonts w:hint="default" w:ascii="Times New Roman" w:hAnsi="Times New Roman" w:cs="Times New Roman"/>
                <w:color w:val="auto"/>
                <w:lang w:val="zh-CN"/>
              </w:rPr>
              <w:t>井，定期进行定性监测、定量监测，</w:t>
            </w:r>
            <w:r>
              <w:rPr>
                <w:rFonts w:hint="default" w:ascii="Times New Roman" w:hAnsi="Times New Roman" w:cs="Times New Roman"/>
                <w:color w:val="auto"/>
              </w:rPr>
              <w:t>判定地下水跟踪监测井是否存在油品污染。</w:t>
            </w:r>
          </w:p>
        </w:tc>
      </w:tr>
      <w:tr w14:paraId="2DD25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193" w:type="dxa"/>
            <w:noWrap w:val="0"/>
            <w:vAlign w:val="center"/>
          </w:tcPr>
          <w:p w14:paraId="79A71E11">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8288" w:type="dxa"/>
            <w:gridSpan w:val="4"/>
            <w:noWrap w:val="0"/>
            <w:vAlign w:val="center"/>
          </w:tcPr>
          <w:p w14:paraId="25D770BA">
            <w:pPr>
              <w:adjustRightInd w:val="0"/>
              <w:snapToGrid w:val="0"/>
              <w:spacing w:line="240" w:lineRule="auto"/>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rPr>
              <w:t>项目应严格执行水土保持</w:t>
            </w:r>
            <w:r>
              <w:rPr>
                <w:rFonts w:hint="default" w:ascii="Times New Roman" w:hAnsi="Times New Roman" w:eastAsia="宋体" w:cs="Times New Roman"/>
                <w:color w:val="auto"/>
                <w:sz w:val="21"/>
                <w:szCs w:val="21"/>
                <w:lang w:val="en-US" w:eastAsia="zh-CN"/>
              </w:rPr>
              <w:t>措施，</w:t>
            </w:r>
            <w:r>
              <w:rPr>
                <w:rFonts w:hint="default" w:ascii="Times New Roman" w:hAnsi="Times New Roman" w:eastAsia="宋体" w:cs="Times New Roman"/>
                <w:color w:val="auto"/>
                <w:sz w:val="21"/>
                <w:szCs w:val="21"/>
                <w:lang w:eastAsia="zh-CN"/>
              </w:rPr>
              <w:t>在</w:t>
            </w:r>
            <w:r>
              <w:rPr>
                <w:rFonts w:hint="default" w:ascii="Times New Roman" w:hAnsi="Times New Roman" w:eastAsia="宋体" w:cs="Times New Roman"/>
                <w:color w:val="auto"/>
                <w:sz w:val="21"/>
                <w:szCs w:val="21"/>
                <w:lang w:val="en-US" w:eastAsia="zh-CN"/>
              </w:rPr>
              <w:t>加油区</w:t>
            </w:r>
            <w:r>
              <w:rPr>
                <w:rFonts w:hint="default" w:ascii="Times New Roman" w:hAnsi="Times New Roman" w:eastAsia="宋体" w:cs="Times New Roman"/>
                <w:color w:val="auto"/>
                <w:sz w:val="21"/>
                <w:szCs w:val="21"/>
              </w:rPr>
              <w:t>设置</w:t>
            </w:r>
            <w:r>
              <w:rPr>
                <w:rFonts w:hint="default" w:ascii="Times New Roman" w:hAnsi="Times New Roman" w:eastAsia="宋体" w:cs="Times New Roman"/>
                <w:color w:val="auto"/>
                <w:sz w:val="21"/>
                <w:szCs w:val="21"/>
                <w:lang w:val="en-US" w:eastAsia="zh-CN"/>
              </w:rPr>
              <w:t>环保沟；项目区绿化。</w:t>
            </w:r>
          </w:p>
        </w:tc>
      </w:tr>
      <w:tr w14:paraId="29839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93" w:type="dxa"/>
            <w:noWrap w:val="0"/>
            <w:vAlign w:val="center"/>
          </w:tcPr>
          <w:p w14:paraId="49F3A87A">
            <w:pPr>
              <w:adjustRightInd w:val="0"/>
              <w:snapToGrid w:val="0"/>
              <w:spacing w:line="240" w:lineRule="auto"/>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4D1CDDC8">
            <w:pPr>
              <w:adjustRightInd w:val="0"/>
              <w:snapToGrid w:val="0"/>
              <w:spacing w:line="240" w:lineRule="auto"/>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8288" w:type="dxa"/>
            <w:gridSpan w:val="4"/>
            <w:noWrap w:val="0"/>
            <w:vAlign w:val="center"/>
          </w:tcPr>
          <w:p w14:paraId="58534AEE">
            <w:pPr>
              <w:keepNext w:val="0"/>
              <w:keepLines w:val="0"/>
              <w:pageBreakBefore w:val="0"/>
              <w:kinsoku/>
              <w:wordWrap/>
              <w:overflowPunct/>
              <w:topLinePunct w:val="0"/>
              <w:autoSpaceDE/>
              <w:autoSpaceDN/>
              <w:bidi w:val="0"/>
              <w:spacing w:line="240" w:lineRule="auto"/>
              <w:ind w:firstLine="422" w:firstLineChars="20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①管理、储存、运输中的防范措施：</w:t>
            </w:r>
          </w:p>
          <w:p w14:paraId="7B7FED7E">
            <w:pPr>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A、建设项目储运设施防范是风险防范的关键，对储运设施的日常保修和监管是防止建设项目火灾及引发的爆炸风险的关键的措施。</w:t>
            </w:r>
          </w:p>
          <w:p w14:paraId="26CE786D">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B、本项目燃料油运输委托有资质的运输公司油罐车进行，运输过程中卸油装置、</w:t>
            </w:r>
            <w:r>
              <w:rPr>
                <w:rFonts w:hint="eastAsia" w:cs="Times New Roman"/>
                <w:color w:val="auto"/>
                <w:sz w:val="21"/>
                <w:szCs w:val="21"/>
                <w:lang w:eastAsia="zh-CN"/>
              </w:rPr>
              <w:t>油气回收系统</w:t>
            </w:r>
            <w:r>
              <w:rPr>
                <w:rFonts w:hint="default" w:ascii="Times New Roman" w:hAnsi="Times New Roman" w:cs="Times New Roman"/>
                <w:color w:val="auto"/>
                <w:sz w:val="21"/>
                <w:szCs w:val="21"/>
              </w:rPr>
              <w:t>及其密闭性、管阀等配套设施均符合《汽油运输大气污染物排放标准》（GB20951－</w:t>
            </w:r>
            <w:r>
              <w:rPr>
                <w:rFonts w:hint="eastAsia" w:cs="Times New Roman"/>
                <w:color w:val="auto"/>
                <w:sz w:val="21"/>
                <w:szCs w:val="21"/>
                <w:lang w:val="en-US" w:eastAsia="zh-CN"/>
              </w:rPr>
              <w:t>2020</w:t>
            </w:r>
            <w:r>
              <w:rPr>
                <w:rFonts w:hint="default" w:ascii="Times New Roman" w:hAnsi="Times New Roman" w:cs="Times New Roman"/>
                <w:color w:val="auto"/>
                <w:sz w:val="21"/>
                <w:szCs w:val="21"/>
              </w:rPr>
              <w:t>）中的相关要求。</w:t>
            </w:r>
          </w:p>
          <w:p w14:paraId="38A36FA6">
            <w:pPr>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C、加油站严格按《危险化学品安全管理条例》的要求，加强汽油、柴油的管理；严格规范操作规程；定期开展安全培训教育。</w:t>
            </w:r>
          </w:p>
          <w:p w14:paraId="39D11121">
            <w:pPr>
              <w:keepNext w:val="0"/>
              <w:keepLines w:val="0"/>
              <w:pageBreakBefore w:val="0"/>
              <w:kinsoku/>
              <w:wordWrap/>
              <w:overflowPunct/>
              <w:topLinePunct w:val="0"/>
              <w:autoSpaceDE/>
              <w:autoSpaceDN/>
              <w:bidi w:val="0"/>
              <w:spacing w:line="240" w:lineRule="auto"/>
              <w:ind w:firstLine="422" w:firstLineChars="20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②</w:t>
            </w:r>
            <w:r>
              <w:rPr>
                <w:rFonts w:hint="eastAsia" w:cs="Times New Roman"/>
                <w:b/>
                <w:bCs/>
                <w:color w:val="auto"/>
                <w:sz w:val="21"/>
                <w:szCs w:val="21"/>
                <w:lang w:eastAsia="zh-CN"/>
              </w:rPr>
              <w:t>油气回收系统</w:t>
            </w:r>
            <w:r>
              <w:rPr>
                <w:rFonts w:hint="default" w:ascii="Times New Roman" w:hAnsi="Times New Roman" w:cs="Times New Roman"/>
                <w:b/>
                <w:bCs/>
                <w:color w:val="auto"/>
                <w:sz w:val="21"/>
                <w:szCs w:val="21"/>
              </w:rPr>
              <w:t>安全管理措施</w:t>
            </w:r>
          </w:p>
          <w:p w14:paraId="53A95E6D">
            <w:pPr>
              <w:keepNext w:val="0"/>
              <w:keepLines w:val="0"/>
              <w:pageBreakBefore w:val="0"/>
              <w:kinsoku/>
              <w:wordWrap/>
              <w:overflowPunct/>
              <w:topLinePunct w:val="0"/>
              <w:autoSpaceDE/>
              <w:autoSpaceDN/>
              <w:bidi w:val="0"/>
              <w:spacing w:line="240" w:lineRule="auto"/>
              <w:ind w:firstLine="420" w:firstLineChars="200"/>
              <w:jc w:val="left"/>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加油站设1套汽油卸油油气回收系统、1套汽油加油油气回收系统；加油站应加强对油气回收系统的维护与保养；定期检查油气回收系统回收加油枪磨损、油气回收胶管是否有裂纹、脱落现象、单向阀失效、油分离器堵塞、回收真空泵损坏等，定期检查吸附泵、吸附筒及阀门的安全性，确保油气回收系统可靠运行。</w:t>
            </w:r>
          </w:p>
          <w:p w14:paraId="0C09685E">
            <w:pPr>
              <w:keepNext w:val="0"/>
              <w:keepLines w:val="0"/>
              <w:pageBreakBefore w:val="0"/>
              <w:kinsoku/>
              <w:wordWrap/>
              <w:overflowPunct/>
              <w:topLinePunct w:val="0"/>
              <w:autoSpaceDE/>
              <w:autoSpaceDN/>
              <w:bidi w:val="0"/>
              <w:adjustRightInd w:val="0"/>
              <w:spacing w:line="240" w:lineRule="auto"/>
              <w:ind w:firstLine="422" w:firstLineChars="20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③防渗措施</w:t>
            </w:r>
          </w:p>
          <w:p w14:paraId="4152A5CD">
            <w:pPr>
              <w:keepNext w:val="0"/>
              <w:keepLines w:val="0"/>
              <w:pageBreakBefore w:val="0"/>
              <w:kinsoku/>
              <w:wordWrap/>
              <w:overflowPunct/>
              <w:topLinePunct w:val="0"/>
              <w:autoSpaceDE/>
              <w:autoSpaceDN/>
              <w:bidi w:val="0"/>
              <w:adjustRightInd w:val="0"/>
              <w:spacing w:line="240" w:lineRule="auto"/>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A、项目应严格按照</w:t>
            </w:r>
            <w:r>
              <w:rPr>
                <w:rFonts w:hint="default" w:ascii="Times New Roman" w:hAnsi="Times New Roman" w:cs="Times New Roman"/>
                <w:color w:val="auto"/>
              </w:rPr>
              <w:t>《汽车加油加气加氢站技术标准》（GB50156-2021）</w:t>
            </w:r>
            <w:r>
              <w:rPr>
                <w:rFonts w:hint="default" w:ascii="Times New Roman" w:hAnsi="Times New Roman" w:cs="Times New Roman"/>
                <w:color w:val="auto"/>
                <w:sz w:val="21"/>
                <w:szCs w:val="21"/>
              </w:rPr>
              <w:t>中防渗措施及《加油站地下水污染防治技术指南（试行）》</w:t>
            </w:r>
            <w:r>
              <w:rPr>
                <w:rFonts w:hint="default" w:ascii="Times New Roman" w:hAnsi="Times New Roman" w:eastAsia="宋体" w:cs="Times New Roman"/>
                <w:color w:val="auto"/>
                <w:lang w:val="en-US" w:eastAsia="zh-CN"/>
              </w:rPr>
              <w:t>及</w:t>
            </w:r>
            <w:r>
              <w:rPr>
                <w:rFonts w:hint="default" w:ascii="Times New Roman" w:hAnsi="Times New Roman" w:eastAsia="宋体" w:cs="Times New Roman"/>
                <w:color w:val="auto"/>
              </w:rPr>
              <w:t>《环境影响评价技术导则-地下水环境》（HJ610-2016）的相关要求进行防渗处理。</w:t>
            </w:r>
          </w:p>
          <w:p w14:paraId="52ADCD14">
            <w:pPr>
              <w:pStyle w:val="11"/>
              <w:keepNext w:val="0"/>
              <w:keepLines w:val="0"/>
              <w:pageBreakBefore w:val="0"/>
              <w:kinsoku/>
              <w:wordWrap/>
              <w:overflowPunct/>
              <w:topLinePunct w:val="0"/>
              <w:autoSpaceDE/>
              <w:autoSpaceDN/>
              <w:bidi w:val="0"/>
              <w:spacing w:after="0" w:line="24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B、埋地油罐采用双层罐，加油管线采用固定工艺管道，且采用无缝双层钢管。</w:t>
            </w:r>
          </w:p>
          <w:p w14:paraId="2E7797B5">
            <w:pPr>
              <w:pStyle w:val="11"/>
              <w:keepNext w:val="0"/>
              <w:keepLines w:val="0"/>
              <w:pageBreakBefore w:val="0"/>
              <w:kinsoku/>
              <w:wordWrap/>
              <w:overflowPunct/>
              <w:topLinePunct w:val="0"/>
              <w:autoSpaceDE/>
              <w:autoSpaceDN/>
              <w:bidi w:val="0"/>
              <w:spacing w:after="0" w:line="24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若发现油品泄漏，需启动环境预警和开展应急响应。应急响应措施主要有泄漏加油站停运、油品阻隔和泄漏油品回收。在1天内向环境保护主管部门报告，在5个工作日内提供泄漏加油站的初始环境报告，包括责任人的名称和电话号码，泄漏物的类型、体积和地下水污染物浓度，并采取应急响应措施。</w:t>
            </w:r>
          </w:p>
          <w:p w14:paraId="43B0F99D">
            <w:pPr>
              <w:keepNext w:val="0"/>
              <w:keepLines w:val="0"/>
              <w:pageBreakBefore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w:t>
            </w:r>
            <w:r>
              <w:rPr>
                <w:rFonts w:hint="eastAsia" w:cs="Times New Roman"/>
                <w:color w:val="auto"/>
                <w:sz w:val="21"/>
                <w:szCs w:val="21"/>
                <w:lang w:val="en-US" w:eastAsia="zh-CN"/>
              </w:rPr>
              <w:t>修订</w:t>
            </w:r>
            <w:r>
              <w:rPr>
                <w:rFonts w:hint="default" w:ascii="Times New Roman" w:hAnsi="Times New Roman" w:cs="Times New Roman"/>
                <w:color w:val="auto"/>
                <w:sz w:val="21"/>
                <w:szCs w:val="21"/>
              </w:rPr>
              <w:t>突发环境事件应急预案。</w:t>
            </w:r>
          </w:p>
          <w:p w14:paraId="46D8F606">
            <w:pPr>
              <w:keepNext w:val="0"/>
              <w:keepLines w:val="0"/>
              <w:pageBreakBefore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⑤项目在后期运营过程中，应严格按照加油站安全预评价报告提出的相关措施实施。</w:t>
            </w:r>
          </w:p>
          <w:p w14:paraId="6A2FFB9B">
            <w:pPr>
              <w:keepNext w:val="0"/>
              <w:keepLines w:val="0"/>
              <w:pageBreakBefore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⑥配套设置1套液位仪在线监控系统。</w:t>
            </w:r>
          </w:p>
        </w:tc>
      </w:tr>
      <w:tr w14:paraId="7485C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93" w:type="dxa"/>
            <w:noWrap w:val="0"/>
            <w:vAlign w:val="center"/>
          </w:tcPr>
          <w:p w14:paraId="44013809">
            <w:pPr>
              <w:adjustRightInd w:val="0"/>
              <w:snapToGrid w:val="0"/>
              <w:spacing w:line="240" w:lineRule="auto"/>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45F27767">
            <w:pPr>
              <w:adjustRightInd w:val="0"/>
              <w:snapToGrid w:val="0"/>
              <w:spacing w:line="240" w:lineRule="auto"/>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8288" w:type="dxa"/>
            <w:gridSpan w:val="4"/>
            <w:noWrap w:val="0"/>
            <w:vAlign w:val="center"/>
          </w:tcPr>
          <w:p w14:paraId="7512A3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left"/>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1、环境管理</w:t>
            </w:r>
          </w:p>
          <w:p w14:paraId="4B1A0FB8">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建立环境保护管理机构，根据工程环境影响评价中提出的施工期和营运期环境保护措施，落实环境保护经费，实施环境保护对策措施；协调政府环境管理与工程环境管理间的关系，具体管理内容如下：</w:t>
            </w:r>
          </w:p>
          <w:p w14:paraId="7045392D">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（1）</w:t>
            </w:r>
            <w:bookmarkStart w:id="140" w:name="OLE_LINK3"/>
            <w:bookmarkStart w:id="141" w:name="OLE_LINK4"/>
            <w:r>
              <w:rPr>
                <w:rFonts w:hint="default" w:ascii="Times New Roman" w:hAnsi="Times New Roman" w:cs="Times New Roman"/>
                <w:color w:val="auto"/>
                <w:szCs w:val="21"/>
              </w:rPr>
              <w:t>项目在建设和运行中应认真执行国家、地方环境保护的有关规定和要求。按照当地</w:t>
            </w:r>
            <w:r>
              <w:rPr>
                <w:rFonts w:hint="default" w:ascii="Times New Roman" w:hAnsi="Times New Roman" w:cs="Times New Roman"/>
                <w:color w:val="auto"/>
                <w:kern w:val="24"/>
                <w:szCs w:val="21"/>
              </w:rPr>
              <w:t>生态环境主管部门</w:t>
            </w:r>
            <w:r>
              <w:rPr>
                <w:rFonts w:hint="default" w:ascii="Times New Roman" w:hAnsi="Times New Roman" w:cs="Times New Roman"/>
                <w:color w:val="auto"/>
                <w:szCs w:val="21"/>
              </w:rPr>
              <w:t>的要求及时反映发生的环保问题，接受</w:t>
            </w:r>
            <w:r>
              <w:rPr>
                <w:rFonts w:hint="default" w:ascii="Times New Roman" w:hAnsi="Times New Roman" w:cs="Times New Roman"/>
                <w:color w:val="auto"/>
                <w:kern w:val="24"/>
                <w:szCs w:val="21"/>
              </w:rPr>
              <w:t>生态环境主管部门</w:t>
            </w:r>
            <w:r>
              <w:rPr>
                <w:rFonts w:hint="default" w:ascii="Times New Roman" w:hAnsi="Times New Roman" w:cs="Times New Roman"/>
                <w:color w:val="auto"/>
                <w:szCs w:val="21"/>
              </w:rPr>
              <w:t>的检查监督。</w:t>
            </w:r>
            <w:bookmarkEnd w:id="140"/>
            <w:bookmarkEnd w:id="141"/>
          </w:p>
          <w:p w14:paraId="2E439CD5">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（2）加强风险事故防范机制，避免污染性的突发事件发生。</w:t>
            </w:r>
          </w:p>
          <w:p w14:paraId="76E9407E">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（3）加强宣传教育，增强施工及管理人员的环保意识。</w:t>
            </w:r>
          </w:p>
          <w:p w14:paraId="58DF538F">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（4）按</w:t>
            </w:r>
            <w:r>
              <w:rPr>
                <w:rFonts w:hint="eastAsia" w:cs="Times New Roman"/>
                <w:color w:val="auto"/>
                <w:szCs w:val="21"/>
                <w:lang w:eastAsia="zh-CN"/>
              </w:rPr>
              <w:t>危废暂存</w:t>
            </w:r>
            <w:r>
              <w:rPr>
                <w:rFonts w:hint="default" w:ascii="Times New Roman" w:hAnsi="Times New Roman" w:cs="Times New Roman"/>
                <w:color w:val="auto"/>
                <w:szCs w:val="21"/>
              </w:rPr>
              <w:t>建设规范建设</w:t>
            </w:r>
            <w:r>
              <w:rPr>
                <w:rFonts w:hint="eastAsia" w:cs="Times New Roman"/>
                <w:color w:val="auto"/>
                <w:szCs w:val="21"/>
                <w:lang w:eastAsia="zh-CN"/>
              </w:rPr>
              <w:t>危废暂存点</w:t>
            </w:r>
            <w:r>
              <w:rPr>
                <w:rFonts w:hint="default" w:ascii="Times New Roman" w:hAnsi="Times New Roman" w:cs="Times New Roman"/>
                <w:color w:val="auto"/>
                <w:szCs w:val="21"/>
              </w:rPr>
              <w:t>，建立</w:t>
            </w:r>
            <w:r>
              <w:rPr>
                <w:rFonts w:hint="eastAsia" w:cs="Times New Roman"/>
                <w:color w:val="auto"/>
                <w:szCs w:val="21"/>
                <w:lang w:eastAsia="zh-CN"/>
              </w:rPr>
              <w:t>危险废物暂存</w:t>
            </w:r>
            <w:r>
              <w:rPr>
                <w:rFonts w:hint="eastAsia" w:cs="Times New Roman"/>
                <w:color w:val="auto"/>
                <w:szCs w:val="21"/>
                <w:lang w:val="en-US" w:eastAsia="zh-CN"/>
              </w:rPr>
              <w:t>管理</w:t>
            </w:r>
            <w:r>
              <w:rPr>
                <w:rFonts w:hint="default" w:ascii="Times New Roman" w:hAnsi="Times New Roman" w:cs="Times New Roman"/>
                <w:color w:val="auto"/>
                <w:szCs w:val="21"/>
              </w:rPr>
              <w:t>台账，委托有资质单位处理。</w:t>
            </w:r>
          </w:p>
          <w:p w14:paraId="1CBB6F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left"/>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2、排污许可证办理</w:t>
            </w:r>
          </w:p>
          <w:p w14:paraId="2B424144">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根据《排污许可管理条例》（中华人民共和国国务院令 第736号），本项目应当在启动生产设施或者发生实际排污之前，向</w:t>
            </w:r>
            <w:r>
              <w:rPr>
                <w:rFonts w:hint="default" w:ascii="Times New Roman" w:hAnsi="Times New Roman" w:cs="Times New Roman"/>
                <w:color w:val="auto"/>
                <w:szCs w:val="21"/>
                <w:lang w:val="en-US" w:eastAsia="zh-CN"/>
              </w:rPr>
              <w:t>当地</w:t>
            </w:r>
            <w:r>
              <w:rPr>
                <w:rFonts w:hint="default" w:ascii="Times New Roman" w:hAnsi="Times New Roman" w:cs="Times New Roman"/>
                <w:color w:val="auto"/>
                <w:szCs w:val="21"/>
              </w:rPr>
              <w:t>生态环境局申请取得排污许可证</w:t>
            </w:r>
            <w:r>
              <w:rPr>
                <w:rFonts w:hint="eastAsia" w:cs="Times New Roman"/>
                <w:color w:val="auto"/>
                <w:szCs w:val="21"/>
                <w:lang w:eastAsia="zh-CN"/>
              </w:rPr>
              <w:t>，</w:t>
            </w:r>
            <w:r>
              <w:rPr>
                <w:rFonts w:hint="eastAsia" w:cs="Times New Roman"/>
                <w:color w:val="auto"/>
                <w:szCs w:val="21"/>
                <w:lang w:val="en-US" w:eastAsia="zh-CN"/>
              </w:rPr>
              <w:t>目前项目已取得固定污染源排污登记回执，改扩建后及时更新</w:t>
            </w:r>
            <w:r>
              <w:rPr>
                <w:rFonts w:hint="default" w:ascii="Times New Roman" w:hAnsi="Times New Roman" w:cs="Times New Roman"/>
                <w:color w:val="auto"/>
                <w:szCs w:val="21"/>
              </w:rPr>
              <w:t>排污许可。</w:t>
            </w:r>
          </w:p>
          <w:p w14:paraId="6014D4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left"/>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3、排污口规范化设置</w:t>
            </w:r>
          </w:p>
          <w:p w14:paraId="4DCB2D21">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排放口应设置便于采样、监测的采样口，采样口的设置应符合《污染源监测技术规范》要求。排放口排污标识牌设置应符合“一明显、二合理、三便于”的要求，即环保标志明显，排污口（接管口）设置合理，便于采集样品、便于监测计量、便于公众参与和监督管理。同时要求按照《环境保护图形标志》（GB15562.1-1995）的规定，设置与排污口相应的图形标志牌。</w:t>
            </w:r>
          </w:p>
          <w:p w14:paraId="4908BD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left"/>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4、建设项目竣工环境保护验收</w:t>
            </w:r>
          </w:p>
          <w:p w14:paraId="1B45F9DD">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本项目环保设施竣工验收由建设单位自行组织实施验收。</w:t>
            </w:r>
          </w:p>
          <w:p w14:paraId="332B234E">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7A37361A">
            <w:pPr>
              <w:spacing w:line="240" w:lineRule="auto"/>
              <w:jc w:val="left"/>
              <w:rPr>
                <w:rFonts w:hint="default" w:ascii="Times New Roman" w:hAnsi="Times New Roman" w:cs="Times New Roman"/>
                <w:color w:val="auto"/>
                <w:szCs w:val="21"/>
              </w:rPr>
            </w:pPr>
          </w:p>
        </w:tc>
      </w:tr>
    </w:tbl>
    <w:p w14:paraId="1EBC4F51">
      <w:pPr>
        <w:pStyle w:val="24"/>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42" w:name="_Toc30460"/>
      <w:bookmarkStart w:id="143" w:name="_Toc6028"/>
      <w:r>
        <w:rPr>
          <w:rFonts w:hint="default" w:ascii="Times New Roman" w:hAnsi="Times New Roman" w:eastAsia="黑体" w:cs="Times New Roman"/>
          <w:snapToGrid w:val="0"/>
          <w:color w:val="auto"/>
          <w:sz w:val="30"/>
          <w:szCs w:val="30"/>
        </w:rPr>
        <w:t>六、结论</w:t>
      </w:r>
      <w:bookmarkEnd w:id="142"/>
      <w:bookmarkEnd w:id="14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60"/>
      </w:tblGrid>
      <w:tr w14:paraId="31501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66" w:hRule="atLeast"/>
          <w:jc w:val="center"/>
        </w:trPr>
        <w:tc>
          <w:tcPr>
            <w:tcW w:w="9660" w:type="dxa"/>
            <w:noWrap w:val="0"/>
            <w:vAlign w:val="center"/>
          </w:tcPr>
          <w:p w14:paraId="105E3A10">
            <w:pPr>
              <w:spacing w:line="360" w:lineRule="auto"/>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32"/>
              </w:rPr>
              <w:t>通过对项目所在地区的环境现状以及项目产生的环境影响进行分析，</w:t>
            </w:r>
            <w:r>
              <w:rPr>
                <w:rFonts w:hint="eastAsia" w:cs="Times New Roman"/>
                <w:color w:val="auto"/>
                <w:sz w:val="24"/>
                <w:szCs w:val="24"/>
                <w:lang w:val="en-US" w:eastAsia="zh-CN"/>
              </w:rPr>
              <w:t>中国石化销售股份有限公司云南昆明寻甸梧桐加油站隐患原址改造项目</w:t>
            </w:r>
            <w:r>
              <w:rPr>
                <w:rFonts w:hint="default" w:ascii="Times New Roman" w:hAnsi="Times New Roman" w:eastAsia="宋体" w:cs="Times New Roman"/>
                <w:color w:val="auto"/>
                <w:sz w:val="24"/>
                <w:szCs w:val="32"/>
              </w:rPr>
              <w:t>符合国家产业政策及相关规划，选址、布</w:t>
            </w:r>
            <w:r>
              <w:rPr>
                <w:rFonts w:hint="default" w:ascii="Times New Roman" w:hAnsi="Times New Roman" w:eastAsia="宋体" w:cs="Times New Roman"/>
                <w:color w:val="auto"/>
                <w:sz w:val="24"/>
                <w:szCs w:val="32"/>
                <w:lang w:val="en-US" w:eastAsia="zh-CN"/>
              </w:rPr>
              <w:t>局合理可行，项目建设符合“三线一单”相关规定。项目产生的环境影响包括废气、 废水、噪声、</w:t>
            </w:r>
            <w:r>
              <w:rPr>
                <w:rFonts w:hint="default" w:ascii="Times New Roman" w:hAnsi="Times New Roman" w:eastAsia="宋体" w:cs="Times New Roman"/>
                <w:color w:val="auto"/>
                <w:sz w:val="24"/>
                <w:szCs w:val="32"/>
              </w:rPr>
              <w:t>固体废弃物等，在采取环评提出的防治措施后，废气、噪声能达标排放；生活污水全部综合利用；固体废物100%妥善处理。</w:t>
            </w:r>
            <w:r>
              <w:rPr>
                <w:rFonts w:hint="default" w:ascii="Times New Roman" w:hAnsi="Times New Roman" w:eastAsia="宋体" w:cs="Times New Roman"/>
                <w:color w:val="auto"/>
                <w:sz w:val="24"/>
                <w:szCs w:val="32"/>
                <w:lang w:val="en-US" w:eastAsia="zh-CN"/>
              </w:rPr>
              <w:t>建设单位在落实好环保资金和环评提出的各项污染防治措施的前提下，加强环境管理，各污染物排放均达到相应标准，</w:t>
            </w:r>
            <w:r>
              <w:rPr>
                <w:rFonts w:hint="default" w:ascii="Times New Roman" w:hAnsi="Times New Roman" w:eastAsia="宋体" w:cs="Times New Roman"/>
                <w:color w:val="auto"/>
                <w:sz w:val="24"/>
                <w:szCs w:val="32"/>
                <w:lang w:val="zh-CN" w:eastAsia="zh-CN"/>
              </w:rPr>
              <w:t>项目的建设不会降低和改变区域环境质量和功能。</w:t>
            </w:r>
            <w:r>
              <w:rPr>
                <w:rFonts w:hint="default" w:ascii="Times New Roman" w:hAnsi="Times New Roman" w:eastAsia="宋体" w:cs="Times New Roman"/>
                <w:color w:val="auto"/>
                <w:sz w:val="24"/>
                <w:szCs w:val="32"/>
              </w:rPr>
              <w:t>从环境保护的角度分析，该项目的建设是可行的</w:t>
            </w:r>
            <w:r>
              <w:rPr>
                <w:rFonts w:hint="default" w:ascii="Times New Roman" w:hAnsi="Times New Roman" w:eastAsia="宋体" w:cs="Times New Roman"/>
                <w:color w:val="auto"/>
                <w:sz w:val="24"/>
                <w:szCs w:val="32"/>
                <w:lang w:eastAsia="zh-CN"/>
              </w:rPr>
              <w:t>。</w:t>
            </w:r>
          </w:p>
          <w:p w14:paraId="55982AB1">
            <w:pPr>
              <w:pStyle w:val="26"/>
              <w:rPr>
                <w:rFonts w:hint="default" w:ascii="Times New Roman" w:hAnsi="Times New Roman" w:cs="Times New Roman"/>
                <w:color w:val="auto"/>
              </w:rPr>
            </w:pPr>
          </w:p>
          <w:p w14:paraId="432A1C2A">
            <w:pPr>
              <w:pStyle w:val="25"/>
              <w:rPr>
                <w:rFonts w:hint="default" w:ascii="Times New Roman" w:hAnsi="Times New Roman" w:cs="Times New Roman"/>
                <w:color w:val="auto"/>
              </w:rPr>
            </w:pPr>
          </w:p>
          <w:p w14:paraId="286B06A5">
            <w:pPr>
              <w:rPr>
                <w:rFonts w:hint="default" w:ascii="Times New Roman" w:hAnsi="Times New Roman" w:cs="Times New Roman"/>
                <w:color w:val="auto"/>
              </w:rPr>
            </w:pPr>
          </w:p>
          <w:p w14:paraId="3BE94304">
            <w:pPr>
              <w:pStyle w:val="26"/>
              <w:rPr>
                <w:rFonts w:hint="default" w:ascii="Times New Roman" w:hAnsi="Times New Roman" w:cs="Times New Roman"/>
                <w:color w:val="auto"/>
              </w:rPr>
            </w:pPr>
          </w:p>
          <w:p w14:paraId="4D6C5409">
            <w:pPr>
              <w:pStyle w:val="25"/>
              <w:rPr>
                <w:rFonts w:hint="default" w:ascii="Times New Roman" w:hAnsi="Times New Roman" w:cs="Times New Roman"/>
                <w:color w:val="auto"/>
              </w:rPr>
            </w:pPr>
          </w:p>
          <w:p w14:paraId="606F0B23">
            <w:pPr>
              <w:rPr>
                <w:rFonts w:hint="default" w:ascii="Times New Roman" w:hAnsi="Times New Roman" w:cs="Times New Roman"/>
                <w:color w:val="auto"/>
              </w:rPr>
            </w:pPr>
          </w:p>
          <w:p w14:paraId="1009996C">
            <w:pPr>
              <w:pStyle w:val="26"/>
              <w:rPr>
                <w:rFonts w:hint="default" w:ascii="Times New Roman" w:hAnsi="Times New Roman" w:cs="Times New Roman"/>
                <w:color w:val="auto"/>
              </w:rPr>
            </w:pPr>
          </w:p>
          <w:p w14:paraId="3FE75D7E">
            <w:pPr>
              <w:pStyle w:val="25"/>
              <w:rPr>
                <w:rFonts w:hint="default" w:ascii="Times New Roman" w:hAnsi="Times New Roman" w:cs="Times New Roman"/>
                <w:color w:val="auto"/>
              </w:rPr>
            </w:pPr>
          </w:p>
          <w:p w14:paraId="262AF1CB">
            <w:pPr>
              <w:rPr>
                <w:rFonts w:hint="default" w:ascii="Times New Roman" w:hAnsi="Times New Roman" w:cs="Times New Roman"/>
                <w:color w:val="auto"/>
              </w:rPr>
            </w:pPr>
          </w:p>
          <w:p w14:paraId="5E6BCB5D">
            <w:pPr>
              <w:pStyle w:val="26"/>
              <w:rPr>
                <w:rFonts w:hint="default" w:ascii="Times New Roman" w:hAnsi="Times New Roman" w:cs="Times New Roman"/>
                <w:color w:val="auto"/>
              </w:rPr>
            </w:pPr>
          </w:p>
          <w:p w14:paraId="4189710A">
            <w:pPr>
              <w:pStyle w:val="25"/>
              <w:rPr>
                <w:rFonts w:hint="default" w:ascii="Times New Roman" w:hAnsi="Times New Roman" w:cs="Times New Roman"/>
                <w:color w:val="auto"/>
              </w:rPr>
            </w:pPr>
          </w:p>
          <w:p w14:paraId="768CA510">
            <w:pPr>
              <w:rPr>
                <w:rFonts w:hint="default" w:ascii="Times New Roman" w:hAnsi="Times New Roman" w:cs="Times New Roman"/>
                <w:color w:val="auto"/>
              </w:rPr>
            </w:pPr>
          </w:p>
          <w:p w14:paraId="5E5D6614">
            <w:pPr>
              <w:pStyle w:val="26"/>
              <w:rPr>
                <w:rFonts w:hint="default" w:ascii="Times New Roman" w:hAnsi="Times New Roman" w:cs="Times New Roman"/>
                <w:color w:val="auto"/>
              </w:rPr>
            </w:pPr>
          </w:p>
          <w:p w14:paraId="6B151DB2">
            <w:pPr>
              <w:pStyle w:val="25"/>
              <w:rPr>
                <w:rFonts w:hint="default" w:ascii="Times New Roman" w:hAnsi="Times New Roman" w:cs="Times New Roman"/>
                <w:color w:val="auto"/>
              </w:rPr>
            </w:pPr>
          </w:p>
          <w:p w14:paraId="32BE8DF9">
            <w:pPr>
              <w:rPr>
                <w:rFonts w:hint="default" w:ascii="Times New Roman" w:hAnsi="Times New Roman" w:cs="Times New Roman"/>
                <w:color w:val="auto"/>
              </w:rPr>
            </w:pPr>
          </w:p>
          <w:p w14:paraId="4EB27D2C">
            <w:pPr>
              <w:pStyle w:val="26"/>
              <w:rPr>
                <w:rFonts w:hint="default" w:ascii="Times New Roman" w:hAnsi="Times New Roman" w:cs="Times New Roman"/>
                <w:color w:val="auto"/>
              </w:rPr>
            </w:pPr>
          </w:p>
          <w:p w14:paraId="742FD79A">
            <w:pPr>
              <w:pStyle w:val="25"/>
              <w:rPr>
                <w:rFonts w:hint="default" w:ascii="Times New Roman" w:hAnsi="Times New Roman" w:cs="Times New Roman"/>
                <w:color w:val="auto"/>
              </w:rPr>
            </w:pPr>
          </w:p>
          <w:p w14:paraId="7F9716EA">
            <w:pPr>
              <w:rPr>
                <w:rFonts w:hint="default" w:ascii="Times New Roman" w:hAnsi="Times New Roman" w:cs="Times New Roman"/>
                <w:color w:val="auto"/>
              </w:rPr>
            </w:pPr>
          </w:p>
          <w:p w14:paraId="42C3C0BD">
            <w:pPr>
              <w:pStyle w:val="26"/>
              <w:rPr>
                <w:rFonts w:hint="default" w:ascii="Times New Roman" w:hAnsi="Times New Roman" w:cs="Times New Roman"/>
                <w:color w:val="auto"/>
              </w:rPr>
            </w:pPr>
          </w:p>
          <w:p w14:paraId="620317BC">
            <w:pPr>
              <w:pStyle w:val="25"/>
              <w:rPr>
                <w:rFonts w:hint="default" w:ascii="Times New Roman" w:hAnsi="Times New Roman" w:cs="Times New Roman"/>
                <w:color w:val="auto"/>
              </w:rPr>
            </w:pPr>
          </w:p>
          <w:p w14:paraId="23E70EF8">
            <w:pPr>
              <w:rPr>
                <w:rFonts w:hint="default" w:ascii="Times New Roman" w:hAnsi="Times New Roman" w:cs="Times New Roman"/>
                <w:color w:val="auto"/>
              </w:rPr>
            </w:pPr>
          </w:p>
          <w:p w14:paraId="5291A10D">
            <w:pPr>
              <w:pStyle w:val="26"/>
              <w:rPr>
                <w:rFonts w:hint="default" w:ascii="Times New Roman" w:hAnsi="Times New Roman" w:cs="Times New Roman"/>
                <w:color w:val="auto"/>
              </w:rPr>
            </w:pPr>
          </w:p>
          <w:p w14:paraId="5D8A4E4A">
            <w:pPr>
              <w:pStyle w:val="25"/>
              <w:rPr>
                <w:rFonts w:hint="default" w:ascii="Times New Roman" w:hAnsi="Times New Roman" w:cs="Times New Roman"/>
                <w:color w:val="auto"/>
              </w:rPr>
            </w:pPr>
          </w:p>
          <w:p w14:paraId="46E4473F">
            <w:pPr>
              <w:rPr>
                <w:rFonts w:hint="default" w:ascii="Times New Roman" w:hAnsi="Times New Roman" w:cs="Times New Roman"/>
                <w:color w:val="auto"/>
              </w:rPr>
            </w:pPr>
          </w:p>
          <w:p w14:paraId="5E6C25DB">
            <w:pPr>
              <w:pStyle w:val="26"/>
              <w:rPr>
                <w:rFonts w:hint="default" w:ascii="Times New Roman" w:hAnsi="Times New Roman" w:cs="Times New Roman"/>
                <w:color w:val="auto"/>
              </w:rPr>
            </w:pPr>
          </w:p>
          <w:p w14:paraId="56BB0B62">
            <w:pPr>
              <w:pStyle w:val="25"/>
              <w:rPr>
                <w:rFonts w:hint="default" w:ascii="Times New Roman" w:hAnsi="Times New Roman" w:cs="Times New Roman"/>
                <w:color w:val="auto"/>
              </w:rPr>
            </w:pPr>
          </w:p>
          <w:p w14:paraId="6600DC5F">
            <w:pPr>
              <w:rPr>
                <w:rFonts w:hint="default" w:ascii="Times New Roman" w:hAnsi="Times New Roman" w:cs="Times New Roman"/>
                <w:color w:val="auto"/>
              </w:rPr>
            </w:pPr>
          </w:p>
          <w:p w14:paraId="3107C569">
            <w:pPr>
              <w:pStyle w:val="25"/>
              <w:ind w:left="0" w:leftChars="0" w:firstLine="0" w:firstLineChars="0"/>
              <w:rPr>
                <w:rFonts w:hint="default" w:ascii="Times New Roman" w:hAnsi="Times New Roman" w:cs="Times New Roman"/>
                <w:color w:val="auto"/>
              </w:rPr>
            </w:pPr>
          </w:p>
        </w:tc>
      </w:tr>
    </w:tbl>
    <w:p w14:paraId="7DC7686C">
      <w:pPr>
        <w:rPr>
          <w:rFonts w:hint="default" w:ascii="Times New Roman" w:hAnsi="Times New Roman" w:cs="Times New Roman"/>
          <w:color w:val="auto"/>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14:paraId="65DDDB0F">
      <w:pPr>
        <w:bidi w:val="0"/>
        <w:jc w:val="center"/>
        <w:outlineLvl w:val="0"/>
        <w:rPr>
          <w:rFonts w:hint="default" w:ascii="Times New Roman" w:hAnsi="Times New Roman" w:cs="Times New Roman"/>
          <w:b/>
          <w:bCs/>
          <w:color w:val="auto"/>
          <w:sz w:val="44"/>
          <w:szCs w:val="52"/>
        </w:rPr>
      </w:pPr>
      <w:bookmarkStart w:id="144" w:name="_Toc24202"/>
      <w:bookmarkStart w:id="145" w:name="_Toc14924"/>
      <w:r>
        <w:rPr>
          <w:rFonts w:hint="default" w:ascii="Times New Roman" w:hAnsi="Times New Roman" w:cs="Times New Roman"/>
          <w:b/>
          <w:bCs/>
          <w:color w:val="auto"/>
          <w:sz w:val="44"/>
          <w:szCs w:val="52"/>
        </w:rPr>
        <w:t>建设项目污染物排放量汇总表</w:t>
      </w:r>
      <w:bookmarkEnd w:id="144"/>
      <w:bookmarkEnd w:id="145"/>
    </w:p>
    <w:tbl>
      <w:tblPr>
        <w:tblStyle w:val="27"/>
        <w:tblpPr w:leftFromText="180" w:rightFromText="180" w:vertAnchor="text" w:horzAnchor="page" w:tblpX="1085" w:tblpY="234"/>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510"/>
        <w:gridCol w:w="1813"/>
        <w:gridCol w:w="1360"/>
        <w:gridCol w:w="1813"/>
        <w:gridCol w:w="1662"/>
        <w:gridCol w:w="1877"/>
        <w:gridCol w:w="1625"/>
        <w:gridCol w:w="1343"/>
      </w:tblGrid>
      <w:tr w14:paraId="70ABB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93" w:type="dxa"/>
            <w:tcBorders>
              <w:tl2br w:val="single" w:color="auto" w:sz="4" w:space="0"/>
            </w:tcBorders>
            <w:noWrap w:val="0"/>
            <w:tcMar>
              <w:left w:w="28" w:type="dxa"/>
              <w:right w:w="28" w:type="dxa"/>
            </w:tcMar>
            <w:vAlign w:val="center"/>
          </w:tcPr>
          <w:p w14:paraId="09868639">
            <w:pPr>
              <w:pStyle w:val="41"/>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6D2CEFAC">
            <w:pPr>
              <w:pStyle w:val="41"/>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10" w:type="dxa"/>
            <w:noWrap w:val="0"/>
            <w:tcMar>
              <w:left w:w="28" w:type="dxa"/>
              <w:right w:w="28" w:type="dxa"/>
            </w:tcMar>
            <w:vAlign w:val="center"/>
          </w:tcPr>
          <w:p w14:paraId="45EBBCB9">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813" w:type="dxa"/>
            <w:noWrap w:val="0"/>
            <w:tcMar>
              <w:left w:w="28" w:type="dxa"/>
              <w:right w:w="28" w:type="dxa"/>
            </w:tcMar>
            <w:vAlign w:val="center"/>
          </w:tcPr>
          <w:p w14:paraId="60A90A3D">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1C55E044">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360" w:type="dxa"/>
            <w:noWrap w:val="0"/>
            <w:tcMar>
              <w:left w:w="28" w:type="dxa"/>
              <w:right w:w="28" w:type="dxa"/>
            </w:tcMar>
            <w:vAlign w:val="center"/>
          </w:tcPr>
          <w:p w14:paraId="7AC8581B">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51104F64">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01CC3D7A">
            <w:pPr>
              <w:pStyle w:val="41"/>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813" w:type="dxa"/>
            <w:noWrap w:val="0"/>
            <w:tcMar>
              <w:left w:w="28" w:type="dxa"/>
              <w:right w:w="28" w:type="dxa"/>
            </w:tcMar>
            <w:vAlign w:val="center"/>
          </w:tcPr>
          <w:p w14:paraId="2AB38DD3">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509B3543">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662" w:type="dxa"/>
            <w:noWrap w:val="0"/>
            <w:tcMar>
              <w:left w:w="28" w:type="dxa"/>
              <w:right w:w="28" w:type="dxa"/>
            </w:tcMar>
            <w:vAlign w:val="center"/>
          </w:tcPr>
          <w:p w14:paraId="17EDA9BC">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6DAFDDFC">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877" w:type="dxa"/>
            <w:noWrap w:val="0"/>
            <w:tcMar>
              <w:left w:w="28" w:type="dxa"/>
              <w:right w:w="28" w:type="dxa"/>
            </w:tcMar>
            <w:vAlign w:val="center"/>
          </w:tcPr>
          <w:p w14:paraId="74412F0A">
            <w:pPr>
              <w:pStyle w:val="4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678D6158">
            <w:pPr>
              <w:pStyle w:val="4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625" w:type="dxa"/>
            <w:noWrap w:val="0"/>
            <w:tcMar>
              <w:left w:w="28" w:type="dxa"/>
              <w:right w:w="28" w:type="dxa"/>
            </w:tcMar>
            <w:vAlign w:val="center"/>
          </w:tcPr>
          <w:p w14:paraId="2D58943F">
            <w:pPr>
              <w:pStyle w:val="4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3E21E9BD">
            <w:pPr>
              <w:pStyle w:val="4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343" w:type="dxa"/>
            <w:noWrap w:val="0"/>
            <w:tcMar>
              <w:left w:w="28" w:type="dxa"/>
              <w:right w:w="28" w:type="dxa"/>
            </w:tcMar>
            <w:vAlign w:val="center"/>
          </w:tcPr>
          <w:p w14:paraId="4EC6E118">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0D11AFF7">
            <w:pPr>
              <w:pStyle w:val="4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01070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restart"/>
            <w:noWrap w:val="0"/>
            <w:vAlign w:val="center"/>
          </w:tcPr>
          <w:p w14:paraId="353C14A4">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510" w:type="dxa"/>
            <w:noWrap w:val="0"/>
            <w:vAlign w:val="center"/>
          </w:tcPr>
          <w:p w14:paraId="1C53D1B2">
            <w:pPr>
              <w:pStyle w:val="41"/>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SO</w:t>
            </w:r>
            <w:r>
              <w:rPr>
                <w:rFonts w:hint="default" w:ascii="Times New Roman" w:hAnsi="Times New Roman" w:cs="Times New Roman"/>
                <w:snapToGrid w:val="0"/>
                <w:color w:val="auto"/>
                <w:kern w:val="21"/>
                <w:szCs w:val="21"/>
                <w:vertAlign w:val="subscript"/>
                <w:lang w:val="en-US" w:eastAsia="zh-CN"/>
              </w:rPr>
              <w:t>2</w:t>
            </w:r>
          </w:p>
        </w:tc>
        <w:tc>
          <w:tcPr>
            <w:tcW w:w="1813" w:type="dxa"/>
            <w:noWrap w:val="0"/>
            <w:vAlign w:val="center"/>
          </w:tcPr>
          <w:p w14:paraId="1E5E8CAA">
            <w:pPr>
              <w:pStyle w:val="4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360" w:type="dxa"/>
            <w:noWrap w:val="0"/>
            <w:vAlign w:val="center"/>
          </w:tcPr>
          <w:p w14:paraId="4448A5C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813" w:type="dxa"/>
            <w:noWrap w:val="0"/>
            <w:vAlign w:val="center"/>
          </w:tcPr>
          <w:p w14:paraId="1E7F3A1E">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662" w:type="dxa"/>
            <w:noWrap w:val="0"/>
            <w:vAlign w:val="center"/>
          </w:tcPr>
          <w:p w14:paraId="14DF2982">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877" w:type="dxa"/>
            <w:noWrap w:val="0"/>
            <w:vAlign w:val="center"/>
          </w:tcPr>
          <w:p w14:paraId="3C582F8F">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625" w:type="dxa"/>
            <w:noWrap w:val="0"/>
            <w:vAlign w:val="center"/>
          </w:tcPr>
          <w:p w14:paraId="513E637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343" w:type="dxa"/>
            <w:noWrap w:val="0"/>
            <w:vAlign w:val="center"/>
          </w:tcPr>
          <w:p w14:paraId="40C08A82">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r>
      <w:tr w14:paraId="2D1C7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continue"/>
            <w:noWrap w:val="0"/>
            <w:vAlign w:val="center"/>
          </w:tcPr>
          <w:p w14:paraId="017C936B">
            <w:pPr>
              <w:pStyle w:val="41"/>
              <w:spacing w:beforeLines="0" w:afterLines="0" w:line="240" w:lineRule="auto"/>
              <w:rPr>
                <w:rFonts w:hint="default" w:ascii="Times New Roman" w:hAnsi="Times New Roman" w:cs="Times New Roman"/>
                <w:snapToGrid w:val="0"/>
                <w:color w:val="auto"/>
                <w:kern w:val="21"/>
                <w:szCs w:val="21"/>
              </w:rPr>
            </w:pPr>
          </w:p>
        </w:tc>
        <w:tc>
          <w:tcPr>
            <w:tcW w:w="1510" w:type="dxa"/>
            <w:noWrap w:val="0"/>
            <w:vAlign w:val="center"/>
          </w:tcPr>
          <w:p w14:paraId="16450CF0">
            <w:pPr>
              <w:pStyle w:val="4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NOx</w:t>
            </w:r>
          </w:p>
        </w:tc>
        <w:tc>
          <w:tcPr>
            <w:tcW w:w="1813" w:type="dxa"/>
            <w:noWrap w:val="0"/>
            <w:vAlign w:val="center"/>
          </w:tcPr>
          <w:p w14:paraId="50EF9052">
            <w:pPr>
              <w:pStyle w:val="4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360" w:type="dxa"/>
            <w:noWrap w:val="0"/>
            <w:vAlign w:val="center"/>
          </w:tcPr>
          <w:p w14:paraId="0E3B3593">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813" w:type="dxa"/>
            <w:noWrap w:val="0"/>
            <w:vAlign w:val="center"/>
          </w:tcPr>
          <w:p w14:paraId="5670315B">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662" w:type="dxa"/>
            <w:noWrap w:val="0"/>
            <w:vAlign w:val="center"/>
          </w:tcPr>
          <w:p w14:paraId="76100B23">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877" w:type="dxa"/>
            <w:noWrap w:val="0"/>
            <w:vAlign w:val="center"/>
          </w:tcPr>
          <w:p w14:paraId="5B79D881">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625" w:type="dxa"/>
            <w:noWrap w:val="0"/>
            <w:vAlign w:val="center"/>
          </w:tcPr>
          <w:p w14:paraId="2C00C330">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343" w:type="dxa"/>
            <w:noWrap w:val="0"/>
            <w:vAlign w:val="center"/>
          </w:tcPr>
          <w:p w14:paraId="027011C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r>
      <w:tr w14:paraId="61120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continue"/>
            <w:noWrap w:val="0"/>
            <w:vAlign w:val="center"/>
          </w:tcPr>
          <w:p w14:paraId="4388508A">
            <w:pPr>
              <w:pStyle w:val="41"/>
              <w:spacing w:beforeLines="0" w:afterLines="0" w:line="240" w:lineRule="auto"/>
              <w:rPr>
                <w:rFonts w:hint="default" w:ascii="Times New Roman" w:hAnsi="Times New Roman" w:cs="Times New Roman"/>
                <w:snapToGrid w:val="0"/>
                <w:color w:val="auto"/>
                <w:kern w:val="21"/>
                <w:szCs w:val="21"/>
              </w:rPr>
            </w:pPr>
          </w:p>
        </w:tc>
        <w:tc>
          <w:tcPr>
            <w:tcW w:w="1510" w:type="dxa"/>
            <w:noWrap w:val="0"/>
            <w:vAlign w:val="center"/>
          </w:tcPr>
          <w:p w14:paraId="5C954054">
            <w:pPr>
              <w:pStyle w:val="4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813" w:type="dxa"/>
            <w:noWrap w:val="0"/>
            <w:vAlign w:val="center"/>
          </w:tcPr>
          <w:p w14:paraId="12576054">
            <w:pPr>
              <w:pStyle w:val="4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360" w:type="dxa"/>
            <w:noWrap w:val="0"/>
            <w:vAlign w:val="center"/>
          </w:tcPr>
          <w:p w14:paraId="361E196F">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813" w:type="dxa"/>
            <w:noWrap w:val="0"/>
            <w:vAlign w:val="center"/>
          </w:tcPr>
          <w:p w14:paraId="7D57F3D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662" w:type="dxa"/>
            <w:noWrap w:val="0"/>
            <w:vAlign w:val="center"/>
          </w:tcPr>
          <w:p w14:paraId="47611157">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877" w:type="dxa"/>
            <w:noWrap w:val="0"/>
            <w:vAlign w:val="center"/>
          </w:tcPr>
          <w:p w14:paraId="4EB7CB36">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625" w:type="dxa"/>
            <w:noWrap w:val="0"/>
            <w:vAlign w:val="center"/>
          </w:tcPr>
          <w:p w14:paraId="1927F27E">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343" w:type="dxa"/>
            <w:noWrap w:val="0"/>
            <w:vAlign w:val="center"/>
          </w:tcPr>
          <w:p w14:paraId="7DDA1749">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r>
      <w:tr w14:paraId="5C824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continue"/>
            <w:noWrap w:val="0"/>
            <w:vAlign w:val="center"/>
          </w:tcPr>
          <w:p w14:paraId="4004A10C">
            <w:pPr>
              <w:pStyle w:val="41"/>
              <w:spacing w:beforeLines="0" w:afterLines="0" w:line="240" w:lineRule="auto"/>
              <w:rPr>
                <w:rFonts w:hint="default" w:ascii="Times New Roman" w:cs="Times New Roman"/>
                <w:color w:val="auto"/>
                <w:sz w:val="21"/>
                <w:szCs w:val="22"/>
                <w:lang w:val="en-US" w:eastAsia="zh-CN"/>
              </w:rPr>
            </w:pPr>
          </w:p>
        </w:tc>
        <w:tc>
          <w:tcPr>
            <w:tcW w:w="1510" w:type="dxa"/>
            <w:noWrap w:val="0"/>
            <w:vAlign w:val="center"/>
          </w:tcPr>
          <w:p w14:paraId="19F3247C">
            <w:pPr>
              <w:pStyle w:val="41"/>
              <w:spacing w:beforeLines="0" w:afterLines="0" w:line="240" w:lineRule="auto"/>
              <w:rPr>
                <w:rFonts w:hint="default" w:ascii="Times New Roman" w:cs="Times New Roman"/>
                <w:color w:val="auto"/>
                <w:sz w:val="21"/>
                <w:szCs w:val="22"/>
                <w:lang w:val="en-US" w:eastAsia="zh-CN"/>
              </w:rPr>
            </w:pPr>
            <w:r>
              <w:rPr>
                <w:rFonts w:hint="default" w:ascii="Times New Roman" w:cs="Times New Roman"/>
                <w:color w:val="auto"/>
                <w:sz w:val="21"/>
                <w:szCs w:val="22"/>
                <w:lang w:val="en-US" w:eastAsia="zh-CN"/>
              </w:rPr>
              <w:t>非甲烷总烃</w:t>
            </w:r>
          </w:p>
        </w:tc>
        <w:tc>
          <w:tcPr>
            <w:tcW w:w="1813" w:type="dxa"/>
            <w:noWrap w:val="0"/>
            <w:vAlign w:val="center"/>
          </w:tcPr>
          <w:p w14:paraId="06C6D4DC">
            <w:pPr>
              <w:pStyle w:val="41"/>
              <w:spacing w:beforeLines="0" w:afterLines="0" w:line="240" w:lineRule="auto"/>
              <w:rPr>
                <w:rFonts w:hint="default" w:ascii="Times New Roman" w:cs="Times New Roman"/>
                <w:color w:val="auto"/>
                <w:sz w:val="21"/>
                <w:szCs w:val="22"/>
                <w:lang w:val="en-US" w:eastAsia="zh-CN"/>
              </w:rPr>
            </w:pPr>
            <w:r>
              <w:rPr>
                <w:rFonts w:hint="eastAsia" w:ascii="Times New Roman" w:cs="Times New Roman"/>
                <w:color w:val="auto"/>
                <w:sz w:val="21"/>
                <w:szCs w:val="22"/>
                <w:lang w:val="en-US" w:eastAsia="zh-CN"/>
              </w:rPr>
              <w:t>0.3962</w:t>
            </w:r>
            <w:r>
              <w:rPr>
                <w:rFonts w:hint="default" w:ascii="Times New Roman" w:cs="Times New Roman"/>
                <w:color w:val="auto"/>
                <w:sz w:val="21"/>
                <w:szCs w:val="22"/>
                <w:lang w:val="en-US" w:eastAsia="zh-CN"/>
              </w:rPr>
              <w:t>t/a</w:t>
            </w:r>
          </w:p>
        </w:tc>
        <w:tc>
          <w:tcPr>
            <w:tcW w:w="1360" w:type="dxa"/>
            <w:noWrap w:val="0"/>
            <w:vAlign w:val="center"/>
          </w:tcPr>
          <w:p w14:paraId="7B99250F">
            <w:pPr>
              <w:pStyle w:val="41"/>
              <w:spacing w:beforeLines="0" w:afterLines="0" w:line="240" w:lineRule="auto"/>
              <w:rPr>
                <w:rFonts w:hint="default" w:ascii="Times New Roman" w:cs="Times New Roman"/>
                <w:color w:val="auto"/>
                <w:sz w:val="21"/>
                <w:szCs w:val="22"/>
                <w:lang w:val="en-US" w:eastAsia="zh-CN"/>
              </w:rPr>
            </w:pPr>
            <w:r>
              <w:rPr>
                <w:rFonts w:hint="default" w:ascii="Times New Roman" w:cs="Times New Roman"/>
                <w:color w:val="auto"/>
                <w:sz w:val="21"/>
                <w:szCs w:val="22"/>
                <w:lang w:val="en-US" w:eastAsia="zh-CN"/>
              </w:rPr>
              <w:t>0</w:t>
            </w:r>
          </w:p>
        </w:tc>
        <w:tc>
          <w:tcPr>
            <w:tcW w:w="1813" w:type="dxa"/>
            <w:noWrap w:val="0"/>
            <w:vAlign w:val="center"/>
          </w:tcPr>
          <w:p w14:paraId="3D0FBEBD">
            <w:pPr>
              <w:pStyle w:val="41"/>
              <w:spacing w:beforeLines="0" w:afterLines="0" w:line="240" w:lineRule="auto"/>
              <w:rPr>
                <w:rFonts w:hint="default" w:ascii="Times New Roman" w:cs="Times New Roman"/>
                <w:color w:val="auto"/>
                <w:sz w:val="21"/>
                <w:szCs w:val="22"/>
                <w:lang w:val="en-US" w:eastAsia="zh-CN"/>
              </w:rPr>
            </w:pPr>
            <w:r>
              <w:rPr>
                <w:rFonts w:hint="default" w:ascii="Times New Roman" w:cs="Times New Roman"/>
                <w:color w:val="auto"/>
                <w:sz w:val="21"/>
                <w:szCs w:val="22"/>
                <w:lang w:val="en-US" w:eastAsia="zh-CN"/>
              </w:rPr>
              <w:t>0</w:t>
            </w:r>
          </w:p>
        </w:tc>
        <w:tc>
          <w:tcPr>
            <w:tcW w:w="1662" w:type="dxa"/>
            <w:noWrap w:val="0"/>
            <w:vAlign w:val="center"/>
          </w:tcPr>
          <w:p w14:paraId="51FB0E7C">
            <w:pPr>
              <w:pStyle w:val="41"/>
              <w:spacing w:beforeLines="0" w:afterLines="0" w:line="240" w:lineRule="auto"/>
              <w:rPr>
                <w:rFonts w:hint="default" w:ascii="Times New Roman" w:cs="Times New Roman"/>
                <w:color w:val="auto"/>
                <w:sz w:val="21"/>
                <w:szCs w:val="22"/>
                <w:lang w:val="en-US" w:eastAsia="zh-CN"/>
              </w:rPr>
            </w:pPr>
            <w:r>
              <w:rPr>
                <w:rFonts w:hint="eastAsia" w:ascii="Times New Roman" w:cs="Times New Roman"/>
                <w:color w:val="auto"/>
                <w:sz w:val="21"/>
                <w:szCs w:val="22"/>
                <w:lang w:val="en-US" w:eastAsia="zh-CN"/>
              </w:rPr>
              <w:t>0.544612</w:t>
            </w:r>
            <w:r>
              <w:rPr>
                <w:rFonts w:hint="default" w:ascii="Times New Roman" w:cs="Times New Roman"/>
                <w:color w:val="auto"/>
                <w:sz w:val="21"/>
                <w:szCs w:val="22"/>
                <w:lang w:val="en-US" w:eastAsia="zh-CN"/>
              </w:rPr>
              <w:t>t/a</w:t>
            </w:r>
          </w:p>
        </w:tc>
        <w:tc>
          <w:tcPr>
            <w:tcW w:w="1877" w:type="dxa"/>
            <w:noWrap w:val="0"/>
            <w:vAlign w:val="center"/>
          </w:tcPr>
          <w:p w14:paraId="36CA356E">
            <w:pPr>
              <w:pStyle w:val="41"/>
              <w:spacing w:beforeLines="0" w:afterLines="0" w:line="240" w:lineRule="auto"/>
              <w:rPr>
                <w:rFonts w:hint="default" w:ascii="Times New Roman" w:cs="Times New Roman"/>
                <w:color w:val="auto"/>
                <w:sz w:val="21"/>
                <w:szCs w:val="22"/>
                <w:lang w:val="en-US" w:eastAsia="zh-CN"/>
              </w:rPr>
            </w:pPr>
            <w:r>
              <w:rPr>
                <w:rFonts w:hint="eastAsia" w:ascii="Times New Roman" w:cs="Times New Roman"/>
                <w:color w:val="auto"/>
                <w:sz w:val="21"/>
                <w:szCs w:val="22"/>
                <w:lang w:val="en-US" w:eastAsia="zh-CN"/>
              </w:rPr>
              <w:t>0.3962</w:t>
            </w:r>
            <w:r>
              <w:rPr>
                <w:rFonts w:hint="default" w:ascii="Times New Roman" w:cs="Times New Roman"/>
                <w:color w:val="auto"/>
                <w:sz w:val="21"/>
                <w:szCs w:val="22"/>
                <w:lang w:val="en-US" w:eastAsia="zh-CN"/>
              </w:rPr>
              <w:t>t/a</w:t>
            </w:r>
          </w:p>
        </w:tc>
        <w:tc>
          <w:tcPr>
            <w:tcW w:w="1625" w:type="dxa"/>
            <w:noWrap w:val="0"/>
            <w:vAlign w:val="center"/>
          </w:tcPr>
          <w:p w14:paraId="563DD1BC">
            <w:pPr>
              <w:pStyle w:val="41"/>
              <w:spacing w:beforeLines="0" w:afterLines="0" w:line="240" w:lineRule="auto"/>
              <w:rPr>
                <w:rFonts w:hint="default" w:ascii="Times New Roman" w:cs="Times New Roman"/>
                <w:color w:val="auto"/>
                <w:sz w:val="21"/>
                <w:szCs w:val="22"/>
                <w:lang w:val="en-US" w:eastAsia="zh-CN"/>
              </w:rPr>
            </w:pPr>
            <w:r>
              <w:rPr>
                <w:rFonts w:hint="eastAsia" w:ascii="Times New Roman" w:cs="Times New Roman"/>
                <w:color w:val="auto"/>
                <w:sz w:val="21"/>
                <w:szCs w:val="22"/>
                <w:lang w:val="en-US" w:eastAsia="zh-CN"/>
              </w:rPr>
              <w:t>0.544612</w:t>
            </w:r>
            <w:r>
              <w:rPr>
                <w:rFonts w:hint="default" w:ascii="Times New Roman" w:cs="Times New Roman"/>
                <w:color w:val="auto"/>
                <w:sz w:val="21"/>
                <w:szCs w:val="22"/>
                <w:lang w:val="en-US" w:eastAsia="zh-CN"/>
              </w:rPr>
              <w:t>t/a</w:t>
            </w:r>
          </w:p>
        </w:tc>
        <w:tc>
          <w:tcPr>
            <w:tcW w:w="1343" w:type="dxa"/>
            <w:shd w:val="clear" w:color="auto" w:fill="auto"/>
            <w:noWrap w:val="0"/>
            <w:vAlign w:val="center"/>
          </w:tcPr>
          <w:p w14:paraId="30026A19">
            <w:pPr>
              <w:pStyle w:val="41"/>
              <w:spacing w:beforeLines="0" w:afterLines="0" w:line="240" w:lineRule="auto"/>
              <w:rPr>
                <w:rFonts w:hint="default" w:ascii="Times New Roman" w:cs="Times New Roman"/>
                <w:color w:val="auto"/>
                <w:sz w:val="21"/>
                <w:szCs w:val="22"/>
                <w:lang w:val="en-US" w:eastAsia="zh-CN"/>
              </w:rPr>
            </w:pPr>
            <w:r>
              <w:rPr>
                <w:rFonts w:hint="default" w:ascii="Times New Roman" w:hAnsi="Times New Roman" w:cs="Times New Roman"/>
                <w:color w:val="auto"/>
                <w:sz w:val="21"/>
                <w:szCs w:val="21"/>
                <w:lang w:val="en-US" w:eastAsia="zh-CN"/>
              </w:rPr>
              <w:t>+</w:t>
            </w:r>
            <w:r>
              <w:rPr>
                <w:rFonts w:hint="eastAsia" w:ascii="Times New Roman" w:cs="Times New Roman"/>
                <w:color w:val="auto"/>
                <w:sz w:val="21"/>
                <w:szCs w:val="22"/>
                <w:lang w:val="en-US" w:eastAsia="zh-CN"/>
              </w:rPr>
              <w:t>0.148412</w:t>
            </w:r>
            <w:r>
              <w:rPr>
                <w:rFonts w:hint="default" w:ascii="Times New Roman" w:cs="Times New Roman"/>
                <w:color w:val="auto"/>
                <w:sz w:val="21"/>
                <w:szCs w:val="22"/>
                <w:lang w:val="en-US" w:eastAsia="zh-CN"/>
              </w:rPr>
              <w:t>t/a</w:t>
            </w:r>
          </w:p>
        </w:tc>
      </w:tr>
      <w:tr w14:paraId="19BF8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noWrap w:val="0"/>
            <w:vAlign w:val="center"/>
          </w:tcPr>
          <w:p w14:paraId="3D9A4D8F">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510" w:type="dxa"/>
            <w:noWrap w:val="0"/>
            <w:vAlign w:val="center"/>
          </w:tcPr>
          <w:p w14:paraId="2BB10912">
            <w:pPr>
              <w:pStyle w:val="4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64A43E39">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360" w:type="dxa"/>
            <w:noWrap w:val="0"/>
            <w:vAlign w:val="center"/>
          </w:tcPr>
          <w:p w14:paraId="79FD84D2">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600985BE">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662" w:type="dxa"/>
            <w:noWrap w:val="0"/>
            <w:vAlign w:val="center"/>
          </w:tcPr>
          <w:p w14:paraId="07AA89E0">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877" w:type="dxa"/>
            <w:noWrap w:val="0"/>
            <w:vAlign w:val="center"/>
          </w:tcPr>
          <w:p w14:paraId="3FD508D1">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625" w:type="dxa"/>
            <w:noWrap w:val="0"/>
            <w:vAlign w:val="center"/>
          </w:tcPr>
          <w:p w14:paraId="05B8F750">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343" w:type="dxa"/>
            <w:noWrap w:val="0"/>
            <w:vAlign w:val="center"/>
          </w:tcPr>
          <w:p w14:paraId="49BF1F38">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r>
      <w:tr w14:paraId="09F4E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93" w:type="dxa"/>
            <w:vMerge w:val="restart"/>
            <w:noWrap w:val="0"/>
            <w:vAlign w:val="center"/>
          </w:tcPr>
          <w:p w14:paraId="23E2C6AC">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415642D3">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510" w:type="dxa"/>
            <w:noWrap w:val="0"/>
            <w:vAlign w:val="center"/>
          </w:tcPr>
          <w:p w14:paraId="4015A2D5">
            <w:pPr>
              <w:suppressLineNumbers/>
              <w:jc w:val="center"/>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color w:val="auto"/>
                <w:sz w:val="21"/>
                <w:szCs w:val="21"/>
                <w:lang w:val="en-US" w:eastAsia="zh-CN"/>
              </w:rPr>
              <w:t>污泥</w:t>
            </w:r>
          </w:p>
        </w:tc>
        <w:tc>
          <w:tcPr>
            <w:tcW w:w="1813" w:type="dxa"/>
            <w:noWrap w:val="0"/>
            <w:vAlign w:val="center"/>
          </w:tcPr>
          <w:p w14:paraId="74BAE88D">
            <w:pPr>
              <w:pStyle w:val="41"/>
              <w:spacing w:beforeLines="0" w:afterLines="0" w:line="240" w:lineRule="auto"/>
              <w:rPr>
                <w:rFonts w:hint="default" w:ascii="Times New Roman" w:hAnsi="Times New Roman" w:cs="Times New Roman"/>
                <w:snapToGrid w:val="0"/>
                <w:color w:val="auto"/>
                <w:kern w:val="21"/>
                <w:szCs w:val="21"/>
                <w:lang w:val="en-US"/>
              </w:rPr>
            </w:pPr>
            <w:r>
              <w:rPr>
                <w:rFonts w:hint="eastAsia" w:ascii="Times New Roman" w:cs="Times New Roman"/>
                <w:snapToGrid w:val="0"/>
                <w:color w:val="auto"/>
                <w:kern w:val="21"/>
                <w:szCs w:val="21"/>
                <w:lang w:val="en-US" w:eastAsia="zh-CN"/>
              </w:rPr>
              <w:t>0.01</w:t>
            </w:r>
            <w:r>
              <w:rPr>
                <w:rFonts w:hint="default" w:ascii="Times New Roman" w:hAnsi="Times New Roman" w:cs="Times New Roman"/>
                <w:color w:val="auto"/>
                <w:sz w:val="21"/>
                <w:szCs w:val="21"/>
              </w:rPr>
              <w:t>t/a</w:t>
            </w:r>
          </w:p>
        </w:tc>
        <w:tc>
          <w:tcPr>
            <w:tcW w:w="1360" w:type="dxa"/>
            <w:noWrap w:val="0"/>
            <w:vAlign w:val="center"/>
          </w:tcPr>
          <w:p w14:paraId="5AB8B6C9">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76B5DA60">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662" w:type="dxa"/>
            <w:noWrap w:val="0"/>
            <w:vAlign w:val="center"/>
          </w:tcPr>
          <w:p w14:paraId="0B8B762C">
            <w:pPr>
              <w:suppressLineNumbers/>
              <w:jc w:val="center"/>
              <w:rPr>
                <w:rFonts w:hint="default" w:ascii="Times New Roman" w:hAnsi="Times New Roman" w:cs="Times New Roman"/>
                <w:snapToGrid w:val="0"/>
                <w:color w:val="auto"/>
                <w:kern w:val="21"/>
                <w:szCs w:val="21"/>
              </w:rPr>
            </w:pPr>
            <w:r>
              <w:rPr>
                <w:rFonts w:hint="eastAsia" w:cs="Times New Roman"/>
                <w:color w:val="auto"/>
                <w:sz w:val="21"/>
                <w:szCs w:val="21"/>
                <w:lang w:val="en-US" w:eastAsia="zh-CN"/>
              </w:rPr>
              <w:t>0.0268</w:t>
            </w:r>
            <w:r>
              <w:rPr>
                <w:rFonts w:hint="default" w:ascii="Times New Roman" w:hAnsi="Times New Roman" w:cs="Times New Roman"/>
                <w:color w:val="auto"/>
                <w:sz w:val="21"/>
                <w:szCs w:val="21"/>
              </w:rPr>
              <w:t>t/a</w:t>
            </w:r>
          </w:p>
        </w:tc>
        <w:tc>
          <w:tcPr>
            <w:tcW w:w="1877" w:type="dxa"/>
            <w:noWrap w:val="0"/>
            <w:vAlign w:val="center"/>
          </w:tcPr>
          <w:p w14:paraId="5E453BA4">
            <w:pPr>
              <w:pStyle w:val="41"/>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0.01</w:t>
            </w:r>
            <w:r>
              <w:rPr>
                <w:rFonts w:hint="default" w:ascii="Times New Roman" w:hAnsi="Times New Roman" w:cs="Times New Roman"/>
                <w:color w:val="auto"/>
                <w:sz w:val="21"/>
                <w:szCs w:val="21"/>
              </w:rPr>
              <w:t>t/a</w:t>
            </w:r>
          </w:p>
        </w:tc>
        <w:tc>
          <w:tcPr>
            <w:tcW w:w="1625" w:type="dxa"/>
            <w:noWrap w:val="0"/>
            <w:vAlign w:val="center"/>
          </w:tcPr>
          <w:p w14:paraId="7D022B43">
            <w:pPr>
              <w:suppressLineNumbers/>
              <w:jc w:val="center"/>
              <w:rPr>
                <w:rFonts w:hint="default" w:ascii="Times New Roman" w:hAnsi="Times New Roman" w:cs="Times New Roman"/>
                <w:snapToGrid w:val="0"/>
                <w:color w:val="auto"/>
                <w:kern w:val="21"/>
                <w:szCs w:val="21"/>
              </w:rPr>
            </w:pPr>
            <w:r>
              <w:rPr>
                <w:rFonts w:hint="eastAsia" w:cs="Times New Roman"/>
                <w:color w:val="auto"/>
                <w:sz w:val="21"/>
                <w:szCs w:val="21"/>
                <w:lang w:val="en-US" w:eastAsia="zh-CN"/>
              </w:rPr>
              <w:t>0.0268</w:t>
            </w:r>
            <w:r>
              <w:rPr>
                <w:rFonts w:hint="default" w:ascii="Times New Roman" w:hAnsi="Times New Roman" w:cs="Times New Roman"/>
                <w:color w:val="auto"/>
                <w:sz w:val="21"/>
                <w:szCs w:val="21"/>
              </w:rPr>
              <w:t>t/a</w:t>
            </w:r>
          </w:p>
        </w:tc>
        <w:tc>
          <w:tcPr>
            <w:tcW w:w="1343" w:type="dxa"/>
            <w:noWrap w:val="0"/>
            <w:vAlign w:val="center"/>
          </w:tcPr>
          <w:p w14:paraId="4EC758F0">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0.0168</w:t>
            </w:r>
            <w:r>
              <w:rPr>
                <w:rFonts w:hint="default" w:ascii="Times New Roman" w:hAnsi="Times New Roman" w:cs="Times New Roman"/>
                <w:color w:val="auto"/>
                <w:sz w:val="21"/>
                <w:szCs w:val="21"/>
              </w:rPr>
              <w:t>t/a</w:t>
            </w:r>
          </w:p>
        </w:tc>
      </w:tr>
      <w:tr w14:paraId="6EEB0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continue"/>
            <w:noWrap w:val="0"/>
            <w:vAlign w:val="center"/>
          </w:tcPr>
          <w:p w14:paraId="236745A5">
            <w:pPr>
              <w:pStyle w:val="41"/>
              <w:spacing w:beforeLines="0" w:afterLines="0" w:line="240" w:lineRule="auto"/>
              <w:rPr>
                <w:rFonts w:hint="default" w:ascii="Times New Roman" w:hAnsi="Times New Roman" w:cs="Times New Roman"/>
                <w:snapToGrid w:val="0"/>
                <w:color w:val="auto"/>
                <w:kern w:val="21"/>
                <w:szCs w:val="21"/>
              </w:rPr>
            </w:pPr>
          </w:p>
        </w:tc>
        <w:tc>
          <w:tcPr>
            <w:tcW w:w="1510" w:type="dxa"/>
            <w:noWrap w:val="0"/>
            <w:vAlign w:val="center"/>
          </w:tcPr>
          <w:p w14:paraId="46145EF3">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rPr>
              <w:t>隔油池废油</w:t>
            </w:r>
          </w:p>
        </w:tc>
        <w:tc>
          <w:tcPr>
            <w:tcW w:w="1813" w:type="dxa"/>
            <w:noWrap w:val="0"/>
            <w:vAlign w:val="center"/>
          </w:tcPr>
          <w:p w14:paraId="6B6A4A45">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r>
              <w:rPr>
                <w:rFonts w:hint="default" w:ascii="Times New Roman" w:hAnsi="Times New Roman" w:cs="Times New Roman"/>
                <w:color w:val="auto"/>
                <w:sz w:val="21"/>
                <w:szCs w:val="21"/>
              </w:rPr>
              <w:t>t/a</w:t>
            </w:r>
          </w:p>
        </w:tc>
        <w:tc>
          <w:tcPr>
            <w:tcW w:w="1360" w:type="dxa"/>
            <w:noWrap w:val="0"/>
            <w:vAlign w:val="center"/>
          </w:tcPr>
          <w:p w14:paraId="6AE570D4">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013FBDF8">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662" w:type="dxa"/>
            <w:noWrap w:val="0"/>
            <w:vAlign w:val="center"/>
          </w:tcPr>
          <w:p w14:paraId="69F397C5">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rPr>
              <w:t>0.005t/a</w:t>
            </w:r>
          </w:p>
        </w:tc>
        <w:tc>
          <w:tcPr>
            <w:tcW w:w="1877" w:type="dxa"/>
            <w:noWrap w:val="0"/>
            <w:vAlign w:val="center"/>
          </w:tcPr>
          <w:p w14:paraId="429D48D9">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r>
              <w:rPr>
                <w:rFonts w:hint="default" w:ascii="Times New Roman" w:hAnsi="Times New Roman" w:cs="Times New Roman"/>
                <w:color w:val="auto"/>
                <w:sz w:val="21"/>
                <w:szCs w:val="21"/>
              </w:rPr>
              <w:t>t/a</w:t>
            </w:r>
          </w:p>
        </w:tc>
        <w:tc>
          <w:tcPr>
            <w:tcW w:w="1625" w:type="dxa"/>
            <w:noWrap w:val="0"/>
            <w:vAlign w:val="center"/>
          </w:tcPr>
          <w:p w14:paraId="215B3498">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rPr>
              <w:t>0.005t/a</w:t>
            </w:r>
          </w:p>
        </w:tc>
        <w:tc>
          <w:tcPr>
            <w:tcW w:w="1343" w:type="dxa"/>
            <w:noWrap w:val="0"/>
            <w:vAlign w:val="center"/>
          </w:tcPr>
          <w:p w14:paraId="2E9A9590">
            <w:pPr>
              <w:suppressLineNumbers/>
              <w:jc w:val="center"/>
              <w:rPr>
                <w:rFonts w:hint="default" w:ascii="Times New Roman" w:hAnsi="Times New Roman" w:cs="Times New Roman"/>
                <w:snapToGrid w:val="0"/>
                <w:color w:val="auto"/>
                <w:kern w:val="21"/>
                <w:szCs w:val="21"/>
              </w:rPr>
            </w:pPr>
            <w:r>
              <w:rPr>
                <w:rFonts w:hint="eastAsia" w:cs="Times New Roman"/>
                <w:color w:val="auto"/>
                <w:sz w:val="21"/>
                <w:szCs w:val="21"/>
                <w:lang w:val="en-US" w:eastAsia="zh-CN"/>
              </w:rPr>
              <w:t>+0.005</w:t>
            </w:r>
            <w:r>
              <w:rPr>
                <w:rFonts w:hint="default" w:ascii="Times New Roman" w:hAnsi="Times New Roman" w:cs="Times New Roman"/>
                <w:color w:val="auto"/>
                <w:sz w:val="21"/>
                <w:szCs w:val="21"/>
              </w:rPr>
              <w:t>t/a</w:t>
            </w:r>
          </w:p>
        </w:tc>
      </w:tr>
      <w:tr w14:paraId="6F9150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restart"/>
            <w:noWrap w:val="0"/>
            <w:vAlign w:val="center"/>
          </w:tcPr>
          <w:p w14:paraId="08665C71">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510" w:type="dxa"/>
            <w:noWrap w:val="0"/>
            <w:vAlign w:val="center"/>
          </w:tcPr>
          <w:p w14:paraId="2A1D0D8C">
            <w:pPr>
              <w:suppressLineNumbers/>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color w:val="auto"/>
                <w:sz w:val="21"/>
                <w:szCs w:val="21"/>
                <w:lang w:val="en-US" w:eastAsia="zh-CN"/>
              </w:rPr>
              <w:t>三级</w:t>
            </w:r>
            <w:r>
              <w:rPr>
                <w:rFonts w:hint="default" w:ascii="Times New Roman" w:hAnsi="Times New Roman" w:cs="Times New Roman"/>
                <w:color w:val="auto"/>
                <w:sz w:val="21"/>
                <w:szCs w:val="21"/>
              </w:rPr>
              <w:t>油水分离池废油</w:t>
            </w:r>
          </w:p>
        </w:tc>
        <w:tc>
          <w:tcPr>
            <w:tcW w:w="1813" w:type="dxa"/>
            <w:noWrap w:val="0"/>
            <w:vAlign w:val="center"/>
          </w:tcPr>
          <w:p w14:paraId="39E31454">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0.003</w:t>
            </w:r>
            <w:r>
              <w:rPr>
                <w:rFonts w:hint="default" w:ascii="Times New Roman" w:hAnsi="Times New Roman" w:cs="Times New Roman"/>
                <w:color w:val="auto"/>
                <w:sz w:val="21"/>
                <w:szCs w:val="21"/>
              </w:rPr>
              <w:t>t/a</w:t>
            </w:r>
          </w:p>
        </w:tc>
        <w:tc>
          <w:tcPr>
            <w:tcW w:w="1360" w:type="dxa"/>
            <w:noWrap w:val="0"/>
            <w:vAlign w:val="center"/>
          </w:tcPr>
          <w:p w14:paraId="7DA3B975">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4D5222EA">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p>
        </w:tc>
        <w:tc>
          <w:tcPr>
            <w:tcW w:w="1662" w:type="dxa"/>
            <w:noWrap w:val="0"/>
            <w:vAlign w:val="center"/>
          </w:tcPr>
          <w:p w14:paraId="46EED64E">
            <w:pPr>
              <w:suppressLineNumbers/>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color w:val="auto"/>
                <w:sz w:val="21"/>
                <w:szCs w:val="21"/>
              </w:rPr>
              <w:t>0.005t/a</w:t>
            </w:r>
          </w:p>
        </w:tc>
        <w:tc>
          <w:tcPr>
            <w:tcW w:w="1877" w:type="dxa"/>
            <w:noWrap w:val="0"/>
            <w:vAlign w:val="center"/>
          </w:tcPr>
          <w:p w14:paraId="6AE304A6">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0.003</w:t>
            </w:r>
            <w:r>
              <w:rPr>
                <w:rFonts w:hint="default" w:ascii="Times New Roman" w:hAnsi="Times New Roman" w:cs="Times New Roman"/>
                <w:color w:val="auto"/>
                <w:sz w:val="21"/>
                <w:szCs w:val="21"/>
              </w:rPr>
              <w:t>t/a</w:t>
            </w:r>
          </w:p>
        </w:tc>
        <w:tc>
          <w:tcPr>
            <w:tcW w:w="1625" w:type="dxa"/>
            <w:noWrap w:val="0"/>
            <w:vAlign w:val="center"/>
          </w:tcPr>
          <w:p w14:paraId="5A9FFB7E">
            <w:pPr>
              <w:suppressLineNumbers/>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color w:val="auto"/>
                <w:sz w:val="21"/>
                <w:szCs w:val="21"/>
              </w:rPr>
              <w:t>0.005t/a</w:t>
            </w:r>
          </w:p>
        </w:tc>
        <w:tc>
          <w:tcPr>
            <w:tcW w:w="1343" w:type="dxa"/>
            <w:noWrap w:val="0"/>
            <w:vAlign w:val="center"/>
          </w:tcPr>
          <w:p w14:paraId="0F84563C">
            <w:pPr>
              <w:suppressLineNumbers/>
              <w:jc w:val="center"/>
              <w:rPr>
                <w:rFonts w:hint="default" w:ascii="Times New Roman" w:hAnsi="Times New Roman" w:cs="Times New Roman"/>
                <w:snapToGrid w:val="0"/>
                <w:color w:val="auto"/>
                <w:kern w:val="21"/>
                <w:szCs w:val="21"/>
                <w:lang w:val="en-US" w:eastAsia="zh-CN"/>
              </w:rPr>
            </w:pPr>
            <w:r>
              <w:rPr>
                <w:rFonts w:hint="eastAsia" w:cs="Times New Roman"/>
                <w:color w:val="auto"/>
                <w:sz w:val="21"/>
                <w:szCs w:val="21"/>
                <w:lang w:val="en-US" w:eastAsia="zh-CN"/>
              </w:rPr>
              <w:t>+0.002</w:t>
            </w:r>
            <w:r>
              <w:rPr>
                <w:rFonts w:hint="default" w:ascii="Times New Roman" w:hAnsi="Times New Roman" w:cs="Times New Roman"/>
                <w:color w:val="auto"/>
                <w:sz w:val="21"/>
                <w:szCs w:val="21"/>
              </w:rPr>
              <w:t>t/a</w:t>
            </w:r>
          </w:p>
        </w:tc>
      </w:tr>
      <w:tr w14:paraId="05FAA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continue"/>
            <w:noWrap w:val="0"/>
            <w:vAlign w:val="center"/>
          </w:tcPr>
          <w:p w14:paraId="4E1E8124">
            <w:pPr>
              <w:pStyle w:val="41"/>
              <w:spacing w:beforeLines="0" w:afterLines="0" w:line="240" w:lineRule="auto"/>
              <w:rPr>
                <w:rFonts w:hint="default" w:ascii="Times New Roman" w:hAnsi="Times New Roman" w:cs="Times New Roman"/>
                <w:snapToGrid w:val="0"/>
                <w:color w:val="auto"/>
                <w:kern w:val="21"/>
                <w:szCs w:val="21"/>
              </w:rPr>
            </w:pPr>
          </w:p>
        </w:tc>
        <w:tc>
          <w:tcPr>
            <w:tcW w:w="1510" w:type="dxa"/>
            <w:noWrap w:val="0"/>
            <w:vAlign w:val="center"/>
          </w:tcPr>
          <w:p w14:paraId="622F3FE9">
            <w:pPr>
              <w:suppressLineNumbers/>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color w:val="auto"/>
                <w:sz w:val="21"/>
                <w:szCs w:val="21"/>
              </w:rPr>
              <w:t>废消防沙</w:t>
            </w:r>
          </w:p>
        </w:tc>
        <w:tc>
          <w:tcPr>
            <w:tcW w:w="1813" w:type="dxa"/>
            <w:noWrap w:val="0"/>
            <w:vAlign w:val="center"/>
          </w:tcPr>
          <w:p w14:paraId="7802BBD5">
            <w:pPr>
              <w:pStyle w:val="41"/>
              <w:spacing w:beforeLines="0" w:afterLines="0" w:line="240" w:lineRule="auto"/>
              <w:rPr>
                <w:rFonts w:hint="default" w:ascii="Times New Roman" w:hAnsi="Times New Roman" w:cs="Times New Roman"/>
                <w:snapToGrid w:val="0"/>
                <w:color w:val="auto"/>
                <w:kern w:val="21"/>
                <w:szCs w:val="21"/>
                <w:lang w:val="en-US"/>
              </w:rPr>
            </w:pPr>
            <w:r>
              <w:rPr>
                <w:rFonts w:hint="eastAsia" w:ascii="Times New Roman" w:cs="Times New Roman"/>
                <w:snapToGrid w:val="0"/>
                <w:color w:val="auto"/>
                <w:kern w:val="21"/>
                <w:szCs w:val="21"/>
                <w:lang w:val="en-US" w:eastAsia="zh-CN"/>
              </w:rPr>
              <w:t>0.1</w:t>
            </w:r>
            <w:r>
              <w:rPr>
                <w:rFonts w:hint="default" w:ascii="Times New Roman" w:hAnsi="Times New Roman" w:cs="Times New Roman"/>
                <w:color w:val="auto"/>
                <w:sz w:val="21"/>
                <w:szCs w:val="21"/>
              </w:rPr>
              <w:t>t/a</w:t>
            </w:r>
          </w:p>
        </w:tc>
        <w:tc>
          <w:tcPr>
            <w:tcW w:w="1360" w:type="dxa"/>
            <w:noWrap w:val="0"/>
            <w:vAlign w:val="center"/>
          </w:tcPr>
          <w:p w14:paraId="57E04A4E">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360A3EDD">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662" w:type="dxa"/>
            <w:noWrap w:val="0"/>
            <w:vAlign w:val="center"/>
          </w:tcPr>
          <w:p w14:paraId="216B3303">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rPr>
              <w:t>0.3t/a</w:t>
            </w:r>
          </w:p>
        </w:tc>
        <w:tc>
          <w:tcPr>
            <w:tcW w:w="1877" w:type="dxa"/>
            <w:noWrap w:val="0"/>
            <w:vAlign w:val="center"/>
          </w:tcPr>
          <w:p w14:paraId="025DFBA0">
            <w:pPr>
              <w:pStyle w:val="41"/>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0.1</w:t>
            </w:r>
            <w:r>
              <w:rPr>
                <w:rFonts w:hint="default" w:ascii="Times New Roman" w:hAnsi="Times New Roman" w:cs="Times New Roman"/>
                <w:color w:val="auto"/>
                <w:sz w:val="21"/>
                <w:szCs w:val="21"/>
              </w:rPr>
              <w:t>t/a</w:t>
            </w:r>
          </w:p>
        </w:tc>
        <w:tc>
          <w:tcPr>
            <w:tcW w:w="1625" w:type="dxa"/>
            <w:noWrap w:val="0"/>
            <w:vAlign w:val="center"/>
          </w:tcPr>
          <w:p w14:paraId="1123AA50">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rPr>
              <w:t>0.3t/a</w:t>
            </w:r>
          </w:p>
        </w:tc>
        <w:tc>
          <w:tcPr>
            <w:tcW w:w="1343" w:type="dxa"/>
            <w:noWrap w:val="0"/>
            <w:vAlign w:val="center"/>
          </w:tcPr>
          <w:p w14:paraId="24E4C644">
            <w:pPr>
              <w:suppressLineNumbers/>
              <w:jc w:val="center"/>
              <w:rPr>
                <w:rFonts w:hint="default" w:ascii="Times New Roman" w:hAnsi="Times New Roman" w:cs="Times New Roman"/>
                <w:snapToGrid w:val="0"/>
                <w:color w:val="auto"/>
                <w:kern w:val="21"/>
                <w:szCs w:val="21"/>
              </w:rPr>
            </w:pPr>
            <w:r>
              <w:rPr>
                <w:rFonts w:hint="eastAsia" w:cs="Times New Roman"/>
                <w:color w:val="auto"/>
                <w:sz w:val="21"/>
                <w:szCs w:val="21"/>
                <w:lang w:val="en-US" w:eastAsia="zh-CN"/>
              </w:rPr>
              <w:t>+0.2</w:t>
            </w:r>
            <w:r>
              <w:rPr>
                <w:rFonts w:hint="default" w:ascii="Times New Roman" w:hAnsi="Times New Roman" w:cs="Times New Roman"/>
                <w:color w:val="auto"/>
                <w:sz w:val="21"/>
                <w:szCs w:val="21"/>
              </w:rPr>
              <w:t>t/a</w:t>
            </w:r>
          </w:p>
        </w:tc>
      </w:tr>
      <w:tr w14:paraId="715A3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continue"/>
            <w:noWrap w:val="0"/>
            <w:vAlign w:val="center"/>
          </w:tcPr>
          <w:p w14:paraId="0D0576A1">
            <w:pPr>
              <w:pStyle w:val="41"/>
              <w:spacing w:beforeLines="0" w:afterLines="0" w:line="240" w:lineRule="auto"/>
              <w:rPr>
                <w:rFonts w:hint="default" w:ascii="Times New Roman" w:hAnsi="Times New Roman" w:cs="Times New Roman"/>
                <w:snapToGrid w:val="0"/>
                <w:color w:val="auto"/>
                <w:kern w:val="21"/>
                <w:szCs w:val="21"/>
              </w:rPr>
            </w:pPr>
          </w:p>
        </w:tc>
        <w:tc>
          <w:tcPr>
            <w:tcW w:w="1510" w:type="dxa"/>
            <w:noWrap w:val="0"/>
            <w:vAlign w:val="center"/>
          </w:tcPr>
          <w:p w14:paraId="46CE2618">
            <w:pPr>
              <w:suppressLineNumbers/>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color w:val="auto"/>
                <w:sz w:val="21"/>
                <w:szCs w:val="21"/>
              </w:rPr>
              <w:t>油罐清洗产生的油罐残渣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废液</w:t>
            </w:r>
          </w:p>
        </w:tc>
        <w:tc>
          <w:tcPr>
            <w:tcW w:w="1813" w:type="dxa"/>
            <w:noWrap w:val="0"/>
            <w:vAlign w:val="center"/>
          </w:tcPr>
          <w:p w14:paraId="13A73207">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0.21</w:t>
            </w:r>
            <w:r>
              <w:rPr>
                <w:rFonts w:hint="default" w:ascii="Times New Roman" w:hAnsi="Times New Roman" w:cs="Times New Roman"/>
                <w:color w:val="auto"/>
                <w:sz w:val="21"/>
                <w:szCs w:val="21"/>
              </w:rPr>
              <w:t>t/a</w:t>
            </w:r>
          </w:p>
        </w:tc>
        <w:tc>
          <w:tcPr>
            <w:tcW w:w="1360" w:type="dxa"/>
            <w:noWrap w:val="0"/>
            <w:vAlign w:val="center"/>
          </w:tcPr>
          <w:p w14:paraId="6FF6BA99">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3046B9B8">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p>
        </w:tc>
        <w:tc>
          <w:tcPr>
            <w:tcW w:w="1662" w:type="dxa"/>
            <w:noWrap w:val="0"/>
            <w:vAlign w:val="center"/>
          </w:tcPr>
          <w:p w14:paraId="7A8DC7E5">
            <w:pPr>
              <w:suppressLineNumbers/>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color w:val="auto"/>
                <w:sz w:val="21"/>
                <w:szCs w:val="21"/>
                <w:lang w:val="en-US" w:eastAsia="zh-CN"/>
              </w:rPr>
              <w:t>0.21</w:t>
            </w:r>
            <w:r>
              <w:rPr>
                <w:rFonts w:hint="default" w:ascii="Times New Roman" w:hAnsi="Times New Roman" w:cs="Times New Roman"/>
                <w:color w:val="auto"/>
                <w:sz w:val="21"/>
                <w:szCs w:val="21"/>
              </w:rPr>
              <w:t>t/a</w:t>
            </w:r>
          </w:p>
        </w:tc>
        <w:tc>
          <w:tcPr>
            <w:tcW w:w="1877" w:type="dxa"/>
            <w:noWrap w:val="0"/>
            <w:vAlign w:val="center"/>
          </w:tcPr>
          <w:p w14:paraId="44920165">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0.21</w:t>
            </w:r>
            <w:r>
              <w:rPr>
                <w:rFonts w:hint="default" w:ascii="Times New Roman" w:hAnsi="Times New Roman" w:cs="Times New Roman"/>
                <w:color w:val="auto"/>
                <w:sz w:val="21"/>
                <w:szCs w:val="21"/>
              </w:rPr>
              <w:t>t/a</w:t>
            </w:r>
          </w:p>
        </w:tc>
        <w:tc>
          <w:tcPr>
            <w:tcW w:w="1625" w:type="dxa"/>
            <w:noWrap w:val="0"/>
            <w:vAlign w:val="center"/>
          </w:tcPr>
          <w:p w14:paraId="58854931">
            <w:pPr>
              <w:suppressLineNumbers/>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color w:val="auto"/>
                <w:sz w:val="21"/>
                <w:szCs w:val="21"/>
                <w:lang w:val="en-US" w:eastAsia="zh-CN"/>
              </w:rPr>
              <w:t>0.21</w:t>
            </w:r>
            <w:r>
              <w:rPr>
                <w:rFonts w:hint="default" w:ascii="Times New Roman" w:hAnsi="Times New Roman" w:cs="Times New Roman"/>
                <w:color w:val="auto"/>
                <w:sz w:val="21"/>
                <w:szCs w:val="21"/>
              </w:rPr>
              <w:t>t/a</w:t>
            </w:r>
          </w:p>
        </w:tc>
        <w:tc>
          <w:tcPr>
            <w:tcW w:w="1343" w:type="dxa"/>
            <w:noWrap w:val="0"/>
            <w:vAlign w:val="center"/>
          </w:tcPr>
          <w:p w14:paraId="3FA4AF5B">
            <w:pPr>
              <w:suppressLineNumbers/>
              <w:jc w:val="center"/>
              <w:rPr>
                <w:rFonts w:hint="default" w:ascii="Times New Roman" w:hAnsi="Times New Roman" w:cs="Times New Roman"/>
                <w:snapToGrid w:val="0"/>
                <w:color w:val="auto"/>
                <w:kern w:val="21"/>
                <w:szCs w:val="21"/>
                <w:lang w:val="en-US" w:eastAsia="zh-CN"/>
              </w:rPr>
            </w:pPr>
            <w:r>
              <w:rPr>
                <w:rFonts w:hint="eastAsia" w:cs="Times New Roman"/>
                <w:color w:val="auto"/>
                <w:sz w:val="21"/>
                <w:szCs w:val="21"/>
                <w:lang w:val="en-US" w:eastAsia="zh-CN"/>
              </w:rPr>
              <w:t>0</w:t>
            </w:r>
          </w:p>
        </w:tc>
      </w:tr>
      <w:tr w14:paraId="17698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continue"/>
            <w:noWrap w:val="0"/>
            <w:vAlign w:val="center"/>
          </w:tcPr>
          <w:p w14:paraId="0F86D5A4">
            <w:pPr>
              <w:pStyle w:val="41"/>
              <w:spacing w:beforeLines="0" w:afterLines="0" w:line="240" w:lineRule="auto"/>
              <w:rPr>
                <w:rFonts w:hint="default" w:ascii="Times New Roman" w:hAnsi="Times New Roman" w:cs="Times New Roman"/>
                <w:snapToGrid w:val="0"/>
                <w:color w:val="auto"/>
                <w:kern w:val="21"/>
                <w:szCs w:val="21"/>
              </w:rPr>
            </w:pPr>
          </w:p>
        </w:tc>
        <w:tc>
          <w:tcPr>
            <w:tcW w:w="1510" w:type="dxa"/>
            <w:noWrap w:val="0"/>
            <w:vAlign w:val="center"/>
          </w:tcPr>
          <w:p w14:paraId="48C736F3">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油罐清洗过程产生的废抹布、废手套</w:t>
            </w:r>
          </w:p>
        </w:tc>
        <w:tc>
          <w:tcPr>
            <w:tcW w:w="1813" w:type="dxa"/>
            <w:noWrap w:val="0"/>
            <w:vAlign w:val="center"/>
          </w:tcPr>
          <w:p w14:paraId="4EC4F8D3">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0.05</w:t>
            </w:r>
            <w:r>
              <w:rPr>
                <w:rFonts w:hint="default" w:ascii="Times New Roman" w:hAnsi="Times New Roman" w:cs="Times New Roman"/>
                <w:color w:val="auto"/>
                <w:sz w:val="21"/>
                <w:szCs w:val="21"/>
              </w:rPr>
              <w:t>t/a</w:t>
            </w:r>
          </w:p>
        </w:tc>
        <w:tc>
          <w:tcPr>
            <w:tcW w:w="1360" w:type="dxa"/>
            <w:noWrap w:val="0"/>
            <w:vAlign w:val="center"/>
          </w:tcPr>
          <w:p w14:paraId="13523CCD">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1B9A3808">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p>
        </w:tc>
        <w:tc>
          <w:tcPr>
            <w:tcW w:w="1662" w:type="dxa"/>
            <w:noWrap w:val="0"/>
            <w:vAlign w:val="center"/>
          </w:tcPr>
          <w:p w14:paraId="236783D4">
            <w:pPr>
              <w:suppressLineNumber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0.05t/a</w:t>
            </w:r>
          </w:p>
        </w:tc>
        <w:tc>
          <w:tcPr>
            <w:tcW w:w="1877" w:type="dxa"/>
            <w:noWrap w:val="0"/>
            <w:vAlign w:val="center"/>
          </w:tcPr>
          <w:p w14:paraId="2018651A">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0.05</w:t>
            </w:r>
            <w:r>
              <w:rPr>
                <w:rFonts w:hint="default" w:ascii="Times New Roman" w:hAnsi="Times New Roman" w:cs="Times New Roman"/>
                <w:color w:val="auto"/>
                <w:sz w:val="21"/>
                <w:szCs w:val="21"/>
              </w:rPr>
              <w:t>t/a</w:t>
            </w:r>
          </w:p>
        </w:tc>
        <w:tc>
          <w:tcPr>
            <w:tcW w:w="1625" w:type="dxa"/>
            <w:noWrap w:val="0"/>
            <w:vAlign w:val="center"/>
          </w:tcPr>
          <w:p w14:paraId="6291C762">
            <w:pPr>
              <w:suppressLineNumber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0.05t/a</w:t>
            </w:r>
          </w:p>
        </w:tc>
        <w:tc>
          <w:tcPr>
            <w:tcW w:w="1343" w:type="dxa"/>
            <w:noWrap w:val="0"/>
            <w:vAlign w:val="center"/>
          </w:tcPr>
          <w:p w14:paraId="27B4E99E">
            <w:pPr>
              <w:suppressLineNumbers/>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w:t>
            </w:r>
          </w:p>
        </w:tc>
      </w:tr>
      <w:tr w14:paraId="35B4E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93" w:type="dxa"/>
            <w:vMerge w:val="continue"/>
            <w:noWrap w:val="0"/>
            <w:vAlign w:val="center"/>
          </w:tcPr>
          <w:p w14:paraId="7E054F22">
            <w:pPr>
              <w:pStyle w:val="41"/>
              <w:spacing w:beforeLines="0" w:afterLines="0" w:line="240" w:lineRule="auto"/>
              <w:rPr>
                <w:rFonts w:hint="default" w:ascii="Times New Roman" w:hAnsi="Times New Roman" w:cs="Times New Roman"/>
                <w:snapToGrid w:val="0"/>
                <w:color w:val="auto"/>
                <w:kern w:val="21"/>
                <w:szCs w:val="21"/>
              </w:rPr>
            </w:pPr>
          </w:p>
        </w:tc>
        <w:tc>
          <w:tcPr>
            <w:tcW w:w="1510" w:type="dxa"/>
            <w:noWrap w:val="0"/>
            <w:vAlign w:val="center"/>
          </w:tcPr>
          <w:p w14:paraId="114C75E0">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rPr>
              <w:t>废滤网</w:t>
            </w:r>
          </w:p>
        </w:tc>
        <w:tc>
          <w:tcPr>
            <w:tcW w:w="1813" w:type="dxa"/>
            <w:noWrap w:val="0"/>
            <w:vAlign w:val="center"/>
          </w:tcPr>
          <w:p w14:paraId="76BA063E">
            <w:pPr>
              <w:pStyle w:val="41"/>
              <w:spacing w:beforeLines="0" w:afterLines="0" w:line="240" w:lineRule="auto"/>
              <w:rPr>
                <w:rFonts w:hint="default" w:ascii="Times New Roman" w:hAnsi="Times New Roman" w:cs="Times New Roman"/>
                <w:snapToGrid w:val="0"/>
                <w:color w:val="auto"/>
                <w:kern w:val="21"/>
                <w:szCs w:val="21"/>
                <w:lang w:val="en-US"/>
              </w:rPr>
            </w:pPr>
            <w:r>
              <w:rPr>
                <w:rFonts w:hint="eastAsia" w:ascii="Times New Roman" w:cs="Times New Roman"/>
                <w:snapToGrid w:val="0"/>
                <w:color w:val="auto"/>
                <w:kern w:val="21"/>
                <w:szCs w:val="21"/>
                <w:lang w:val="en-US" w:eastAsia="zh-CN"/>
              </w:rPr>
              <w:t>0.01</w:t>
            </w:r>
            <w:r>
              <w:rPr>
                <w:rFonts w:hint="default" w:ascii="Times New Roman" w:hAnsi="Times New Roman" w:cs="Times New Roman"/>
                <w:color w:val="auto"/>
                <w:sz w:val="21"/>
                <w:szCs w:val="21"/>
              </w:rPr>
              <w:t>t/a</w:t>
            </w:r>
          </w:p>
        </w:tc>
        <w:tc>
          <w:tcPr>
            <w:tcW w:w="1360" w:type="dxa"/>
            <w:noWrap w:val="0"/>
            <w:vAlign w:val="center"/>
          </w:tcPr>
          <w:p w14:paraId="3C4B5AD7">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813" w:type="dxa"/>
            <w:noWrap w:val="0"/>
            <w:vAlign w:val="center"/>
          </w:tcPr>
          <w:p w14:paraId="526AC9AE">
            <w:pPr>
              <w:pStyle w:val="4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w:t>
            </w:r>
          </w:p>
        </w:tc>
        <w:tc>
          <w:tcPr>
            <w:tcW w:w="1662" w:type="dxa"/>
            <w:noWrap w:val="0"/>
            <w:vAlign w:val="center"/>
          </w:tcPr>
          <w:p w14:paraId="551D1BAB">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rPr>
              <w:t>0.01t/a</w:t>
            </w:r>
          </w:p>
        </w:tc>
        <w:tc>
          <w:tcPr>
            <w:tcW w:w="1877" w:type="dxa"/>
            <w:noWrap w:val="0"/>
            <w:vAlign w:val="center"/>
          </w:tcPr>
          <w:p w14:paraId="14B5A2C3">
            <w:pPr>
              <w:pStyle w:val="41"/>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0.01</w:t>
            </w:r>
            <w:r>
              <w:rPr>
                <w:rFonts w:hint="default" w:ascii="Times New Roman" w:hAnsi="Times New Roman" w:cs="Times New Roman"/>
                <w:color w:val="auto"/>
                <w:sz w:val="21"/>
                <w:szCs w:val="21"/>
              </w:rPr>
              <w:t>t/a</w:t>
            </w:r>
          </w:p>
        </w:tc>
        <w:tc>
          <w:tcPr>
            <w:tcW w:w="1625" w:type="dxa"/>
            <w:noWrap w:val="0"/>
            <w:vAlign w:val="center"/>
          </w:tcPr>
          <w:p w14:paraId="3F475F46">
            <w:pPr>
              <w:suppressLineNumbers/>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 w:val="21"/>
                <w:szCs w:val="21"/>
              </w:rPr>
              <w:t>0.01t/a</w:t>
            </w:r>
          </w:p>
        </w:tc>
        <w:tc>
          <w:tcPr>
            <w:tcW w:w="1343" w:type="dxa"/>
            <w:noWrap w:val="0"/>
            <w:vAlign w:val="center"/>
          </w:tcPr>
          <w:p w14:paraId="5058B2B1">
            <w:pPr>
              <w:suppressLineNumbers/>
              <w:jc w:val="center"/>
              <w:rPr>
                <w:rFonts w:hint="default" w:ascii="Times New Roman" w:hAnsi="Times New Roman" w:cs="Times New Roman"/>
                <w:snapToGrid w:val="0"/>
                <w:color w:val="auto"/>
                <w:kern w:val="21"/>
                <w:szCs w:val="21"/>
              </w:rPr>
            </w:pPr>
            <w:r>
              <w:rPr>
                <w:rFonts w:hint="eastAsia" w:cs="Times New Roman"/>
                <w:color w:val="auto"/>
                <w:sz w:val="21"/>
                <w:szCs w:val="21"/>
                <w:lang w:val="en-US" w:eastAsia="zh-CN"/>
              </w:rPr>
              <w:t>0</w:t>
            </w:r>
          </w:p>
        </w:tc>
      </w:tr>
    </w:tbl>
    <w:p w14:paraId="144D6980">
      <w:pPr>
        <w:pStyle w:val="41"/>
        <w:spacing w:before="192" w:beforeLines="80" w:after="24" w:line="240" w:lineRule="auto"/>
        <w:jc w:val="left"/>
        <w:rPr>
          <w:rFonts w:hint="default" w:ascii="Times New Roman" w:hAnsi="Times New Roman"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lang w:val="en-US" w:eastAsia="zh-CN"/>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eastAsia" w:ascii="Times New Roman" w:cs="Times New Roman"/>
          <w:snapToGrid w:val="0"/>
          <w:color w:val="auto"/>
          <w:spacing w:val="-6"/>
          <w:kern w:val="21"/>
          <w:szCs w:val="21"/>
          <w:lang w:val="en-US" w:eastAsia="zh-CN"/>
        </w:rPr>
        <w:t xml:space="preserve"> </w:t>
      </w:r>
    </w:p>
    <w:sectPr>
      <w:footerReference r:id="rId7" w:type="default"/>
      <w:pgSz w:w="16838" w:h="11906" w:orient="landscape"/>
      <w:pgMar w:top="1134" w:right="1417" w:bottom="1134"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2010601030101010101"/>
    <w:charset w:val="86"/>
    <w:family w:val="auto"/>
    <w:pitch w:val="default"/>
    <w:sig w:usb0="00000000" w:usb1="00000000" w:usb2="00000010" w:usb3="00000000" w:csb0="00040000" w:csb1="00000000"/>
  </w:font>
  <w:font w:name="Geneva">
    <w:altName w:val="Arial"/>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IDFont">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4BA5B">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32C48">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CAD51">
    <w:pPr>
      <w:pStyle w:val="17"/>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EECDE">
                          <w:pPr>
                            <w:pStyle w:val="1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53EECDE">
                    <w:pPr>
                      <w:pStyle w:val="1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F0990">
    <w:pPr>
      <w:pStyle w:val="1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959689">
                          <w:pPr>
                            <w:pStyle w:val="17"/>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1959689">
                    <w:pPr>
                      <w:pStyle w:val="1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0B69C">
    <w:pPr>
      <w:pStyle w:val="18"/>
      <w:pBdr>
        <w:bottom w:val="none" w:color="auto" w:sz="0" w:space="1"/>
      </w:pBdr>
    </w:pPr>
  </w:p>
  <w:p w14:paraId="2F0B3E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A641EF"/>
    <w:multiLevelType w:val="singleLevel"/>
    <w:tmpl w:val="94A641EF"/>
    <w:lvl w:ilvl="0" w:tentative="0">
      <w:start w:val="4"/>
      <w:numFmt w:val="decimal"/>
      <w:suff w:val="nothing"/>
      <w:lvlText w:val="（%1）"/>
      <w:lvlJc w:val="left"/>
    </w:lvl>
  </w:abstractNum>
  <w:abstractNum w:abstractNumId="1">
    <w:nsid w:val="E869C08C"/>
    <w:multiLevelType w:val="singleLevel"/>
    <w:tmpl w:val="E869C08C"/>
    <w:lvl w:ilvl="0" w:tentative="0">
      <w:start w:val="2"/>
      <w:numFmt w:val="decimal"/>
      <w:suff w:val="nothing"/>
      <w:lvlText w:val="%1、"/>
      <w:lvlJc w:val="left"/>
    </w:lvl>
  </w:abstractNum>
  <w:abstractNum w:abstractNumId="2">
    <w:nsid w:val="392AAD5F"/>
    <w:multiLevelType w:val="singleLevel"/>
    <w:tmpl w:val="392AAD5F"/>
    <w:lvl w:ilvl="0" w:tentative="0">
      <w:start w:val="1"/>
      <w:numFmt w:val="decimal"/>
      <w:suff w:val="nothing"/>
      <w:lvlText w:val="%1、"/>
      <w:lvlJc w:val="left"/>
    </w:lvl>
  </w:abstractNum>
  <w:abstractNum w:abstractNumId="3">
    <w:nsid w:val="4257578C"/>
    <w:multiLevelType w:val="singleLevel"/>
    <w:tmpl w:val="4257578C"/>
    <w:lvl w:ilvl="0" w:tentative="0">
      <w:start w:val="1"/>
      <w:numFmt w:val="bullet"/>
      <w:pStyle w:val="8"/>
      <w:lvlText w:val=""/>
      <w:lvlJc w:val="left"/>
      <w:pPr>
        <w:tabs>
          <w:tab w:val="left" w:pos="360"/>
        </w:tabs>
        <w:ind w:left="360" w:hanging="360"/>
      </w:pPr>
      <w:rPr>
        <w:rFonts w:hint="default" w:ascii="Wingdings" w:hAnsi="Wingdings"/>
      </w:rPr>
    </w:lvl>
  </w:abstractNum>
  <w:abstractNum w:abstractNumId="4">
    <w:nsid w:val="43EC8E0B"/>
    <w:multiLevelType w:val="singleLevel"/>
    <w:tmpl w:val="43EC8E0B"/>
    <w:lvl w:ilvl="0" w:tentative="0">
      <w:start w:val="1"/>
      <w:numFmt w:val="decimal"/>
      <w:suff w:val="nothing"/>
      <w:lvlText w:val="（%1）"/>
      <w:lvlJc w:val="left"/>
    </w:lvl>
  </w:abstractNum>
  <w:abstractNum w:abstractNumId="5">
    <w:nsid w:val="76F3AFA4"/>
    <w:multiLevelType w:val="singleLevel"/>
    <w:tmpl w:val="76F3AFA4"/>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mNzhlODBlNWNjZmYzMTI1OWMwY2Q5MTBjMDI4MDQifQ=="/>
  </w:docVars>
  <w:rsids>
    <w:rsidRoot w:val="7C130D51"/>
    <w:rsid w:val="002C76F3"/>
    <w:rsid w:val="013C302F"/>
    <w:rsid w:val="016A6DEA"/>
    <w:rsid w:val="01F62686"/>
    <w:rsid w:val="027F32E1"/>
    <w:rsid w:val="029D07DE"/>
    <w:rsid w:val="03763946"/>
    <w:rsid w:val="04B02F53"/>
    <w:rsid w:val="051C6B75"/>
    <w:rsid w:val="06414940"/>
    <w:rsid w:val="071B6785"/>
    <w:rsid w:val="07B53D17"/>
    <w:rsid w:val="086356AD"/>
    <w:rsid w:val="091C0C1A"/>
    <w:rsid w:val="09DF41EA"/>
    <w:rsid w:val="09E42438"/>
    <w:rsid w:val="0A005C1C"/>
    <w:rsid w:val="0B04224A"/>
    <w:rsid w:val="0EB86C59"/>
    <w:rsid w:val="0EBD753C"/>
    <w:rsid w:val="0F064A4A"/>
    <w:rsid w:val="0F130337"/>
    <w:rsid w:val="0F544C89"/>
    <w:rsid w:val="0FE05AD9"/>
    <w:rsid w:val="10055BFE"/>
    <w:rsid w:val="114539AE"/>
    <w:rsid w:val="11AF6A67"/>
    <w:rsid w:val="11C04EF9"/>
    <w:rsid w:val="11C82780"/>
    <w:rsid w:val="1266573C"/>
    <w:rsid w:val="12DF0D22"/>
    <w:rsid w:val="13086C57"/>
    <w:rsid w:val="13550F5A"/>
    <w:rsid w:val="13B477C1"/>
    <w:rsid w:val="13DA7A04"/>
    <w:rsid w:val="145B4059"/>
    <w:rsid w:val="14B2423C"/>
    <w:rsid w:val="14BF0E9B"/>
    <w:rsid w:val="14ED768B"/>
    <w:rsid w:val="151C066F"/>
    <w:rsid w:val="155710E2"/>
    <w:rsid w:val="15A443D7"/>
    <w:rsid w:val="15B42BC4"/>
    <w:rsid w:val="15FD7FC2"/>
    <w:rsid w:val="17A54E09"/>
    <w:rsid w:val="17ED1232"/>
    <w:rsid w:val="185677CF"/>
    <w:rsid w:val="198D78AF"/>
    <w:rsid w:val="19EA3AC2"/>
    <w:rsid w:val="1A1354DD"/>
    <w:rsid w:val="1A312930"/>
    <w:rsid w:val="1A3F5261"/>
    <w:rsid w:val="1B5C73B1"/>
    <w:rsid w:val="1B770A1A"/>
    <w:rsid w:val="1CEF41C2"/>
    <w:rsid w:val="1D911DDA"/>
    <w:rsid w:val="1D9B1204"/>
    <w:rsid w:val="1DA63635"/>
    <w:rsid w:val="1DC747EF"/>
    <w:rsid w:val="1DDF4325"/>
    <w:rsid w:val="1E241C70"/>
    <w:rsid w:val="1F9A2D26"/>
    <w:rsid w:val="20194DEC"/>
    <w:rsid w:val="208D5BAC"/>
    <w:rsid w:val="20920A30"/>
    <w:rsid w:val="20C25FB4"/>
    <w:rsid w:val="20F52879"/>
    <w:rsid w:val="21771FA6"/>
    <w:rsid w:val="21902632"/>
    <w:rsid w:val="21F24AD0"/>
    <w:rsid w:val="22400CF8"/>
    <w:rsid w:val="22785751"/>
    <w:rsid w:val="233B575A"/>
    <w:rsid w:val="2414142F"/>
    <w:rsid w:val="24AB5AA5"/>
    <w:rsid w:val="258C1C93"/>
    <w:rsid w:val="27822A1D"/>
    <w:rsid w:val="27F456D4"/>
    <w:rsid w:val="28974F61"/>
    <w:rsid w:val="28AC2DD8"/>
    <w:rsid w:val="28D413E0"/>
    <w:rsid w:val="29AD0FC4"/>
    <w:rsid w:val="2B593C60"/>
    <w:rsid w:val="2BF76B49"/>
    <w:rsid w:val="2CCC0C8B"/>
    <w:rsid w:val="2D300024"/>
    <w:rsid w:val="2EA37699"/>
    <w:rsid w:val="2EB373A4"/>
    <w:rsid w:val="2EDF58C1"/>
    <w:rsid w:val="304238CF"/>
    <w:rsid w:val="309F6CF4"/>
    <w:rsid w:val="30DC7A7A"/>
    <w:rsid w:val="326471B3"/>
    <w:rsid w:val="32B44DC3"/>
    <w:rsid w:val="32BF0681"/>
    <w:rsid w:val="33402A72"/>
    <w:rsid w:val="3402208F"/>
    <w:rsid w:val="34321327"/>
    <w:rsid w:val="36475B4A"/>
    <w:rsid w:val="366A648E"/>
    <w:rsid w:val="37973C49"/>
    <w:rsid w:val="37E02230"/>
    <w:rsid w:val="37EE3999"/>
    <w:rsid w:val="38232B78"/>
    <w:rsid w:val="387B1810"/>
    <w:rsid w:val="39164156"/>
    <w:rsid w:val="39245A67"/>
    <w:rsid w:val="39596ED1"/>
    <w:rsid w:val="39B9019A"/>
    <w:rsid w:val="39B93070"/>
    <w:rsid w:val="3A027097"/>
    <w:rsid w:val="3A824CAE"/>
    <w:rsid w:val="3B755BCE"/>
    <w:rsid w:val="3C8626BF"/>
    <w:rsid w:val="3C9E071E"/>
    <w:rsid w:val="3CC14069"/>
    <w:rsid w:val="3CD411DE"/>
    <w:rsid w:val="3D293D56"/>
    <w:rsid w:val="3DFE750D"/>
    <w:rsid w:val="3E784DEA"/>
    <w:rsid w:val="3E95602F"/>
    <w:rsid w:val="3EB11F66"/>
    <w:rsid w:val="3EBE75EC"/>
    <w:rsid w:val="3EC62D97"/>
    <w:rsid w:val="40D93191"/>
    <w:rsid w:val="41025F88"/>
    <w:rsid w:val="41B16DB7"/>
    <w:rsid w:val="42C43A92"/>
    <w:rsid w:val="42CF5CDE"/>
    <w:rsid w:val="43475CBC"/>
    <w:rsid w:val="43611733"/>
    <w:rsid w:val="438B5FF6"/>
    <w:rsid w:val="43CB6567"/>
    <w:rsid w:val="44FC0F95"/>
    <w:rsid w:val="45EB603D"/>
    <w:rsid w:val="460A5C60"/>
    <w:rsid w:val="46AA17B4"/>
    <w:rsid w:val="47A26C6D"/>
    <w:rsid w:val="47BE35A3"/>
    <w:rsid w:val="481D549F"/>
    <w:rsid w:val="48474441"/>
    <w:rsid w:val="49077FA5"/>
    <w:rsid w:val="49312FB3"/>
    <w:rsid w:val="494D658F"/>
    <w:rsid w:val="49980073"/>
    <w:rsid w:val="4A003601"/>
    <w:rsid w:val="4AB840FC"/>
    <w:rsid w:val="4AFD69CE"/>
    <w:rsid w:val="4BC36FDC"/>
    <w:rsid w:val="4C031AEB"/>
    <w:rsid w:val="4C821BA5"/>
    <w:rsid w:val="4C987581"/>
    <w:rsid w:val="4D561EBF"/>
    <w:rsid w:val="4D616309"/>
    <w:rsid w:val="4E121C82"/>
    <w:rsid w:val="4E374498"/>
    <w:rsid w:val="4FAD6E3E"/>
    <w:rsid w:val="4FB40540"/>
    <w:rsid w:val="51EF76A9"/>
    <w:rsid w:val="524D1211"/>
    <w:rsid w:val="528265BB"/>
    <w:rsid w:val="53031B15"/>
    <w:rsid w:val="53373929"/>
    <w:rsid w:val="534933E9"/>
    <w:rsid w:val="54AA339C"/>
    <w:rsid w:val="55C96E06"/>
    <w:rsid w:val="55E82AD4"/>
    <w:rsid w:val="569A1B1E"/>
    <w:rsid w:val="572562E7"/>
    <w:rsid w:val="573D2A2C"/>
    <w:rsid w:val="57B770F3"/>
    <w:rsid w:val="57CA26DB"/>
    <w:rsid w:val="59175926"/>
    <w:rsid w:val="591B6E6B"/>
    <w:rsid w:val="59317FC3"/>
    <w:rsid w:val="59725E43"/>
    <w:rsid w:val="59EF4C5B"/>
    <w:rsid w:val="5A5D7C10"/>
    <w:rsid w:val="5B431DB8"/>
    <w:rsid w:val="5C4162DE"/>
    <w:rsid w:val="5C7160CE"/>
    <w:rsid w:val="5D7910EA"/>
    <w:rsid w:val="5E251431"/>
    <w:rsid w:val="5E9D36BD"/>
    <w:rsid w:val="5EFC2113"/>
    <w:rsid w:val="5F751874"/>
    <w:rsid w:val="5FA62A45"/>
    <w:rsid w:val="60CA5B3C"/>
    <w:rsid w:val="60D4519F"/>
    <w:rsid w:val="617F0F85"/>
    <w:rsid w:val="619D1695"/>
    <w:rsid w:val="622349D8"/>
    <w:rsid w:val="62B23C4C"/>
    <w:rsid w:val="63520AA0"/>
    <w:rsid w:val="6406794D"/>
    <w:rsid w:val="64FC3FAA"/>
    <w:rsid w:val="65162D24"/>
    <w:rsid w:val="653C51F6"/>
    <w:rsid w:val="66522383"/>
    <w:rsid w:val="672B5A06"/>
    <w:rsid w:val="679225F8"/>
    <w:rsid w:val="67FE7B5A"/>
    <w:rsid w:val="68B650D4"/>
    <w:rsid w:val="6B346FFC"/>
    <w:rsid w:val="6C3A6E30"/>
    <w:rsid w:val="6CA13F08"/>
    <w:rsid w:val="6D537AE9"/>
    <w:rsid w:val="6EAB7D5D"/>
    <w:rsid w:val="6FE9667E"/>
    <w:rsid w:val="7070446C"/>
    <w:rsid w:val="70AC5F4B"/>
    <w:rsid w:val="70E70099"/>
    <w:rsid w:val="714D35F6"/>
    <w:rsid w:val="715E4236"/>
    <w:rsid w:val="71D007B6"/>
    <w:rsid w:val="720D5CD1"/>
    <w:rsid w:val="72146CE2"/>
    <w:rsid w:val="721C1B27"/>
    <w:rsid w:val="722717C4"/>
    <w:rsid w:val="7277458C"/>
    <w:rsid w:val="72E95913"/>
    <w:rsid w:val="731879A3"/>
    <w:rsid w:val="7493164F"/>
    <w:rsid w:val="74B7386D"/>
    <w:rsid w:val="74FC18CD"/>
    <w:rsid w:val="75782DCF"/>
    <w:rsid w:val="76357B74"/>
    <w:rsid w:val="765B1A3C"/>
    <w:rsid w:val="77541618"/>
    <w:rsid w:val="77895DB9"/>
    <w:rsid w:val="77A94A29"/>
    <w:rsid w:val="78BB628F"/>
    <w:rsid w:val="78FC07D7"/>
    <w:rsid w:val="795B7FA5"/>
    <w:rsid w:val="79720686"/>
    <w:rsid w:val="797D616D"/>
    <w:rsid w:val="798B626C"/>
    <w:rsid w:val="79F87575"/>
    <w:rsid w:val="7BD01149"/>
    <w:rsid w:val="7BF645C8"/>
    <w:rsid w:val="7C130D51"/>
    <w:rsid w:val="7C88531D"/>
    <w:rsid w:val="7D233C44"/>
    <w:rsid w:val="7D6C7155"/>
    <w:rsid w:val="7E3A21FC"/>
    <w:rsid w:val="7EF46ED2"/>
    <w:rsid w:val="7F7971C7"/>
    <w:rsid w:val="7FD06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autoRedefine/>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rPr>
      <w:szCs w:val="20"/>
    </w:rPr>
  </w:style>
  <w:style w:type="paragraph" w:customStyle="1" w:styleId="7">
    <w:name w:val="报告表格"/>
    <w:basedOn w:val="1"/>
    <w:next w:val="1"/>
    <w:autoRedefine/>
    <w:qFormat/>
    <w:uiPriority w:val="0"/>
    <w:pPr>
      <w:autoSpaceDE w:val="0"/>
      <w:autoSpaceDN w:val="0"/>
      <w:adjustRightInd w:val="0"/>
      <w:snapToGrid w:val="0"/>
      <w:spacing w:line="320" w:lineRule="exact"/>
      <w:ind w:firstLine="643" w:firstLineChars="200"/>
    </w:pPr>
    <w:rPr>
      <w:rFonts w:ascii="Times New Roman" w:hAnsi="Times New Roman" w:eastAsia="仿宋" w:cs="Times New Roman"/>
      <w:kern w:val="0"/>
      <w:sz w:val="20"/>
    </w:rPr>
  </w:style>
  <w:style w:type="paragraph" w:styleId="8">
    <w:name w:val="List Bullet"/>
    <w:basedOn w:val="1"/>
    <w:autoRedefine/>
    <w:qFormat/>
    <w:uiPriority w:val="0"/>
    <w:pPr>
      <w:numPr>
        <w:ilvl w:val="0"/>
        <w:numId w:val="1"/>
      </w:numPr>
    </w:pPr>
  </w:style>
  <w:style w:type="paragraph" w:styleId="9">
    <w:name w:val="annotation text"/>
    <w:basedOn w:val="1"/>
    <w:autoRedefine/>
    <w:semiHidden/>
    <w:qFormat/>
    <w:uiPriority w:val="0"/>
    <w:pPr>
      <w:jc w:val="left"/>
    </w:pPr>
    <w:rPr>
      <w:kern w:val="0"/>
      <w:sz w:val="24"/>
      <w:szCs w:val="20"/>
    </w:rPr>
  </w:style>
  <w:style w:type="paragraph" w:styleId="10">
    <w:name w:val="Salutation"/>
    <w:basedOn w:val="1"/>
    <w:next w:val="1"/>
    <w:qFormat/>
    <w:uiPriority w:val="0"/>
  </w:style>
  <w:style w:type="paragraph" w:styleId="11">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2">
    <w:name w:val="Body Text Indent"/>
    <w:basedOn w:val="1"/>
    <w:autoRedefine/>
    <w:qFormat/>
    <w:uiPriority w:val="0"/>
    <w:pPr>
      <w:spacing w:after="120"/>
      <w:ind w:left="420" w:leftChars="200"/>
    </w:pPr>
    <w:rPr>
      <w:kern w:val="0"/>
      <w:sz w:val="24"/>
      <w:szCs w:val="20"/>
    </w:rPr>
  </w:style>
  <w:style w:type="paragraph" w:styleId="13">
    <w:name w:val="Block Text"/>
    <w:basedOn w:val="1"/>
    <w:autoRedefine/>
    <w:qFormat/>
    <w:uiPriority w:val="0"/>
    <w:pPr>
      <w:spacing w:after="120"/>
      <w:ind w:left="1440" w:leftChars="700" w:right="1440" w:rightChars="700"/>
    </w:pPr>
  </w:style>
  <w:style w:type="paragraph" w:styleId="14">
    <w:name w:val="toc 3"/>
    <w:basedOn w:val="1"/>
    <w:next w:val="1"/>
    <w:autoRedefine/>
    <w:qFormat/>
    <w:uiPriority w:val="0"/>
    <w:pPr>
      <w:spacing w:line="240" w:lineRule="auto"/>
      <w:ind w:left="567" w:firstLine="0" w:firstLineChars="0"/>
      <w:jc w:val="left"/>
    </w:pPr>
    <w:rPr>
      <w:rFonts w:ascii="Times New Roman" w:hAnsi="Times New Roman" w:eastAsia="仿宋" w:cs="Times New Roman"/>
      <w:iCs/>
      <w:sz w:val="24"/>
      <w:szCs w:val="20"/>
    </w:rPr>
  </w:style>
  <w:style w:type="paragraph" w:styleId="15">
    <w:name w:val="Plain Text"/>
    <w:basedOn w:val="1"/>
    <w:autoRedefine/>
    <w:qFormat/>
    <w:uiPriority w:val="0"/>
    <w:pPr>
      <w:spacing w:line="240" w:lineRule="atLeast"/>
    </w:pPr>
    <w:rPr>
      <w:rFonts w:ascii="宋体" w:hAnsi="Courier New"/>
      <w:sz w:val="28"/>
      <w:szCs w:val="20"/>
    </w:rPr>
  </w:style>
  <w:style w:type="paragraph" w:styleId="16">
    <w:name w:val="Body Text Indent 2"/>
    <w:basedOn w:val="1"/>
    <w:autoRedefine/>
    <w:qFormat/>
    <w:uiPriority w:val="0"/>
    <w:pPr>
      <w:spacing w:after="120" w:line="480" w:lineRule="auto"/>
      <w:ind w:left="420" w:leftChars="200"/>
    </w:pPr>
  </w:style>
  <w:style w:type="paragraph" w:styleId="17">
    <w:name w:val="footer"/>
    <w:basedOn w:val="1"/>
    <w:autoRedefine/>
    <w:qFormat/>
    <w:uiPriority w:val="99"/>
    <w:pPr>
      <w:tabs>
        <w:tab w:val="center" w:pos="4153"/>
        <w:tab w:val="right" w:pos="8306"/>
      </w:tabs>
      <w:snapToGrid w:val="0"/>
      <w:jc w:val="left"/>
    </w:pPr>
    <w:rPr>
      <w:kern w:val="0"/>
      <w:sz w:val="18"/>
      <w:szCs w:val="20"/>
    </w:rPr>
  </w:style>
  <w:style w:type="paragraph" w:styleId="18">
    <w:name w:val="header"/>
    <w:basedOn w:val="1"/>
    <w:next w:val="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autoRedefine/>
    <w:qFormat/>
    <w:uiPriority w:val="0"/>
    <w:pPr>
      <w:spacing w:before="60" w:after="60"/>
      <w:ind w:firstLine="0" w:firstLineChars="0"/>
      <w:jc w:val="left"/>
    </w:pPr>
    <w:rPr>
      <w:rFonts w:ascii="Times New Roman" w:hAnsi="Times New Roman" w:eastAsia="仿宋" w:cs="Times New Roman"/>
      <w:b/>
      <w:bCs/>
      <w:caps/>
      <w:sz w:val="24"/>
      <w:szCs w:val="20"/>
    </w:rPr>
  </w:style>
  <w:style w:type="paragraph" w:styleId="20">
    <w:name w:val="List"/>
    <w:basedOn w:val="1"/>
    <w:autoRedefine/>
    <w:qFormat/>
    <w:uiPriority w:val="0"/>
    <w:pPr>
      <w:spacing w:line="320" w:lineRule="exact"/>
      <w:jc w:val="center"/>
    </w:pPr>
    <w:rPr>
      <w:sz w:val="20"/>
    </w:rPr>
  </w:style>
  <w:style w:type="paragraph" w:styleId="21">
    <w:name w:val="Body Text Indent 3"/>
    <w:basedOn w:val="1"/>
    <w:autoRedefine/>
    <w:qFormat/>
    <w:uiPriority w:val="0"/>
    <w:pPr>
      <w:spacing w:after="120"/>
      <w:ind w:left="420" w:leftChars="200"/>
    </w:pPr>
    <w:rPr>
      <w:sz w:val="16"/>
      <w:szCs w:val="16"/>
    </w:rPr>
  </w:style>
  <w:style w:type="paragraph" w:styleId="22">
    <w:name w:val="toc 2"/>
    <w:basedOn w:val="1"/>
    <w:next w:val="1"/>
    <w:autoRedefine/>
    <w:qFormat/>
    <w:uiPriority w:val="0"/>
    <w:pPr>
      <w:ind w:left="340" w:firstLine="0" w:firstLineChars="0"/>
      <w:jc w:val="left"/>
    </w:pPr>
    <w:rPr>
      <w:rFonts w:ascii="Times New Roman" w:hAnsi="Times New Roman" w:eastAsia="仿宋" w:cs="Times New Roman"/>
      <w:smallCaps/>
      <w:sz w:val="24"/>
      <w:szCs w:val="20"/>
    </w:rPr>
  </w:style>
  <w:style w:type="paragraph" w:styleId="2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4">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11"/>
    <w:autoRedefine/>
    <w:qFormat/>
    <w:uiPriority w:val="0"/>
    <w:pPr>
      <w:spacing w:after="120" w:line="240" w:lineRule="auto"/>
      <w:ind w:firstLine="420" w:firstLineChars="100"/>
    </w:pPr>
    <w:rPr>
      <w:rFonts w:eastAsia="方正楷体简体"/>
      <w:sz w:val="24"/>
    </w:rPr>
  </w:style>
  <w:style w:type="paragraph" w:styleId="26">
    <w:name w:val="Body Text First Indent 2"/>
    <w:basedOn w:val="1"/>
    <w:next w:val="25"/>
    <w:autoRedefine/>
    <w:qFormat/>
    <w:uiPriority w:val="0"/>
    <w:pPr>
      <w:ind w:firstLine="420" w:firstLineChars="200"/>
    </w:pPr>
  </w:style>
  <w:style w:type="table" w:styleId="28">
    <w:name w:val="Table Grid"/>
    <w:basedOn w:val="27"/>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annotation reference"/>
    <w:autoRedefine/>
    <w:semiHidden/>
    <w:qFormat/>
    <w:uiPriority w:val="0"/>
    <w:rPr>
      <w:sz w:val="21"/>
    </w:rPr>
  </w:style>
  <w:style w:type="paragraph" w:customStyle="1" w:styleId="32">
    <w:name w:val="表头"/>
    <w:basedOn w:val="33"/>
    <w:next w:val="33"/>
    <w:autoRedefine/>
    <w:qFormat/>
    <w:uiPriority w:val="0"/>
    <w:pPr>
      <w:tabs>
        <w:tab w:val="center" w:pos="4479"/>
        <w:tab w:val="left" w:pos="8205"/>
      </w:tabs>
      <w:adjustRightInd w:val="0"/>
      <w:snapToGrid w:val="0"/>
      <w:spacing w:line="360" w:lineRule="auto"/>
      <w:ind w:firstLine="422" w:firstLineChars="200"/>
      <w:jc w:val="center"/>
    </w:pPr>
    <w:rPr>
      <w:b/>
      <w:bCs/>
      <w:kern w:val="21"/>
      <w:szCs w:val="21"/>
    </w:rPr>
  </w:style>
  <w:style w:type="paragraph" w:customStyle="1" w:styleId="33">
    <w:name w:val="正文啊"/>
    <w:basedOn w:val="34"/>
    <w:autoRedefine/>
    <w:qFormat/>
    <w:uiPriority w:val="0"/>
    <w:pPr>
      <w:spacing w:line="360" w:lineRule="auto"/>
      <w:ind w:firstLine="200" w:firstLineChars="200"/>
    </w:pPr>
    <w:rPr>
      <w:rFonts w:ascii="Times New Roman" w:hAnsi="Times New Roman" w:eastAsia="宋体" w:cs="Times New Roman"/>
      <w:sz w:val="24"/>
    </w:rPr>
  </w:style>
  <w:style w:type="paragraph" w:styleId="34">
    <w:name w:val="No Spacing"/>
    <w:autoRedefine/>
    <w:qFormat/>
    <w:uiPriority w:val="0"/>
    <w:pPr>
      <w:adjustRightInd w:val="0"/>
      <w:snapToGrid w:val="0"/>
      <w:jc w:val="center"/>
    </w:pPr>
    <w:rPr>
      <w:rFonts w:ascii="Times New Roman" w:hAnsi="Times New Roman" w:eastAsia="宋体" w:cs="Times New Roman"/>
      <w:kern w:val="0"/>
      <w:sz w:val="21"/>
      <w:szCs w:val="22"/>
      <w:lang w:val="en-US" w:eastAsia="zh-CN" w:bidi="ar-SA"/>
    </w:rPr>
  </w:style>
  <w:style w:type="paragraph" w:customStyle="1" w:styleId="35">
    <w:name w:val="1正文"/>
    <w:basedOn w:val="1"/>
    <w:autoRedefine/>
    <w:qFormat/>
    <w:uiPriority w:val="0"/>
    <w:pPr>
      <w:spacing w:line="360" w:lineRule="auto"/>
      <w:ind w:firstLine="200" w:firstLineChars="200"/>
    </w:pPr>
    <w:rPr>
      <w:sz w:val="24"/>
    </w:rPr>
  </w:style>
  <w:style w:type="paragraph" w:customStyle="1" w:styleId="36">
    <w:name w:val="表内容"/>
    <w:basedOn w:val="1"/>
    <w:autoRedefine/>
    <w:semiHidden/>
    <w:qFormat/>
    <w:uiPriority w:val="0"/>
    <w:pPr>
      <w:jc w:val="center"/>
    </w:pPr>
    <w:rPr>
      <w:rFonts w:cs="宋体"/>
      <w:szCs w:val="20"/>
    </w:rPr>
  </w:style>
  <w:style w:type="table" w:customStyle="1" w:styleId="37">
    <w:name w:val="Table Normal"/>
    <w:autoRedefine/>
    <w:semiHidden/>
    <w:qFormat/>
    <w:uiPriority w:val="2"/>
    <w:pPr>
      <w:widowControl w:val="0"/>
    </w:pPr>
    <w:rPr>
      <w:rFonts w:eastAsia="Times New Roman"/>
      <w:kern w:val="0"/>
      <w:sz w:val="22"/>
      <w:lang w:eastAsia="en-US"/>
    </w:rPr>
    <w:tblPr>
      <w:tblCellMar>
        <w:top w:w="0" w:type="dxa"/>
        <w:left w:w="0" w:type="dxa"/>
        <w:bottom w:w="0" w:type="dxa"/>
        <w:right w:w="0" w:type="dxa"/>
      </w:tblCellMar>
    </w:tblPr>
  </w:style>
  <w:style w:type="paragraph" w:customStyle="1" w:styleId="38">
    <w:name w:val="A表正文"/>
    <w:basedOn w:val="1"/>
    <w:autoRedefine/>
    <w:qFormat/>
    <w:uiPriority w:val="0"/>
    <w:rPr>
      <w:szCs w:val="22"/>
    </w:rPr>
  </w:style>
  <w:style w:type="paragraph" w:customStyle="1" w:styleId="39">
    <w:name w:val="Default"/>
    <w:basedOn w:val="40"/>
    <w:autoRedefine/>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40">
    <w:name w:val="纯文本1"/>
    <w:basedOn w:val="1"/>
    <w:autoRedefine/>
    <w:qFormat/>
    <w:uiPriority w:val="0"/>
    <w:pPr>
      <w:snapToGrid/>
      <w:spacing w:line="360" w:lineRule="atLeast"/>
      <w:jc w:val="left"/>
      <w:textAlignment w:val="baseline"/>
    </w:pPr>
    <w:rPr>
      <w:rFonts w:hAnsi="Courier New"/>
      <w:kern w:val="0"/>
      <w:szCs w:val="20"/>
    </w:rPr>
  </w:style>
  <w:style w:type="paragraph" w:customStyle="1" w:styleId="41">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character" w:customStyle="1" w:styleId="42">
    <w:name w:val="dz1"/>
    <w:autoRedefine/>
    <w:qFormat/>
    <w:uiPriority w:val="0"/>
    <w:rPr>
      <w:rFonts w:hint="default" w:ascii="Geneva" w:hAnsi="Geneva"/>
      <w:sz w:val="20"/>
      <w:szCs w:val="20"/>
    </w:rPr>
  </w:style>
  <w:style w:type="paragraph" w:customStyle="1" w:styleId="43">
    <w:name w:val="Style 3"/>
    <w:basedOn w:val="1"/>
    <w:autoRedefine/>
    <w:semiHidden/>
    <w:qFormat/>
    <w:uiPriority w:val="0"/>
    <w:pPr>
      <w:autoSpaceDE w:val="0"/>
      <w:autoSpaceDN w:val="0"/>
      <w:adjustRightInd w:val="0"/>
    </w:pPr>
    <w:rPr>
      <w:sz w:val="20"/>
      <w:szCs w:val="20"/>
    </w:rPr>
  </w:style>
  <w:style w:type="character" w:customStyle="1" w:styleId="44">
    <w:name w:val="15"/>
    <w:autoRedefine/>
    <w:qFormat/>
    <w:uiPriority w:val="0"/>
    <w:rPr>
      <w:rFonts w:hint="default" w:ascii="Times New Roman" w:hAnsi="Times New Roman" w:cs="Times New Roman"/>
      <w:color w:val="0000FF"/>
      <w:u w:val="single"/>
    </w:rPr>
  </w:style>
  <w:style w:type="paragraph" w:customStyle="1" w:styleId="45">
    <w:name w:val="Default1"/>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46">
    <w:name w:val="List Paragraph"/>
    <w:basedOn w:val="1"/>
    <w:autoRedefine/>
    <w:qFormat/>
    <w:uiPriority w:val="34"/>
    <w:pPr>
      <w:ind w:left="720"/>
      <w:contextualSpacing/>
    </w:pPr>
  </w:style>
  <w:style w:type="paragraph" w:customStyle="1" w:styleId="47">
    <w:name w:val="表后正文"/>
    <w:basedOn w:val="16"/>
    <w:autoRedefine/>
    <w:qFormat/>
    <w:uiPriority w:val="0"/>
    <w:pPr>
      <w:adjustRightInd w:val="0"/>
      <w:spacing w:beforeLines="50" w:after="0" w:line="480" w:lineRule="exact"/>
      <w:ind w:left="0" w:leftChars="0" w:firstLine="560" w:firstLineChars="200"/>
      <w:textAlignment w:val="baseline"/>
    </w:pPr>
    <w:rPr>
      <w:rFonts w:eastAsia="楷体_GB2312"/>
      <w:color w:val="000000"/>
      <w:sz w:val="28"/>
      <w:szCs w:val="20"/>
    </w:rPr>
  </w:style>
  <w:style w:type="paragraph" w:customStyle="1" w:styleId="48">
    <w:name w:val="正文a"/>
    <w:basedOn w:val="1"/>
    <w:autoRedefine/>
    <w:qFormat/>
    <w:uiPriority w:val="0"/>
    <w:pPr>
      <w:spacing w:line="360" w:lineRule="auto"/>
      <w:ind w:firstLine="200" w:firstLineChars="200"/>
    </w:pPr>
    <w:rPr>
      <w:rFonts w:ascii="宋体" w:hAnsi="宋体" w:cs="宋体"/>
      <w:b/>
      <w:bCs/>
      <w:sz w:val="24"/>
    </w:rPr>
  </w:style>
  <w:style w:type="paragraph" w:customStyle="1" w:styleId="49">
    <w:name w:val="Table Paragraph"/>
    <w:basedOn w:val="1"/>
    <w:autoRedefine/>
    <w:qFormat/>
    <w:uiPriority w:val="1"/>
    <w:pPr>
      <w:autoSpaceDE w:val="0"/>
      <w:autoSpaceDN w:val="0"/>
      <w:spacing w:line="240" w:lineRule="auto"/>
      <w:jc w:val="left"/>
    </w:pPr>
    <w:rPr>
      <w:rFonts w:cs="Times New Roman"/>
      <w:kern w:val="0"/>
    </w:rPr>
  </w:style>
  <w:style w:type="paragraph" w:customStyle="1" w:styleId="50">
    <w:name w:val="制表格"/>
    <w:basedOn w:val="1"/>
    <w:autoRedefine/>
    <w:qFormat/>
    <w:uiPriority w:val="0"/>
    <w:pPr>
      <w:jc w:val="center"/>
    </w:pPr>
    <w:rPr>
      <w:snapToGrid w:val="0"/>
      <w:kern w:val="0"/>
      <w:szCs w:val="28"/>
    </w:rPr>
  </w:style>
  <w:style w:type="character" w:customStyle="1" w:styleId="51">
    <w:name w:val="ggzbt011"/>
    <w:basedOn w:val="29"/>
    <w:autoRedefine/>
    <w:qFormat/>
    <w:uiPriority w:val="0"/>
  </w:style>
  <w:style w:type="paragraph" w:customStyle="1" w:styleId="52">
    <w:name w:val="表格文字"/>
    <w:basedOn w:val="53"/>
    <w:next w:val="1"/>
    <w:autoRedefine/>
    <w:qFormat/>
    <w:uiPriority w:val="0"/>
    <w:pPr>
      <w:snapToGrid w:val="0"/>
      <w:spacing w:line="340" w:lineRule="exact"/>
      <w:ind w:firstLine="0" w:firstLineChars="0"/>
      <w:jc w:val="center"/>
    </w:pPr>
    <w:rPr>
      <w:rFonts w:ascii="宋体" w:hAnsi="Arial"/>
      <w:szCs w:val="20"/>
    </w:rPr>
  </w:style>
  <w:style w:type="paragraph" w:customStyle="1" w:styleId="53">
    <w:name w:val="表标题"/>
    <w:basedOn w:val="1"/>
    <w:next w:val="1"/>
    <w:autoRedefine/>
    <w:qFormat/>
    <w:uiPriority w:val="0"/>
    <w:pPr>
      <w:spacing w:line="360" w:lineRule="auto"/>
      <w:ind w:firstLine="200" w:firstLineChars="200"/>
      <w:jc w:val="center"/>
    </w:pPr>
    <w:rPr>
      <w:b/>
      <w:sz w:val="24"/>
      <w:szCs w:val="24"/>
    </w:rPr>
  </w:style>
  <w:style w:type="paragraph" w:customStyle="1" w:styleId="54">
    <w:name w:val="11"/>
    <w:basedOn w:val="11"/>
    <w:next w:val="13"/>
    <w:autoRedefine/>
    <w:qFormat/>
    <w:uiPriority w:val="0"/>
    <w:pPr>
      <w:autoSpaceDE w:val="0"/>
      <w:autoSpaceDN w:val="0"/>
      <w:adjustRightInd w:val="0"/>
      <w:spacing w:after="0" w:line="360" w:lineRule="auto"/>
      <w:ind w:firstLine="1320" w:firstLineChars="550"/>
      <w:textAlignment w:val="baseline"/>
    </w:pPr>
    <w:rPr>
      <w:sz w:val="24"/>
    </w:rPr>
  </w:style>
  <w:style w:type="character" w:customStyle="1" w:styleId="55">
    <w:name w:val="font21"/>
    <w:basedOn w:val="29"/>
    <w:autoRedefine/>
    <w:qFormat/>
    <w:uiPriority w:val="0"/>
    <w:rPr>
      <w:rFonts w:hint="eastAsia" w:ascii="宋体" w:hAnsi="宋体" w:eastAsia="宋体" w:cs="宋体"/>
      <w:color w:val="000000"/>
      <w:sz w:val="21"/>
      <w:szCs w:val="21"/>
      <w:u w:val="none"/>
    </w:rPr>
  </w:style>
  <w:style w:type="character" w:customStyle="1" w:styleId="56">
    <w:name w:val="font11"/>
    <w:basedOn w:val="29"/>
    <w:autoRedefine/>
    <w:qFormat/>
    <w:uiPriority w:val="0"/>
    <w:rPr>
      <w:rFonts w:hint="default" w:ascii="Times New Roman" w:hAnsi="Times New Roman" w:cs="Times New Roman"/>
      <w:color w:val="000000"/>
      <w:sz w:val="21"/>
      <w:szCs w:val="21"/>
      <w:u w:val="none"/>
    </w:rPr>
  </w:style>
  <w:style w:type="character" w:customStyle="1" w:styleId="57">
    <w:name w:val="正文文本 Char1"/>
    <w:autoRedefine/>
    <w:qFormat/>
    <w:uiPriority w:val="0"/>
    <w:rPr>
      <w:rFonts w:eastAsia="宋体"/>
      <w:kern w:val="2"/>
      <w:sz w:val="28"/>
      <w:szCs w:val="24"/>
      <w:lang w:val="en-US" w:eastAsia="zh-CN" w:bidi="ar-SA"/>
    </w:rPr>
  </w:style>
  <w:style w:type="paragraph" w:customStyle="1" w:styleId="58">
    <w:name w:val="WPSOffice手动目录 1"/>
    <w:autoRedefine/>
    <w:qFormat/>
    <w:uiPriority w:val="0"/>
    <w:pPr>
      <w:ind w:leftChars="0"/>
    </w:pPr>
    <w:rPr>
      <w:rFonts w:ascii="Times New Roman" w:hAnsi="Times New Roman" w:eastAsia="宋体" w:cs="Times New Roman"/>
      <w:sz w:val="20"/>
      <w:szCs w:val="20"/>
    </w:rPr>
  </w:style>
  <w:style w:type="paragraph" w:customStyle="1" w:styleId="59">
    <w:name w:val="图表文字"/>
    <w:basedOn w:val="1"/>
    <w:autoRedefine/>
    <w:qFormat/>
    <w:uiPriority w:val="0"/>
    <w:pPr>
      <w:widowControl w:val="0"/>
      <w:spacing w:line="240" w:lineRule="auto"/>
      <w:ind w:firstLine="0" w:firstLineChars="0"/>
      <w:jc w:val="center"/>
    </w:pPr>
    <w:rPr>
      <w:rFonts w:ascii="Times New Roman" w:hAnsi="Times New Roman" w:eastAsia="宋体"/>
      <w:sz w:val="24"/>
      <w:szCs w:val="24"/>
    </w:rPr>
  </w:style>
  <w:style w:type="paragraph" w:customStyle="1" w:styleId="60">
    <w:name w:val="正文（2分部）"/>
    <w:basedOn w:val="1"/>
    <w:autoRedefine/>
    <w:qFormat/>
    <w:uiPriority w:val="0"/>
    <w:pPr>
      <w:spacing w:line="360" w:lineRule="auto"/>
      <w:ind w:firstLine="200" w:firstLineChars="200"/>
    </w:pPr>
    <w:rPr>
      <w:rFonts w:cs="宋体"/>
      <w:sz w:val="24"/>
      <w:szCs w:val="20"/>
    </w:rPr>
  </w:style>
  <w:style w:type="paragraph" w:customStyle="1" w:styleId="61">
    <w:name w:val="文字"/>
    <w:basedOn w:val="1"/>
    <w:qFormat/>
    <w:uiPriority w:val="0"/>
    <w:pPr>
      <w:widowControl/>
      <w:adjustRightInd/>
      <w:snapToGrid/>
      <w:spacing w:after="156" w:afterLines="50" w:line="240" w:lineRule="auto"/>
      <w:ind w:firstLine="420" w:firstLineChars="0"/>
    </w:pPr>
    <w:rPr>
      <w:rFonts w:cs="Times New Roman"/>
      <w:sz w:val="21"/>
    </w:rPr>
  </w:style>
  <w:style w:type="character" w:customStyle="1" w:styleId="62">
    <w:name w:val="NormalCharacter"/>
    <w:qFormat/>
    <w:uiPriority w:val="0"/>
  </w:style>
  <w:style w:type="paragraph" w:customStyle="1" w:styleId="63">
    <w:name w:val="表格样式1"/>
    <w:basedOn w:val="1"/>
    <w:qFormat/>
    <w:uiPriority w:val="0"/>
    <w:pPr>
      <w:spacing w:line="240" w:lineRule="auto"/>
      <w:ind w:firstLine="0" w:firstLineChars="0"/>
      <w:jc w:val="center"/>
    </w:pPr>
    <w:rPr>
      <w:kern w:val="0"/>
      <w:sz w:val="21"/>
      <w:szCs w:val="21"/>
    </w:rPr>
  </w:style>
  <w:style w:type="paragraph" w:customStyle="1" w:styleId="64">
    <w:name w:val="表格内正文"/>
    <w:basedOn w:val="1"/>
    <w:qFormat/>
    <w:uiPriority w:val="0"/>
    <w:pPr>
      <w:snapToGrid w:val="0"/>
      <w:spacing w:line="360" w:lineRule="auto"/>
      <w:ind w:firstLine="720" w:firstLineChars="200"/>
    </w:pPr>
    <w:rPr>
      <w:rFonts w:eastAsia="仿宋_GB2312"/>
      <w:sz w:val="24"/>
    </w:rPr>
  </w:style>
  <w:style w:type="character" w:customStyle="1" w:styleId="65">
    <w:name w:val="font31"/>
    <w:basedOn w:val="2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17956</Words>
  <Characters>19221</Characters>
  <Lines>0</Lines>
  <Paragraphs>0</Paragraphs>
  <TotalTime>13</TotalTime>
  <ScaleCrop>false</ScaleCrop>
  <LinksUpToDate>false</LinksUpToDate>
  <CharactersWithSpaces>19382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2023-07-27T03:35:00Z</dcterms:created>
  <dc:creator>我不会说我是坏人</dc:creator>
  <cp:lastModifiedBy>听潮</cp:lastModifiedBy>
  <cp:lastPrinted>2024-11-18T03:28:00Z</cp:lastPrinted>
  <dcterms:modified xsi:type="dcterms:W3CDTF">2025-04-14T09:11:05Z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854B5D2CEAFA400DB2AAC0BFDA52053D_11</vt:lpwstr>
  </property>
  <property fmtid="{D5CDD505-2E9C-101B-9397-08002B2CF9AE}" pid="4" name="KSOTemplateDocerSaveRecord">
    <vt:lpwstr>eyJoZGlkIjoiYjU3YWRkZmU5OTJhNGQyMDFmYzgxYmU0MjIxODYxNTUiLCJ1c2VySWQiOiIyNDE4NzAyOTkifQ==</vt:lpwstr>
  </property>
</Properties>
</file>